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(Mark One)</w:t>
      </w:r>
    </w:p>
    <w:p>
      <w:pPr>
        <w:ind w:left="3940" w:right="2960" w:hanging="3934"/>
        <w:spacing w:after="0" w:line="248" w:lineRule="auto"/>
        <w:tabs>
          <w:tab w:leader="none" w:pos="1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October 27, 2024</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or</w:t>
      </w:r>
    </w:p>
    <w:p>
      <w:pPr>
        <w:spacing w:after="0" w:line="5" w:lineRule="exact"/>
        <w:rPr>
          <w:sz w:val="24"/>
          <w:szCs w:val="24"/>
          <w:color w:val="auto"/>
        </w:rPr>
      </w:pPr>
    </w:p>
    <w:p>
      <w:pPr>
        <w:ind w:left="3160" w:right="2960" w:hanging="3154"/>
        <w:spacing w:after="0" w:line="308" w:lineRule="auto"/>
        <w:tabs>
          <w:tab w:leader="none" w:pos="193"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b w:val="1"/>
          <w:bCs w:val="1"/>
          <w:color w:val="auto"/>
        </w:rPr>
        <w:t>TRANSITION REPORT PURSUANT TO SECTION 13 OR 15(d) OF THE SECURITIES EXCHANGE ACT OF 1934 For the transition period from _______________ to __________________</w:t>
      </w:r>
    </w:p>
    <w:p>
      <w:pPr>
        <w:spacing w:after="0" w:line="1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2788920</wp:posOffset>
            </wp:positionH>
            <wp:positionV relativeFrom="paragraph">
              <wp:posOffset>10795</wp:posOffset>
            </wp:positionV>
            <wp:extent cx="1573530" cy="883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3530" cy="8832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5"/>
          <w:szCs w:val="35"/>
          <w:b w:val="1"/>
          <w:bCs w:val="1"/>
          <w:color w:val="auto"/>
        </w:rPr>
        <w:t>THE CAMPBELL'S COMPANY</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ectPr>
          <w:pgSz w:w="11900" w:h="16838" w:orient="portrait"/>
          <w:cols w:equalWidth="0" w:num="1">
            <w:col w:w="11240"/>
          </w:cols>
          <w:pgMar w:left="320" w:top="1013" w:right="339" w:bottom="1440" w:gutter="0" w:footer="0" w:header="0"/>
        </w:sectPr>
      </w:pPr>
    </w:p>
    <w:p>
      <w:pPr>
        <w:spacing w:after="0" w:line="21" w:lineRule="exact"/>
        <w:rPr>
          <w:sz w:val="24"/>
          <w:szCs w:val="24"/>
          <w:color w:val="auto"/>
        </w:rPr>
      </w:pPr>
    </w:p>
    <w:p>
      <w:pPr>
        <w:ind w:left="2480"/>
        <w:spacing w:after="0"/>
        <w:rPr>
          <w:sz w:val="20"/>
          <w:szCs w:val="20"/>
          <w:color w:val="auto"/>
        </w:rPr>
      </w:pPr>
      <w:r>
        <w:rPr>
          <w:rFonts w:ascii="Times New Roman" w:cs="Times New Roman" w:eastAsia="Times New Roman" w:hAnsi="Times New Roman"/>
          <w:sz w:val="16"/>
          <w:szCs w:val="16"/>
          <w:b w:val="1"/>
          <w:bCs w:val="1"/>
          <w:color w:val="auto"/>
        </w:rPr>
        <w:t>New Jersey</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21-0419870</w:t>
      </w:r>
    </w:p>
    <w:p>
      <w:pPr>
        <w:spacing w:after="0" w:line="30" w:lineRule="exact"/>
        <w:rPr>
          <w:sz w:val="24"/>
          <w:szCs w:val="24"/>
          <w:color w:val="auto"/>
        </w:rPr>
      </w:pPr>
    </w:p>
    <w:p>
      <w:pPr>
        <w:sectPr>
          <w:pgSz w:w="11900" w:h="16838" w:orient="portrait"/>
          <w:cols w:equalWidth="0" w:num="2">
            <w:col w:w="7260" w:space="720"/>
            <w:col w:w="3260"/>
          </w:cols>
          <w:pgMar w:left="320" w:top="1013" w:right="339" w:bottom="1440" w:gutter="0" w:footer="0" w:header="0"/>
          <w:type w:val="continuous"/>
        </w:sectPr>
      </w:pPr>
    </w:p>
    <w:p>
      <w:pPr>
        <w:ind w:left="980"/>
        <w:spacing w:after="0"/>
        <w:rPr>
          <w:sz w:val="20"/>
          <w:szCs w:val="20"/>
          <w:color w:val="auto"/>
        </w:rPr>
      </w:pPr>
      <w:r>
        <w:rPr>
          <w:rFonts w:ascii="Times New Roman" w:cs="Times New Roman" w:eastAsia="Times New Roman" w:hAnsi="Times New Roman"/>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(I.R.S. Employer Identification No.)</w:t>
      </w:r>
    </w:p>
    <w:p>
      <w:pPr>
        <w:spacing w:after="0" w:line="117" w:lineRule="exact"/>
        <w:rPr>
          <w:sz w:val="24"/>
          <w:szCs w:val="24"/>
          <w:color w:val="auto"/>
        </w:rPr>
      </w:pPr>
    </w:p>
    <w:p>
      <w:pPr>
        <w:sectPr>
          <w:pgSz w:w="11900" w:h="16838" w:orient="portrait"/>
          <w:cols w:equalWidth="0" w:num="2">
            <w:col w:w="6500" w:space="720"/>
            <w:col w:w="4020"/>
          </w:cols>
          <w:pgMar w:left="320" w:top="1013"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6"/>
          <w:szCs w:val="16"/>
          <w:b w:val="1"/>
          <w:bCs w:val="1"/>
          <w:color w:val="auto"/>
        </w:rPr>
        <w:t>1 Campbell Place</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Camden, New Jersey 08103-1799</w:t>
      </w:r>
    </w:p>
    <w:p>
      <w:pPr>
        <w:sectPr>
          <w:pgSz w:w="11900" w:h="16838" w:orient="portrait"/>
          <w:cols w:equalWidth="0" w:num="1">
            <w:col w:w="11240"/>
          </w:cols>
          <w:pgMar w:left="320" w:top="1013" w:right="339" w:bottom="1440" w:gutter="0" w:footer="0" w:header="0"/>
          <w:type w:val="continuous"/>
        </w:sectPr>
      </w:pP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(856) 342-4800</w:t>
      </w:r>
    </w:p>
    <w:p>
      <w:pPr>
        <w:spacing w:after="0" w:line="2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Campbell Soup Company</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(Former name, former address and former fiscal year, if changed since last report)</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ectPr>
          <w:pgSz w:w="11900" w:h="16838" w:orient="portrait"/>
          <w:cols w:equalWidth="0" w:num="1">
            <w:col w:w="11240"/>
          </w:cols>
          <w:pgMar w:left="320" w:top="1013" w:right="339" w:bottom="1440" w:gutter="0" w:footer="0" w:header="0"/>
          <w:type w:val="continuous"/>
        </w:sectPr>
      </w:pPr>
    </w:p>
    <w:p>
      <w:pPr>
        <w:spacing w:after="0" w:line="4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Trading Symbol(s)</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p>
      <w:pPr>
        <w:spacing w:after="0" w:line="42" w:lineRule="exact"/>
        <w:rPr>
          <w:sz w:val="24"/>
          <w:szCs w:val="24"/>
          <w:color w:val="auto"/>
        </w:rPr>
      </w:pPr>
    </w:p>
    <w:p>
      <w:pPr>
        <w:sectPr>
          <w:pgSz w:w="11900" w:h="16838" w:orient="portrait"/>
          <w:cols w:equalWidth="0" w:num="3">
            <w:col w:w="4260" w:space="720"/>
            <w:col w:w="1800" w:space="720"/>
            <w:col w:w="3740"/>
          </w:cols>
          <w:pgMar w:left="320" w:top="1013" w:right="339" w:bottom="1440" w:gutter="0" w:footer="0" w:header="0"/>
          <w:type w:val="continuous"/>
        </w:sectPr>
      </w:pPr>
    </w:p>
    <w:p>
      <w:pPr>
        <w:ind w:left="1260"/>
        <w:spacing w:after="0"/>
        <w:rPr>
          <w:sz w:val="20"/>
          <w:szCs w:val="20"/>
          <w:color w:val="auto"/>
        </w:rPr>
      </w:pPr>
      <w:r>
        <w:rPr>
          <w:rFonts w:ascii="Times New Roman" w:cs="Times New Roman" w:eastAsia="Times New Roman" w:hAnsi="Times New Roman"/>
          <w:sz w:val="15"/>
          <w:szCs w:val="15"/>
          <w:color w:val="auto"/>
        </w:rPr>
        <w:t>Capital Stock, par value $.0375</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Times New Roman" w:cs="Times New Roman" w:eastAsia="Times New Roman" w:hAnsi="Times New Roman"/>
          <w:sz w:val="15"/>
          <w:szCs w:val="15"/>
          <w:color w:val="auto"/>
        </w:rPr>
        <w:t>CPB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The Nasdaq Stock Market LLC</w:t>
      </w:r>
    </w:p>
    <w:p>
      <w:pPr>
        <w:spacing w:after="0" w:line="200" w:lineRule="exact"/>
        <w:rPr>
          <w:sz w:val="24"/>
          <w:szCs w:val="24"/>
          <w:color w:val="auto"/>
        </w:rPr>
      </w:pPr>
    </w:p>
    <w:p>
      <w:pPr>
        <w:sectPr>
          <w:pgSz w:w="11900" w:h="16838" w:orient="portrait"/>
          <w:cols w:equalWidth="0" w:num="3">
            <w:col w:w="4740" w:space="720"/>
            <w:col w:w="1800" w:space="720"/>
            <w:col w:w="3260"/>
          </w:cols>
          <w:pgMar w:left="320" w:top="1013" w:right="339" w:bottom="1440" w:gutter="0" w:footer="0" w:header="0"/>
          <w:type w:val="continuous"/>
        </w:sectPr>
      </w:pPr>
    </w:p>
    <w:p>
      <w:pPr>
        <w:spacing w:after="0" w:line="12" w:lineRule="exact"/>
        <w:rPr>
          <w:sz w:val="24"/>
          <w:szCs w:val="24"/>
          <w:color w:val="auto"/>
        </w:rPr>
      </w:pPr>
    </w:p>
    <w:p>
      <w:pPr>
        <w:jc w:val="both"/>
        <w:ind w:firstLine="318"/>
        <w:spacing w:after="0" w:line="249"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4"/>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42" w:lineRule="exact"/>
        <w:rPr>
          <w:sz w:val="24"/>
          <w:szCs w:val="24"/>
          <w:color w:val="auto"/>
        </w:rPr>
      </w:pPr>
    </w:p>
    <w:p>
      <w:pPr>
        <w:ind w:right="300" w:firstLine="318"/>
        <w:spacing w:after="0" w:line="19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1" w:lineRule="exact"/>
        <w:rPr>
          <w:sz w:val="24"/>
          <w:szCs w:val="24"/>
          <w:color w:val="auto"/>
        </w:rPr>
      </w:pPr>
    </w:p>
    <w:p>
      <w:pPr>
        <w:ind w:right="20" w:firstLine="318"/>
        <w:spacing w:after="0" w:line="281"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tbl>
      <w:tblPr>
        <w:tblLayout w:type="fixed"/>
        <w:tblInd w:w="1740" w:type="dxa"/>
        <w:tblCellMar>
          <w:top w:w="0" w:type="dxa"/>
          <w:left w:w="0" w:type="dxa"/>
          <w:bottom w:w="0" w:type="dxa"/>
          <w:right w:w="0" w:type="dxa"/>
        </w:tblCellMar>
      </w:tblPr>
      <w:tr>
        <w:trPr>
          <w:trHeight w:val="27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2"/>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8"/>
        </w:trPr>
        <w:tc>
          <w:tcPr>
            <w:tcW w:w="22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1440" w:type="dxa"/>
            <w:vAlign w:val="bottom"/>
          </w:tcPr>
          <w:p>
            <w:pPr>
              <w:ind w:left="500"/>
              <w:spacing w:after="0" w:line="161" w:lineRule="exact"/>
              <w:rPr>
                <w:sz w:val="20"/>
                <w:szCs w:val="20"/>
                <w:color w:val="auto"/>
              </w:rPr>
            </w:pPr>
            <w:r>
              <w:rPr>
                <w:rFonts w:ascii="MS PGothic" w:cs="MS PGothic" w:eastAsia="MS PGothic" w:hAnsi="MS PGothic"/>
                <w:sz w:val="16"/>
                <w:szCs w:val="16"/>
                <w:color w:val="auto"/>
              </w:rPr>
              <w:t>☐</w:t>
            </w:r>
          </w:p>
        </w:tc>
        <w:tc>
          <w:tcPr>
            <w:tcW w:w="2920" w:type="dxa"/>
            <w:vAlign w:val="bottom"/>
          </w:tcPr>
          <w:p>
            <w:pPr>
              <w:spacing w:after="0"/>
              <w:rPr>
                <w:sz w:val="23"/>
                <w:szCs w:val="23"/>
                <w:color w:val="auto"/>
              </w:rPr>
            </w:pPr>
          </w:p>
        </w:tc>
        <w:tc>
          <w:tcPr>
            <w:tcW w:w="520" w:type="dxa"/>
            <w:vAlign w:val="bottom"/>
          </w:tcPr>
          <w:p>
            <w:pPr>
              <w:spacing w:after="0"/>
              <w:rPr>
                <w:sz w:val="23"/>
                <w:szCs w:val="23"/>
                <w:color w:val="auto"/>
              </w:rPr>
            </w:pPr>
          </w:p>
        </w:tc>
      </w:tr>
    </w:tbl>
    <w:p>
      <w:pPr>
        <w:spacing w:after="0" w:line="113" w:lineRule="exact"/>
        <w:rPr>
          <w:sz w:val="24"/>
          <w:szCs w:val="24"/>
          <w:color w:val="auto"/>
        </w:rPr>
      </w:pPr>
    </w:p>
    <w:p>
      <w:pPr>
        <w:ind w:firstLine="318"/>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64" w:lineRule="exact"/>
        <w:rPr>
          <w:sz w:val="24"/>
          <w:szCs w:val="24"/>
          <w:color w:val="auto"/>
        </w:rPr>
      </w:pPr>
    </w:p>
    <w:p>
      <w:pPr>
        <w:ind w:left="320"/>
        <w:spacing w:after="0" w:line="18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w:t>
      </w:r>
    </w:p>
    <w:p>
      <w:pPr>
        <w:spacing w:after="0" w:line="3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There were 298,109,244 shares of capital stock outstanding as of November 25,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577850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8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2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70"/>
        </w:trPr>
        <w:tc>
          <w:tcPr>
            <w:tcW w:w="20" w:type="dxa"/>
            <w:vAlign w:val="bottom"/>
          </w:tcPr>
          <w:p>
            <w:pPr>
              <w:spacing w:after="0"/>
              <w:rPr>
                <w:sz w:val="24"/>
                <w:szCs w:val="24"/>
                <w:color w:val="auto"/>
              </w:rPr>
            </w:pPr>
          </w:p>
        </w:tc>
        <w:tc>
          <w:tcPr>
            <w:tcW w:w="290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6"/>
              </w:rPr>
              <w:t>PART I - FINANCIAL INFORMATION</w:t>
            </w:r>
          </w:p>
        </w:tc>
        <w:tc>
          <w:tcPr>
            <w:tcW w:w="1760" w:type="dxa"/>
            <w:vAlign w:val="bottom"/>
            <w:gridSpan w:val="7"/>
          </w:tcPr>
          <w:p>
            <w:pPr>
              <w:spacing w:after="0"/>
              <w:rPr>
                <w:sz w:val="24"/>
                <w:szCs w:val="24"/>
                <w:color w:val="auto"/>
              </w:rPr>
            </w:pPr>
          </w:p>
        </w:tc>
        <w:tc>
          <w:tcPr>
            <w:tcW w:w="1880" w:type="dxa"/>
            <w:vAlign w:val="bottom"/>
            <w:tcBorders>
              <w:top w:val="single" w:sz="8" w:color="auto"/>
            </w:tcBorders>
            <w:gridSpan w:val="3"/>
          </w:tcPr>
          <w:p>
            <w:pPr>
              <w:spacing w:after="0"/>
              <w:rPr>
                <w:sz w:val="24"/>
                <w:szCs w:val="24"/>
                <w:color w:val="auto"/>
              </w:rPr>
            </w:pP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2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7"/>
              </w:rPr>
              <w:t>Item 1. Financial Statements</w:t>
            </w:r>
          </w:p>
        </w:tc>
        <w:tc>
          <w:tcPr>
            <w:tcW w:w="4840" w:type="dxa"/>
            <w:vAlign w:val="bottom"/>
            <w:gridSpan w:val="12"/>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Earnings</w:t>
            </w:r>
          </w:p>
        </w:tc>
        <w:tc>
          <w:tcPr>
            <w:tcW w:w="4040" w:type="dxa"/>
            <w:vAlign w:val="bottom"/>
            <w:gridSpan w:val="7"/>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3</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8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Comprehensive Income</w:t>
            </w:r>
          </w:p>
        </w:tc>
        <w:tc>
          <w:tcPr>
            <w:tcW w:w="2980" w:type="dxa"/>
            <w:vAlign w:val="bottom"/>
            <w:gridSpan w:val="4"/>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4</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FF"/>
            </w:tcBorders>
            <w:gridSpan w:val="8"/>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Balance Sheets</w:t>
            </w:r>
          </w:p>
        </w:tc>
        <w:tc>
          <w:tcPr>
            <w:tcW w:w="4600" w:type="dxa"/>
            <w:vAlign w:val="bottom"/>
            <w:gridSpan w:val="10"/>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5</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20" w:type="dxa"/>
            <w:vAlign w:val="bottom"/>
            <w:tcBorders>
              <w:bottom w:val="single" w:sz="8" w:color="0000FF"/>
            </w:tcBorders>
            <w:gridSpan w:val="12"/>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w:t>
            </w:r>
          </w:p>
        </w:tc>
        <w:tc>
          <w:tcPr>
            <w:tcW w:w="3840" w:type="dxa"/>
            <w:vAlign w:val="bottom"/>
            <w:gridSpan w:val="6"/>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6</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60" w:type="dxa"/>
            <w:vAlign w:val="bottom"/>
            <w:gridSpan w:val="18"/>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Equity</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gridSpan w:val="4"/>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00" w:type="dxa"/>
            <w:vAlign w:val="bottom"/>
            <w:tcBorders>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Notes to Consolidated Financial Statements</w:t>
            </w:r>
          </w:p>
        </w:tc>
        <w:tc>
          <w:tcPr>
            <w:tcW w:w="3560" w:type="dxa"/>
            <w:vAlign w:val="bottom"/>
            <w:gridSpan w:val="5"/>
          </w:tcPr>
          <w:p>
            <w:pPr>
              <w:spacing w:after="0"/>
              <w:rPr>
                <w:sz w:val="17"/>
                <w:szCs w:val="17"/>
                <w:color w:val="auto"/>
              </w:rPr>
            </w:pPr>
          </w:p>
        </w:tc>
        <w:tc>
          <w:tcPr>
            <w:tcW w:w="2280" w:type="dxa"/>
            <w:vAlign w:val="bottom"/>
          </w:tcPr>
          <w:p>
            <w:pPr>
              <w:spacing w:after="0"/>
              <w:rPr>
                <w:sz w:val="17"/>
                <w:szCs w:val="17"/>
                <w:color w:val="auto"/>
              </w:rPr>
            </w:pPr>
          </w:p>
        </w:tc>
        <w:tc>
          <w:tcPr>
            <w:tcW w:w="100" w:type="dxa"/>
            <w:vAlign w:val="bottom"/>
            <w:tcBorders>
              <w:bottom w:val="single" w:sz="8" w:color="0000FF"/>
            </w:tcBorders>
          </w:tcPr>
          <w:p>
            <w:pPr>
              <w:spacing w:after="0" w:line="205" w:lineRule="exact"/>
              <w:rPr>
                <w:sz w:val="20"/>
                <w:szCs w:val="20"/>
                <w:color w:val="auto"/>
              </w:rPr>
            </w:pPr>
            <w:r>
              <w:rPr>
                <w:rFonts w:ascii="Times New Roman" w:cs="Times New Roman" w:eastAsia="Times New Roman" w:hAnsi="Times New Roman"/>
                <w:sz w:val="18"/>
                <w:szCs w:val="18"/>
                <w:color w:val="0000FF"/>
                <w:w w:val="88"/>
              </w:rPr>
              <w:t>8</w:t>
            </w: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tcBorders>
              <w:bottom w:val="single" w:sz="8" w:color="0000FF"/>
            </w:tcBorders>
            <w:gridSpan w:val="19"/>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 Management's Discussion and Analysis of Financial Condition and Results of Operations</w:t>
            </w: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28</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3. Quantitative and Qualitative Disclosure About Market Risk</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80" w:type="dxa"/>
            <w:vAlign w:val="bottom"/>
            <w:tcBorders>
              <w:top w:val="single" w:sz="8" w:color="0000FF"/>
              <w:bottom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w w:val="97"/>
              </w:rPr>
              <w:t>Item 4. Controls and Procedures</w:t>
            </w:r>
          </w:p>
        </w:tc>
        <w:tc>
          <w:tcPr>
            <w:tcW w:w="2460" w:type="dxa"/>
            <w:vAlign w:val="bottom"/>
            <w:tcBorders>
              <w:top w:val="single" w:sz="8" w:color="0000FF"/>
            </w:tcBorders>
            <w:gridSpan w:val="6"/>
          </w:tcPr>
          <w:p>
            <w:pPr>
              <w:spacing w:after="0"/>
              <w:rPr>
                <w:sz w:val="17"/>
                <w:szCs w:val="17"/>
                <w:color w:val="auto"/>
              </w:rPr>
            </w:pPr>
          </w:p>
        </w:tc>
        <w:tc>
          <w:tcPr>
            <w:tcW w:w="2120" w:type="dxa"/>
            <w:vAlign w:val="bottom"/>
            <w:gridSpan w:val="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PART II - OTHER INFORMATION</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gridSpan w:val="11"/>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1. Legal Proceedings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86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38</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205" w:lineRule="exact"/>
              <w:rPr>
                <w:sz w:val="20"/>
                <w:szCs w:val="20"/>
                <w:color w:val="auto"/>
              </w:rPr>
            </w:pPr>
            <w:r>
              <w:rPr>
                <w:rFonts w:ascii="Times New Roman" w:cs="Times New Roman" w:eastAsia="Times New Roman" w:hAnsi="Times New Roman"/>
                <w:sz w:val="18"/>
                <w:szCs w:val="18"/>
                <w:color w:val="0000FF"/>
              </w:rPr>
              <w:t>Item 5. Other Information</w:t>
            </w:r>
          </w:p>
        </w:tc>
        <w:tc>
          <w:tcPr>
            <w:tcW w:w="2060" w:type="dxa"/>
            <w:vAlign w:val="bottom"/>
            <w:gridSpan w:val="2"/>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39</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40" w:type="dxa"/>
            <w:vAlign w:val="bottom"/>
            <w:tcBorders>
              <w:top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rPr>
              <w:t>Item 6. Exhibits</w:t>
            </w:r>
          </w:p>
        </w:tc>
        <w:tc>
          <w:tcPr>
            <w:tcW w:w="5020" w:type="dxa"/>
            <w:vAlign w:val="bottom"/>
            <w:gridSpan w:val="13"/>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top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39</w:t>
            </w:r>
          </w:p>
        </w:tc>
        <w:tc>
          <w:tcPr>
            <w:tcW w:w="112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740" w:type="dxa"/>
            <w:vAlign w:val="bottom"/>
            <w:gridSpan w:val="15"/>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5"/>
        </w:trPr>
        <w:tc>
          <w:tcPr>
            <w:tcW w:w="20" w:type="dxa"/>
            <w:vAlign w:val="bottom"/>
          </w:tcPr>
          <w:p>
            <w:pPr>
              <w:spacing w:after="0"/>
              <w:rPr>
                <w:sz w:val="17"/>
                <w:szCs w:val="17"/>
                <w:color w:val="auto"/>
              </w:rPr>
            </w:pPr>
          </w:p>
        </w:tc>
        <w:tc>
          <w:tcPr>
            <w:tcW w:w="1680" w:type="dxa"/>
            <w:vAlign w:val="bottom"/>
            <w:tcBorders>
              <w:bottom w:val="single" w:sz="8" w:color="0000FF"/>
            </w:tcBorders>
            <w:gridSpan w:val="4"/>
          </w:tcPr>
          <w:p>
            <w:pPr>
              <w:spacing w:after="0" w:line="205" w:lineRule="exact"/>
              <w:rPr>
                <w:sz w:val="20"/>
                <w:szCs w:val="20"/>
                <w:color w:val="auto"/>
              </w:rPr>
            </w:pPr>
            <w:r>
              <w:rPr>
                <w:rFonts w:ascii="Times New Roman" w:cs="Times New Roman" w:eastAsia="Times New Roman" w:hAnsi="Times New Roman"/>
                <w:sz w:val="18"/>
                <w:szCs w:val="18"/>
                <w:color w:val="0000FF"/>
                <w:w w:val="97"/>
              </w:rPr>
              <w:t>INDEX TO EXHIBITS</w:t>
            </w:r>
          </w:p>
        </w:tc>
        <w:tc>
          <w:tcPr>
            <w:tcW w:w="5960" w:type="dxa"/>
            <w:vAlign w:val="bottom"/>
            <w:gridSpan w:val="16"/>
          </w:tcPr>
          <w:p>
            <w:pPr>
              <w:spacing w:after="0"/>
              <w:rPr>
                <w:sz w:val="17"/>
                <w:szCs w:val="17"/>
                <w:color w:val="auto"/>
              </w:rPr>
            </w:pPr>
          </w:p>
        </w:tc>
        <w:tc>
          <w:tcPr>
            <w:tcW w:w="2280" w:type="dxa"/>
            <w:vAlign w:val="bottom"/>
          </w:tcPr>
          <w:p>
            <w:pPr>
              <w:spacing w:after="0"/>
              <w:rPr>
                <w:sz w:val="17"/>
                <w:szCs w:val="17"/>
                <w:color w:val="auto"/>
              </w:rPr>
            </w:pPr>
          </w:p>
        </w:tc>
        <w:tc>
          <w:tcPr>
            <w:tcW w:w="180" w:type="dxa"/>
            <w:vAlign w:val="bottom"/>
            <w:tcBorders>
              <w:bottom w:val="single" w:sz="8" w:color="0000FF"/>
            </w:tcBorders>
            <w:gridSpan w:val="2"/>
          </w:tcPr>
          <w:p>
            <w:pPr>
              <w:spacing w:after="0" w:line="205" w:lineRule="exact"/>
              <w:rPr>
                <w:sz w:val="20"/>
                <w:szCs w:val="20"/>
                <w:color w:val="auto"/>
              </w:rPr>
            </w:pPr>
            <w:r>
              <w:rPr>
                <w:rFonts w:ascii="Times New Roman" w:cs="Times New Roman" w:eastAsia="Times New Roman" w:hAnsi="Times New Roman"/>
                <w:sz w:val="18"/>
                <w:szCs w:val="18"/>
                <w:color w:val="0000FF"/>
                <w:w w:val="88"/>
              </w:rPr>
              <w:t>40</w:t>
            </w:r>
          </w:p>
        </w:tc>
        <w:tc>
          <w:tcPr>
            <w:tcW w:w="1120" w:type="dxa"/>
            <w:vAlign w:val="bottom"/>
          </w:tcPr>
          <w:p>
            <w:pPr>
              <w:spacing w:after="0"/>
              <w:rPr>
                <w:sz w:val="17"/>
                <w:szCs w:val="17"/>
                <w:color w:val="auto"/>
              </w:rPr>
            </w:pPr>
          </w:p>
        </w:tc>
      </w:tr>
      <w:tr>
        <w:trPr>
          <w:trHeight w:val="205"/>
        </w:trPr>
        <w:tc>
          <w:tcPr>
            <w:tcW w:w="20" w:type="dxa"/>
            <w:vAlign w:val="bottom"/>
          </w:tcPr>
          <w:p>
            <w:pPr>
              <w:spacing w:after="0"/>
              <w:rPr>
                <w:sz w:val="17"/>
                <w:szCs w:val="17"/>
                <w:color w:val="auto"/>
              </w:rPr>
            </w:pPr>
          </w:p>
        </w:tc>
        <w:tc>
          <w:tcPr>
            <w:tcW w:w="7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2460" w:type="dxa"/>
            <w:vAlign w:val="bottom"/>
            <w:gridSpan w:val="3"/>
          </w:tcPr>
          <w:p>
            <w:pPr>
              <w:ind w:left="2280"/>
              <w:spacing w:after="0" w:line="205" w:lineRule="exact"/>
              <w:rPr>
                <w:sz w:val="20"/>
                <w:szCs w:val="20"/>
                <w:color w:val="auto"/>
              </w:rPr>
            </w:pPr>
            <w:r>
              <w:rPr>
                <w:rFonts w:ascii="Times New Roman" w:cs="Times New Roman" w:eastAsia="Times New Roman" w:hAnsi="Times New Roman"/>
                <w:sz w:val="18"/>
                <w:szCs w:val="18"/>
                <w:color w:val="0000FF"/>
                <w:w w:val="88"/>
              </w:rPr>
              <w:t>41</w:t>
            </w:r>
          </w:p>
        </w:tc>
        <w:tc>
          <w:tcPr>
            <w:tcW w:w="1120" w:type="dxa"/>
            <w:vAlign w:val="bottom"/>
          </w:tcPr>
          <w:p>
            <w:pPr>
              <w:spacing w:after="0"/>
              <w:rPr>
                <w:sz w:val="17"/>
                <w:szCs w:val="17"/>
                <w:color w:val="auto"/>
              </w:rPr>
            </w:pPr>
          </w:p>
        </w:tc>
      </w:tr>
      <w:tr>
        <w:trPr>
          <w:trHeight w:val="869"/>
        </w:trPr>
        <w:tc>
          <w:tcPr>
            <w:tcW w:w="20" w:type="dxa"/>
            <w:vAlign w:val="bottom"/>
          </w:tcPr>
          <w:p>
            <w:pPr>
              <w:spacing w:after="0"/>
              <w:rPr>
                <w:sz w:val="24"/>
                <w:szCs w:val="24"/>
                <w:color w:val="auto"/>
              </w:rPr>
            </w:pPr>
          </w:p>
        </w:tc>
        <w:tc>
          <w:tcPr>
            <w:tcW w:w="1080" w:type="dxa"/>
            <w:vAlign w:val="bottom"/>
            <w:tcBorders>
              <w:top w:val="single" w:sz="8" w:color="0000FF"/>
            </w:tcBorders>
            <w:gridSpan w:val="3"/>
          </w:tcPr>
          <w:p>
            <w:pPr>
              <w:spacing w:after="0"/>
              <w:rPr>
                <w:sz w:val="24"/>
                <w:szCs w:val="24"/>
                <w:color w:val="auto"/>
              </w:rPr>
            </w:pPr>
          </w:p>
        </w:tc>
        <w:tc>
          <w:tcPr>
            <w:tcW w:w="5460" w:type="dxa"/>
            <w:vAlign w:val="bottom"/>
            <w:gridSpan w:val="16"/>
          </w:tcPr>
          <w:p>
            <w:pPr>
              <w:jc w:val="right"/>
              <w:ind w:right="90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120" w:type="dxa"/>
            <w:vAlign w:val="bottom"/>
          </w:tcPr>
          <w:p>
            <w:pPr>
              <w:spacing w:after="0"/>
              <w:rPr>
                <w:sz w:val="24"/>
                <w:szCs w:val="24"/>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59" w:right="339" w:bottom="1440" w:gutter="0" w:footer="0" w:header="0"/>
        </w:sectPr>
      </w:pPr>
    </w:p>
    <w:bookmarkStart w:id="2" w:name="page3"/>
    <w:bookmarkEnd w:id="2"/>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Earnings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2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25"/>
        </w:trPr>
        <w:tc>
          <w:tcPr>
            <w:tcW w:w="8780" w:type="dxa"/>
            <w:vAlign w:val="bottom"/>
            <w:tcBorders>
              <w:top w:val="single" w:sz="8" w:color="CCEEFF"/>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40" w:type="dxa"/>
            <w:vAlign w:val="bottom"/>
            <w:tcBorders>
              <w:top w:val="single" w:sz="8" w:color="auto"/>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w:t>
            </w:r>
          </w:p>
        </w:tc>
        <w:tc>
          <w:tcPr>
            <w:tcW w:w="100" w:type="dxa"/>
            <w:vAlign w:val="bottom"/>
            <w:tcBorders>
              <w:top w:val="single" w:sz="8" w:color="CCEEFF"/>
              <w:bottom w:val="single" w:sz="8" w:color="auto"/>
            </w:tcBorders>
            <w:shd w:val="clear" w:color="auto" w:fill="CCEEFF"/>
          </w:tcPr>
          <w:p>
            <w:pPr>
              <w:spacing w:after="0"/>
              <w:rPr>
                <w:sz w:val="19"/>
                <w:szCs w:val="19"/>
                <w:color w:val="auto"/>
              </w:rPr>
            </w:pPr>
          </w:p>
        </w:tc>
        <w:tc>
          <w:tcPr>
            <w:tcW w:w="660" w:type="dxa"/>
            <w:vAlign w:val="bottom"/>
            <w:tcBorders>
              <w:top w:val="single" w:sz="8" w:color="auto"/>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products sold</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1,905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250</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175</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expenses / (income)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8"/>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2,405</w:t>
            </w:r>
          </w:p>
        </w:tc>
        <w:tc>
          <w:tcPr>
            <w:tcW w:w="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2,160</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r>
      <w:tr>
        <w:trPr>
          <w:trHeight w:val="225"/>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taxes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284</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Taxes on earnings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Less: Net earnings (loss) attributable to noncontrolling interests</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Per Share — Basic</w:t>
            </w:r>
          </w:p>
        </w:tc>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4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w:t>
            </w:r>
          </w:p>
        </w:tc>
        <w:tc>
          <w:tcPr>
            <w:tcW w:w="1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8780" w:type="dxa"/>
            <w:vAlign w:val="bottom"/>
            <w:tcBorders>
              <w:bottom w:val="single" w:sz="8" w:color="auto"/>
            </w:tcBorders>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shares outstanding — basic</w:t>
            </w:r>
          </w:p>
        </w:tc>
        <w:tc>
          <w:tcPr>
            <w:tcW w:w="3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b w:val="1"/>
                <w:bCs w:val="1"/>
                <w:color w:val="auto"/>
              </w:rPr>
              <w:t>298</w:t>
            </w: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298</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Per Share — Assuming Dilution</w:t>
            </w: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attributable to The Campbell's Company</w:t>
            </w: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8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r>
      <w:tr>
        <w:trPr>
          <w:trHeight w:val="243"/>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 — assuming dilution</w:t>
            </w:r>
          </w:p>
        </w:tc>
        <w:tc>
          <w:tcPr>
            <w:tcW w:w="3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w:t>
            </w: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gridSpan w:val="4"/>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4"/>
        </w:trPr>
        <w:tc>
          <w:tcPr>
            <w:tcW w:w="57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5"/>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186"/>
        </w:trPr>
        <w:tc>
          <w:tcPr>
            <w:tcW w:w="5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720" w:type="dxa"/>
            <w:vAlign w:val="bottom"/>
            <w:tcBorders>
              <w:bottom w:val="single" w:sz="8" w:color="auto"/>
            </w:tcBorders>
          </w:tcPr>
          <w:p>
            <w:pPr>
              <w:spacing w:after="0"/>
              <w:rPr>
                <w:sz w:val="16"/>
                <w:szCs w:val="16"/>
                <w:color w:val="auto"/>
              </w:rPr>
            </w:pPr>
          </w:p>
        </w:tc>
      </w:tr>
      <w:tr>
        <w:trPr>
          <w:trHeight w:val="134"/>
        </w:trPr>
        <w:tc>
          <w:tcPr>
            <w:tcW w:w="5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123"/>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980" w:type="dxa"/>
            <w:vAlign w:val="bottom"/>
            <w:gridSpan w:val="3"/>
          </w:tcPr>
          <w:p>
            <w:pPr>
              <w:jc w:val="center"/>
              <w:ind w:right="100"/>
              <w:spacing w:after="0" w:line="134" w:lineRule="exact"/>
              <w:rPr>
                <w:sz w:val="20"/>
                <w:szCs w:val="20"/>
                <w:color w:val="auto"/>
              </w:rPr>
            </w:pPr>
            <w:r>
              <w:rPr>
                <w:rFonts w:ascii="Times New Roman" w:cs="Times New Roman" w:eastAsia="Times New Roman" w:hAnsi="Times New Roman"/>
                <w:sz w:val="14"/>
                <w:szCs w:val="14"/>
                <w:b w:val="1"/>
                <w:bCs w:val="1"/>
                <w:color w:val="auto"/>
                <w:w w:val="99"/>
              </w:rPr>
              <w:t>Tax benefit</w:t>
            </w:r>
          </w:p>
        </w:tc>
        <w:tc>
          <w:tcPr>
            <w:tcW w:w="120" w:type="dxa"/>
            <w:vAlign w:val="bottom"/>
          </w:tcPr>
          <w:p>
            <w:pPr>
              <w:spacing w:after="0"/>
              <w:rPr>
                <w:sz w:val="11"/>
                <w:szCs w:val="11"/>
                <w:color w:val="auto"/>
              </w:rPr>
            </w:pPr>
          </w:p>
        </w:tc>
        <w:tc>
          <w:tcPr>
            <w:tcW w:w="700" w:type="dxa"/>
            <w:vAlign w:val="bottom"/>
          </w:tcPr>
          <w:p>
            <w:pPr>
              <w:jc w:val="center"/>
              <w:ind w:right="43"/>
              <w:spacing w:after="0" w:line="134" w:lineRule="exact"/>
              <w:rPr>
                <w:sz w:val="20"/>
                <w:szCs w:val="20"/>
                <w:color w:val="auto"/>
              </w:rPr>
            </w:pPr>
            <w:r>
              <w:rPr>
                <w:rFonts w:ascii="Times New Roman" w:cs="Times New Roman" w:eastAsia="Times New Roman" w:hAnsi="Times New Roman"/>
                <w:sz w:val="14"/>
                <w:szCs w:val="14"/>
                <w:b w:val="1"/>
                <w:bCs w:val="1"/>
                <w:color w:val="auto"/>
                <w:w w:val="97"/>
              </w:rPr>
              <w:t>After-tax</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83"/>
              <w:spacing w:after="0" w:line="134" w:lineRule="exact"/>
              <w:rPr>
                <w:sz w:val="20"/>
                <w:szCs w:val="20"/>
                <w:color w:val="auto"/>
              </w:rPr>
            </w:pPr>
            <w:r>
              <w:rPr>
                <w:rFonts w:ascii="Times New Roman" w:cs="Times New Roman" w:eastAsia="Times New Roman" w:hAnsi="Times New Roman"/>
                <w:sz w:val="14"/>
                <w:szCs w:val="14"/>
                <w:b w:val="1"/>
                <w:bCs w:val="1"/>
                <w:color w:val="auto"/>
              </w:rPr>
              <w:t>Pre-tax</w:t>
            </w:r>
          </w:p>
        </w:tc>
        <w:tc>
          <w:tcPr>
            <w:tcW w:w="100" w:type="dxa"/>
            <w:vAlign w:val="bottom"/>
          </w:tcPr>
          <w:p>
            <w:pPr>
              <w:spacing w:after="0"/>
              <w:rPr>
                <w:sz w:val="11"/>
                <w:szCs w:val="11"/>
                <w:color w:val="auto"/>
              </w:rPr>
            </w:pPr>
          </w:p>
        </w:tc>
        <w:tc>
          <w:tcPr>
            <w:tcW w:w="1060" w:type="dxa"/>
            <w:vAlign w:val="bottom"/>
            <w:gridSpan w:val="4"/>
          </w:tcPr>
          <w:p>
            <w:pPr>
              <w:ind w:left="80"/>
              <w:spacing w:after="0" w:line="134" w:lineRule="exact"/>
              <w:rPr>
                <w:sz w:val="20"/>
                <w:szCs w:val="20"/>
                <w:color w:val="auto"/>
              </w:rPr>
            </w:pPr>
            <w:r>
              <w:rPr>
                <w:rFonts w:ascii="Times New Roman" w:cs="Times New Roman" w:eastAsia="Times New Roman" w:hAnsi="Times New Roman"/>
                <w:sz w:val="14"/>
                <w:szCs w:val="14"/>
                <w:b w:val="1"/>
                <w:bCs w:val="1"/>
                <w:color w:val="auto"/>
              </w:rPr>
              <w:t>Tax benefit</w:t>
            </w:r>
          </w:p>
        </w:tc>
        <w:tc>
          <w:tcPr>
            <w:tcW w:w="720" w:type="dxa"/>
            <w:vAlign w:val="bottom"/>
          </w:tcPr>
          <w:p>
            <w:pPr>
              <w:jc w:val="right"/>
              <w:ind w:right="62"/>
              <w:spacing w:after="0" w:line="134" w:lineRule="exact"/>
              <w:rPr>
                <w:sz w:val="20"/>
                <w:szCs w:val="20"/>
                <w:color w:val="auto"/>
              </w:rPr>
            </w:pPr>
            <w:r>
              <w:rPr>
                <w:rFonts w:ascii="Times New Roman" w:cs="Times New Roman" w:eastAsia="Times New Roman" w:hAnsi="Times New Roman"/>
                <w:sz w:val="14"/>
                <w:szCs w:val="14"/>
                <w:b w:val="1"/>
                <w:bCs w:val="1"/>
                <w:color w:val="auto"/>
              </w:rPr>
              <w:t>After-tax</w:t>
            </w:r>
          </w:p>
        </w:tc>
      </w:tr>
      <w:tr>
        <w:trPr>
          <w:trHeight w:val="191"/>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0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(expense)</w:t>
            </w:r>
          </w:p>
        </w:tc>
        <w:tc>
          <w:tcPr>
            <w:tcW w:w="12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640" w:type="dxa"/>
            <w:vAlign w:val="bottom"/>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1"/>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earnings (loss)</w:t>
            </w: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w:t>
            </w:r>
          </w:p>
        </w:tc>
      </w:tr>
      <w:tr>
        <w:trPr>
          <w:trHeight w:val="211"/>
        </w:trPr>
        <w:tc>
          <w:tcPr>
            <w:tcW w:w="5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Foreign currency translation:</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5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Cash-flow hedges: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1"/>
        </w:trPr>
        <w:tc>
          <w:tcPr>
            <w:tcW w:w="57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Unrealized gains (losses) arising during the period</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Reclassification adjustment for losses (gains) included in net earnings</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Pension and other postretirement benefits:</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3"/>
        </w:trPr>
        <w:tc>
          <w:tcPr>
            <w:tcW w:w="570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Prior service credit arising during the period</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570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Reclassification of prior service credit included in net earnings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comprehensive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4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w:t>
            </w:r>
          </w:p>
        </w:tc>
        <w:tc>
          <w:tcPr>
            <w:tcW w:w="1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05"/>
        </w:trPr>
        <w:tc>
          <w:tcPr>
            <w:tcW w:w="57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comprehensive income (loss) attributable to noncontrolling interests</w:t>
            </w: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5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Total comprehensive income (loss) attributable to The Campbell's Company</w:t>
            </w: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222</w:t>
            </w:r>
          </w:p>
        </w:tc>
        <w:tc>
          <w:tcPr>
            <w:tcW w:w="1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ind w:left="8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r>
      <w:tr>
        <w:trPr>
          <w:trHeight w:val="21"/>
        </w:trPr>
        <w:tc>
          <w:tcPr>
            <w:tcW w:w="5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See accompanying Notes to Consolidated Financial Statements.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300" w:type="dxa"/>
            <w:vAlign w:val="bottom"/>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60" w:type="dxa"/>
            <w:vAlign w:val="bottom"/>
          </w:tcPr>
          <w:p>
            <w:pPr>
              <w:spacing w:after="0"/>
              <w:rPr>
                <w:sz w:val="16"/>
                <w:szCs w:val="16"/>
                <w:color w:val="auto"/>
              </w:rPr>
            </w:pPr>
          </w:p>
        </w:tc>
        <w:tc>
          <w:tcPr>
            <w:tcW w:w="120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July 28, 2024</w:t>
            </w:r>
          </w:p>
        </w:tc>
      </w:tr>
      <w:tr>
        <w:trPr>
          <w:trHeight w:val="24"/>
        </w:trPr>
        <w:tc>
          <w:tcPr>
            <w:tcW w:w="68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808</w:t>
            </w:r>
          </w:p>
        </w:tc>
        <w:tc>
          <w:tcPr>
            <w:tcW w:w="2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840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1,413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76</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9"/>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3,137</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2,684</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5,056</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5"/>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intangible assets, net of amortization</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4,669</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r>
      <w:tr>
        <w:trPr>
          <w:trHeight w:val="225"/>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566</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43"/>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16,112</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15,235</w:t>
            </w:r>
          </w:p>
        </w:tc>
      </w:tr>
      <w:tr>
        <w:trPr>
          <w:trHeight w:val="20"/>
        </w:trPr>
        <w:tc>
          <w:tcPr>
            <w:tcW w:w="68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68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b w:val="1"/>
                <w:bCs w:val="1"/>
                <w:color w:val="auto"/>
              </w:rPr>
              <w:t>Current liabilities</w:t>
            </w:r>
          </w:p>
        </w:tc>
        <w:tc>
          <w:tcPr>
            <w:tcW w:w="16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1,212</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1,423</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1,453</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622</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payable</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114</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25"/>
        </w:trPr>
        <w:tc>
          <w:tcPr>
            <w:tcW w:w="682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3,465</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w:t>
            </w:r>
          </w:p>
        </w:tc>
      </w:tr>
      <w:tr>
        <w:trPr>
          <w:trHeight w:val="218"/>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6,705</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5,761</w:t>
            </w: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1,425</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w:t>
            </w:r>
          </w:p>
        </w:tc>
      </w:tr>
      <w:tr>
        <w:trPr>
          <w:trHeight w:val="225"/>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673</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12,268</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11,439</w:t>
            </w:r>
          </w:p>
        </w:tc>
      </w:tr>
      <w:tr>
        <w:trPr>
          <w:trHeight w:val="21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Campbell's Company shareholders' equity</w:t>
            </w:r>
          </w:p>
        </w:tc>
        <w:tc>
          <w:tcPr>
            <w:tcW w:w="16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authorized 40 shares; none issued</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Capital stock, $.0375 par value; authorized 560 shares; issued 323 shares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12</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393</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r>
      <w:tr>
        <w:trPr>
          <w:trHeight w:val="225"/>
        </w:trPr>
        <w:tc>
          <w:tcPr>
            <w:tcW w:w="6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retained in the business</w:t>
            </w:r>
          </w:p>
        </w:tc>
        <w:tc>
          <w:tcPr>
            <w:tcW w:w="1660" w:type="dxa"/>
            <w:vAlign w:val="bottom"/>
          </w:tcPr>
          <w:p>
            <w:pPr>
              <w:spacing w:after="0"/>
              <w:rPr>
                <w:sz w:val="19"/>
                <w:szCs w:val="19"/>
                <w:color w:val="auto"/>
              </w:rPr>
            </w:pPr>
          </w:p>
        </w:tc>
        <w:tc>
          <w:tcPr>
            <w:tcW w:w="13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4,660</w:t>
            </w:r>
          </w:p>
        </w:tc>
        <w:tc>
          <w:tcPr>
            <w:tcW w:w="2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4,569</w:t>
            </w:r>
          </w:p>
        </w:tc>
      </w:tr>
      <w:tr>
        <w:trPr>
          <w:trHeight w:val="225"/>
        </w:trPr>
        <w:tc>
          <w:tcPr>
            <w:tcW w:w="6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Capital stock in treasury, at cost</w:t>
            </w:r>
          </w:p>
        </w:tc>
        <w:tc>
          <w:tcPr>
            <w:tcW w:w="16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(1,210)</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w:t>
            </w:r>
          </w:p>
        </w:tc>
      </w:tr>
      <w:tr>
        <w:trPr>
          <w:trHeight w:val="225"/>
        </w:trPr>
        <w:tc>
          <w:tcPr>
            <w:tcW w:w="6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8"/>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The Campbell's Company shareholders'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3,842</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3,794</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6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w:t>
            </w: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9"/>
        </w:trPr>
        <w:tc>
          <w:tcPr>
            <w:tcW w:w="68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6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3,844</w:t>
            </w: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r>
      <w:tr>
        <w:trPr>
          <w:trHeight w:val="218"/>
        </w:trPr>
        <w:tc>
          <w:tcPr>
            <w:tcW w:w="6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16,112</w:t>
            </w:r>
          </w:p>
        </w:tc>
        <w:tc>
          <w:tcPr>
            <w:tcW w:w="2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15,235</w:t>
            </w:r>
          </w:p>
        </w:tc>
      </w:tr>
      <w:tr>
        <w:trPr>
          <w:trHeight w:val="20"/>
        </w:trPr>
        <w:tc>
          <w:tcPr>
            <w:tcW w:w="68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(millions)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60" w:type="dxa"/>
            <w:vAlign w:val="bottom"/>
          </w:tcPr>
          <w:p>
            <w:pPr>
              <w:spacing w:after="0"/>
              <w:rPr>
                <w:sz w:val="16"/>
                <w:szCs w:val="16"/>
                <w:color w:val="auto"/>
              </w:rPr>
            </w:pPr>
          </w:p>
        </w:tc>
      </w:tr>
      <w:tr>
        <w:trPr>
          <w:trHeight w:val="24"/>
        </w:trPr>
        <w:tc>
          <w:tcPr>
            <w:tcW w:w="8780" w:type="dxa"/>
            <w:vAlign w:val="bottom"/>
          </w:tcPr>
          <w:p>
            <w:pPr>
              <w:spacing w:after="0"/>
              <w:rPr>
                <w:sz w:val="2"/>
                <w:szCs w:val="2"/>
                <w:color w:val="auto"/>
              </w:rPr>
            </w:pPr>
          </w:p>
        </w:tc>
        <w:tc>
          <w:tcPr>
            <w:tcW w:w="128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r>
      <w:tr>
        <w:trPr>
          <w:trHeight w:val="186"/>
        </w:trPr>
        <w:tc>
          <w:tcPr>
            <w:tcW w:w="878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12"/>
        </w:trPr>
        <w:tc>
          <w:tcPr>
            <w:tcW w:w="8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earnings</w:t>
            </w:r>
          </w:p>
        </w:tc>
        <w:tc>
          <w:tcPr>
            <w:tcW w:w="340" w:type="dxa"/>
            <w:vAlign w:val="bottom"/>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Pr>
          <w:p>
            <w:pPr>
              <w:spacing w:after="0"/>
              <w:rPr>
                <w:sz w:val="19"/>
                <w:szCs w:val="19"/>
                <w:color w:val="auto"/>
              </w:rPr>
            </w:pPr>
          </w:p>
        </w:tc>
        <w:tc>
          <w:tcPr>
            <w:tcW w:w="620" w:type="dxa"/>
            <w:vAlign w:val="bottom"/>
          </w:tcPr>
          <w:p>
            <w:pPr>
              <w:jc w:val="right"/>
              <w:ind w:right="4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earnings to operating cash flow</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Restructuring charges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Pension and postretirement benefit expense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loss on sale of business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working capital, net of divestiture</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87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87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225</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8"/>
        </w:trPr>
        <w:tc>
          <w:tcPr>
            <w:tcW w:w="8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Purchases of plant assets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Purchases of route businesses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Sales of route businesses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of business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87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(47)</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 borrowings, including commercial paper</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668</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repayments, including commercial paper</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(883)</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(1,081)</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borrowings</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1,144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repayments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paid</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purchases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5"/>
        </w:trPr>
        <w:tc>
          <w:tcPr>
            <w:tcW w:w="8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Payments related to tax withholding for stock-based compensation</w:t>
            </w: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25"/>
        </w:trPr>
        <w:tc>
          <w:tcPr>
            <w:tcW w:w="8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87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8"/>
        </w:trPr>
        <w:tc>
          <w:tcPr>
            <w:tcW w:w="878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523</w:t>
            </w:r>
          </w:p>
        </w:tc>
        <w:tc>
          <w:tcPr>
            <w:tcW w:w="10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8"/>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and cash equivalents</w:t>
            </w: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25"/>
        </w:trPr>
        <w:tc>
          <w:tcPr>
            <w:tcW w:w="8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beginning of period</w:t>
            </w: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44"/>
        </w:trPr>
        <w:tc>
          <w:tcPr>
            <w:tcW w:w="87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40" w:type="dxa"/>
            <w:vAlign w:val="bottom"/>
            <w:tcBorders>
              <w:bottom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808</w:t>
            </w:r>
          </w:p>
        </w:tc>
        <w:tc>
          <w:tcPr>
            <w:tcW w:w="1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4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0"/>
        </w:trPr>
        <w:tc>
          <w:tcPr>
            <w:tcW w:w="87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Equity</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(millions, except per share amounts)</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60" w:type="dxa"/>
            <w:vAlign w:val="bottom"/>
            <w:gridSpan w:val="7"/>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The Campbell's Company Shareholders’ Equity</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0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500" w:type="dxa"/>
            <w:vAlign w:val="bottom"/>
            <w:gridSpan w:val="3"/>
          </w:tcPr>
          <w:p>
            <w:pPr>
              <w:jc w:val="right"/>
              <w:ind w:right="329"/>
              <w:spacing w:after="0" w:line="128" w:lineRule="exact"/>
              <w:rPr>
                <w:sz w:val="20"/>
                <w:szCs w:val="20"/>
                <w:color w:val="auto"/>
              </w:rPr>
            </w:pPr>
            <w:r>
              <w:rPr>
                <w:rFonts w:ascii="Times New Roman" w:cs="Times New Roman" w:eastAsia="Times New Roman" w:hAnsi="Times New Roman"/>
                <w:sz w:val="14"/>
                <w:szCs w:val="14"/>
                <w:b w:val="1"/>
                <w:bCs w:val="1"/>
                <w:color w:val="auto"/>
              </w:rPr>
              <w:t>Capital Stock</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tcPr>
          <w:p>
            <w:pPr>
              <w:jc w:val="center"/>
              <w:ind w:right="69"/>
              <w:spacing w:after="0" w:line="128" w:lineRule="exact"/>
              <w:rPr>
                <w:sz w:val="20"/>
                <w:szCs w:val="20"/>
                <w:color w:val="auto"/>
              </w:rPr>
            </w:pPr>
            <w:r>
              <w:rPr>
                <w:rFonts w:ascii="Times New Roman" w:cs="Times New Roman" w:eastAsia="Times New Roman" w:hAnsi="Times New Roman"/>
                <w:sz w:val="14"/>
                <w:szCs w:val="14"/>
                <w:b w:val="1"/>
                <w:bCs w:val="1"/>
                <w:color w:val="auto"/>
                <w:w w:val="99"/>
              </w:rPr>
              <w:t>Earnings</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8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860" w:type="dxa"/>
            <w:vAlign w:val="bottom"/>
            <w:vMerge w:val="restart"/>
          </w:tcPr>
          <w:p>
            <w:pPr>
              <w:ind w:left="40"/>
              <w:spacing w:after="0" w:line="144"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5"/>
                <w:szCs w:val="5"/>
                <w:color w:val="auto"/>
              </w:rPr>
            </w:pPr>
          </w:p>
        </w:tc>
        <w:tc>
          <w:tcPr>
            <w:tcW w:w="880" w:type="dxa"/>
            <w:vAlign w:val="bottom"/>
            <w:vMerge w:val="restart"/>
          </w:tcPr>
          <w:p>
            <w:pPr>
              <w:jc w:val="center"/>
              <w:ind w:right="69"/>
              <w:spacing w:after="0" w:line="144" w:lineRule="exact"/>
              <w:rPr>
                <w:sz w:val="20"/>
                <w:szCs w:val="20"/>
                <w:color w:val="auto"/>
              </w:rPr>
            </w:pPr>
            <w:r>
              <w:rPr>
                <w:rFonts w:ascii="Times New Roman" w:cs="Times New Roman" w:eastAsia="Times New Roman" w:hAnsi="Times New Roman"/>
                <w:sz w:val="14"/>
                <w:szCs w:val="14"/>
                <w:b w:val="1"/>
                <w:bCs w:val="1"/>
                <w:color w:val="auto"/>
              </w:rPr>
              <w:t>Retained in</w:t>
            </w:r>
          </w:p>
        </w:tc>
        <w:tc>
          <w:tcPr>
            <w:tcW w:w="1340" w:type="dxa"/>
            <w:vAlign w:val="bottom"/>
            <w:gridSpan w:val="2"/>
            <w:vMerge w:val="restart"/>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80" w:type="dxa"/>
            <w:vAlign w:val="bottom"/>
          </w:tcPr>
          <w:p>
            <w:pPr>
              <w:spacing w:after="0"/>
              <w:rPr>
                <w:sz w:val="5"/>
                <w:szCs w:val="5"/>
                <w:color w:val="auto"/>
              </w:rPr>
            </w:pPr>
          </w:p>
        </w:tc>
        <w:tc>
          <w:tcPr>
            <w:tcW w:w="1540" w:type="dxa"/>
            <w:vAlign w:val="bottom"/>
            <w:gridSpan w:val="3"/>
            <w:vMerge w:val="restart"/>
          </w:tcPr>
          <w:p>
            <w:pPr>
              <w:jc w:val="right"/>
              <w:ind w:right="509"/>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vMerge w:val="restart"/>
          </w:tcPr>
          <w:p>
            <w:pPr>
              <w:spacing w:after="0"/>
              <w:rPr>
                <w:sz w:val="5"/>
                <w:szCs w:val="5"/>
                <w:color w:val="auto"/>
              </w:rPr>
            </w:pPr>
          </w:p>
        </w:tc>
        <w:tc>
          <w:tcPr>
            <w:tcW w:w="1540" w:type="dxa"/>
            <w:vAlign w:val="bottom"/>
            <w:gridSpan w:val="3"/>
            <w:vMerge w:val="restart"/>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 Treasury</w:t>
            </w:r>
          </w:p>
        </w:tc>
        <w:tc>
          <w:tcPr>
            <w:tcW w:w="22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1"/>
        </w:trPr>
        <w:tc>
          <w:tcPr>
            <w:tcW w:w="2080" w:type="dxa"/>
            <w:vAlign w:val="bottom"/>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540" w:type="dxa"/>
            <w:vAlign w:val="bottom"/>
            <w:tcBorders>
              <w:bottom w:val="single" w:sz="8" w:color="auto"/>
            </w:tcBorders>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10"/>
                <w:szCs w:val="10"/>
                <w:color w:val="auto"/>
              </w:rPr>
            </w:pPr>
          </w:p>
        </w:tc>
        <w:tc>
          <w:tcPr>
            <w:tcW w:w="880" w:type="dxa"/>
            <w:vAlign w:val="bottom"/>
          </w:tcPr>
          <w:p>
            <w:pPr>
              <w:jc w:val="center"/>
              <w:ind w:right="69"/>
              <w:spacing w:after="0" w:line="126" w:lineRule="exact"/>
              <w:rPr>
                <w:sz w:val="20"/>
                <w:szCs w:val="20"/>
                <w:color w:val="auto"/>
              </w:rPr>
            </w:pPr>
            <w:r>
              <w:rPr>
                <w:rFonts w:ascii="Times New Roman" w:cs="Times New Roman" w:eastAsia="Times New Roman" w:hAnsi="Times New Roman"/>
                <w:sz w:val="14"/>
                <w:szCs w:val="14"/>
                <w:b w:val="1"/>
                <w:bCs w:val="1"/>
                <w:color w:val="auto"/>
                <w:w w:val="96"/>
              </w:rPr>
              <w:t>the</w:t>
            </w:r>
          </w:p>
        </w:tc>
        <w:tc>
          <w:tcPr>
            <w:tcW w:w="180" w:type="dxa"/>
            <w:vAlign w:val="bottom"/>
          </w:tcPr>
          <w:p>
            <w:pPr>
              <w:spacing w:after="0"/>
              <w:rPr>
                <w:sz w:val="10"/>
                <w:szCs w:val="10"/>
                <w:color w:val="auto"/>
              </w:rPr>
            </w:pPr>
          </w:p>
        </w:tc>
        <w:tc>
          <w:tcPr>
            <w:tcW w:w="1160" w:type="dxa"/>
            <w:vAlign w:val="bottom"/>
          </w:tcPr>
          <w:p>
            <w:pPr>
              <w:jc w:val="center"/>
              <w:ind w:right="29"/>
              <w:spacing w:after="0" w:line="12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40" w:type="dxa"/>
            <w:vAlign w:val="bottom"/>
          </w:tcPr>
          <w:p>
            <w:pPr>
              <w:spacing w:after="0"/>
              <w:rPr>
                <w:sz w:val="10"/>
                <w:szCs w:val="10"/>
                <w:color w:val="auto"/>
              </w:rPr>
            </w:pPr>
          </w:p>
        </w:tc>
        <w:tc>
          <w:tcPr>
            <w:tcW w:w="1120" w:type="dxa"/>
            <w:vAlign w:val="bottom"/>
          </w:tcPr>
          <w:p>
            <w:pPr>
              <w:jc w:val="right"/>
              <w:ind w:right="109"/>
              <w:spacing w:after="0" w:line="126"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280" w:type="dxa"/>
            <w:vAlign w:val="bottom"/>
          </w:tcPr>
          <w:p>
            <w:pPr>
              <w:spacing w:after="0"/>
              <w:rPr>
                <w:sz w:val="10"/>
                <w:szCs w:val="10"/>
                <w:color w:val="auto"/>
              </w:rPr>
            </w:pPr>
          </w:p>
        </w:tc>
        <w:tc>
          <w:tcPr>
            <w:tcW w:w="820" w:type="dxa"/>
            <w:vAlign w:val="bottom"/>
          </w:tcPr>
          <w:p>
            <w:pPr>
              <w:jc w:val="right"/>
              <w:ind w:right="289"/>
              <w:spacing w:after="0" w:line="12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0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w w:val="97"/>
              </w:rPr>
              <w:t>Business</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30,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420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4,451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3,663</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234</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1"/>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(112)</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0" w:type="dxa"/>
            <w:vAlign w:val="bottom"/>
          </w:tcPr>
          <w:p>
            <w:pPr>
              <w:spacing w:after="0"/>
              <w:rPr>
                <w:sz w:val="1"/>
                <w:szCs w:val="1"/>
                <w:color w:val="auto"/>
              </w:rPr>
            </w:pPr>
          </w:p>
        </w:tc>
      </w:tr>
      <w:tr>
        <w:trPr>
          <w:trHeight w:val="206"/>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36"/>
        </w:trPr>
        <w:tc>
          <w:tcPr>
            <w:tcW w:w="2080" w:type="dxa"/>
            <w:vAlign w:val="bottom"/>
          </w:tcPr>
          <w:p>
            <w:pPr>
              <w:ind w:left="20"/>
              <w:spacing w:after="0" w:line="137" w:lineRule="exact"/>
              <w:rPr>
                <w:sz w:val="20"/>
                <w:szCs w:val="20"/>
                <w:color w:val="auto"/>
              </w:rPr>
            </w:pPr>
            <w:r>
              <w:rPr>
                <w:rFonts w:ascii="Times New Roman" w:cs="Times New Roman" w:eastAsia="Times New Roman" w:hAnsi="Times New Roman"/>
                <w:sz w:val="14"/>
                <w:szCs w:val="14"/>
                <w:color w:val="auto"/>
              </w:rPr>
              <w:t>Treasury stock issued under stock-</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20" w:type="dxa"/>
            <w:vAlign w:val="bottom"/>
          </w:tcPr>
          <w:p>
            <w:pPr>
              <w:spacing w:after="0"/>
              <w:rPr>
                <w:sz w:val="11"/>
                <w:szCs w:val="11"/>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color w:val="auto"/>
              </w:rPr>
              <w:t>(32)</w:t>
            </w:r>
          </w:p>
        </w:tc>
        <w:tc>
          <w:tcPr>
            <w:tcW w:w="160" w:type="dxa"/>
            <w:vAlign w:val="bottom"/>
          </w:tcPr>
          <w:p>
            <w:pPr>
              <w:spacing w:after="0"/>
              <w:rPr>
                <w:sz w:val="11"/>
                <w:szCs w:val="11"/>
                <w:color w:val="auto"/>
              </w:rPr>
            </w:pPr>
          </w:p>
        </w:tc>
        <w:tc>
          <w:tcPr>
            <w:tcW w:w="88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based compensation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October 29, 2023</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388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3,757</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8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July 28,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(1,207)</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437</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4,569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3,796</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earnings (loss)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218</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218</w:t>
            </w:r>
          </w:p>
        </w:tc>
        <w:tc>
          <w:tcPr>
            <w:tcW w:w="0" w:type="dxa"/>
            <w:vAlign w:val="bottom"/>
          </w:tcPr>
          <w:p>
            <w:pPr>
              <w:spacing w:after="0"/>
              <w:rPr>
                <w:sz w:val="1"/>
                <w:szCs w:val="1"/>
                <w:color w:val="auto"/>
              </w:rPr>
            </w:pPr>
          </w:p>
        </w:tc>
      </w:tr>
      <w:tr>
        <w:trPr>
          <w:trHeight w:val="141"/>
        </w:trPr>
        <w:tc>
          <w:tcPr>
            <w:tcW w:w="2080" w:type="dxa"/>
            <w:vAlign w:val="bottom"/>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b w:val="1"/>
                <w:bCs w:val="1"/>
                <w:color w:val="auto"/>
              </w:rPr>
              <w:t>Other comprehensive income</w:t>
            </w: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0" w:type="dxa"/>
            <w:vAlign w:val="bottom"/>
          </w:tcPr>
          <w:p>
            <w:pPr>
              <w:spacing w:after="0"/>
              <w:rPr>
                <w:sz w:val="1"/>
                <w:szCs w:val="1"/>
                <w:color w:val="auto"/>
              </w:rPr>
            </w:pPr>
          </w:p>
        </w:tc>
      </w:tr>
      <w:tr>
        <w:trPr>
          <w:trHeight w:val="197"/>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vMerge w:val="continue"/>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Dividends ($.37 per share)</w:t>
            </w: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(111)</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(111)</w:t>
            </w:r>
          </w:p>
        </w:tc>
        <w:tc>
          <w:tcPr>
            <w:tcW w:w="0" w:type="dxa"/>
            <w:vAlign w:val="bottom"/>
          </w:tcPr>
          <w:p>
            <w:pPr>
              <w:spacing w:after="0"/>
              <w:rPr>
                <w:sz w:val="1"/>
                <w:szCs w:val="1"/>
                <w:color w:val="auto"/>
              </w:rPr>
            </w:pPr>
          </w:p>
        </w:tc>
      </w:tr>
      <w:tr>
        <w:trPr>
          <w:trHeight w:val="205"/>
        </w:trPr>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Treasury stock purchased</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(54)</w:t>
            </w:r>
          </w:p>
        </w:tc>
        <w:tc>
          <w:tcPr>
            <w:tcW w:w="0" w:type="dxa"/>
            <w:vAlign w:val="bottom"/>
          </w:tcPr>
          <w:p>
            <w:pPr>
              <w:spacing w:after="0"/>
              <w:rPr>
                <w:sz w:val="1"/>
                <w:szCs w:val="1"/>
                <w:color w:val="auto"/>
              </w:rPr>
            </w:pPr>
          </w:p>
        </w:tc>
      </w:tr>
      <w:tr>
        <w:trPr>
          <w:trHeight w:val="134"/>
        </w:trPr>
        <w:tc>
          <w:tcPr>
            <w:tcW w:w="20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b w:val="1"/>
                <w:bCs w:val="1"/>
                <w:color w:val="auto"/>
              </w:rPr>
              <w:t>Treasury stock issued under</w:t>
            </w: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1</w:t>
            </w:r>
          </w:p>
        </w:tc>
        <w:tc>
          <w:tcPr>
            <w:tcW w:w="16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51</w:t>
            </w:r>
          </w:p>
        </w:tc>
        <w:tc>
          <w:tcPr>
            <w:tcW w:w="220" w:type="dxa"/>
            <w:vAlign w:val="bottom"/>
          </w:tcPr>
          <w:p>
            <w:pPr>
              <w:spacing w:after="0"/>
              <w:rPr>
                <w:sz w:val="11"/>
                <w:szCs w:val="11"/>
                <w:color w:val="auto"/>
              </w:rPr>
            </w:pPr>
          </w:p>
        </w:tc>
        <w:tc>
          <w:tcPr>
            <w:tcW w:w="860" w:type="dxa"/>
            <w:vAlign w:val="bottom"/>
            <w:vMerge w:val="restart"/>
          </w:tcPr>
          <w:p>
            <w:pPr>
              <w:ind w:left="560"/>
              <w:spacing w:after="0"/>
              <w:rPr>
                <w:sz w:val="20"/>
                <w:szCs w:val="20"/>
                <w:color w:val="auto"/>
              </w:rPr>
            </w:pPr>
            <w:r>
              <w:rPr>
                <w:rFonts w:ascii="Times New Roman" w:cs="Times New Roman" w:eastAsia="Times New Roman" w:hAnsi="Times New Roman"/>
                <w:sz w:val="14"/>
                <w:szCs w:val="14"/>
                <w:b w:val="1"/>
                <w:bCs w:val="1"/>
                <w:color w:val="auto"/>
              </w:rPr>
              <w:t>(44)</w:t>
            </w:r>
          </w:p>
        </w:tc>
        <w:tc>
          <w:tcPr>
            <w:tcW w:w="160" w:type="dxa"/>
            <w:vAlign w:val="bottom"/>
          </w:tcPr>
          <w:p>
            <w:pPr>
              <w:spacing w:after="0"/>
              <w:rPr>
                <w:sz w:val="11"/>
                <w:szCs w:val="11"/>
                <w:color w:val="auto"/>
              </w:rPr>
            </w:pPr>
          </w:p>
        </w:tc>
        <w:tc>
          <w:tcPr>
            <w:tcW w:w="8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(16)</w:t>
            </w: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0" w:type="dxa"/>
            <w:vAlign w:val="bottom"/>
          </w:tcPr>
          <w:p>
            <w:pPr>
              <w:spacing w:after="0"/>
              <w:rPr>
                <w:sz w:val="1"/>
                <w:szCs w:val="1"/>
                <w:color w:val="auto"/>
              </w:rPr>
            </w:pPr>
          </w:p>
        </w:tc>
      </w:tr>
      <w:tr>
        <w:trPr>
          <w:trHeight w:val="191"/>
        </w:trPr>
        <w:tc>
          <w:tcPr>
            <w:tcW w:w="20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stock-based compensation plans</w:t>
            </w: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October 27, 2024</w:t>
            </w: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323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w:t>
            </w: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b w:val="1"/>
                <w:bCs w:val="1"/>
                <w:color w:val="auto"/>
              </w:rPr>
              <w:t>393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4,660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12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b w:val="1"/>
                <w:bCs w:val="1"/>
                <w:color w:val="auto"/>
              </w:rPr>
              <w:t>2</w:t>
            </w:r>
          </w:p>
        </w:tc>
        <w:tc>
          <w:tcPr>
            <w:tcW w:w="28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3,844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755" w:right="35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 and Significant Accounting Policies</w:t>
      </w:r>
    </w:p>
    <w:p>
      <w:pPr>
        <w:spacing w:after="0" w:line="87"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In this Form 10-Q, unless otherwise stated, the terms "we," "us," "our" and the "company" refer to The Campbell's Company, formerly known as Campbell Soup Company, and its consolidated subsidiaries.</w:t>
      </w:r>
    </w:p>
    <w:p>
      <w:pPr>
        <w:spacing w:after="0" w:line="45"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28, 2024.</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results for the period are not necessarily indicative of the results to be expected for other interim periods or the full year. Our fiscal year ends on the Sunday nearest July 31, which is August 3, 2025. There will be 53 weeks in 2025. There were 52 weeks in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Recent Accounting Pronouncements</w:t>
      </w:r>
    </w:p>
    <w:p>
      <w:pPr>
        <w:spacing w:after="0" w:line="100"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September 2022, the Financial Accounting Standards Board (FASB) issued guidance that enhances the transparency of supplier finance programs by requiring disclosure of the key terms of these programs and a related rollforward of these obligations to understand the effect on working capital, liquidity and cash flows. The guidance is effective for fiscal years beginning after December 15, 2022, including interim periods in those fiscal years, except for the rollforward requirement, which is effective for fiscal years beginning after December 15, 2023. We adopted the guidance in the fourth quarter of 2023, with the exception of the annual rollforward requirement, which we will adopt in our 2025 annual reporting. The adoption did not have a material impact on our consolidated financial statements. See Note 18 for additional information.</w:t>
      </w:r>
    </w:p>
    <w:p>
      <w:pPr>
        <w:spacing w:after="0" w:line="66"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November 2023, the FASB issued guidance to improve reportable segment disclosures, primarily through enhanced disclosures about significant segment expenses. In addition, the guidance enhances interim disclosure requirements, clarifies circumstances in which an entity can disclose multiple segment measures of profit or loss, provides new segment disclosure requirements for entities with a single reportable segment and contains other disclosure requirements. The purpose of the guidance is to enable investors to better understand an entity’s overall performance and assess potential future cash flows. The guidance is effective for fiscal years beginning after December 15, 2023, and interim periods within fiscal years beginning after December 15, 2024. Early adoption is permitted. We are currently evaluating the impact that the new guidance will have on our consolidated financial statements.</w:t>
      </w:r>
    </w:p>
    <w:p>
      <w:pPr>
        <w:spacing w:after="0" w:line="53"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In December 2023, the FASB issued guidance to improve income tax disclosures by requiring disaggregated information about a reporting entity’s effective tax rate reconciliation as well as information on income taxes paid. The guidance is effective for annual periods beginning after December 15, 2024. The guidance should be applied on a prospective basis with the option to apply the standard retrospectively. Early adoption is permitted. We are currently evaluating the impact that the new guidance will have on our consolidated financial statements.</w:t>
      </w:r>
    </w:p>
    <w:p>
      <w:pPr>
        <w:spacing w:after="0" w:line="61"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In November 2024, the FASB issued guidance to improve disclosures by requiring additional details about specific types of expenses (purchases of inventory, employee compensation, depreciation and intangible asset amortization) included in certain expense captions. The guidance requires disclosure of the total amount of selling expenses and, on an annual basis, disclosure of the definition of selling expenses. The guidance is effective for fiscal years beginning after December 15, 2026, and interim periods within fiscal years beginning after December 15, 2027. Early adoption is permitted. The guidance should be applied on a prospective basis with the option to apply the standard retrospectively. We are currently evaluating the impact that the new guidance will have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bookmarkStart w:id="8" w:name="page9"/>
    <w:bookmarkEnd w:id="8"/>
    <w:p>
      <w:pPr>
        <w:ind w:left="320" w:hanging="314"/>
        <w:spacing w:after="0"/>
        <w:tabs>
          <w:tab w:leader="none" w:pos="3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w:t>
      </w:r>
    </w:p>
    <w:p>
      <w:pPr>
        <w:spacing w:after="0" w:line="87" w:lineRule="exact"/>
        <w:rPr>
          <w:sz w:val="20"/>
          <w:szCs w:val="20"/>
          <w:color w:val="auto"/>
        </w:rPr>
      </w:pPr>
    </w:p>
    <w:p>
      <w:pPr>
        <w:jc w:val="both"/>
        <w:ind w:firstLine="318"/>
        <w:spacing w:after="0" w:line="239" w:lineRule="auto"/>
        <w:rPr>
          <w:sz w:val="20"/>
          <w:szCs w:val="20"/>
          <w:color w:val="auto"/>
        </w:rPr>
      </w:pPr>
      <w:r>
        <w:rPr>
          <w:rFonts w:ascii="Times New Roman" w:cs="Times New Roman" w:eastAsia="Times New Roman" w:hAnsi="Times New Roman"/>
          <w:sz w:val="18"/>
          <w:szCs w:val="18"/>
          <w:color w:val="auto"/>
        </w:rPr>
        <w:t xml:space="preserve">On August 7, 2023, we entered into a merger agreement to acquire Sovos Brands, Inc. (Sovos Brands) for $23.00 per share. On March 12, 2024, we completed the acquisition. Sovos Brands' portfolio includes a variety of pasta sauces, dry pasta, soups, frozen entrées, frozen pizza and yogurts, all of which are sold in North America under the brand names </w:t>
      </w:r>
      <w:r>
        <w:rPr>
          <w:rFonts w:ascii="Times New Roman" w:cs="Times New Roman" w:eastAsia="Times New Roman" w:hAnsi="Times New Roman"/>
          <w:sz w:val="18"/>
          <w:szCs w:val="18"/>
          <w:i w:val="1"/>
          <w:iCs w:val="1"/>
          <w:color w:val="auto"/>
        </w:rPr>
        <w:t>Rao’s, Michael Angelo’s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noosa</w:t>
      </w:r>
      <w:r>
        <w:rPr>
          <w:rFonts w:ascii="Times New Roman" w:cs="Times New Roman" w:eastAsia="Times New Roman" w:hAnsi="Times New Roman"/>
          <w:sz w:val="18"/>
          <w:szCs w:val="18"/>
          <w:color w:val="auto"/>
        </w:rPr>
        <w:t>. Total purchase consideration was $2.899 billion, which was determined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6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4"/>
        </w:trPr>
        <w:tc>
          <w:tcPr>
            <w:tcW w:w="97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5"/>
        </w:trPr>
        <w:tc>
          <w:tcPr>
            <w:tcW w:w="9720" w:type="dxa"/>
            <w:vAlign w:val="bottom"/>
            <w:shd w:val="clear" w:color="auto" w:fill="CCEEFF"/>
          </w:tcPr>
          <w:p>
            <w:pPr>
              <w:ind w:left="60"/>
              <w:spacing w:after="0" w:line="225" w:lineRule="exact"/>
              <w:rPr>
                <w:sz w:val="20"/>
                <w:szCs w:val="20"/>
                <w:color w:val="auto"/>
              </w:rPr>
            </w:pPr>
            <w:r>
              <w:rPr>
                <w:rFonts w:ascii="Times New Roman" w:cs="Times New Roman" w:eastAsia="Times New Roman" w:hAnsi="Times New Roman"/>
                <w:sz w:val="18"/>
                <w:szCs w:val="18"/>
                <w:color w:val="auto"/>
              </w:rPr>
              <w:t>Cash consideration paid to Sovos Brands shareholders</w:t>
            </w:r>
            <w:r>
              <w:rPr>
                <w:rFonts w:ascii="Times New Roman" w:cs="Times New Roman" w:eastAsia="Times New Roman" w:hAnsi="Times New Roman"/>
                <w:sz w:val="22"/>
                <w:szCs w:val="22"/>
                <w:color w:val="auto"/>
                <w:vertAlign w:val="superscript"/>
              </w:rPr>
              <w:t>(1)</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w:t>
            </w:r>
          </w:p>
        </w:tc>
      </w:tr>
      <w:tr>
        <w:trPr>
          <w:trHeight w:val="225"/>
        </w:trPr>
        <w:tc>
          <w:tcPr>
            <w:tcW w:w="9720" w:type="dxa"/>
            <w:vAlign w:val="bottom"/>
            <w:tcBorders>
              <w:bottom w:val="single" w:sz="8" w:color="CCEEFF"/>
            </w:tcBorders>
          </w:tcPr>
          <w:p>
            <w:pPr>
              <w:ind w:left="60"/>
              <w:spacing w:after="0" w:line="225" w:lineRule="exact"/>
              <w:rPr>
                <w:sz w:val="20"/>
                <w:szCs w:val="20"/>
                <w:color w:val="auto"/>
              </w:rPr>
            </w:pPr>
            <w:r>
              <w:rPr>
                <w:rFonts w:ascii="Times New Roman" w:cs="Times New Roman" w:eastAsia="Times New Roman" w:hAnsi="Times New Roman"/>
                <w:sz w:val="18"/>
                <w:szCs w:val="18"/>
                <w:color w:val="auto"/>
              </w:rPr>
              <w:t>Cash paid for share-based awards</w:t>
            </w:r>
            <w:r>
              <w:rPr>
                <w:rFonts w:ascii="Times New Roman" w:cs="Times New Roman" w:eastAsia="Times New Roman" w:hAnsi="Times New Roman"/>
                <w:sz w:val="22"/>
                <w:szCs w:val="22"/>
                <w:color w:val="auto"/>
                <w:vertAlign w:val="superscript"/>
              </w:rPr>
              <w:t>(2)</w:t>
            </w:r>
          </w:p>
        </w:tc>
        <w:tc>
          <w:tcPr>
            <w:tcW w:w="6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9"/>
        </w:trPr>
        <w:tc>
          <w:tcPr>
            <w:tcW w:w="9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Cash consideration paid directly to shareholders</w:t>
            </w:r>
          </w:p>
        </w:tc>
        <w:tc>
          <w:tcPr>
            <w:tcW w:w="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2,339</w:t>
            </w:r>
          </w:p>
        </w:tc>
      </w:tr>
      <w:tr>
        <w:trPr>
          <w:trHeight w:val="225"/>
        </w:trPr>
        <w:tc>
          <w:tcPr>
            <w:tcW w:w="9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paid for transaction costs of Sovos Brands</w:t>
            </w:r>
          </w:p>
        </w:tc>
        <w:tc>
          <w:tcPr>
            <w:tcW w:w="6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5"/>
        </w:trPr>
        <w:tc>
          <w:tcPr>
            <w:tcW w:w="97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Repayment of Sovos Brands existing indebtedness and accrued interest</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r>
      <w:tr>
        <w:trPr>
          <w:trHeight w:val="218"/>
        </w:trPr>
        <w:tc>
          <w:tcPr>
            <w:tcW w:w="97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Total cash consideration</w:t>
            </w:r>
          </w:p>
        </w:tc>
        <w:tc>
          <w:tcPr>
            <w:tcW w:w="600" w:type="dxa"/>
            <w:vAlign w:val="bottom"/>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2,857</w:t>
            </w:r>
          </w:p>
        </w:tc>
      </w:tr>
      <w:tr>
        <w:trPr>
          <w:trHeight w:val="225"/>
        </w:trPr>
        <w:tc>
          <w:tcPr>
            <w:tcW w:w="9720" w:type="dxa"/>
            <w:vAlign w:val="bottom"/>
            <w:shd w:val="clear" w:color="auto" w:fill="CCEEFF"/>
          </w:tcPr>
          <w:p>
            <w:pPr>
              <w:ind w:left="60"/>
              <w:spacing w:after="0" w:line="225" w:lineRule="exact"/>
              <w:rPr>
                <w:sz w:val="20"/>
                <w:szCs w:val="20"/>
                <w:color w:val="auto"/>
              </w:rPr>
            </w:pPr>
            <w:r>
              <w:rPr>
                <w:rFonts w:ascii="Times New Roman" w:cs="Times New Roman" w:eastAsia="Times New Roman" w:hAnsi="Times New Roman"/>
                <w:sz w:val="18"/>
                <w:szCs w:val="18"/>
                <w:color w:val="auto"/>
              </w:rPr>
              <w:t>Fair value of replacement share-based awards</w:t>
            </w:r>
            <w:r>
              <w:rPr>
                <w:rFonts w:ascii="Times New Roman" w:cs="Times New Roman" w:eastAsia="Times New Roman" w:hAnsi="Times New Roman"/>
                <w:sz w:val="22"/>
                <w:szCs w:val="22"/>
                <w:color w:val="auto"/>
                <w:vertAlign w:val="superscript"/>
              </w:rPr>
              <w:t>(3)</w:t>
            </w:r>
          </w:p>
        </w:tc>
        <w:tc>
          <w:tcPr>
            <w:tcW w:w="6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8"/>
        </w:trPr>
        <w:tc>
          <w:tcPr>
            <w:tcW w:w="97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6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r>
      <w:tr>
        <w:trPr>
          <w:trHeight w:val="20"/>
        </w:trPr>
        <w:tc>
          <w:tcPr>
            <w:tcW w:w="97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w:t>
      </w:r>
    </w:p>
    <w:p>
      <w:pPr>
        <w:spacing w:after="0" w:line="26" w:lineRule="exact"/>
        <w:rPr>
          <w:sz w:val="20"/>
          <w:szCs w:val="20"/>
          <w:color w:val="auto"/>
        </w:rPr>
      </w:pPr>
    </w:p>
    <w:p>
      <w:pPr>
        <w:ind w:left="260" w:hanging="254"/>
        <w:spacing w:after="0"/>
        <w:tabs>
          <w:tab w:leader="none" w:pos="260"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Consideration paid to Sovos Brands shareholders which reflects $23.00 per share.</w:t>
      </w:r>
    </w:p>
    <w:p>
      <w:pPr>
        <w:ind w:left="260" w:hanging="254"/>
        <w:spacing w:after="0" w:line="188" w:lineRule="auto"/>
        <w:tabs>
          <w:tab w:leader="none" w:pos="26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cash paid to equity award holders of Sovos Brands restricted stock and restricted stock unit awards attributable to pre-combination service. This</w:t>
      </w:r>
    </w:p>
    <w:p>
      <w:pPr>
        <w:ind w:left="320"/>
        <w:spacing w:after="0" w:line="231" w:lineRule="auto"/>
        <w:rPr>
          <w:sz w:val="20"/>
          <w:szCs w:val="20"/>
          <w:color w:val="auto"/>
        </w:rPr>
      </w:pPr>
      <w:r>
        <w:rPr>
          <w:rFonts w:ascii="Times New Roman" w:cs="Times New Roman" w:eastAsia="Times New Roman" w:hAnsi="Times New Roman"/>
          <w:sz w:val="18"/>
          <w:szCs w:val="18"/>
          <w:color w:val="auto"/>
        </w:rPr>
        <w:t>excludes $3 million of cash paid that was recognized as expense.</w:t>
      </w:r>
    </w:p>
    <w:p>
      <w:pPr>
        <w:jc w:val="both"/>
        <w:ind w:left="320" w:hanging="314"/>
        <w:spacing w:after="0" w:line="215" w:lineRule="auto"/>
        <w:tabs>
          <w:tab w:leader="none" w:pos="329"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We issued replacement equity awards in settlement of certain Sovos Brands equity awards that did not become vested in connection with the acquisition. The portion of fair value of the replacement awards attributable to pre-combination service was $42 million and is included in the purchase consideration. We recognized $26 million of expense related to accelerated vesting of certain replacement awards in the third quarter of 2024.</w:t>
      </w:r>
    </w:p>
    <w:p>
      <w:pPr>
        <w:spacing w:after="0" w:line="61" w:lineRule="exact"/>
        <w:rPr>
          <w:rFonts w:ascii="Times New Roman" w:cs="Times New Roman" w:eastAsia="Times New Roman" w:hAnsi="Times New Roman"/>
          <w:sz w:val="23"/>
          <w:szCs w:val="23"/>
          <w:color w:val="auto"/>
          <w:vertAlign w:val="superscript"/>
        </w:rPr>
      </w:pPr>
    </w:p>
    <w:p>
      <w:pPr>
        <w:ind w:left="320" w:right="1060"/>
        <w:spacing w:after="0" w:line="366" w:lineRule="auto"/>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cash portion of the acquisition was funded through a 2024 Delayed Draw Term Loan Credit Agreement of $2 billion and cash on hand. The table below presents the fair value that was allocated to acquired assets and assumed liabilities:</w:t>
      </w:r>
    </w:p>
    <w:p>
      <w:pPr>
        <w:spacing w:after="0" w:line="91"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96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6"/>
                <w:szCs w:val="16"/>
                <w:color w:val="auto"/>
              </w:rPr>
            </w:pPr>
          </w:p>
        </w:tc>
        <w:tc>
          <w:tcPr>
            <w:tcW w:w="140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w w:val="98"/>
              </w:rPr>
              <w:t>Estimated Fair Value</w:t>
            </w:r>
          </w:p>
        </w:tc>
      </w:tr>
      <w:tr>
        <w:trPr>
          <w:trHeight w:val="24"/>
        </w:trPr>
        <w:tc>
          <w:tcPr>
            <w:tcW w:w="9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8"/>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assets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Other intangible assets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8"/>
        </w:trPr>
        <w:tc>
          <w:tcPr>
            <w:tcW w:w="9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Total assets acquired</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2,363</w:t>
            </w:r>
          </w:p>
        </w:tc>
      </w:tr>
      <w:tr>
        <w:trPr>
          <w:trHeight w:val="218"/>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r>
      <w:tr>
        <w:trPr>
          <w:trHeight w:val="225"/>
        </w:trPr>
        <w:tc>
          <w:tcPr>
            <w:tcW w:w="9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9"/>
        </w:trPr>
        <w:tc>
          <w:tcPr>
            <w:tcW w:w="9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liabilities assumed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580</w:t>
            </w:r>
          </w:p>
        </w:tc>
      </w:tr>
      <w:tr>
        <w:trPr>
          <w:trHeight w:val="218"/>
        </w:trPr>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Net assets acquired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w:t>
            </w:r>
          </w:p>
        </w:tc>
      </w:tr>
      <w:tr>
        <w:trPr>
          <w:trHeight w:val="225"/>
        </w:trPr>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r>
      <w:tr>
        <w:trPr>
          <w:trHeight w:val="219"/>
        </w:trPr>
        <w:tc>
          <w:tcPr>
            <w:tcW w:w="966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Total consideration</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2,899</w:t>
            </w:r>
          </w:p>
        </w:tc>
      </w:tr>
      <w:tr>
        <w:trPr>
          <w:trHeight w:val="20"/>
        </w:trPr>
        <w:tc>
          <w:tcPr>
            <w:tcW w:w="9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excess of the purchase price over the estimated fair values of identifiable net assets was recorded as $1.116 billion of goodwill. The goodwill is not deductible for tax purposes. The goodwill was primarily attributable to future growth opportunities, anticipated synergies, and intangible assets that did not qualify for separate recognition. The goodwill is included in the Meals &amp; Beverages segment.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9" w:name="page10"/>
    <w:bookmarkEnd w:id="9"/>
    <w:p>
      <w:pPr>
        <w:jc w:val="both"/>
        <w:ind w:left="40" w:firstLine="318"/>
        <w:spacing w:after="0" w:line="274" w:lineRule="auto"/>
        <w:rPr>
          <w:sz w:val="20"/>
          <w:szCs w:val="20"/>
          <w:color w:val="auto"/>
        </w:rPr>
      </w:pPr>
      <w:r>
        <w:rPr>
          <w:rFonts w:ascii="Times New Roman" w:cs="Times New Roman" w:eastAsia="Times New Roman" w:hAnsi="Times New Roman"/>
          <w:sz w:val="18"/>
          <w:szCs w:val="18"/>
          <w:color w:val="auto"/>
        </w:rPr>
        <w:t>The purchase price allocation of Sovos Brands is preliminary and is subject to the finalization of certain items, including valuations and tax balances, which will be completed within the allowable measurement period.</w:t>
      </w:r>
    </w:p>
    <w:p>
      <w:pPr>
        <w:spacing w:after="0" w:line="3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identifiable intangible assets of Sovos Brands consist of:</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Type</w:t>
            </w:r>
          </w:p>
        </w:tc>
        <w:tc>
          <w:tcPr>
            <w:tcW w:w="56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Life in Years</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4"/>
        </w:trPr>
        <w:tc>
          <w:tcPr>
            <w:tcW w:w="588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Non-amortizable</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Indefinite</w:t>
            </w:r>
          </w:p>
        </w:tc>
        <w:tc>
          <w:tcPr>
            <w:tcW w:w="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w:t>
            </w:r>
          </w:p>
        </w:tc>
      </w:tr>
      <w:tr>
        <w:trPr>
          <w:trHeight w:val="225"/>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Trademarks</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Amortizable</w:t>
            </w:r>
          </w:p>
        </w:tc>
        <w:tc>
          <w:tcPr>
            <w:tcW w:w="56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20</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5"/>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Amortizable</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to</w:t>
            </w:r>
          </w:p>
        </w:tc>
        <w:tc>
          <w:tcPr>
            <w:tcW w:w="54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8"/>
        </w:trPr>
        <w:tc>
          <w:tcPr>
            <w:tcW w:w="5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identifiable intangible assets</w:t>
            </w: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1,776</w:t>
            </w:r>
          </w:p>
        </w:tc>
      </w:tr>
      <w:tr>
        <w:trPr>
          <w:trHeight w:val="20"/>
        </w:trPr>
        <w:tc>
          <w:tcPr>
            <w:tcW w:w="58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October 27, 2024, the weighted-average remaining useful life of amortizable intangible assets was 26 years.</w:t>
      </w:r>
    </w:p>
    <w:p>
      <w:pPr>
        <w:spacing w:after="0" w:line="9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incurred $9 million of costs associated with the acquisition in the three-month period ended October 29, 2023.</w:t>
      </w:r>
    </w:p>
    <w:p>
      <w:pPr>
        <w:spacing w:after="0" w:line="85" w:lineRule="exact"/>
        <w:rPr>
          <w:sz w:val="20"/>
          <w:szCs w:val="20"/>
          <w:color w:val="auto"/>
        </w:rPr>
      </w:pPr>
    </w:p>
    <w:p>
      <w:pPr>
        <w:jc w:val="both"/>
        <w:ind w:left="40" w:firstLine="318"/>
        <w:spacing w:after="0" w:line="274" w:lineRule="auto"/>
        <w:rPr>
          <w:sz w:val="20"/>
          <w:szCs w:val="20"/>
          <w:color w:val="auto"/>
        </w:rPr>
      </w:pPr>
      <w:r>
        <w:rPr>
          <w:rFonts w:ascii="Times New Roman" w:cs="Times New Roman" w:eastAsia="Times New Roman" w:hAnsi="Times New Roman"/>
          <w:sz w:val="18"/>
          <w:szCs w:val="18"/>
          <w:color w:val="auto"/>
        </w:rPr>
        <w:t>For the three-month period ended October 27, 2024, the Sovos Brands acquisition contributed $310 million to Net sales and a loss of $3 million to Net earnings, including the effect of integration costs and interest expense on the debt to finance the acquisition.</w:t>
      </w:r>
    </w:p>
    <w:p>
      <w:pPr>
        <w:spacing w:after="0" w:line="44" w:lineRule="exact"/>
        <w:rPr>
          <w:sz w:val="20"/>
          <w:szCs w:val="20"/>
          <w:color w:val="auto"/>
        </w:rPr>
      </w:pPr>
    </w:p>
    <w:p>
      <w:pPr>
        <w:jc w:val="both"/>
        <w:ind w:left="40" w:firstLine="318"/>
        <w:spacing w:after="0" w:line="274" w:lineRule="auto"/>
        <w:rPr>
          <w:sz w:val="20"/>
          <w:szCs w:val="20"/>
          <w:color w:val="auto"/>
        </w:rPr>
      </w:pPr>
      <w:r>
        <w:rPr>
          <w:rFonts w:ascii="Times New Roman" w:cs="Times New Roman" w:eastAsia="Times New Roman" w:hAnsi="Times New Roman"/>
          <w:sz w:val="18"/>
          <w:szCs w:val="18"/>
          <w:color w:val="auto"/>
        </w:rPr>
        <w:t>The following unaudited summary information is presented on a consolidated pro forma basis as if the Sovos Brands acquisition had occurred on August 1, 2022:</w:t>
      </w:r>
    </w:p>
    <w:p>
      <w:pPr>
        <w:spacing w:after="0" w:line="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0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w w:val="98"/>
              </w:rPr>
              <w:t>Three Months</w:t>
            </w:r>
          </w:p>
        </w:tc>
      </w:tr>
      <w:tr>
        <w:trPr>
          <w:trHeight w:val="192"/>
        </w:trPr>
        <w:tc>
          <w:tcPr>
            <w:tcW w:w="10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Ended</w:t>
            </w:r>
          </w:p>
        </w:tc>
      </w:tr>
      <w:tr>
        <w:trPr>
          <w:trHeight w:val="192"/>
        </w:trPr>
        <w:tc>
          <w:tcPr>
            <w:tcW w:w="10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25"/>
        </w:trPr>
        <w:tc>
          <w:tcPr>
            <w:tcW w:w="10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w:t>
            </w:r>
          </w:p>
        </w:tc>
      </w:tr>
      <w:tr>
        <w:trPr>
          <w:trHeight w:val="231"/>
        </w:trPr>
        <w:tc>
          <w:tcPr>
            <w:tcW w:w="10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bl>
    <w:p>
      <w:pPr>
        <w:spacing w:after="0" w:line="148" w:lineRule="exact"/>
        <w:rPr>
          <w:sz w:val="20"/>
          <w:szCs w:val="20"/>
          <w:color w:val="auto"/>
        </w:rPr>
      </w:pPr>
    </w:p>
    <w:p>
      <w:pPr>
        <w:jc w:val="both"/>
        <w:ind w:left="40" w:firstLine="318"/>
        <w:spacing w:after="0" w:line="252" w:lineRule="auto"/>
        <w:rPr>
          <w:sz w:val="20"/>
          <w:szCs w:val="20"/>
          <w:color w:val="auto"/>
        </w:rPr>
      </w:pPr>
      <w:r>
        <w:rPr>
          <w:rFonts w:ascii="Times New Roman" w:cs="Times New Roman" w:eastAsia="Times New Roman" w:hAnsi="Times New Roman"/>
          <w:sz w:val="18"/>
          <w:szCs w:val="18"/>
          <w:color w:val="auto"/>
        </w:rPr>
        <w:t>The pro forma results are not necessarily indicative of the combined results had the Sovos Brands acquisition been completed on August 1, 2022, nor are they indicative of future combined results. The pro forma amounts include adjustments to interest expense for financing the acquisition, to amortization and depreciation expense based on the estimated fair value and useful lives of intangible assets and plant assets, and related tax effects. The pro forma results include adjustments to reflect amortization of the acquisition date fair value adjustment to inventories, expenses related to accelerated vesting of replacement awards and severance and retention bonuses as of August 1, 2022.</w:t>
      </w:r>
    </w:p>
    <w:p>
      <w:pPr>
        <w:spacing w:after="0" w:line="6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4. Divestiture</w:t>
      </w:r>
    </w:p>
    <w:p>
      <w:pPr>
        <w:spacing w:after="0" w:line="87" w:lineRule="exact"/>
        <w:rPr>
          <w:sz w:val="20"/>
          <w:szCs w:val="20"/>
          <w:color w:val="auto"/>
        </w:rPr>
      </w:pPr>
    </w:p>
    <w:p>
      <w:pPr>
        <w:jc w:val="both"/>
        <w:ind w:left="40"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sold our Pop Secret popcorn business for $70 million. We recognized a pre-tax loss on the sale of $25 million, which included allocated goodwill. In connection with the sale, we will provide certain transition services to support the business.</w:t>
      </w:r>
    </w:p>
    <w:p>
      <w:pPr>
        <w:spacing w:after="0" w:line="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business had net sales of $9 million and $29 million for the three-month periods ended October 27, 2024 and October 29, 2023, respectively.</w:t>
      </w:r>
    </w:p>
    <w:p>
      <w:pPr>
        <w:spacing w:after="0" w:line="2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Earnings were not material in the periods. The results of the business were reflected within the Snacks reportable segment.</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80"/>
          </w:cols>
          <w:pgMar w:left="280" w:top="96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5. Accumulated Other Comprehensive Income (Loss)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Accumulated other comprehensive income (loss) consisted of the following:</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Pension and</w:t>
            </w:r>
          </w:p>
        </w:tc>
        <w:tc>
          <w:tcPr>
            <w:tcW w:w="140" w:type="dxa"/>
            <w:vAlign w:val="bottom"/>
          </w:tcPr>
          <w:p>
            <w:pPr>
              <w:spacing w:after="0"/>
              <w:rPr>
                <w:sz w:val="13"/>
                <w:szCs w:val="13"/>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w w:val="99"/>
              </w:rPr>
              <w:t>Total Accumulated</w:t>
            </w:r>
          </w:p>
        </w:tc>
        <w:tc>
          <w:tcPr>
            <w:tcW w:w="0" w:type="dxa"/>
            <w:vAlign w:val="bottom"/>
          </w:tcPr>
          <w:p>
            <w:pPr>
              <w:spacing w:after="0"/>
              <w:rPr>
                <w:sz w:val="1"/>
                <w:szCs w:val="1"/>
                <w:color w:val="auto"/>
              </w:rPr>
            </w:pPr>
          </w:p>
        </w:tc>
      </w:tr>
      <w:tr>
        <w:trPr>
          <w:trHeight w:val="133"/>
        </w:trPr>
        <w:tc>
          <w:tcPr>
            <w:tcW w:w="51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1"/>
                <w:szCs w:val="11"/>
                <w:color w:val="auto"/>
              </w:rPr>
            </w:pPr>
          </w:p>
        </w:tc>
        <w:tc>
          <w:tcPr>
            <w:tcW w:w="1400" w:type="dxa"/>
            <w:vAlign w:val="bottom"/>
            <w:gridSpan w:val="2"/>
          </w:tcPr>
          <w:p>
            <w:pPr>
              <w:jc w:val="center"/>
              <w:ind w:right="260"/>
              <w:spacing w:after="0" w:line="133" w:lineRule="exact"/>
              <w:rPr>
                <w:sz w:val="20"/>
                <w:szCs w:val="20"/>
                <w:color w:val="auto"/>
              </w:rPr>
            </w:pPr>
            <w:r>
              <w:rPr>
                <w:rFonts w:ascii="Times New Roman" w:cs="Times New Roman" w:eastAsia="Times New Roman" w:hAnsi="Times New Roman"/>
                <w:sz w:val="14"/>
                <w:szCs w:val="14"/>
                <w:b w:val="1"/>
                <w:bCs w:val="1"/>
                <w:color w:val="auto"/>
                <w:w w:val="99"/>
              </w:rPr>
              <w:t>Translation</w:t>
            </w:r>
          </w:p>
        </w:tc>
        <w:tc>
          <w:tcPr>
            <w:tcW w:w="15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Cash-Flow Hedges</w:t>
            </w:r>
            <w:r>
              <w:rPr>
                <w:rFonts w:ascii="Times New Roman" w:cs="Times New Roman" w:eastAsia="Times New Roman" w:hAnsi="Times New Roman"/>
                <w:sz w:val="18"/>
                <w:szCs w:val="18"/>
                <w:b w:val="1"/>
                <w:bCs w:val="1"/>
                <w:color w:val="auto"/>
                <w:vertAlign w:val="superscript"/>
              </w:rPr>
              <w:t>(2)</w:t>
            </w:r>
          </w:p>
        </w:tc>
        <w:tc>
          <w:tcPr>
            <w:tcW w:w="1540" w:type="dxa"/>
            <w:vAlign w:val="bottom"/>
            <w:gridSpan w:val="3"/>
          </w:tcPr>
          <w:p>
            <w:pPr>
              <w:jc w:val="center"/>
              <w:ind w:right="100"/>
              <w:spacing w:after="0" w:line="133" w:lineRule="exact"/>
              <w:rPr>
                <w:sz w:val="20"/>
                <w:szCs w:val="20"/>
                <w:color w:val="auto"/>
              </w:rPr>
            </w:pPr>
            <w:r>
              <w:rPr>
                <w:rFonts w:ascii="Times New Roman" w:cs="Times New Roman" w:eastAsia="Times New Roman" w:hAnsi="Times New Roman"/>
                <w:sz w:val="14"/>
                <w:szCs w:val="14"/>
                <w:b w:val="1"/>
                <w:bCs w:val="1"/>
                <w:color w:val="auto"/>
              </w:rPr>
              <w:t>Postretirement Benefit</w:t>
            </w:r>
          </w:p>
        </w:tc>
        <w:tc>
          <w:tcPr>
            <w:tcW w:w="140" w:type="dxa"/>
            <w:vAlign w:val="bottom"/>
          </w:tcPr>
          <w:p>
            <w:pPr>
              <w:spacing w:after="0"/>
              <w:rPr>
                <w:sz w:val="11"/>
                <w:szCs w:val="11"/>
                <w:color w:val="auto"/>
              </w:rPr>
            </w:pPr>
          </w:p>
        </w:tc>
        <w:tc>
          <w:tcPr>
            <w:tcW w:w="1300" w:type="dxa"/>
            <w:vAlign w:val="bottom"/>
          </w:tcPr>
          <w:p>
            <w:pPr>
              <w:jc w:val="center"/>
              <w:ind w:right="36"/>
              <w:spacing w:after="0" w:line="133"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212"/>
        </w:trPr>
        <w:tc>
          <w:tcPr>
            <w:tcW w:w="510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Adjustments</w:t>
            </w:r>
            <w:r>
              <w:rPr>
                <w:rFonts w:ascii="Times New Roman" w:cs="Times New Roman" w:eastAsia="Times New Roman" w:hAnsi="Times New Roman"/>
                <w:sz w:val="18"/>
                <w:szCs w:val="18"/>
                <w:b w:val="1"/>
                <w:bCs w:val="1"/>
                <w:color w:val="auto"/>
                <w:w w:val="95"/>
                <w:vertAlign w:val="superscript"/>
              </w:rPr>
              <w:t>(1)</w:t>
            </w:r>
          </w:p>
        </w:tc>
        <w:tc>
          <w:tcPr>
            <w:tcW w:w="154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Plan Adjustments</w:t>
            </w:r>
            <w:r>
              <w:rPr>
                <w:rFonts w:ascii="Times New Roman" w:cs="Times New Roman" w:eastAsia="Times New Roman" w:hAnsi="Times New Roman"/>
                <w:sz w:val="18"/>
                <w:szCs w:val="18"/>
                <w:b w:val="1"/>
                <w:bCs w:val="1"/>
                <w:color w:val="auto"/>
                <w:w w:val="97"/>
                <w:vertAlign w:val="superscript"/>
              </w:rPr>
              <w:t>(3)</w:t>
            </w:r>
          </w:p>
        </w:tc>
        <w:tc>
          <w:tcPr>
            <w:tcW w:w="140" w:type="dxa"/>
            <w:vAlign w:val="bottom"/>
          </w:tcPr>
          <w:p>
            <w:pPr>
              <w:spacing w:after="0"/>
              <w:rPr>
                <w:sz w:val="18"/>
                <w:szCs w:val="18"/>
                <w:color w:val="auto"/>
              </w:rPr>
            </w:pPr>
          </w:p>
        </w:tc>
        <w:tc>
          <w:tcPr>
            <w:tcW w:w="1300" w:type="dxa"/>
            <w:vAlign w:val="bottom"/>
          </w:tcPr>
          <w:p>
            <w:pPr>
              <w:jc w:val="center"/>
              <w:ind w:right="36"/>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218"/>
        </w:trPr>
        <w:tc>
          <w:tcPr>
            <w:tcW w:w="5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color w:val="auto"/>
              </w:rPr>
              <w:t>Losses (gains) reclassified from accumulated other comprehensive</w:t>
            </w:r>
          </w:p>
        </w:tc>
        <w:tc>
          <w:tcPr>
            <w:tcW w:w="1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October 29, 2023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July 28,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9"/>
        </w:trPr>
        <w:tc>
          <w:tcPr>
            <w:tcW w:w="51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Other comprehensive income (loss) before reclassifications</w:t>
            </w: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172"/>
        </w:trPr>
        <w:tc>
          <w:tcPr>
            <w:tcW w:w="5100" w:type="dxa"/>
            <w:vAlign w:val="bottom"/>
            <w:shd w:val="clear" w:color="auto" w:fill="CCEEFF"/>
          </w:tcPr>
          <w:p>
            <w:pPr>
              <w:ind w:left="220"/>
              <w:spacing w:after="0" w:line="172" w:lineRule="exact"/>
              <w:rPr>
                <w:sz w:val="20"/>
                <w:szCs w:val="20"/>
                <w:color w:val="auto"/>
              </w:rPr>
            </w:pPr>
            <w:r>
              <w:rPr>
                <w:rFonts w:ascii="Times New Roman" w:cs="Times New Roman" w:eastAsia="Times New Roman" w:hAnsi="Times New Roman"/>
                <w:sz w:val="18"/>
                <w:szCs w:val="18"/>
                <w:b w:val="1"/>
                <w:bCs w:val="1"/>
                <w:color w:val="auto"/>
              </w:rPr>
              <w:t>Losses (gains) reclassified from accumulated other</w:t>
            </w:r>
          </w:p>
        </w:tc>
        <w:tc>
          <w:tcPr>
            <w:tcW w:w="16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4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38"/>
        </w:trPr>
        <w:tc>
          <w:tcPr>
            <w:tcW w:w="5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60" w:type="dxa"/>
            <w:vAlign w:val="bottom"/>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7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5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current-period other comprehensive income (loss)</w:t>
            </w:r>
          </w:p>
        </w:tc>
        <w:tc>
          <w:tcPr>
            <w:tcW w:w="1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43"/>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October 27, 2024</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ind w:right="45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w:t>
      </w:r>
    </w:p>
    <w:p>
      <w:pPr>
        <w:spacing w:after="0" w:line="25" w:lineRule="exact"/>
        <w:rPr>
          <w:sz w:val="20"/>
          <w:szCs w:val="20"/>
          <w:color w:val="auto"/>
        </w:rPr>
      </w:pPr>
    </w:p>
    <w:p>
      <w:pPr>
        <w:ind w:left="320" w:hanging="314"/>
        <w:spacing w:after="0"/>
        <w:tabs>
          <w:tab w:leader="none" w:pos="320"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no tax as of October 27, 2024, July 28, 2024, October 29, 2023 and July 30, 2023.</w:t>
      </w:r>
    </w:p>
    <w:p>
      <w:pPr>
        <w:ind w:left="320" w:right="300" w:hanging="314"/>
        <w:spacing w:after="0" w:line="215"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a tax benefit of $2 million as of October 27, 2024 and July 28, 2024, tax expense of $1 million as of October 29, 2023 and a tax benefit of $1 million as of July 30, 2023.</w:t>
      </w:r>
    </w:p>
    <w:p>
      <w:pPr>
        <w:spacing w:after="0" w:line="1" w:lineRule="exact"/>
        <w:rPr>
          <w:rFonts w:ascii="Times New Roman" w:cs="Times New Roman" w:eastAsia="Times New Roman" w:hAnsi="Times New Roman"/>
          <w:sz w:val="23"/>
          <w:szCs w:val="23"/>
          <w:color w:val="auto"/>
          <w:vertAlign w:val="superscript"/>
        </w:rPr>
      </w:pPr>
    </w:p>
    <w:p>
      <w:pPr>
        <w:ind w:left="320" w:right="1640" w:hanging="314"/>
        <w:spacing w:after="0" w:line="277" w:lineRule="auto"/>
        <w:tabs>
          <w:tab w:leader="none" w:pos="308" w:val="left"/>
        </w:tabs>
        <w:numPr>
          <w:ilvl w:val="0"/>
          <w:numId w:val="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Included tax expense of $3 million as of October 27, 2024, and $1 million as of July 28, 2024, October 29, 2023 and July 30, 2023. Amounts related to noncontrolling interests were not material.</w:t>
      </w:r>
    </w:p>
    <w:p>
      <w:pPr>
        <w:spacing w:after="0" w:line="6" w:lineRule="exact"/>
        <w:rPr>
          <w:rFonts w:ascii="Times New Roman" w:cs="Times New Roman" w:eastAsia="Times New Roman" w:hAnsi="Times New Roman"/>
          <w:sz w:val="23"/>
          <w:szCs w:val="23"/>
          <w:color w:val="auto"/>
          <w:vertAlign w:val="superscript"/>
        </w:rPr>
      </w:pPr>
    </w:p>
    <w:p>
      <w:pPr>
        <w:ind w:left="32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amounts reclassified from Accumulated other comprehensive income (loss) consisted of the following:</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00" w:type="dxa"/>
            <w:vAlign w:val="bottom"/>
            <w:gridSpan w:val="3"/>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62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80" w:type="dxa"/>
            <w:vAlign w:val="bottom"/>
            <w:vMerge w:val="restart"/>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Location of Loss (Gain) Recognized in</w:t>
            </w:r>
          </w:p>
        </w:tc>
        <w:tc>
          <w:tcPr>
            <w:tcW w:w="0" w:type="dxa"/>
            <w:vAlign w:val="bottom"/>
          </w:tcPr>
          <w:p>
            <w:pPr>
              <w:spacing w:after="0"/>
              <w:rPr>
                <w:sz w:val="1"/>
                <w:szCs w:val="1"/>
                <w:color w:val="auto"/>
              </w:rPr>
            </w:pPr>
          </w:p>
        </w:tc>
      </w:tr>
      <w:tr>
        <w:trPr>
          <w:trHeight w:val="113"/>
        </w:trPr>
        <w:tc>
          <w:tcPr>
            <w:tcW w:w="62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0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80" w:type="dxa"/>
            <w:vAlign w:val="bottom"/>
          </w:tcPr>
          <w:p>
            <w:pPr>
              <w:spacing w:after="0"/>
              <w:rPr>
                <w:sz w:val="9"/>
                <w:szCs w:val="9"/>
                <w:color w:val="auto"/>
              </w:rPr>
            </w:pPr>
          </w:p>
        </w:tc>
        <w:tc>
          <w:tcPr>
            <w:tcW w:w="24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6200" w:type="dxa"/>
            <w:vAlign w:val="bottom"/>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0" w:type="dxa"/>
            <w:vAlign w:val="bottom"/>
          </w:tcPr>
          <w:p>
            <w:pPr>
              <w:spacing w:after="0"/>
              <w:rPr>
                <w:sz w:val="1"/>
                <w:szCs w:val="1"/>
                <w:color w:val="auto"/>
              </w:rPr>
            </w:pPr>
          </w:p>
        </w:tc>
      </w:tr>
      <w:tr>
        <w:trPr>
          <w:trHeight w:val="212"/>
        </w:trPr>
        <w:tc>
          <w:tcPr>
            <w:tcW w:w="6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Losses (gains) on cash-flow hedges:</w:t>
            </w: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6200" w:type="dxa"/>
            <w:vAlign w:val="bottom"/>
            <w:tcBorders>
              <w:bottom w:val="single" w:sz="8" w:color="CCEEFF"/>
            </w:tcBorders>
          </w:tcPr>
          <w:p>
            <w:pPr>
              <w:jc w:val="right"/>
              <w:ind w:right="3455"/>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36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2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0" w:type="dxa"/>
            <w:vAlign w:val="bottom"/>
          </w:tcPr>
          <w:p>
            <w:pPr>
              <w:spacing w:after="0"/>
              <w:rPr>
                <w:sz w:val="1"/>
                <w:szCs w:val="1"/>
                <w:color w:val="auto"/>
              </w:rPr>
            </w:pPr>
          </w:p>
        </w:tc>
      </w:tr>
      <w:tr>
        <w:trPr>
          <w:trHeight w:val="218"/>
        </w:trPr>
        <w:tc>
          <w:tcPr>
            <w:tcW w:w="62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Total before tax</w:t>
            </w:r>
          </w:p>
        </w:tc>
        <w:tc>
          <w:tcPr>
            <w:tcW w:w="36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2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Tax expense (benefit)</w:t>
            </w:r>
          </w:p>
        </w:tc>
        <w:tc>
          <w:tcPr>
            <w:tcW w:w="36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spacing w:after="0"/>
              <w:rPr>
                <w:sz w:val="19"/>
                <w:szCs w:val="19"/>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200" w:type="dxa"/>
            <w:vAlign w:val="bottom"/>
            <w:tcBorders>
              <w:top w:val="single" w:sz="8" w:color="CCEEFF"/>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Loss (gain), net of tax</w:t>
            </w:r>
          </w:p>
        </w:tc>
        <w:tc>
          <w:tcPr>
            <w:tcW w:w="36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4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right="8700" w:firstLine="6"/>
        <w:spacing w:after="0" w:line="346" w:lineRule="auto"/>
        <w:tabs>
          <w:tab w:leader="none" w:pos="177"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Goodwill and Intangible Assets </w:t>
      </w:r>
      <w:r>
        <w:rPr>
          <w:rFonts w:ascii="Times New Roman" w:cs="Times New Roman" w:eastAsia="Times New Roman" w:hAnsi="Times New Roman"/>
          <w:sz w:val="18"/>
          <w:szCs w:val="18"/>
          <w:b w:val="1"/>
          <w:bCs w:val="1"/>
          <w:i w:val="1"/>
          <w:iCs w:val="1"/>
          <w:color w:val="auto"/>
        </w:rPr>
        <w:t>Goodwill</w:t>
      </w:r>
    </w:p>
    <w:p>
      <w:pPr>
        <w:spacing w:after="0" w:line="1" w:lineRule="exact"/>
        <w:rPr>
          <w:rFonts w:ascii="Times New Roman" w:cs="Times New Roman" w:eastAsia="Times New Roman" w:hAnsi="Times New Roman"/>
          <w:sz w:val="18"/>
          <w:szCs w:val="18"/>
          <w:b w:val="1"/>
          <w:bCs w:val="1"/>
          <w:color w:val="auto"/>
        </w:rPr>
      </w:pPr>
    </w:p>
    <w:p>
      <w:pPr>
        <w:ind w:left="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shows the changes in the carrying amount of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6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300" w:type="dxa"/>
            <w:vAlign w:val="bottom"/>
          </w:tcPr>
          <w:p>
            <w:pPr>
              <w:spacing w:after="0"/>
              <w:rPr>
                <w:sz w:val="16"/>
                <w:szCs w:val="16"/>
                <w:color w:val="auto"/>
              </w:rPr>
            </w:pPr>
          </w:p>
        </w:tc>
        <w:tc>
          <w:tcPr>
            <w:tcW w:w="1000" w:type="dxa"/>
            <w:vAlign w:val="bottom"/>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4"/>
        </w:trPr>
        <w:tc>
          <w:tcPr>
            <w:tcW w:w="70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8"/>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balance at July 28, 2024</w:t>
            </w:r>
          </w:p>
        </w:tc>
        <w:tc>
          <w:tcPr>
            <w:tcW w:w="460" w:type="dxa"/>
            <w:vAlign w:val="bottom"/>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5,077</w:t>
            </w:r>
          </w:p>
        </w:tc>
      </w:tr>
      <w:tr>
        <w:trPr>
          <w:trHeight w:val="225"/>
        </w:trPr>
        <w:tc>
          <w:tcPr>
            <w:tcW w:w="70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b w:val="1"/>
                <w:bCs w:val="1"/>
                <w:color w:val="auto"/>
              </w:rPr>
              <w:t>Divestiture</w:t>
            </w:r>
            <w:r>
              <w:rPr>
                <w:rFonts w:ascii="Times New Roman" w:cs="Times New Roman" w:eastAsia="Times New Roman" w:hAnsi="Times New Roman"/>
                <w:sz w:val="22"/>
                <w:szCs w:val="22"/>
                <w:b w:val="1"/>
                <w:bCs w:val="1"/>
                <w:color w:val="auto"/>
                <w:vertAlign w:val="superscript"/>
              </w:rPr>
              <w:t>(1)</w:t>
            </w:r>
          </w:p>
        </w:tc>
        <w:tc>
          <w:tcPr>
            <w:tcW w:w="46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r>
      <w:tr>
        <w:trPr>
          <w:trHeight w:val="243"/>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balance at October 27, 2024</w:t>
            </w:r>
          </w:p>
        </w:tc>
        <w:tc>
          <w:tcPr>
            <w:tcW w:w="46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2,954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5,056</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65" w:lineRule="exact"/>
        <w:rPr>
          <w:sz w:val="20"/>
          <w:szCs w:val="20"/>
          <w:color w:val="auto"/>
        </w:rPr>
      </w:pPr>
    </w:p>
    <w:p>
      <w:pPr>
        <w:ind w:left="320" w:hanging="314"/>
        <w:spacing w:after="0"/>
        <w:tabs>
          <w:tab w:leader="none" w:pos="320" w:val="left"/>
        </w:tabs>
        <w:numPr>
          <w:ilvl w:val="0"/>
          <w:numId w:val="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On August 26, 2024, we sold our Pop Secret popcorn business. See Note 4 for additional information.</w:t>
      </w: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200" w:lineRule="exact"/>
        <w:rPr>
          <w:rFonts w:ascii="Times New Roman" w:cs="Times New Roman" w:eastAsia="Times New Roman" w:hAnsi="Times New Roman"/>
          <w:sz w:val="23"/>
          <w:szCs w:val="23"/>
          <w:color w:val="auto"/>
          <w:vertAlign w:val="superscript"/>
        </w:rPr>
      </w:pPr>
    </w:p>
    <w:p>
      <w:pPr>
        <w:spacing w:after="0" w:line="334" w:lineRule="exact"/>
        <w:rPr>
          <w:rFonts w:ascii="Times New Roman" w:cs="Times New Roman" w:eastAsia="Times New Roman" w:hAnsi="Times New Roman"/>
          <w:sz w:val="23"/>
          <w:szCs w:val="23"/>
          <w:color w:val="auto"/>
          <w:vertAlign w:val="superscript"/>
        </w:rPr>
      </w:pPr>
    </w:p>
    <w:p>
      <w:pPr>
        <w:ind w:left="5540"/>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balance sheet information for intangible assets, excluding goodwill:</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w w:val="97"/>
              </w:rPr>
              <w:t>July 28, 2024</w:t>
            </w: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40" w:type="dxa"/>
            <w:vAlign w:val="bottom"/>
          </w:tcPr>
          <w:p>
            <w:pPr>
              <w:spacing w:after="0"/>
              <w:rPr>
                <w:sz w:val="11"/>
                <w:szCs w:val="11"/>
                <w:color w:val="auto"/>
              </w:rPr>
            </w:pPr>
          </w:p>
        </w:tc>
        <w:tc>
          <w:tcPr>
            <w:tcW w:w="74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Cost</w:t>
            </w:r>
          </w:p>
        </w:tc>
        <w:tc>
          <w:tcPr>
            <w:tcW w:w="80" w:type="dxa"/>
            <w:vAlign w:val="bottom"/>
          </w:tcPr>
          <w:p>
            <w:pPr>
              <w:spacing w:after="0"/>
              <w:rPr>
                <w:sz w:val="11"/>
                <w:szCs w:val="11"/>
                <w:color w:val="auto"/>
              </w:rPr>
            </w:pPr>
          </w:p>
        </w:tc>
        <w:tc>
          <w:tcPr>
            <w:tcW w:w="1080" w:type="dxa"/>
            <w:vAlign w:val="bottom"/>
            <w:gridSpan w:val="3"/>
          </w:tcPr>
          <w:p>
            <w:pPr>
              <w:jc w:val="center"/>
              <w:ind w:right="8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740" w:type="dxa"/>
            <w:vAlign w:val="bottom"/>
            <w:vMerge w:val="restart"/>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Net</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60" w:type="dxa"/>
            <w:vAlign w:val="bottom"/>
            <w:gridSpan w:val="3"/>
          </w:tcPr>
          <w:p>
            <w:pPr>
              <w:jc w:val="right"/>
              <w:ind w:right="180"/>
              <w:spacing w:after="0" w:line="12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260" w:type="dxa"/>
            <w:vAlign w:val="bottom"/>
          </w:tcPr>
          <w:p>
            <w:pPr>
              <w:spacing w:after="0"/>
              <w:rPr>
                <w:sz w:val="11"/>
                <w:szCs w:val="11"/>
                <w:color w:val="auto"/>
              </w:rPr>
            </w:pPr>
          </w:p>
        </w:tc>
        <w:tc>
          <w:tcPr>
            <w:tcW w:w="74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1"/>
        </w:trPr>
        <w:tc>
          <w:tcPr>
            <w:tcW w:w="35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c>
          <w:tcPr>
            <w:tcW w:w="24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6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Amortizable intangible assets</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1,060</w:t>
            </w:r>
          </w:p>
        </w:tc>
        <w:tc>
          <w:tcPr>
            <w:tcW w:w="420" w:type="dxa"/>
            <w:vAlign w:val="bottom"/>
            <w:gridSpan w:val="2"/>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(319)</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741</w:t>
            </w:r>
          </w:p>
        </w:tc>
        <w:tc>
          <w:tcPr>
            <w:tcW w:w="32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Definite-lived trademarks</w:t>
            </w: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8"/>
        </w:trPr>
        <w:tc>
          <w:tcPr>
            <w:tcW w:w="3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amortizable intangible assets</w:t>
            </w: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1,136</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(321)</w:t>
            </w: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815</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0" w:type="dxa"/>
            <w:vAlign w:val="bottom"/>
          </w:tcPr>
          <w:p>
            <w:pPr>
              <w:spacing w:after="0"/>
              <w:rPr>
                <w:sz w:val="1"/>
                <w:szCs w:val="1"/>
                <w:color w:val="auto"/>
              </w:rPr>
            </w:pPr>
          </w:p>
        </w:tc>
      </w:tr>
      <w:tr>
        <w:trPr>
          <w:trHeight w:val="20"/>
        </w:trPr>
        <w:tc>
          <w:tcPr>
            <w:tcW w:w="35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50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Indefinite-lived trademarks</w:t>
            </w: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35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Rao's</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Snyder's of Hanover</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25"/>
        </w:trPr>
        <w:tc>
          <w:tcPr>
            <w:tcW w:w="35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Lance</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Kettle Brand</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0" w:type="dxa"/>
            <w:vAlign w:val="bottom"/>
          </w:tcPr>
          <w:p>
            <w:pPr>
              <w:spacing w:after="0"/>
              <w:rPr>
                <w:sz w:val="1"/>
                <w:szCs w:val="1"/>
                <w:color w:val="auto"/>
              </w:rPr>
            </w:pPr>
          </w:p>
        </w:tc>
      </w:tr>
      <w:tr>
        <w:trPr>
          <w:trHeight w:val="225"/>
        </w:trPr>
        <w:tc>
          <w:tcPr>
            <w:tcW w:w="35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Pace</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i w:val="1"/>
                <w:iCs w:val="1"/>
                <w:color w:val="auto"/>
              </w:rPr>
              <w:t>Pacific Foods</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25"/>
        </w:trPr>
        <w:tc>
          <w:tcPr>
            <w:tcW w:w="3500" w:type="dxa"/>
            <w:vAlign w:val="bottom"/>
          </w:tcPr>
          <w:p>
            <w:pPr>
              <w:ind w:left="580"/>
              <w:spacing w:after="0"/>
              <w:rPr>
                <w:sz w:val="20"/>
                <w:szCs w:val="20"/>
                <w:color w:val="auto"/>
              </w:rPr>
            </w:pPr>
            <w:r>
              <w:rPr>
                <w:rFonts w:ascii="Times New Roman" w:cs="Times New Roman" w:eastAsia="Times New Roman" w:hAnsi="Times New Roman"/>
                <w:sz w:val="18"/>
                <w:szCs w:val="18"/>
                <w:i w:val="1"/>
                <w:iCs w:val="1"/>
                <w:color w:val="auto"/>
              </w:rPr>
              <w:t>Cape Cod</w:t>
            </w:r>
          </w:p>
        </w:tc>
        <w:tc>
          <w:tcPr>
            <w:tcW w:w="2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5"/>
        </w:trPr>
        <w:tc>
          <w:tcPr>
            <w:tcW w:w="3500" w:type="dxa"/>
            <w:vAlign w:val="bottom"/>
            <w:shd w:val="clear" w:color="auto" w:fill="CCEEFF"/>
          </w:tcPr>
          <w:p>
            <w:pPr>
              <w:ind w:left="580"/>
              <w:spacing w:after="0" w:line="225" w:lineRule="exact"/>
              <w:rPr>
                <w:sz w:val="20"/>
                <w:szCs w:val="20"/>
                <w:color w:val="auto"/>
              </w:rPr>
            </w:pPr>
            <w:r>
              <w:rPr>
                <w:rFonts w:ascii="Times New Roman" w:cs="Times New Roman" w:eastAsia="Times New Roman" w:hAnsi="Times New Roman"/>
                <w:sz w:val="18"/>
                <w:szCs w:val="18"/>
                <w:color w:val="auto"/>
              </w:rPr>
              <w:t>Various other Snacks</w:t>
            </w:r>
            <w:r>
              <w:rPr>
                <w:rFonts w:ascii="Times New Roman" w:cs="Times New Roman" w:eastAsia="Times New Roman" w:hAnsi="Times New Roman"/>
                <w:sz w:val="22"/>
                <w:szCs w:val="22"/>
                <w:color w:val="auto"/>
                <w:vertAlign w:val="superscript"/>
              </w:rPr>
              <w:t>(1)</w:t>
            </w:r>
          </w:p>
        </w:tc>
        <w:tc>
          <w:tcPr>
            <w:tcW w:w="2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0" w:type="dxa"/>
            <w:vAlign w:val="bottom"/>
          </w:tcPr>
          <w:p>
            <w:pPr>
              <w:spacing w:after="0"/>
              <w:rPr>
                <w:sz w:val="1"/>
                <w:szCs w:val="1"/>
                <w:color w:val="auto"/>
              </w:rPr>
            </w:pPr>
          </w:p>
        </w:tc>
      </w:tr>
      <w:tr>
        <w:trPr>
          <w:trHeight w:val="218"/>
        </w:trPr>
        <w:tc>
          <w:tcPr>
            <w:tcW w:w="3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indefinite-lived trademarks</w:t>
            </w:r>
          </w:p>
        </w:tc>
        <w:tc>
          <w:tcPr>
            <w:tcW w:w="240" w:type="dxa"/>
            <w:vAlign w:val="bottom"/>
            <w:tcBorders>
              <w:bottom w:val="single" w:sz="8" w:color="CCEEFF"/>
            </w:tcBorders>
          </w:tcPr>
          <w:p>
            <w:pPr>
              <w:spacing w:after="0"/>
              <w:rPr>
                <w:sz w:val="19"/>
                <w:szCs w:val="19"/>
                <w:color w:val="auto"/>
              </w:rPr>
            </w:pPr>
          </w:p>
        </w:tc>
        <w:tc>
          <w:tcPr>
            <w:tcW w:w="7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3,882</w:t>
            </w:r>
          </w:p>
        </w:tc>
        <w:tc>
          <w:tcPr>
            <w:tcW w:w="0" w:type="dxa"/>
            <w:vAlign w:val="bottom"/>
          </w:tcPr>
          <w:p>
            <w:pPr>
              <w:spacing w:after="0"/>
              <w:rPr>
                <w:sz w:val="1"/>
                <w:szCs w:val="1"/>
                <w:color w:val="auto"/>
              </w:rPr>
            </w:pPr>
          </w:p>
        </w:tc>
      </w:tr>
      <w:tr>
        <w:trPr>
          <w:trHeight w:val="243"/>
        </w:trPr>
        <w:tc>
          <w:tcPr>
            <w:tcW w:w="3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intangible assets</w:t>
            </w: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4,716</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w:t>
      </w:r>
    </w:p>
    <w:p>
      <w:pPr>
        <w:spacing w:after="0" w:line="96" w:lineRule="exact"/>
        <w:rPr>
          <w:sz w:val="20"/>
          <w:szCs w:val="20"/>
          <w:color w:val="auto"/>
        </w:rPr>
      </w:pPr>
    </w:p>
    <w:p>
      <w:pPr>
        <w:ind w:left="320" w:hanging="314"/>
        <w:spacing w:after="0" w:line="226" w:lineRule="auto"/>
        <w:tabs>
          <w:tab w:leader="none" w:pos="308" w:val="left"/>
        </w:tabs>
        <w:numPr>
          <w:ilvl w:val="0"/>
          <w:numId w:val="10"/>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 xml:space="preserve">The carrying amount at July 28, 2024 included the $28 million </w:t>
      </w:r>
      <w:r>
        <w:rPr>
          <w:rFonts w:ascii="Times New Roman" w:cs="Times New Roman" w:eastAsia="Times New Roman" w:hAnsi="Times New Roman"/>
          <w:sz w:val="18"/>
          <w:szCs w:val="18"/>
          <w:i w:val="1"/>
          <w:iCs w:val="1"/>
          <w:color w:val="auto"/>
        </w:rPr>
        <w:t>Pop Secret</w:t>
      </w:r>
      <w:r>
        <w:rPr>
          <w:rFonts w:ascii="Times New Roman" w:cs="Times New Roman" w:eastAsia="Times New Roman" w:hAnsi="Times New Roman"/>
          <w:sz w:val="18"/>
          <w:szCs w:val="18"/>
          <w:color w:val="auto"/>
        </w:rPr>
        <w:t xml:space="preserve"> trademark, which was divested with the sale of the business in 2025. See Note 4 for additional information.</w:t>
      </w:r>
    </w:p>
    <w:p>
      <w:pPr>
        <w:spacing w:after="0" w:line="7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Amortization expense was $20 million for the three-month period ended October 27, 2024, and $17 million for the three-month period ended October 29, 2023. Amortization expense for both the three-month periods ended October 27, 2024 and October 29, 2023 included $7 million of accelerated amortization expense on customer relationships, which began in the fourth quarter of 2023 due to the loss of certain contract manufacturing customers. As of October 27, 2024, amortizable intangible assets had a weighted-average remaining useful life of 19 years. Amortization expense is estimated to be approximately $70 million in 2025 and $40 million per year for the following four years.</w:t>
      </w:r>
    </w:p>
    <w:p>
      <w:pPr>
        <w:spacing w:after="0" w:line="51"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The $1.47 billion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associated with the Sovos Brands acquisition approximates fair value. Excluding the carrying value of the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trademark and the </w:t>
      </w:r>
      <w:r>
        <w:rPr>
          <w:rFonts w:ascii="Times New Roman" w:cs="Times New Roman" w:eastAsia="Times New Roman" w:hAnsi="Times New Roman"/>
          <w:sz w:val="18"/>
          <w:szCs w:val="18"/>
          <w:i w:val="1"/>
          <w:iCs w:val="1"/>
          <w:color w:val="auto"/>
        </w:rPr>
        <w:t>Pop Secret</w:t>
      </w:r>
      <w:r>
        <w:rPr>
          <w:rFonts w:ascii="Times New Roman" w:cs="Times New Roman" w:eastAsia="Times New Roman" w:hAnsi="Times New Roman"/>
          <w:sz w:val="18"/>
          <w:szCs w:val="18"/>
          <w:color w:val="auto"/>
        </w:rPr>
        <w:t xml:space="preserve"> trademark, as of the 2024 annual impairment testing, indefinite-lived trademarks with approximately 10% or less of excess coverage of fair value over carrying value had an aggregate carrying value of $1.293 billion and included the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Foods </w:t>
      </w:r>
      <w:r>
        <w:rPr>
          <w:rFonts w:ascii="Times New Roman" w:cs="Times New Roman" w:eastAsia="Times New Roman" w:hAnsi="Times New Roman"/>
          <w:sz w:val="18"/>
          <w:szCs w:val="18"/>
          <w:color w:val="auto"/>
        </w:rPr>
        <w:t>and certain other Snacks trademarks.</w:t>
      </w:r>
    </w:p>
    <w:p>
      <w:pPr>
        <w:spacing w:after="0" w:line="6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The estimates of future cash flows used in determining the fair value of goodwill and intangible assets involve significant management judgment and are based upon assumptions about expected future operating performance, assumed royalty rates,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Segment Information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reportable segments are as follows:</w:t>
      </w:r>
    </w:p>
    <w:p>
      <w:pPr>
        <w:spacing w:after="0" w:line="98" w:lineRule="exact"/>
        <w:rPr>
          <w:sz w:val="20"/>
          <w:szCs w:val="20"/>
          <w:color w:val="auto"/>
        </w:rPr>
      </w:pPr>
    </w:p>
    <w:p>
      <w:pPr>
        <w:jc w:val="both"/>
        <w:ind w:left="640" w:hanging="316"/>
        <w:spacing w:after="0" w:line="271" w:lineRule="auto"/>
        <w:tabs>
          <w:tab w:leader="none" w:pos="609"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Meals &amp; Beverages, which consists of our soup, simple meals and beverage products in retail and foodservice in the U.S. and Canada. The segment includes the following products: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condensed and ready-to-serve soups;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broth and stocks; </w:t>
      </w:r>
      <w:r>
        <w:rPr>
          <w:rFonts w:ascii="Times New Roman" w:cs="Times New Roman" w:eastAsia="Times New Roman" w:hAnsi="Times New Roman"/>
          <w:sz w:val="17"/>
          <w:szCs w:val="17"/>
          <w:i w:val="1"/>
          <w:iCs w:val="1"/>
          <w:color w:val="auto"/>
        </w:rPr>
        <w:t>Pacific Foods</w:t>
      </w:r>
      <w:r>
        <w:rPr>
          <w:rFonts w:ascii="Times New Roman" w:cs="Times New Roman" w:eastAsia="Times New Roman" w:hAnsi="Times New Roman"/>
          <w:sz w:val="17"/>
          <w:szCs w:val="17"/>
          <w:color w:val="auto"/>
        </w:rPr>
        <w:t xml:space="preserve"> broth, soups and non-dairy beverages; </w:t>
      </w:r>
      <w:r>
        <w:rPr>
          <w:rFonts w:ascii="Times New Roman" w:cs="Times New Roman" w:eastAsia="Times New Roman" w:hAnsi="Times New Roman"/>
          <w:sz w:val="17"/>
          <w:szCs w:val="17"/>
          <w:i w:val="1"/>
          <w:iCs w:val="1"/>
          <w:color w:val="auto"/>
        </w:rPr>
        <w:t>Prego</w:t>
      </w:r>
      <w:r>
        <w:rPr>
          <w:rFonts w:ascii="Times New Roman" w:cs="Times New Roman" w:eastAsia="Times New Roman" w:hAnsi="Times New Roman"/>
          <w:sz w:val="17"/>
          <w:szCs w:val="17"/>
          <w:color w:val="auto"/>
        </w:rPr>
        <w:t xml:space="preserve"> pasta sauces; </w:t>
      </w:r>
      <w:r>
        <w:rPr>
          <w:rFonts w:ascii="Times New Roman" w:cs="Times New Roman" w:eastAsia="Times New Roman" w:hAnsi="Times New Roman"/>
          <w:sz w:val="17"/>
          <w:szCs w:val="17"/>
          <w:i w:val="1"/>
          <w:iCs w:val="1"/>
          <w:color w:val="auto"/>
        </w:rPr>
        <w:t>Pace</w:t>
      </w:r>
      <w:r>
        <w:rPr>
          <w:rFonts w:ascii="Times New Roman" w:cs="Times New Roman" w:eastAsia="Times New Roman" w:hAnsi="Times New Roman"/>
          <w:sz w:val="17"/>
          <w:szCs w:val="17"/>
          <w:color w:val="auto"/>
        </w:rPr>
        <w:t xml:space="preserve"> Mexican sauces;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gravies, pasta, beans and dinner sauces; </w:t>
      </w:r>
      <w:r>
        <w:rPr>
          <w:rFonts w:ascii="Times New Roman" w:cs="Times New Roman" w:eastAsia="Times New Roman" w:hAnsi="Times New Roman"/>
          <w:sz w:val="17"/>
          <w:szCs w:val="17"/>
          <w:i w:val="1"/>
          <w:iCs w:val="1"/>
          <w:color w:val="auto"/>
        </w:rPr>
        <w:t>Swanson</w:t>
      </w:r>
      <w:r>
        <w:rPr>
          <w:rFonts w:ascii="Times New Roman" w:cs="Times New Roman" w:eastAsia="Times New Roman" w:hAnsi="Times New Roman"/>
          <w:sz w:val="17"/>
          <w:szCs w:val="17"/>
          <w:color w:val="auto"/>
        </w:rPr>
        <w:t xml:space="preserve"> canned poultry; </w:t>
      </w:r>
      <w:r>
        <w:rPr>
          <w:rFonts w:ascii="Times New Roman" w:cs="Times New Roman" w:eastAsia="Times New Roman" w:hAnsi="Times New Roman"/>
          <w:sz w:val="17"/>
          <w:szCs w:val="17"/>
          <w:i w:val="1"/>
          <w:iCs w:val="1"/>
          <w:color w:val="auto"/>
        </w:rPr>
        <w:t>V8</w:t>
      </w:r>
      <w:r>
        <w:rPr>
          <w:rFonts w:ascii="Times New Roman" w:cs="Times New Roman" w:eastAsia="Times New Roman" w:hAnsi="Times New Roman"/>
          <w:sz w:val="17"/>
          <w:szCs w:val="17"/>
          <w:color w:val="auto"/>
        </w:rPr>
        <w:t xml:space="preserve"> juices and beverages; </w:t>
      </w:r>
      <w:r>
        <w:rPr>
          <w:rFonts w:ascii="Times New Roman" w:cs="Times New Roman" w:eastAsia="Times New Roman" w:hAnsi="Times New Roman"/>
          <w:sz w:val="17"/>
          <w:szCs w:val="17"/>
          <w:i w:val="1"/>
          <w:iCs w:val="1"/>
          <w:color w:val="auto"/>
        </w:rPr>
        <w:t>Campbell's</w:t>
      </w:r>
      <w:r>
        <w:rPr>
          <w:rFonts w:ascii="Times New Roman" w:cs="Times New Roman" w:eastAsia="Times New Roman" w:hAnsi="Times New Roman"/>
          <w:sz w:val="17"/>
          <w:szCs w:val="17"/>
          <w:color w:val="auto"/>
        </w:rPr>
        <w:t xml:space="preserve"> tomato juice; and as of March 12, 2024, </w:t>
      </w:r>
      <w:r>
        <w:rPr>
          <w:rFonts w:ascii="Times New Roman" w:cs="Times New Roman" w:eastAsia="Times New Roman" w:hAnsi="Times New Roman"/>
          <w:sz w:val="17"/>
          <w:szCs w:val="17"/>
          <w:i w:val="1"/>
          <w:iCs w:val="1"/>
          <w:color w:val="auto"/>
        </w:rPr>
        <w:t>Rao's</w:t>
      </w:r>
      <w:r>
        <w:rPr>
          <w:rFonts w:ascii="Times New Roman" w:cs="Times New Roman" w:eastAsia="Times New Roman" w:hAnsi="Times New Roman"/>
          <w:sz w:val="17"/>
          <w:szCs w:val="17"/>
          <w:color w:val="auto"/>
        </w:rPr>
        <w:t xml:space="preserve"> pasta sauces, dry pasta, frozen entrées, frozen pizza and soups, </w:t>
      </w:r>
      <w:r>
        <w:rPr>
          <w:rFonts w:ascii="Times New Roman" w:cs="Times New Roman" w:eastAsia="Times New Roman" w:hAnsi="Times New Roman"/>
          <w:sz w:val="17"/>
          <w:szCs w:val="17"/>
          <w:i w:val="1"/>
          <w:iCs w:val="1"/>
          <w:color w:val="auto"/>
        </w:rPr>
        <w:t>Michael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Angelo’s </w:t>
      </w:r>
      <w:r>
        <w:rPr>
          <w:rFonts w:ascii="Times New Roman" w:cs="Times New Roman" w:eastAsia="Times New Roman" w:hAnsi="Times New Roman"/>
          <w:sz w:val="17"/>
          <w:szCs w:val="17"/>
          <w:color w:val="auto"/>
        </w:rPr>
        <w:t>frozen entrées and pasta sauces; and</w:t>
      </w:r>
      <w:r>
        <w:rPr>
          <w:rFonts w:ascii="Times New Roman" w:cs="Times New Roman" w:eastAsia="Times New Roman" w:hAnsi="Times New Roman"/>
          <w:sz w:val="17"/>
          <w:szCs w:val="17"/>
          <w:i w:val="1"/>
          <w:iCs w:val="1"/>
          <w:color w:val="auto"/>
        </w:rPr>
        <w:t xml:space="preserve"> noosa </w:t>
      </w:r>
      <w:r>
        <w:rPr>
          <w:rFonts w:ascii="Times New Roman" w:cs="Times New Roman" w:eastAsia="Times New Roman" w:hAnsi="Times New Roman"/>
          <w:sz w:val="17"/>
          <w:szCs w:val="17"/>
          <w:color w:val="auto"/>
        </w:rPr>
        <w:t>yogurts. The segment also includes snacking products in foodservice and Canada; and</w:t>
      </w:r>
    </w:p>
    <w:p>
      <w:pPr>
        <w:spacing w:after="0" w:line="33" w:lineRule="exact"/>
        <w:rPr>
          <w:rFonts w:ascii="Times New Roman" w:cs="Times New Roman" w:eastAsia="Times New Roman" w:hAnsi="Times New Roman"/>
          <w:sz w:val="17"/>
          <w:szCs w:val="17"/>
          <w:color w:val="auto"/>
        </w:rPr>
      </w:pPr>
    </w:p>
    <w:p>
      <w:pPr>
        <w:ind w:left="640" w:hanging="316"/>
        <w:spacing w:after="0" w:line="276" w:lineRule="auto"/>
        <w:tabs>
          <w:tab w:leader="none" w:pos="6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Snacks, which consists of Pepperidge Farm cookies, crackers and fresh bakery and frozen products, including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2" w:name="page13"/>
    <w:bookmarkEnd w:id="12"/>
    <w:p>
      <w:pPr>
        <w:jc w:val="both"/>
        <w:ind w:left="6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Late July </w:t>
      </w:r>
      <w:r>
        <w:rPr>
          <w:rFonts w:ascii="Times New Roman" w:cs="Times New Roman" w:eastAsia="Times New Roman" w:hAnsi="Times New Roman"/>
          <w:sz w:val="18"/>
          <w:szCs w:val="18"/>
          <w:color w:val="auto"/>
        </w:rPr>
        <w:t>snacks; and</w:t>
      </w:r>
      <w:r>
        <w:rPr>
          <w:rFonts w:ascii="Times New Roman" w:cs="Times New Roman" w:eastAsia="Times New Roman" w:hAnsi="Times New Roman"/>
          <w:sz w:val="18"/>
          <w:szCs w:val="18"/>
          <w:i w:val="1"/>
          <w:iCs w:val="1"/>
          <w:color w:val="auto"/>
        </w:rPr>
        <w:t xml:space="preserve"> Snack Factory </w:t>
      </w:r>
      <w:r>
        <w:rPr>
          <w:rFonts w:ascii="Times New Roman" w:cs="Times New Roman" w:eastAsia="Times New Roman" w:hAnsi="Times New Roman"/>
          <w:sz w:val="18"/>
          <w:szCs w:val="18"/>
          <w:color w:val="auto"/>
        </w:rPr>
        <w:t>pretzel crisps, and other snacking products in retail in the U.S. The segment also includes the snacking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meals and beverages retail business in Latin America. The segment included the results of the Pop Secret popcorn business, which was sold on August 26, 2024.</w:t>
      </w:r>
    </w:p>
    <w:p>
      <w:pPr>
        <w:spacing w:after="0" w:line="40" w:lineRule="exact"/>
        <w:rPr>
          <w:sz w:val="20"/>
          <w:szCs w:val="20"/>
          <w:color w:val="auto"/>
        </w:rPr>
      </w:pPr>
    </w:p>
    <w:p>
      <w:pPr>
        <w:jc w:val="both"/>
        <w:ind w:firstLine="318"/>
        <w:spacing w:after="0" w:line="256" w:lineRule="auto"/>
        <w:rPr>
          <w:sz w:val="20"/>
          <w:szCs w:val="20"/>
          <w:color w:val="auto"/>
        </w:rPr>
      </w:pPr>
      <w:r>
        <w:rPr>
          <w:rFonts w:ascii="Times New Roman" w:cs="Times New Roman" w:eastAsia="Times New Roman" w:hAnsi="Times New Roman"/>
          <w:sz w:val="18"/>
          <w:szCs w:val="18"/>
          <w:color w:val="auto"/>
        </w:rPr>
        <w:t xml:space="preserve">We refer to the following products as our "leadership brands":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condensed and ready-to-serve soups; </w:t>
      </w:r>
      <w:r>
        <w:rPr>
          <w:rFonts w:ascii="Times New Roman" w:cs="Times New Roman" w:eastAsia="Times New Roman" w:hAnsi="Times New Roman"/>
          <w:sz w:val="18"/>
          <w:szCs w:val="18"/>
          <w:i w:val="1"/>
          <w:iCs w:val="1"/>
          <w:color w:val="auto"/>
        </w:rPr>
        <w:t>Chunky</w:t>
      </w:r>
      <w:r>
        <w:rPr>
          <w:rFonts w:ascii="Times New Roman" w:cs="Times New Roman" w:eastAsia="Times New Roman" w:hAnsi="Times New Roman"/>
          <w:sz w:val="18"/>
          <w:szCs w:val="18"/>
          <w:color w:val="auto"/>
        </w:rPr>
        <w:t xml:space="preserve"> soups; </w:t>
      </w:r>
      <w:r>
        <w:rPr>
          <w:rFonts w:ascii="Times New Roman" w:cs="Times New Roman" w:eastAsia="Times New Roman" w:hAnsi="Times New Roman"/>
          <w:sz w:val="18"/>
          <w:szCs w:val="18"/>
          <w:i w:val="1"/>
          <w:iCs w:val="1"/>
          <w:color w:val="auto"/>
        </w:rPr>
        <w:t>Swanson</w:t>
      </w:r>
      <w:r>
        <w:rPr>
          <w:rFonts w:ascii="Times New Roman" w:cs="Times New Roman" w:eastAsia="Times New Roman" w:hAnsi="Times New Roman"/>
          <w:sz w:val="18"/>
          <w:szCs w:val="18"/>
          <w:color w:val="auto"/>
        </w:rPr>
        <w:t xml:space="preserve"> broth, stocks and canned poultry;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broth, soups and non-dairy beverages;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w:t>
      </w:r>
      <w:r>
        <w:rPr>
          <w:rFonts w:ascii="Times New Roman" w:cs="Times New Roman" w:eastAsia="Times New Roman" w:hAnsi="Times New Roman"/>
          <w:sz w:val="18"/>
          <w:szCs w:val="18"/>
          <w:i w:val="1"/>
          <w:iCs w:val="1"/>
          <w:color w:val="auto"/>
        </w:rPr>
        <w:t>Pace</w:t>
      </w:r>
      <w:r>
        <w:rPr>
          <w:rFonts w:ascii="Times New Roman" w:cs="Times New Roman" w:eastAsia="Times New Roman" w:hAnsi="Times New Roman"/>
          <w:sz w:val="18"/>
          <w:szCs w:val="18"/>
          <w:color w:val="auto"/>
        </w:rPr>
        <w:t xml:space="preserve"> Mexican sauces;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Rao's</w:t>
      </w:r>
      <w:r>
        <w:rPr>
          <w:rFonts w:ascii="Times New Roman" w:cs="Times New Roman" w:eastAsia="Times New Roman" w:hAnsi="Times New Roman"/>
          <w:sz w:val="18"/>
          <w:szCs w:val="18"/>
          <w:color w:val="auto"/>
        </w:rPr>
        <w:t xml:space="preserve"> pasta sauces, dry pasta, frozen entrées, frozen pizza and soups; Pepperidge Farm cookies, crackers and fresh bakery;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w:t>
      </w:r>
      <w:r>
        <w:rPr>
          <w:rFonts w:ascii="Times New Roman" w:cs="Times New Roman" w:eastAsia="Times New Roman" w:hAnsi="Times New Roman"/>
          <w:sz w:val="18"/>
          <w:szCs w:val="18"/>
          <w:i w:val="1"/>
          <w:iCs w:val="1"/>
          <w:color w:val="auto"/>
        </w:rPr>
        <w:t>Snyder's of Hanover</w:t>
      </w:r>
      <w:r>
        <w:rPr>
          <w:rFonts w:ascii="Times New Roman" w:cs="Times New Roman" w:eastAsia="Times New Roman" w:hAnsi="Times New Roman"/>
          <w:sz w:val="18"/>
          <w:szCs w:val="18"/>
          <w:color w:val="auto"/>
        </w:rPr>
        <w:t xml:space="preserve"> pretzels; </w:t>
      </w:r>
      <w:r>
        <w:rPr>
          <w:rFonts w:ascii="Times New Roman" w:cs="Times New Roman" w:eastAsia="Times New Roman" w:hAnsi="Times New Roman"/>
          <w:sz w:val="18"/>
          <w:szCs w:val="18"/>
          <w:i w:val="1"/>
          <w:iCs w:val="1"/>
          <w:color w:val="auto"/>
        </w:rPr>
        <w:t>Lance</w:t>
      </w:r>
      <w:r>
        <w:rPr>
          <w:rFonts w:ascii="Times New Roman" w:cs="Times New Roman" w:eastAsia="Times New Roman" w:hAnsi="Times New Roman"/>
          <w:sz w:val="18"/>
          <w:szCs w:val="18"/>
          <w:color w:val="auto"/>
        </w:rPr>
        <w:t xml:space="preserve"> sandwich crackers; </w:t>
      </w:r>
      <w:r>
        <w:rPr>
          <w:rFonts w:ascii="Times New Roman" w:cs="Times New Roman" w:eastAsia="Times New Roman" w:hAnsi="Times New Roman"/>
          <w:sz w:val="18"/>
          <w:szCs w:val="18"/>
          <w:i w:val="1"/>
          <w:iCs w:val="1"/>
          <w:color w:val="auto"/>
        </w:rPr>
        <w:t>Cape Cod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Kettle Brand</w:t>
      </w:r>
      <w:r>
        <w:rPr>
          <w:rFonts w:ascii="Times New Roman" w:cs="Times New Roman" w:eastAsia="Times New Roman" w:hAnsi="Times New Roman"/>
          <w:sz w:val="18"/>
          <w:szCs w:val="18"/>
          <w:color w:val="auto"/>
        </w:rPr>
        <w:t xml:space="preserve"> potato chips;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and </w:t>
      </w:r>
      <w:r>
        <w:rPr>
          <w:rFonts w:ascii="Times New Roman" w:cs="Times New Roman" w:eastAsia="Times New Roman" w:hAnsi="Times New Roman"/>
          <w:sz w:val="18"/>
          <w:szCs w:val="18"/>
          <w:i w:val="1"/>
          <w:iCs w:val="1"/>
          <w:color w:val="auto"/>
        </w:rPr>
        <w:t>Snack Factory</w:t>
      </w:r>
      <w:r>
        <w:rPr>
          <w:rFonts w:ascii="Times New Roman" w:cs="Times New Roman" w:eastAsia="Times New Roman" w:hAnsi="Times New Roman"/>
          <w:sz w:val="18"/>
          <w:szCs w:val="18"/>
          <w:color w:val="auto"/>
        </w:rPr>
        <w:t xml:space="preserve"> pretzel crisps.</w:t>
      </w:r>
    </w:p>
    <w:p>
      <w:pPr>
        <w:spacing w:after="0" w:line="6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evaluate segment performance before interest, taxes and costs associated with restructuring activities, cost savings and optimization initiatives, impairment charges and corporate expenses. Unrealized gains and losses on outstanding undesignated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8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6"/>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5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0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85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8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8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5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00" w:type="dxa"/>
            <w:vAlign w:val="bottom"/>
            <w:gridSpan w:val="2"/>
          </w:tcPr>
          <w:p>
            <w:pPr>
              <w:ind w:left="140"/>
              <w:spacing w:after="0" w:line="225" w:lineRule="exact"/>
              <w:rPr>
                <w:sz w:val="20"/>
                <w:szCs w:val="20"/>
                <w:color w:val="auto"/>
              </w:rPr>
            </w:pPr>
            <w:r>
              <w:rPr>
                <w:rFonts w:ascii="Times New Roman" w:cs="Times New Roman" w:eastAsia="Times New Roman" w:hAnsi="Times New Roman"/>
                <w:sz w:val="18"/>
                <w:szCs w:val="18"/>
                <w:color w:val="auto"/>
              </w:rPr>
              <w:t>Corporate income (expense)</w:t>
            </w:r>
            <w:r>
              <w:rPr>
                <w:rFonts w:ascii="Times New Roman" w:cs="Times New Roman" w:eastAsia="Times New Roman" w:hAnsi="Times New Roman"/>
                <w:sz w:val="22"/>
                <w:szCs w:val="22"/>
                <w:color w:val="auto"/>
                <w:vertAlign w:val="superscript"/>
              </w:rPr>
              <w:t>(1)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8500" w:type="dxa"/>
            <w:vAlign w:val="bottom"/>
            <w:gridSpan w:val="2"/>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(2)</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jc w:val="both"/>
        <w:ind w:left="320" w:hanging="314"/>
        <w:spacing w:after="0" w:line="256" w:lineRule="auto"/>
        <w:tabs>
          <w:tab w:leader="none" w:pos="308" w:val="left"/>
        </w:tabs>
        <w:numPr>
          <w:ilvl w:val="0"/>
          <w:numId w:val="12"/>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unallocated items. Costs related to cost savings and optimization initiatives were $29 million in the three-month period ended October 27, 2024, and $11 million in the three-month period ended October 29, 2023. Unrealized mark-to-market adjustments on outstanding undesignated commodity hedges were gains of $4 million in the three-month period ended October 27, 2024, and losses of $15 million in the three-month period ended October 29, 2023. Accelerated amortization expense related to customer relationship intangible assets was $7 million in the three-month periods ended October 27, 2024 and October 29, 2023. Insurance recoveries of $1 million and costs of $3 million related to a cybersecurity incident were included in the three-month periods ended October 27, 2024 and October 29, 2023, respectively. Litigation expenses related to the Plum baby food and snacks business, which was divested on May 3, 2021, and certain other litigation matters were $1 million and $2 million and were included in the three-month periods ended October 27, 2024 and October 29, 2023, respectively. A loss on the sale of our Pop Secret popcorn business of $25 million was included in the three-month period ended October 27, 2024. A postretirement actuarial loss of $2 million was included in the three-month period ended October 27, 2024. Costs of $9 million associated with the acquisition of Sovos Brands were included in the three-month period ended October 29, 2023.</w:t>
      </w:r>
    </w:p>
    <w:p>
      <w:pPr>
        <w:spacing w:after="0" w:line="33" w:lineRule="exact"/>
        <w:rPr>
          <w:rFonts w:ascii="Times New Roman" w:cs="Times New Roman" w:eastAsia="Times New Roman" w:hAnsi="Times New Roman"/>
          <w:sz w:val="22"/>
          <w:szCs w:val="22"/>
          <w:color w:val="auto"/>
          <w:vertAlign w:val="superscript"/>
        </w:rPr>
      </w:pPr>
    </w:p>
    <w:p>
      <w:pPr>
        <w:ind w:left="320" w:hanging="314"/>
        <w:spacing w:after="0"/>
        <w:tabs>
          <w:tab w:leader="none" w:pos="320" w:val="left"/>
        </w:tabs>
        <w:numPr>
          <w:ilvl w:val="0"/>
          <w:numId w:val="1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13" w:name="page14"/>
    <w:bookmarkEnd w:id="13"/>
    <w:p>
      <w:pPr>
        <w:ind w:left="320"/>
        <w:spacing w:after="0"/>
        <w:rPr>
          <w:sz w:val="20"/>
          <w:szCs w:val="20"/>
          <w:color w:val="auto"/>
        </w:rPr>
      </w:pPr>
      <w:r>
        <w:rPr>
          <w:rFonts w:ascii="Times New Roman" w:cs="Times New Roman" w:eastAsia="Times New Roman" w:hAnsi="Times New Roman"/>
          <w:sz w:val="18"/>
          <w:szCs w:val="18"/>
          <w:color w:val="auto"/>
        </w:rPr>
        <w:t>Our net sales based on product categories are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12"/>
        </w:trPr>
        <w:tc>
          <w:tcPr>
            <w:tcW w:w="8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Soup</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852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1,128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25"/>
        </w:trPr>
        <w:tc>
          <w:tcPr>
            <w:tcW w:w="8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simple meals</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0" w:type="dxa"/>
            <w:vAlign w:val="bottom"/>
          </w:tcPr>
          <w:p>
            <w:pPr>
              <w:spacing w:after="0"/>
              <w:rPr>
                <w:sz w:val="1"/>
                <w:szCs w:val="1"/>
                <w:color w:val="auto"/>
              </w:rPr>
            </w:pPr>
          </w:p>
        </w:tc>
      </w:tr>
      <w:tr>
        <w:trPr>
          <w:trHeight w:val="225"/>
        </w:trPr>
        <w:tc>
          <w:tcPr>
            <w:tcW w:w="8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Beverages</w:t>
            </w: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0" w:type="dxa"/>
            <w:vAlign w:val="bottom"/>
          </w:tcPr>
          <w:p>
            <w:pPr>
              <w:spacing w:after="0"/>
              <w:rPr>
                <w:sz w:val="1"/>
                <w:szCs w:val="1"/>
                <w:color w:val="auto"/>
              </w:rPr>
            </w:pPr>
          </w:p>
        </w:tc>
      </w:tr>
      <w:tr>
        <w:trPr>
          <w:trHeight w:val="218"/>
        </w:trPr>
        <w:tc>
          <w:tcPr>
            <w:tcW w:w="8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2,772</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0" w:type="dxa"/>
            <w:vAlign w:val="bottom"/>
          </w:tcPr>
          <w:p>
            <w:pPr>
              <w:spacing w:after="0"/>
              <w:rPr>
                <w:sz w:val="1"/>
                <w:szCs w:val="1"/>
                <w:color w:val="auto"/>
              </w:rPr>
            </w:pPr>
          </w:p>
        </w:tc>
      </w:tr>
      <w:tr>
        <w:trPr>
          <w:trHeight w:val="20"/>
        </w:trPr>
        <w:tc>
          <w:tcPr>
            <w:tcW w:w="8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Soup includes various soup, broths and stock products. Snacks include cookies, pretzels, crackers, popcorn, potato chips, tortilla chips and other salty snacks and baked products. Other simple meals include sauces, yogurts, pasta, frozen entrées, canned poultry, frozen pizza, gravies and beans. Beverages include </w:t>
      </w:r>
      <w:r>
        <w:rPr>
          <w:rFonts w:ascii="Times New Roman" w:cs="Times New Roman" w:eastAsia="Times New Roman" w:hAnsi="Times New Roman"/>
          <w:sz w:val="18"/>
          <w:szCs w:val="18"/>
          <w:i w:val="1"/>
          <w:iCs w:val="1"/>
          <w:color w:val="auto"/>
        </w:rPr>
        <w:t>V8</w:t>
      </w:r>
      <w:r>
        <w:rPr>
          <w:rFonts w:ascii="Times New Roman" w:cs="Times New Roman" w:eastAsia="Times New Roman" w:hAnsi="Times New Roman"/>
          <w:sz w:val="18"/>
          <w:szCs w:val="18"/>
          <w:color w:val="auto"/>
        </w:rPr>
        <w:t xml:space="preserve"> juices and beverages, </w:t>
      </w:r>
      <w:r>
        <w:rPr>
          <w:rFonts w:ascii="Times New Roman" w:cs="Times New Roman" w:eastAsia="Times New Roman" w:hAnsi="Times New Roman"/>
          <w:sz w:val="18"/>
          <w:szCs w:val="18"/>
          <w:i w:val="1"/>
          <w:iCs w:val="1"/>
          <w:color w:val="auto"/>
        </w:rPr>
        <w:t>Campbell’s</w:t>
      </w:r>
      <w:r>
        <w:rPr>
          <w:rFonts w:ascii="Times New Roman" w:cs="Times New Roman" w:eastAsia="Times New Roman" w:hAnsi="Times New Roman"/>
          <w:sz w:val="18"/>
          <w:szCs w:val="18"/>
          <w:color w:val="auto"/>
        </w:rPr>
        <w:t xml:space="preserve"> tomato juice and </w:t>
      </w:r>
      <w:r>
        <w:rPr>
          <w:rFonts w:ascii="Times New Roman" w:cs="Times New Roman" w:eastAsia="Times New Roman" w:hAnsi="Times New Roman"/>
          <w:sz w:val="18"/>
          <w:szCs w:val="18"/>
          <w:i w:val="1"/>
          <w:iCs w:val="1"/>
          <w:color w:val="auto"/>
        </w:rPr>
        <w:t>Pacific Foods</w:t>
      </w:r>
      <w:r>
        <w:rPr>
          <w:rFonts w:ascii="Times New Roman" w:cs="Times New Roman" w:eastAsia="Times New Roman" w:hAnsi="Times New Roman"/>
          <w:sz w:val="18"/>
          <w:szCs w:val="18"/>
          <w:color w:val="auto"/>
        </w:rPr>
        <w:t xml:space="preserve"> non-dairy beverages.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Restructuring Charges, Cost Savings Initiatives and Other Optimization Initiatives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Multi-year Cost Savings Initiatives and Snyder's-Lance, Inc. (Snyder's-Lance) Cost Transformation Program and Integration</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2015, we implemented initiatives to reduce costs and to streamline our organizational structure.</w:t>
      </w:r>
    </w:p>
    <w:p>
      <w:pPr>
        <w:spacing w:after="0" w:line="8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9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vMerge w:val="restart"/>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186"/>
        </w:trPr>
        <w:tc>
          <w:tcPr>
            <w:tcW w:w="7940" w:type="dxa"/>
            <w:vAlign w:val="bottom"/>
            <w:tcBorders>
              <w:bottom w:val="single" w:sz="8" w:color="CCEEFF"/>
            </w:tcBorders>
            <w:vMerge w:val="continue"/>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 w:type="dxa"/>
            <w:vAlign w:val="bottom"/>
            <w:tcBorders>
              <w:bottom w:val="single" w:sz="8" w:color="CCEEFF"/>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8"/>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7940" w:type="dxa"/>
            <w:vAlign w:val="bottom"/>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9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4"/>
        </w:trPr>
        <w:tc>
          <w:tcPr>
            <w:tcW w:w="7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5"/>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25"/>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1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the aggregate $895 million pre-tax costs incurred, approximately $720 million were cash expenditures.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4" w:name="page15"/>
    <w:bookmarkEnd w:id="14"/>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Pr>
          <w:p>
            <w:pPr>
              <w:spacing w:after="0"/>
              <w:rPr>
                <w:sz w:val="16"/>
                <w:szCs w:val="16"/>
                <w:color w:val="auto"/>
              </w:rPr>
            </w:pPr>
          </w:p>
        </w:tc>
        <w:tc>
          <w:tcPr>
            <w:tcW w:w="1220" w:type="dxa"/>
            <w:vAlign w:val="bottom"/>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4"/>
        </w:trPr>
        <w:tc>
          <w:tcPr>
            <w:tcW w:w="9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8"/>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5"/>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8"/>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9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As of July 28, 2024, we substantially completed the multi-year cost savings initiatives and Snyder's-Lance cost transformation program and integration.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phases that had not been fully implemented were incorporated into the 2025 cost savings initiatives described below.</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Sovos Brands Integration Initiatives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for additional information. We identified opportunities for cost synergies as we integrate Sovos Brands.</w:t>
      </w:r>
    </w:p>
    <w:p>
      <w:pPr>
        <w:spacing w:after="0" w:line="44"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In 2024, we recorded Restructuring charges of $21 million for severance pay and benefits related to initiatives to achieve the synergies. The charges incurred in 2024 were associated with the Meals &amp; Beverages segment.</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2025, the initiatives to achieve synergies were incorporated into the cost savings initiatives described below.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Cost Savings Initiatives</w:t>
      </w:r>
    </w:p>
    <w:p>
      <w:pPr>
        <w:spacing w:after="0" w:line="102"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previous multi-year cost savings initiatives and Snyder's-Lance cost transformation program and integration. Certain initiatives from that program have been incorporated into our 2025 cost savings initiatives. Cost estimates for the 2025 initiatives, as well as timing for certain activities, are continuing to be developed.</w:t>
      </w:r>
    </w:p>
    <w:p>
      <w:pPr>
        <w:sectPr>
          <w:pgSz w:w="11900" w:h="16838" w:orient="portrait"/>
          <w:cols w:equalWidth="0" w:num="1">
            <w:col w:w="11240"/>
          </w:cols>
          <w:pgMar w:left="320" w:top="969" w:right="339" w:bottom="1440" w:gutter="0" w:footer="0" w:header="0"/>
        </w:sectPr>
      </w:pPr>
    </w:p>
    <w:p>
      <w:pPr>
        <w:spacing w:after="0" w:line="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charges recorded in the Consolidated Statement of Earnings related to these initiatives is as follows:</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517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14605</wp:posOffset>
            </wp:positionV>
            <wp:extent cx="7134860"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products sold</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p>
      <w:pPr>
        <w:spacing w:after="0" w:line="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 pre-tax charges</w:t>
      </w: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 initiatives is as follows:</w:t>
      </w:r>
    </w:p>
    <w:p>
      <w:pPr>
        <w:spacing w:after="0" w:line="17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517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31115</wp:posOffset>
            </wp:positionV>
            <wp:extent cx="9925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October 27, 2024</w:t>
      </w:r>
    </w:p>
    <w:p>
      <w:pPr>
        <w:spacing w:after="0" w:line="55" w:lineRule="exact"/>
        <w:rPr>
          <w:sz w:val="20"/>
          <w:szCs w:val="20"/>
          <w:color w:val="auto"/>
        </w:rPr>
      </w:pPr>
    </w:p>
    <w:p>
      <w:pPr>
        <w:ind w:left="1400" w:hanging="1384"/>
        <w:spacing w:after="0"/>
        <w:tabs>
          <w:tab w:leader="none" w:pos="14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w:t>
      </w:r>
    </w:p>
    <w:p>
      <w:pPr>
        <w:spacing w:after="0" w:line="26" w:lineRule="exact"/>
        <w:rPr>
          <w:rFonts w:ascii="Times New Roman" w:cs="Times New Roman" w:eastAsia="Times New Roman" w:hAnsi="Times New Roman"/>
          <w:sz w:val="18"/>
          <w:szCs w:val="18"/>
          <w:b w:val="1"/>
          <w:bCs w:val="1"/>
          <w:color w:val="auto"/>
        </w:rPr>
      </w:pPr>
    </w:p>
    <w:p>
      <w:pPr>
        <w:ind w:left="13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11</w:t>
      </w:r>
    </w:p>
    <w:p>
      <w:pPr>
        <w:spacing w:after="0" w:line="18" w:lineRule="exact"/>
        <w:rPr>
          <w:rFonts w:ascii="Times New Roman" w:cs="Times New Roman" w:eastAsia="Times New Roman" w:hAnsi="Times New Roman"/>
          <w:sz w:val="18"/>
          <w:szCs w:val="18"/>
          <w:b w:val="1"/>
          <w:bCs w:val="1"/>
          <w:color w:val="auto"/>
        </w:rPr>
      </w:pPr>
    </w:p>
    <w:p>
      <w:pPr>
        <w:ind w:left="1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w:t>
      </w:r>
    </w:p>
    <w:p>
      <w:pPr>
        <w:spacing w:after="0" w:line="18" w:lineRule="exact"/>
        <w:rPr>
          <w:rFonts w:ascii="Times New Roman" w:cs="Times New Roman" w:eastAsia="Times New Roman" w:hAnsi="Times New Roman"/>
          <w:sz w:val="18"/>
          <w:szCs w:val="18"/>
          <w:b w:val="1"/>
          <w:bCs w:val="1"/>
          <w:color w:val="auto"/>
        </w:rPr>
      </w:pPr>
    </w:p>
    <w:p>
      <w:pPr>
        <w:ind w:left="1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w:t>
      </w:r>
    </w:p>
    <w:p>
      <w:pPr>
        <w:spacing w:after="0" w:line="18" w:lineRule="exact"/>
        <w:rPr>
          <w:rFonts w:ascii="Times New Roman" w:cs="Times New Roman" w:eastAsia="Times New Roman" w:hAnsi="Times New Roman"/>
          <w:sz w:val="18"/>
          <w:szCs w:val="18"/>
          <w:b w:val="1"/>
          <w:bCs w:val="1"/>
          <w:color w:val="auto"/>
        </w:rPr>
      </w:pPr>
    </w:p>
    <w:p>
      <w:pPr>
        <w:ind w:left="14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10795</wp:posOffset>
            </wp:positionV>
            <wp:extent cx="992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3" w:lineRule="exact"/>
        <w:rPr>
          <w:sz w:val="20"/>
          <w:szCs w:val="20"/>
          <w:color w:val="auto"/>
        </w:rPr>
      </w:pPr>
    </w:p>
    <w:p>
      <w:pPr>
        <w:ind w:left="1320" w:hanging="1304"/>
        <w:spacing w:after="0"/>
        <w:tabs>
          <w:tab w:leader="none" w:pos="13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15875</wp:posOffset>
            </wp:positionV>
            <wp:extent cx="99250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41275</wp:posOffset>
            </wp:positionV>
            <wp:extent cx="992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Recognized as of</w:t>
            </w:r>
          </w:p>
        </w:tc>
      </w:tr>
      <w:tr>
        <w:trPr>
          <w:trHeight w:val="191"/>
        </w:trPr>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1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1"/>
        </w:trPr>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9925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ind w:left="1320" w:hanging="1304"/>
        <w:spacing w:after="0"/>
        <w:tabs>
          <w:tab w:leader="none" w:pos="1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9925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40005</wp:posOffset>
            </wp:positionV>
            <wp:extent cx="9925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260" w:space="420"/>
            <w:col w:w="1560"/>
          </w:cols>
          <w:pgMar w:left="320" w:top="969" w:right="339" w:bottom="1440" w:gutter="0" w:footer="0" w:header="0"/>
          <w:type w:val="continuous"/>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5" w:name="page16"/>
    <w:bookmarkEnd w:id="15"/>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$190 million and we expect to incur substantially all of the costs through 2028. These estimates will be updated as the detailed plans are developed.</w:t>
      </w:r>
    </w:p>
    <w:p>
      <w:pPr>
        <w:spacing w:after="0" w:line="3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$20 million in severance pay and benefits; approximately $50 million in asset impairment and accelerated depreciation; and approximately $120 million in implementation costs and other related costs. We expect these pre-tax costs to be associated with our segments as follows: Meals &amp; Beverages - approximately 72%; Snacks - approximately 12% and Corporate - approximately 16%.</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$190 million of pre-tax costs identified to date, we expect approximately $135 million will be cash expenditures. In addition, we expect to invest approximately $215 million in capital expenditures, of which we invested $18 million as of October 27, 2024. The capital expenditures primarily relate to optimization of production within our manufacturing network, implementation of our existing SAP enterprise-resource planning system for Sovos Brands and optimization of information technology infrastructure and applications.</w:t>
      </w:r>
    </w:p>
    <w:p>
      <w:pPr>
        <w:spacing w:after="0" w:line="6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restructuring activity and related reserves is as follows: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Accrued balance at July 28, 2024</w:t>
      </w:r>
      <w:r>
        <w:rPr>
          <w:rFonts w:ascii="Times New Roman" w:cs="Times New Roman" w:eastAsia="Times New Roman" w:hAnsi="Times New Roman"/>
          <w:sz w:val="22"/>
          <w:szCs w:val="22"/>
          <w:color w:val="auto"/>
          <w:vertAlign w:val="superscript"/>
        </w:rPr>
        <w:t>(1)</w:t>
      </w:r>
    </w:p>
    <w:p>
      <w:pPr>
        <w:ind w:left="220"/>
        <w:spacing w:after="0"/>
        <w:rPr>
          <w:sz w:val="20"/>
          <w:szCs w:val="20"/>
          <w:color w:val="auto"/>
        </w:rPr>
      </w:pPr>
      <w:r>
        <w:rPr>
          <w:rFonts w:ascii="Times New Roman" w:cs="Times New Roman" w:eastAsia="Times New Roman" w:hAnsi="Times New Roman"/>
          <w:sz w:val="18"/>
          <w:szCs w:val="18"/>
          <w:b w:val="1"/>
          <w:bCs w:val="1"/>
          <w:color w:val="auto"/>
        </w:rPr>
        <w:t>2025 charges</w:t>
      </w:r>
    </w:p>
    <w:p>
      <w:pPr>
        <w:spacing w:after="0" w:line="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2025 cash payments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Accrued balance at October 27, 2024</w:t>
      </w:r>
      <w:r>
        <w:rPr>
          <w:rFonts w:ascii="Times New Roman" w:cs="Times New Roman" w:eastAsia="Times New Roman" w:hAnsi="Times New Roman"/>
          <w:sz w:val="21"/>
          <w:szCs w:val="21"/>
          <w:b w:val="1"/>
          <w:bCs w:val="1"/>
          <w:color w:val="auto"/>
          <w:vertAlign w:val="superscript"/>
        </w:rPr>
        <w:t>(2)</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w:t>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75"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Implementation</w:t>
            </w:r>
          </w:p>
        </w:tc>
        <w:tc>
          <w:tcPr>
            <w:tcW w:w="1720" w:type="dxa"/>
            <w:vAlign w:val="bottom"/>
            <w:vMerge w:val="restart"/>
          </w:tcPr>
          <w:p>
            <w:pPr>
              <w:jc w:val="center"/>
              <w:ind w:left="9"/>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1040" w:type="dxa"/>
            <w:vAlign w:val="bottom"/>
            <w:vMerge w:val="restart"/>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Severance Pay</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Costs and Other</w:t>
            </w:r>
          </w:p>
        </w:tc>
        <w:tc>
          <w:tcPr>
            <w:tcW w:w="1720" w:type="dxa"/>
            <w:vAlign w:val="bottom"/>
            <w:vMerge w:val="continue"/>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040" w:type="dxa"/>
            <w:vAlign w:val="bottom"/>
            <w:vMerge w:val="continue"/>
          </w:tcPr>
          <w:p>
            <w:pPr>
              <w:spacing w:after="0"/>
              <w:rPr>
                <w:sz w:val="12"/>
                <w:szCs w:val="12"/>
                <w:color w:val="auto"/>
              </w:rPr>
            </w:pPr>
          </w:p>
        </w:tc>
        <w:tc>
          <w:tcPr>
            <w:tcW w:w="13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Related</w:t>
            </w:r>
          </w:p>
        </w:tc>
        <w:tc>
          <w:tcPr>
            <w:tcW w:w="1720" w:type="dxa"/>
            <w:vAlign w:val="bottom"/>
          </w:tcPr>
          <w:p>
            <w:pPr>
              <w:jc w:val="center"/>
              <w:ind w:left="9"/>
              <w:spacing w:after="0" w:line="144" w:lineRule="exact"/>
              <w:rPr>
                <w:sz w:val="20"/>
                <w:szCs w:val="20"/>
                <w:color w:val="auto"/>
              </w:rPr>
            </w:pPr>
            <w:r>
              <w:rPr>
                <w:rFonts w:ascii="Times New Roman" w:cs="Times New Roman" w:eastAsia="Times New Roman" w:hAnsi="Times New Roman"/>
                <w:sz w:val="14"/>
                <w:szCs w:val="14"/>
                <w:b w:val="1"/>
                <w:bCs w:val="1"/>
                <w:color w:val="auto"/>
              </w:rPr>
              <w:t>Impairment/Accelerated</w:t>
            </w: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w w:val="98"/>
              </w:rPr>
              <w:t>Total Charges</w:t>
            </w:r>
          </w:p>
        </w:tc>
        <w:tc>
          <w:tcPr>
            <w:tcW w:w="0" w:type="dxa"/>
            <w:vAlign w:val="bottom"/>
          </w:tcPr>
          <w:p>
            <w:pPr>
              <w:spacing w:after="0"/>
              <w:rPr>
                <w:sz w:val="1"/>
                <w:szCs w:val="1"/>
                <w:color w:val="auto"/>
              </w:rPr>
            </w:pPr>
          </w:p>
        </w:tc>
      </w:tr>
      <w:tr>
        <w:trPr>
          <w:trHeight w:val="188"/>
        </w:trPr>
        <w:tc>
          <w:tcPr>
            <w:tcW w:w="1040" w:type="dxa"/>
            <w:vAlign w:val="bottom"/>
          </w:tcPr>
          <w:p>
            <w:pPr>
              <w:jc w:val="center"/>
              <w:ind w:right="109"/>
              <w:spacing w:after="0"/>
              <w:rPr>
                <w:sz w:val="20"/>
                <w:szCs w:val="20"/>
                <w:color w:val="auto"/>
              </w:rPr>
            </w:pPr>
            <w:r>
              <w:rPr>
                <w:rFonts w:ascii="Times New Roman" w:cs="Times New Roman" w:eastAsia="Times New Roman" w:hAnsi="Times New Roman"/>
                <w:sz w:val="14"/>
                <w:szCs w:val="14"/>
                <w:b w:val="1"/>
                <w:bCs w:val="1"/>
                <w:color w:val="auto"/>
                <w:w w:val="99"/>
              </w:rPr>
              <w:t>and Benefits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Costs</w:t>
            </w:r>
            <w:r>
              <w:rPr>
                <w:rFonts w:ascii="Times New Roman" w:cs="Times New Roman" w:eastAsia="Times New Roman" w:hAnsi="Times New Roman"/>
                <w:sz w:val="9"/>
                <w:szCs w:val="9"/>
                <w:b w:val="1"/>
                <w:bCs w:val="1"/>
                <w:color w:val="auto"/>
              </w:rPr>
              <w:t>(3)</w:t>
            </w:r>
          </w:p>
        </w:tc>
        <w:tc>
          <w:tcPr>
            <w:tcW w:w="1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Depreciation</w:t>
            </w: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6985</wp:posOffset>
            </wp:positionV>
            <wp:extent cx="7134860" cy="1517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775" w:hanging="775"/>
        <w:spacing w:after="0"/>
        <w:tabs>
          <w:tab w:leader="none" w:pos="7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36</w:t>
      </w:r>
    </w:p>
    <w:p>
      <w:pPr>
        <w:spacing w:after="0" w:line="24" w:lineRule="exact"/>
        <w:rPr>
          <w:sz w:val="20"/>
          <w:szCs w:val="20"/>
          <w:color w:val="auto"/>
        </w:rPr>
      </w:pPr>
    </w:p>
    <w:tbl>
      <w:tblPr>
        <w:tblLayout w:type="fixed"/>
        <w:tblInd w:w="795" w:type="dxa"/>
        <w:tblCellMar>
          <w:top w:w="0" w:type="dxa"/>
          <w:left w:w="0" w:type="dxa"/>
          <w:bottom w:w="0" w:type="dxa"/>
          <w:right w:w="0" w:type="dxa"/>
        </w:tblCellMar>
      </w:tblPr>
      <w:tr>
        <w:trPr>
          <w:trHeight w:val="217"/>
        </w:trPr>
        <w:tc>
          <w:tcPr>
            <w:tcW w:w="820" w:type="dxa"/>
            <w:vAlign w:val="bottom"/>
          </w:tcPr>
          <w:p>
            <w:pPr>
              <w:jc w:val="right"/>
              <w:ind w:right="572"/>
              <w:spacing w:after="0"/>
              <w:rPr>
                <w:sz w:val="20"/>
                <w:szCs w:val="20"/>
                <w:color w:val="auto"/>
              </w:rPr>
            </w:pPr>
            <w:r>
              <w:rPr>
                <w:rFonts w:ascii="Times New Roman" w:cs="Times New Roman" w:eastAsia="Times New Roman" w:hAnsi="Times New Roman"/>
                <w:sz w:val="18"/>
                <w:szCs w:val="18"/>
                <w:b w:val="1"/>
                <w:bCs w:val="1"/>
                <w:color w:val="auto"/>
              </w:rPr>
              <w:t>6</w:t>
            </w:r>
          </w:p>
        </w:tc>
        <w:tc>
          <w:tcPr>
            <w:tcW w:w="1540" w:type="dxa"/>
            <w:vAlign w:val="bottom"/>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12</w:t>
            </w:r>
          </w:p>
        </w:tc>
        <w:tc>
          <w:tcPr>
            <w:tcW w:w="960" w:type="dxa"/>
            <w:vAlign w:val="bottom"/>
          </w:tcPr>
          <w:p>
            <w:pPr>
              <w:jc w:val="right"/>
              <w:ind w:right="12"/>
              <w:spacing w:after="0"/>
              <w:rPr>
                <w:sz w:val="20"/>
                <w:szCs w:val="20"/>
                <w:color w:val="auto"/>
              </w:rPr>
            </w:pPr>
            <w:r>
              <w:rPr>
                <w:rFonts w:ascii="Times New Roman" w:cs="Times New Roman" w:eastAsia="Times New Roman" w:hAnsi="Times New Roman"/>
                <w:sz w:val="18"/>
                <w:szCs w:val="18"/>
                <w:b w:val="1"/>
                <w:bCs w:val="1"/>
                <w:color w:val="auto"/>
              </w:rPr>
              <w:t>9</w:t>
            </w:r>
          </w:p>
        </w:tc>
        <w:tc>
          <w:tcPr>
            <w:tcW w:w="480" w:type="dxa"/>
            <w:vAlign w:val="bottom"/>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r>
      <w:tr>
        <w:trPr>
          <w:trHeight w:val="233"/>
        </w:trPr>
        <w:tc>
          <w:tcPr>
            <w:tcW w:w="820" w:type="dxa"/>
            <w:vAlign w:val="bottom"/>
          </w:tcPr>
          <w:p>
            <w:pPr>
              <w:jc w:val="right"/>
              <w:ind w:right="532"/>
              <w:spacing w:after="0"/>
              <w:rPr>
                <w:sz w:val="20"/>
                <w:szCs w:val="20"/>
                <w:color w:val="auto"/>
              </w:rPr>
            </w:pPr>
            <w:r>
              <w:rPr>
                <w:rFonts w:ascii="Times New Roman" w:cs="Times New Roman" w:eastAsia="Times New Roman" w:hAnsi="Times New Roman"/>
                <w:sz w:val="18"/>
                <w:szCs w:val="18"/>
                <w:b w:val="1"/>
                <w:bCs w:val="1"/>
                <w:color w:val="auto"/>
                <w:w w:val="85"/>
              </w:rPr>
              <w:t>(7)</w:t>
            </w:r>
          </w:p>
        </w:tc>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-3872230</wp:posOffset>
            </wp:positionH>
            <wp:positionV relativeFrom="paragraph">
              <wp:posOffset>-142875</wp:posOffset>
            </wp:positionV>
            <wp:extent cx="7134860" cy="1517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51765"/>
                    </a:xfrm>
                    <a:prstGeom prst="rect">
                      <a:avLst/>
                    </a:prstGeom>
                    <a:noFill/>
                  </pic:spPr>
                </pic:pic>
              </a:graphicData>
            </a:graphic>
          </wp:anchor>
        </w:drawing>
      </w:r>
    </w:p>
    <w:p>
      <w:pPr>
        <w:ind w:left="775" w:hanging="775"/>
        <w:spacing w:after="0"/>
        <w:tabs>
          <w:tab w:leader="none" w:pos="775"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15875</wp:posOffset>
            </wp:positionV>
            <wp:extent cx="66484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4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41275</wp:posOffset>
            </wp:positionV>
            <wp:extent cx="6648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64845" cy="8255"/>
                    </a:xfrm>
                    <a:prstGeom prst="rect">
                      <a:avLst/>
                    </a:prstGeom>
                    <a:noFill/>
                  </pic:spPr>
                </pic:pic>
              </a:graphicData>
            </a:graphic>
          </wp:anchor>
        </w:drawing>
      </w:r>
    </w:p>
    <w:p>
      <w:pPr>
        <w:spacing w:after="0" w:line="417" w:lineRule="exact"/>
        <w:rPr>
          <w:sz w:val="20"/>
          <w:szCs w:val="20"/>
          <w:color w:val="auto"/>
        </w:rPr>
      </w:pPr>
    </w:p>
    <w:p>
      <w:pPr>
        <w:sectPr>
          <w:pgSz w:w="11900" w:h="16838" w:orient="portrait"/>
          <w:cols w:equalWidth="0" w:num="2">
            <w:col w:w="5385" w:space="720"/>
            <w:col w:w="5135"/>
          </w:cols>
          <w:pgMar w:left="320" w:top="969" w:right="339" w:bottom="1440" w:gutter="0" w:footer="0" w:header="0"/>
          <w:type w:val="continuous"/>
        </w:sectPr>
      </w:pPr>
    </w:p>
    <w:p>
      <w:pPr>
        <w:ind w:left="320" w:hanging="314"/>
        <w:spacing w:after="0" w:line="237" w:lineRule="auto"/>
        <w:tabs>
          <w:tab w:leader="none" w:pos="308"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Associated with the multi-year cost savings initiatives and Snyder's-Lance cost transformation program and integration, and the Sovos Brands integration initiatives described above. Includes $12 million of severance pay and benefits recorded in Other liabilities in the Consolidated Balance Sheet.</w:t>
      </w:r>
    </w:p>
    <w:p>
      <w:pPr>
        <w:ind w:left="320" w:hanging="314"/>
        <w:spacing w:after="0" w:line="192" w:lineRule="auto"/>
        <w:tabs>
          <w:tab w:leader="none" w:pos="320"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$12 million of severance pay and benefits recorded in Other liabilities in the Consolidated Balance Sheet.</w:t>
      </w:r>
    </w:p>
    <w:p>
      <w:pPr>
        <w:spacing w:after="0" w:line="1"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other costs recognized as incurred that are not reflected in the restructuring reserve in the Consolidated Balance Sheet. The costs are included in Administrative expenses, Cost of products sold, Marketing and selling expenses and Research and development expenses in the Consolidated Statements of Earnings.</w:t>
      </w:r>
    </w:p>
    <w:p>
      <w:pPr>
        <w:spacing w:after="0" w:line="76"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0" w:type="dxa"/>
            <w:vAlign w:val="bottom"/>
          </w:tcPr>
          <w:p>
            <w:pPr>
              <w:spacing w:after="0"/>
              <w:rPr>
                <w:sz w:val="1"/>
                <w:szCs w:val="1"/>
                <w:color w:val="auto"/>
              </w:rPr>
            </w:pPr>
          </w:p>
        </w:tc>
      </w:tr>
      <w:tr>
        <w:trPr>
          <w:trHeight w:val="24"/>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7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Optimization Initiatives</w:t>
      </w:r>
    </w:p>
    <w:p>
      <w:pPr>
        <w:spacing w:after="0" w:line="102"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three-month period ended October 27, 2024, we incurred $8 million in Marketing and selling expenses related to this initiative. As of October 27, 2024, we have incurred $13 million in Marketing and selling expenses related to this initiative.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Earnings per Share (EPS)</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periods ended October 27, 2024 and October 29, 2023, excludes less than 1 million stock options that would have been antidilutive.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10. Pension and Postretirement Benefits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Components of net periodic benefit expense (income)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4"/>
        </w:trPr>
        <w:tc>
          <w:tcPr>
            <w:tcW w:w="62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185"/>
        </w:trPr>
        <w:tc>
          <w:tcPr>
            <w:tcW w:w="62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520" w:type="dxa"/>
            <w:vAlign w:val="bottom"/>
            <w:tcBorders>
              <w:bottom w:val="single" w:sz="8" w:color="auto"/>
            </w:tcBorders>
          </w:tcPr>
          <w:p>
            <w:pPr>
              <w:spacing w:after="0"/>
              <w:rPr>
                <w:sz w:val="16"/>
                <w:szCs w:val="16"/>
                <w:color w:val="auto"/>
              </w:rPr>
            </w:pPr>
          </w:p>
        </w:tc>
      </w:tr>
      <w:tr>
        <w:trPr>
          <w:trHeight w:val="192"/>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00" w:type="dxa"/>
            <w:vAlign w:val="bottom"/>
          </w:tcPr>
          <w:p>
            <w:pPr>
              <w:spacing w:after="0"/>
              <w:rPr>
                <w:sz w:val="16"/>
                <w:szCs w:val="16"/>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25"/>
        </w:trPr>
        <w:tc>
          <w:tcPr>
            <w:tcW w:w="6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480" w:type="dxa"/>
            <w:vAlign w:val="bottom"/>
            <w:tcBorders>
              <w:top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4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losses (gains)</w:t>
            </w:r>
          </w:p>
        </w:tc>
        <w:tc>
          <w:tcPr>
            <w:tcW w:w="48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4"/>
        </w:trPr>
        <w:tc>
          <w:tcPr>
            <w:tcW w:w="6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periodic benefit expense (income)</w:t>
            </w:r>
          </w:p>
        </w:tc>
        <w:tc>
          <w:tcPr>
            <w:tcW w:w="480" w:type="dxa"/>
            <w:vAlign w:val="bottom"/>
            <w:tcBorders>
              <w:top w:val="single" w:sz="8" w:color="auto"/>
              <w:bottom w:val="single" w:sz="8" w:color="auto"/>
            </w:tcBorders>
            <w:shd w:val="clear" w:color="auto" w:fill="CCEEFF"/>
          </w:tcPr>
          <w:p>
            <w:pPr>
              <w:jc w:val="right"/>
              <w:ind w:right="278"/>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98"/>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60" w:type="dxa"/>
            <w:vAlign w:val="bottom"/>
            <w:tcBorders>
              <w:top w:val="single" w:sz="8" w:color="auto"/>
              <w:bottom w:val="single" w:sz="8" w:color="auto"/>
            </w:tcBorders>
            <w:shd w:val="clear" w:color="auto" w:fill="CCEEFF"/>
          </w:tcPr>
          <w:p>
            <w:pPr>
              <w:jc w:val="right"/>
              <w:ind w:right="478"/>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2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actuarial loss for the three-month period ended October 27, 2024 related to the remeasurement of our postretirement plan due to a plan amendment.</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actuarial loss was primarily due to a decrease in the discount rate used to determine the benefit obligation.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Leases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80" w:type="dxa"/>
            <w:vAlign w:val="bottom"/>
            <w:gridSpan w:val="5"/>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00" w:type="dxa"/>
            <w:vAlign w:val="bottom"/>
            <w:tcBorders>
              <w:bottom w:val="single" w:sz="8" w:color="CCEEFF"/>
            </w:tcBorders>
            <w:vMerge w:val="continue"/>
          </w:tcPr>
          <w:p>
            <w:pPr>
              <w:spacing w:after="0"/>
              <w:rPr>
                <w:sz w:val="16"/>
                <w:szCs w:val="16"/>
                <w:color w:val="auto"/>
              </w:rPr>
            </w:pPr>
          </w:p>
        </w:tc>
        <w:tc>
          <w:tcPr>
            <w:tcW w:w="920" w:type="dxa"/>
            <w:vAlign w:val="bottom"/>
            <w:tcBorders>
              <w:bottom w:val="single" w:sz="8" w:color="CCEEFF"/>
            </w:tcBorders>
          </w:tcPr>
          <w:p>
            <w:pPr>
              <w:spacing w:after="0"/>
              <w:rPr>
                <w:sz w:val="16"/>
                <w:szCs w:val="16"/>
                <w:color w:val="auto"/>
              </w:rPr>
            </w:pPr>
          </w:p>
        </w:tc>
        <w:tc>
          <w:tcPr>
            <w:tcW w:w="2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9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 amortization of right-of-use (ROU) assets</w:t>
            </w:r>
          </w:p>
        </w:tc>
        <w:tc>
          <w:tcPr>
            <w:tcW w:w="9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 interest on lease liabilities</w:t>
            </w:r>
          </w:p>
        </w:tc>
        <w:tc>
          <w:tcPr>
            <w:tcW w:w="9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9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920" w:type="dxa"/>
            <w:vAlign w:val="bottom"/>
            <w:shd w:val="clear" w:color="auto" w:fill="CCEEFF"/>
          </w:tcPr>
          <w:p>
            <w:pPr>
              <w:spacing w:after="0"/>
              <w:rPr>
                <w:sz w:val="19"/>
                <w:szCs w:val="19"/>
                <w:color w:val="auto"/>
              </w:rPr>
            </w:pPr>
          </w:p>
        </w:tc>
        <w:tc>
          <w:tcPr>
            <w:tcW w:w="2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700" w:type="dxa"/>
            <w:vAlign w:val="bottom"/>
            <w:gridSpan w:val="4"/>
            <w:vMerge w:val="restart"/>
          </w:tcPr>
          <w:p>
            <w:pPr>
              <w:ind w:left="320"/>
              <w:spacing w:after="0"/>
              <w:rPr>
                <w:sz w:val="20"/>
                <w:szCs w:val="20"/>
                <w:color w:val="auto"/>
              </w:rPr>
            </w:pPr>
            <w:r>
              <w:rPr>
                <w:rFonts w:ascii="Times New Roman" w:cs="Times New Roman" w:eastAsia="Times New Roman" w:hAnsi="Times New Roman"/>
                <w:sz w:val="18"/>
                <w:szCs w:val="18"/>
                <w:color w:val="auto"/>
              </w:rPr>
              <w:t>The following tables summarize the lease amounts recorded in the Consolidated Balance Sheets:</w:t>
            </w:r>
          </w:p>
        </w:tc>
        <w:tc>
          <w:tcPr>
            <w:tcW w:w="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1"/>
        </w:trPr>
        <w:tc>
          <w:tcPr>
            <w:tcW w:w="8700" w:type="dxa"/>
            <w:vAlign w:val="bottom"/>
            <w:gridSpan w:val="4"/>
            <w:vMerge w:val="continue"/>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48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460" w:type="dxa"/>
            <w:vAlign w:val="bottom"/>
            <w:gridSpan w:val="4"/>
          </w:tcPr>
          <w:p>
            <w:pPr>
              <w:jc w:val="center"/>
              <w:ind w:left="1959"/>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10"/>
                <w:szCs w:val="10"/>
                <w:color w:val="auto"/>
              </w:rPr>
            </w:pPr>
          </w:p>
        </w:tc>
        <w:tc>
          <w:tcPr>
            <w:tcW w:w="29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40" w:type="dxa"/>
            <w:vAlign w:val="bottom"/>
          </w:tcPr>
          <w:p>
            <w:pPr>
              <w:spacing w:after="0"/>
              <w:rPr>
                <w:sz w:val="10"/>
                <w:szCs w:val="10"/>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ind w:left="222"/>
              <w:spacing w:after="0" w:line="126" w:lineRule="exact"/>
              <w:rPr>
                <w:sz w:val="20"/>
                <w:szCs w:val="20"/>
                <w:color w:val="auto"/>
              </w:rPr>
            </w:pPr>
            <w:r>
              <w:rPr>
                <w:rFonts w:ascii="Times New Roman" w:cs="Times New Roman" w:eastAsia="Times New Roman" w:hAnsi="Times New Roman"/>
                <w:sz w:val="14"/>
                <w:szCs w:val="14"/>
                <w:b w:val="1"/>
                <w:bCs w:val="1"/>
                <w:color w:val="auto"/>
              </w:rPr>
              <w:t>July 28,</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92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9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333</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9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48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40" w:type="dxa"/>
            <w:vAlign w:val="bottom"/>
          </w:tcPr>
          <w:p>
            <w:pPr>
              <w:spacing w:after="0"/>
              <w:rPr>
                <w:sz w:val="19"/>
                <w:szCs w:val="19"/>
                <w:color w:val="auto"/>
              </w:rPr>
            </w:pPr>
          </w:p>
        </w:tc>
        <w:tc>
          <w:tcPr>
            <w:tcW w:w="920" w:type="dxa"/>
            <w:vAlign w:val="bottom"/>
            <w:gridSpan w:val="3"/>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9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268</w:t>
            </w: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0"/>
        </w:trPr>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60" w:type="dxa"/>
            <w:vAlign w:val="bottom"/>
            <w:gridSpan w:val="4"/>
          </w:tcPr>
          <w:p>
            <w:pPr>
              <w:jc w:val="center"/>
              <w:ind w:left="1939"/>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6"/>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920" w:type="dxa"/>
            <w:vAlign w:val="bottom"/>
          </w:tcPr>
          <w:p>
            <w:pPr>
              <w:spacing w:after="0"/>
              <w:rPr>
                <w:sz w:val="10"/>
                <w:szCs w:val="10"/>
                <w:color w:val="auto"/>
              </w:rPr>
            </w:pPr>
          </w:p>
        </w:tc>
        <w:tc>
          <w:tcPr>
            <w:tcW w:w="29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40" w:type="dxa"/>
            <w:vAlign w:val="bottom"/>
          </w:tcPr>
          <w:p>
            <w:pPr>
              <w:spacing w:after="0"/>
              <w:rPr>
                <w:sz w:val="10"/>
                <w:szCs w:val="10"/>
                <w:color w:val="auto"/>
              </w:rPr>
            </w:pP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tcPr>
          <w:p>
            <w:pPr>
              <w:jc w:val="center"/>
              <w:ind w:left="222"/>
              <w:spacing w:after="0" w:line="126" w:lineRule="exact"/>
              <w:rPr>
                <w:sz w:val="20"/>
                <w:szCs w:val="20"/>
                <w:color w:val="auto"/>
              </w:rPr>
            </w:pPr>
            <w:r>
              <w:rPr>
                <w:rFonts w:ascii="Times New Roman" w:cs="Times New Roman" w:eastAsia="Times New Roman" w:hAnsi="Times New Roman"/>
                <w:sz w:val="14"/>
                <w:szCs w:val="14"/>
                <w:b w:val="1"/>
                <w:bCs w:val="1"/>
                <w:color w:val="auto"/>
              </w:rPr>
              <w:t>July 28,</w:t>
            </w:r>
          </w:p>
        </w:tc>
        <w:tc>
          <w:tcPr>
            <w:tcW w:w="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4800" w:type="dxa"/>
            <w:vAlign w:val="bottom"/>
            <w:vMerge w:val="continue"/>
          </w:tcPr>
          <w:p>
            <w:pPr>
              <w:spacing w:after="0"/>
              <w:rPr>
                <w:sz w:val="16"/>
                <w:szCs w:val="16"/>
                <w:color w:val="auto"/>
              </w:rPr>
            </w:pPr>
          </w:p>
        </w:tc>
        <w:tc>
          <w:tcPr>
            <w:tcW w:w="920" w:type="dxa"/>
            <w:vAlign w:val="bottom"/>
          </w:tcPr>
          <w:p>
            <w:pPr>
              <w:spacing w:after="0"/>
              <w:rPr>
                <w:sz w:val="16"/>
                <w:szCs w:val="16"/>
                <w:color w:val="auto"/>
              </w:rPr>
            </w:pPr>
          </w:p>
        </w:tc>
        <w:tc>
          <w:tcPr>
            <w:tcW w:w="298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920" w:type="dxa"/>
            <w:vAlign w:val="bottom"/>
            <w:gridSpan w:val="3"/>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ROU assets, net</w:t>
            </w:r>
          </w:p>
        </w:tc>
        <w:tc>
          <w:tcPr>
            <w:tcW w:w="920" w:type="dxa"/>
            <w:vAlign w:val="bottom"/>
            <w:tcBorders>
              <w:top w:val="single" w:sz="8" w:color="CCEEFF"/>
            </w:tcBorders>
            <w:shd w:val="clear" w:color="auto" w:fill="CCEEFF"/>
          </w:tcPr>
          <w:p>
            <w:pPr>
              <w:spacing w:after="0"/>
              <w:rPr>
                <w:sz w:val="19"/>
                <w:szCs w:val="19"/>
                <w:color w:val="auto"/>
              </w:rPr>
            </w:pPr>
          </w:p>
        </w:tc>
        <w:tc>
          <w:tcPr>
            <w:tcW w:w="28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Plant assets, net of depreciation</w:t>
            </w:r>
          </w:p>
        </w:tc>
        <w:tc>
          <w:tcPr>
            <w:tcW w:w="10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84</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gridSpan w:val="2"/>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 (current)</w:t>
            </w:r>
          </w:p>
        </w:tc>
        <w:tc>
          <w:tcPr>
            <w:tcW w:w="920" w:type="dxa"/>
            <w:vAlign w:val="bottom"/>
          </w:tcPr>
          <w:p>
            <w:pPr>
              <w:spacing w:after="0"/>
              <w:rPr>
                <w:sz w:val="19"/>
                <w:szCs w:val="19"/>
                <w:color w:val="auto"/>
              </w:rPr>
            </w:pPr>
          </w:p>
        </w:tc>
        <w:tc>
          <w:tcPr>
            <w:tcW w:w="29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borrowings</w:t>
            </w:r>
          </w:p>
        </w:tc>
        <w:tc>
          <w:tcPr>
            <w:tcW w:w="480" w:type="dxa"/>
            <w:vAlign w:val="bottom"/>
            <w:gridSpan w:val="2"/>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w:t>
            </w:r>
          </w:p>
        </w:tc>
        <w:tc>
          <w:tcPr>
            <w:tcW w:w="40" w:type="dxa"/>
            <w:vAlign w:val="bottom"/>
          </w:tcPr>
          <w:p>
            <w:pPr>
              <w:spacing w:after="0"/>
              <w:rPr>
                <w:sz w:val="19"/>
                <w:szCs w:val="19"/>
                <w:color w:val="auto"/>
              </w:rPr>
            </w:pPr>
          </w:p>
        </w:tc>
        <w:tc>
          <w:tcPr>
            <w:tcW w:w="920" w:type="dxa"/>
            <w:vAlign w:val="bottom"/>
            <w:gridSpan w:val="3"/>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(noncurrent)</w:t>
            </w:r>
          </w:p>
        </w:tc>
        <w:tc>
          <w:tcPr>
            <w:tcW w:w="920" w:type="dxa"/>
            <w:vAlign w:val="bottom"/>
            <w:shd w:val="clear" w:color="auto" w:fill="CCEEFF"/>
          </w:tcPr>
          <w:p>
            <w:pPr>
              <w:spacing w:after="0"/>
              <w:rPr>
                <w:sz w:val="19"/>
                <w:szCs w:val="19"/>
                <w:color w:val="auto"/>
              </w:rPr>
            </w:pPr>
          </w:p>
        </w:tc>
        <w:tc>
          <w:tcPr>
            <w:tcW w:w="2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480" w:type="dxa"/>
            <w:vAlign w:val="bottom"/>
            <w:gridSpan w:val="2"/>
            <w:shd w:val="clear" w:color="auto" w:fill="CCEEFF"/>
          </w:tcPr>
          <w:p>
            <w:pPr>
              <w:jc w:val="right"/>
              <w:ind w:right="30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4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682"/>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36"/>
        </w:trPr>
        <w:tc>
          <w:tcPr>
            <w:tcW w:w="48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8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8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7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7117715</wp:posOffset>
            </wp:positionH>
            <wp:positionV relativeFrom="paragraph">
              <wp:posOffset>-28575</wp:posOffset>
            </wp:positionV>
            <wp:extent cx="3365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-28575</wp:posOffset>
            </wp:positionV>
            <wp:extent cx="3365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17" w:name="page18"/>
    <w:bookmarkEnd w:id="17"/>
    <w:p>
      <w:pPr>
        <w:ind w:left="320"/>
        <w:spacing w:after="0"/>
        <w:rPr>
          <w:sz w:val="20"/>
          <w:szCs w:val="20"/>
          <w:color w:val="auto"/>
        </w:rPr>
      </w:pPr>
      <w:r>
        <w:rPr>
          <w:rFonts w:ascii="Times New Roman" w:cs="Times New Roman" w:eastAsia="Times New Roman" w:hAnsi="Times New Roman"/>
          <w:sz w:val="18"/>
          <w:szCs w:val="18"/>
          <w:color w:val="auto"/>
        </w:rPr>
        <w:t>The following table summarizes cash flow and other information related to leases: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40" w:type="dxa"/>
            <w:vAlign w:val="bottom"/>
            <w:gridSpan w:val="3"/>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2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12"/>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leases</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19"/>
                <w:szCs w:val="19"/>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65"/>
        </w:trPr>
        <w:tc>
          <w:tcPr>
            <w:tcW w:w="87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80" w:type="dxa"/>
            <w:vAlign w:val="bottom"/>
            <w:shd w:val="clear" w:color="auto" w:fill="CCEEFF"/>
          </w:tcPr>
          <w:p>
            <w:pPr>
              <w:spacing w:after="0"/>
              <w:rPr>
                <w:sz w:val="23"/>
                <w:szCs w:val="23"/>
                <w:color w:val="auto"/>
              </w:rPr>
            </w:pPr>
          </w:p>
        </w:tc>
        <w:tc>
          <w:tcPr>
            <w:tcW w:w="4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leases</w:t>
            </w: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33"/>
        </w:trPr>
        <w:tc>
          <w:tcPr>
            <w:tcW w:w="8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leases</w:t>
            </w:r>
          </w:p>
        </w:tc>
        <w:tc>
          <w:tcPr>
            <w:tcW w:w="360" w:type="dxa"/>
            <w:vAlign w:val="bottom"/>
          </w:tcPr>
          <w:p>
            <w:pPr>
              <w:jc w:val="right"/>
              <w:ind w:right="155"/>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tcPr>
          <w:p>
            <w:pPr>
              <w:spacing w:after="0"/>
              <w:rPr>
                <w:sz w:val="20"/>
                <w:szCs w:val="20"/>
                <w:color w:val="auto"/>
              </w:rPr>
            </w:pPr>
          </w:p>
        </w:tc>
        <w:tc>
          <w:tcPr>
            <w:tcW w:w="780" w:type="dxa"/>
            <w:vAlign w:val="bottom"/>
          </w:tcPr>
          <w:p>
            <w:pPr>
              <w:jc w:val="right"/>
              <w:ind w:right="59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Short-term Borrowings and Long-term Debt</w:t>
      </w:r>
    </w:p>
    <w:p>
      <w:pPr>
        <w:spacing w:after="0" w:line="8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October 2, 2024, pursuant to the registration statement, we completed the issuance of senior unsecured notes of $1.15 billion, consisting of:</w:t>
      </w:r>
    </w:p>
    <w:p>
      <w:pPr>
        <w:spacing w:after="0" w:line="59" w:lineRule="exact"/>
        <w:rPr>
          <w:sz w:val="20"/>
          <w:szCs w:val="20"/>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due November 15, 2025 and a portion of our outstanding commercial paper. We have $1.15 billion aggregate principal amount of senior notes maturing in March 2025, which we intend to repay by using a portion of the proceeds from the issuance of the notes along with cash on hand and issuing commercial paper.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Financial Instruments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The principal market risks to which we are exposed are changes in foreign currency exchange rates, interest rates and commodity prices. In addition, we are exposed to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for hedge accounting treatment and instruments that are not designated as accounting hedges.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 risk-related contingent features in our derivative instruments as of October 27, 2024, or July 28, 2024.</w:t>
      </w:r>
    </w:p>
    <w:p>
      <w:pPr>
        <w:spacing w:after="0" w:line="4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are also exposed to credit risk from our customers. During 2024, our largest customer accounted for approximately 22% of our consolidated net sales.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five largest customers accounted for approximately 47% of our consolidated net sales in 2024.</w:t>
      </w:r>
    </w:p>
    <w:p>
      <w:pPr>
        <w:spacing w:after="0" w:line="7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closely monitor credit risk associated with counterparties and customers.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8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are exposed to foreign currency exchange risk, primarily the Canadian dollar and Euro, related to intercompany transactions and third-party transactions. We utilize foreign exchange forward purchase and sale contracts and option contracts to hedge these exposures. The contracts are either designated as cash-flow hedging instruments or are undesignated. We hedge portions of our forecasted foreign currency transaction exposure with foreign exchange forward contracts for periods typically up to 18 months. The notional amount of foreign exchange forward contracts accounted for as cash-flow hedges was $99 million as of October 27, 2024, and $108 million as of July 28, 2024. Changes in the fair value on the portion of the derivative included in the assessment of hedge effectiveness of cash-flow hedges are recorded in other comprehensive income (loss), until earnings are affected by the variability of cash flows. For derivatives that are designated and qualify as hedging instruments, the initial fair value of hedge components excluded from the assessment of effectiveness is recognized in earnings under a systematic and rational method over the life of the hedging instrument and is presented in the same statement of earnings line item as the earnings effect of the hedged item. Any difference between the change in the fair value of the hedge components excluded from the assessment of effectiveness and the amounts recognized in earnings is recorded as a component of other comprehensive income (loss). The notional amount of foreign exchange forward and option contracts that are not designated as accounting hedges was $458 million as of October 27, 2024, and $189 million as of July 28,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2"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We manage our exposure to changes in interest rates by optimizing the use of variable-rate and fixed-rate debt. From time to time, we may use interest rate swaps in order to maintain our variable-to-total debt ratio within targeted guidelines. We manage our exposure to interest volatility on future debt issuances by entering into forward starting interest rate swaps or treasury lock contracts to hedge the rate on the interest payments related to the anticipated debt issuance. The forward starting interest rate swaps or treasury lock contracts are either designated as cash-flow hedging instruments or are undesignated. Changes in the fair value on the portion of the derivative included in the assessment of hedge effectiveness of cash-flow hedges are recorded in other comprehensive income (loss), and reclassified into Interest expense over the life of the debt issued. The change in fair value on undesignated instruments is recorded in Interest expense. In conjunction with the issuance of senior unsecured notes on October 2, 2024, due on March 23, 2035, we settled forward starting interest rate swaps with a notional value of $700 million at a gain of less than $1 million. The gain on these instruments was recorded in other comprehensive income (loss) and will be recognized in Interest expense over the life of the debt. There were no forward starting interest rate swaps or treasury lock contracts outstanding as of October 27, 2024 and July 28, 2024.</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102"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cocoa, aluminum, corn and soybean meal. Commodity futures, options and swap contracts are either designated as cash-flow hedging instruments or are undesignated. We hedge a portion of commodity requirements for periods typically up to 18 months. There were no commodity contracts designated as cash-flow hedges as of October 27, 2024, or July 28, 2024. The notional amount of commodity contracts not designated as accounting hedges was $145 million as of October 27, 2024, and $200 million as of July 28, 2024. The change in fair value on undesignated instruments is recorded in Cost of products sold.</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have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amount was $29 million as of October 27, 2024, and $48 million as of July 28, 2024. The change in fair value on the embedded derivative is recorded in Cost of products sold.</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 Obligation Price Risk</w:t>
      </w:r>
    </w:p>
    <w:p>
      <w:pPr>
        <w:spacing w:after="0" w:line="10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enter into swap contracts which hedge a portion of exposures relating to the total return of certain deferred compensation obligations. These contracts are not designated as hedges for accounting purposes. Unrealized gains (losses) and settlements are included in Administrative expenses in the Consolidated Statements of Earnings. We enter into these contracts for periods typically not exceeding 12 months. The notional amounts of the contracts were $80 million as of October 27, 2024, and $71 million as of July 28, 2024.</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19" w:name="page20"/>
    <w:bookmarkEnd w:id="19"/>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fair value of derivative instruments on a gross basis as recorded in the Consolidated Balance Sheets as of</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October 27, 2024, and July 28, 2024: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40" w:type="dxa"/>
            <w:vAlign w:val="bottom"/>
            <w:gridSpan w:val="3"/>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CCEEFF"/>
            </w:tcBorders>
            <w:shd w:val="clear" w:color="auto" w:fill="CCEEFF"/>
          </w:tcPr>
          <w:p>
            <w:pPr>
              <w:spacing w:after="0"/>
              <w:rPr>
                <w:sz w:val="18"/>
                <w:szCs w:val="18"/>
                <w:color w:val="auto"/>
              </w:rPr>
            </w:pPr>
          </w:p>
        </w:tc>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Derivatives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derivatives designated as hedges</w:t>
            </w:r>
          </w:p>
        </w:tc>
        <w:tc>
          <w:tcPr>
            <w:tcW w:w="38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4780" w:type="dxa"/>
            <w:vAlign w:val="bottom"/>
            <w:shd w:val="clear" w:color="auto" w:fill="CCEEFF"/>
          </w:tcPr>
          <w:p>
            <w:pPr>
              <w:spacing w:after="0" w:line="205" w:lineRule="exact"/>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5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9"/>
                <w:szCs w:val="19"/>
                <w:color w:val="auto"/>
              </w:rPr>
            </w:pPr>
          </w:p>
        </w:tc>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asset derivatives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20" w:type="dxa"/>
            <w:vAlign w:val="bottom"/>
          </w:tcPr>
          <w:p>
            <w:pPr>
              <w:spacing w:after="0"/>
              <w:rPr>
                <w:sz w:val="24"/>
                <w:szCs w:val="24"/>
                <w:color w:val="auto"/>
              </w:rPr>
            </w:pPr>
          </w:p>
        </w:tc>
        <w:tc>
          <w:tcPr>
            <w:tcW w:w="4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3940" w:type="dxa"/>
            <w:vAlign w:val="bottom"/>
            <w:gridSpan w:val="3"/>
            <w:vMerge w:val="restart"/>
          </w:tcPr>
          <w:p>
            <w:pPr>
              <w:ind w:left="1080"/>
              <w:spacing w:after="0"/>
              <w:rPr>
                <w:sz w:val="20"/>
                <w:szCs w:val="20"/>
                <w:color w:val="auto"/>
              </w:rPr>
            </w:pPr>
            <w:r>
              <w:rPr>
                <w:rFonts w:ascii="Times New Roman" w:cs="Times New Roman" w:eastAsia="Times New Roman" w:hAnsi="Times New Roman"/>
                <w:sz w:val="14"/>
                <w:szCs w:val="14"/>
                <w:b w:val="1"/>
                <w:bCs w:val="1"/>
                <w:color w:val="auto"/>
              </w:rPr>
              <w:t>Balance Sheet Classification</w:t>
            </w:r>
          </w:p>
        </w:tc>
        <w:tc>
          <w:tcPr>
            <w:tcW w:w="130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2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July 28,</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780" w:type="dxa"/>
            <w:vAlign w:val="bottom"/>
            <w:vMerge w:val="continue"/>
          </w:tcPr>
          <w:p>
            <w:pPr>
              <w:spacing w:after="0"/>
              <w:rPr>
                <w:sz w:val="16"/>
                <w:szCs w:val="16"/>
                <w:color w:val="auto"/>
              </w:rPr>
            </w:pPr>
          </w:p>
        </w:tc>
        <w:tc>
          <w:tcPr>
            <w:tcW w:w="3940" w:type="dxa"/>
            <w:vAlign w:val="bottom"/>
            <w:gridSpan w:val="3"/>
            <w:vMerge w:val="continue"/>
          </w:tcPr>
          <w:p>
            <w:pPr>
              <w:spacing w:after="0"/>
              <w:rPr>
                <w:sz w:val="16"/>
                <w:szCs w:val="16"/>
                <w:color w:val="auto"/>
              </w:rPr>
            </w:pPr>
          </w:p>
        </w:tc>
        <w:tc>
          <w:tcPr>
            <w:tcW w:w="1300" w:type="dxa"/>
            <w:vAlign w:val="bottom"/>
            <w:gridSpan w:val="4"/>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center"/>
              <w:ind w:right="1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Liability Derivatives</w:t>
            </w:r>
          </w:p>
        </w:tc>
        <w:tc>
          <w:tcPr>
            <w:tcW w:w="38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Derivatives not designated as hedges: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Commodity contracts</w:t>
            </w:r>
          </w:p>
        </w:tc>
        <w:tc>
          <w:tcPr>
            <w:tcW w:w="3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39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5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derivatives not designated as hedges</w:t>
            </w:r>
          </w:p>
        </w:tc>
        <w:tc>
          <w:tcPr>
            <w:tcW w:w="38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3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8"/>
          <w:szCs w:val="18"/>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October 27, 2024, and July 28, 2024, would be adjusted as detailed in the following table:</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3"/>
          </w:tcPr>
          <w:p>
            <w:pPr>
              <w:jc w:val="center"/>
              <w:ind w:right="100"/>
              <w:spacing w:after="0" w:line="128" w:lineRule="exact"/>
              <w:rPr>
                <w:sz w:val="20"/>
                <w:szCs w:val="20"/>
                <w:color w:val="auto"/>
              </w:rPr>
            </w:pPr>
            <w:r>
              <w:rPr>
                <w:rFonts w:ascii="Times New Roman" w:cs="Times New Roman" w:eastAsia="Times New Roman" w:hAnsi="Times New Roman"/>
                <w:sz w:val="14"/>
                <w:szCs w:val="14"/>
                <w:b w:val="1"/>
                <w:bCs w:val="1"/>
                <w:color w:val="auto"/>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20" w:type="dxa"/>
            <w:vAlign w:val="bottom"/>
            <w:gridSpan w:val="3"/>
          </w:tcPr>
          <w:p>
            <w:pPr>
              <w:jc w:val="center"/>
              <w:ind w:right="120"/>
              <w:spacing w:after="0" w:line="128" w:lineRule="exact"/>
              <w:rPr>
                <w:sz w:val="20"/>
                <w:szCs w:val="20"/>
                <w:color w:val="auto"/>
              </w:rPr>
            </w:pPr>
            <w:r>
              <w:rPr>
                <w:rFonts w:ascii="Times New Roman" w:cs="Times New Roman" w:eastAsia="Times New Roman" w:hAnsi="Times New Roman"/>
                <w:sz w:val="14"/>
                <w:szCs w:val="14"/>
                <w:b w:val="1"/>
                <w:bCs w:val="1"/>
                <w:color w:val="auto"/>
                <w:w w:val="99"/>
              </w:rPr>
              <w:t>Gross Amounts Not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Gross Amounts</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Offset in the</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20" w:type="dxa"/>
            <w:vAlign w:val="bottom"/>
          </w:tcPr>
          <w:p>
            <w:pPr>
              <w:spacing w:after="0"/>
              <w:rPr>
                <w:sz w:val="11"/>
                <w:szCs w:val="11"/>
                <w:color w:val="auto"/>
              </w:rPr>
            </w:pPr>
          </w:p>
        </w:tc>
        <w:tc>
          <w:tcPr>
            <w:tcW w:w="13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Presented in the</w:t>
            </w:r>
          </w:p>
        </w:tc>
        <w:tc>
          <w:tcPr>
            <w:tcW w:w="100" w:type="dxa"/>
            <w:vAlign w:val="bottom"/>
          </w:tcPr>
          <w:p>
            <w:pPr>
              <w:spacing w:after="0"/>
              <w:rPr>
                <w:sz w:val="11"/>
                <w:szCs w:val="11"/>
                <w:color w:val="auto"/>
              </w:rPr>
            </w:pPr>
          </w:p>
        </w:tc>
        <w:tc>
          <w:tcPr>
            <w:tcW w:w="13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2"/>
                <w:szCs w:val="12"/>
                <w:color w:val="auto"/>
              </w:rPr>
            </w:pPr>
          </w:p>
        </w:tc>
        <w:tc>
          <w:tcPr>
            <w:tcW w:w="126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w w:val="99"/>
              </w:rPr>
              <w:t>Subject to Netting</w:t>
            </w:r>
          </w:p>
        </w:tc>
        <w:tc>
          <w:tcPr>
            <w:tcW w:w="180" w:type="dxa"/>
            <w:vAlign w:val="bottom"/>
          </w:tcPr>
          <w:p>
            <w:pPr>
              <w:spacing w:after="0"/>
              <w:rPr>
                <w:sz w:val="12"/>
                <w:szCs w:val="12"/>
                <w:color w:val="auto"/>
              </w:rPr>
            </w:pPr>
          </w:p>
        </w:tc>
        <w:tc>
          <w:tcPr>
            <w:tcW w:w="1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140" w:type="dxa"/>
            <w:vAlign w:val="bottom"/>
          </w:tcPr>
          <w:p>
            <w:pPr>
              <w:spacing w:after="0"/>
              <w:rPr>
                <w:sz w:val="12"/>
                <w:szCs w:val="12"/>
                <w:color w:val="auto"/>
              </w:rPr>
            </w:pPr>
          </w:p>
        </w:tc>
        <w:tc>
          <w:tcPr>
            <w:tcW w:w="128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9"/>
              </w:rPr>
              <w:t>Consolidated</w:t>
            </w:r>
          </w:p>
        </w:tc>
        <w:tc>
          <w:tcPr>
            <w:tcW w:w="100" w:type="dxa"/>
            <w:vAlign w:val="bottom"/>
          </w:tcPr>
          <w:p>
            <w:pPr>
              <w:spacing w:after="0"/>
              <w:rPr>
                <w:sz w:val="12"/>
                <w:szCs w:val="12"/>
                <w:color w:val="auto"/>
              </w:rPr>
            </w:pPr>
          </w:p>
        </w:tc>
        <w:tc>
          <w:tcPr>
            <w:tcW w:w="1320" w:type="dxa"/>
            <w:vAlign w:val="bottom"/>
            <w:gridSpan w:val="2"/>
          </w:tcPr>
          <w:p>
            <w:pPr>
              <w:jc w:val="center"/>
              <w:ind w:right="220"/>
              <w:spacing w:after="0" w:line="144" w:lineRule="exact"/>
              <w:rPr>
                <w:sz w:val="20"/>
                <w:szCs w:val="20"/>
                <w:color w:val="auto"/>
              </w:rPr>
            </w:pPr>
            <w:r>
              <w:rPr>
                <w:rFonts w:ascii="Times New Roman" w:cs="Times New Roman" w:eastAsia="Times New Roman" w:hAnsi="Times New Roman"/>
                <w:sz w:val="14"/>
                <w:szCs w:val="14"/>
                <w:b w:val="1"/>
                <w:bCs w:val="1"/>
                <w:color w:val="auto"/>
              </w:rPr>
              <w:t>Subject to Netting</w:t>
            </w:r>
          </w:p>
        </w:tc>
        <w:tc>
          <w:tcPr>
            <w:tcW w:w="180" w:type="dxa"/>
            <w:vAlign w:val="bottom"/>
          </w:tcPr>
          <w:p>
            <w:pPr>
              <w:spacing w:after="0"/>
              <w:rPr>
                <w:sz w:val="12"/>
                <w:szCs w:val="12"/>
                <w:color w:val="auto"/>
              </w:rPr>
            </w:pPr>
          </w:p>
        </w:tc>
        <w:tc>
          <w:tcPr>
            <w:tcW w:w="11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Net Amount</w:t>
            </w:r>
          </w:p>
        </w:tc>
        <w:tc>
          <w:tcPr>
            <w:tcW w:w="0" w:type="dxa"/>
            <w:vAlign w:val="bottom"/>
          </w:tcPr>
          <w:p>
            <w:pPr>
              <w:spacing w:after="0"/>
              <w:rPr>
                <w:sz w:val="1"/>
                <w:szCs w:val="1"/>
                <w:color w:val="auto"/>
              </w:rPr>
            </w:pPr>
          </w:p>
        </w:tc>
      </w:tr>
      <w:tr>
        <w:trPr>
          <w:trHeight w:val="193"/>
        </w:trPr>
        <w:tc>
          <w:tcPr>
            <w:tcW w:w="28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Agreements</w:t>
            </w: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 derivatives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3"/>
        </w:trPr>
        <w:tc>
          <w:tcPr>
            <w:tcW w:w="2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liability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are required to maintain cash margin accounts in connection with funding the settlement of open positions for exchange-traded commodity derivative instruments. Cash margin asset balances of $2 million at October 27, 2024 and July 28, 2024 were included in Other current assets in the Consolidated Balance Sheets.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0" w:name="page21"/>
    <w:bookmarkEnd w:id="20"/>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 of our derivative instruments designated as cash-flow hedges in other comprehensive income (loss) (OCI) and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45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760" w:type="dxa"/>
            <w:vAlign w:val="bottom"/>
            <w:gridSpan w:val="3"/>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Total Cash-Flow Hedge</w:t>
            </w:r>
          </w:p>
        </w:tc>
        <w:tc>
          <w:tcPr>
            <w:tcW w:w="380" w:type="dxa"/>
            <w:vAlign w:val="bottom"/>
          </w:tcPr>
          <w:p>
            <w:pPr>
              <w:spacing w:after="0"/>
              <w:rPr>
                <w:sz w:val="13"/>
                <w:szCs w:val="13"/>
                <w:color w:val="auto"/>
              </w:rPr>
            </w:pPr>
          </w:p>
        </w:tc>
      </w:tr>
      <w:tr>
        <w:trPr>
          <w:trHeight w:val="192"/>
        </w:trPr>
        <w:tc>
          <w:tcPr>
            <w:tcW w:w="16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OCI Activity</w:t>
            </w:r>
          </w:p>
        </w:tc>
        <w:tc>
          <w:tcPr>
            <w:tcW w:w="380" w:type="dxa"/>
            <w:vAlign w:val="bottom"/>
            <w:tcBorders>
              <w:bottom w:val="single" w:sz="8" w:color="auto"/>
            </w:tcBorders>
          </w:tcPr>
          <w:p>
            <w:pPr>
              <w:spacing w:after="0"/>
              <w:rPr>
                <w:sz w:val="16"/>
                <w:szCs w:val="16"/>
                <w:color w:val="auto"/>
              </w:rPr>
            </w:pPr>
          </w:p>
        </w:tc>
      </w:tr>
      <w:tr>
        <w:trPr>
          <w:trHeight w:val="192"/>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172"/>
        </w:trPr>
        <w:tc>
          <w:tcPr>
            <w:tcW w:w="6180" w:type="dxa"/>
            <w:vAlign w:val="bottom"/>
            <w:tcBorders>
              <w:top w:val="single" w:sz="8" w:color="CCEEFF"/>
              <w:left w:val="single" w:sz="8" w:color="CCEEFF"/>
            </w:tcBorders>
            <w:gridSpan w:val="2"/>
            <w:shd w:val="clear" w:color="auto" w:fill="CCEEFF"/>
          </w:tcPr>
          <w:p>
            <w:pPr>
              <w:ind w:left="20"/>
              <w:spacing w:after="0" w:line="172" w:lineRule="exact"/>
              <w:rPr>
                <w:sz w:val="20"/>
                <w:szCs w:val="20"/>
                <w:color w:val="auto"/>
              </w:rPr>
            </w:pPr>
            <w:r>
              <w:rPr>
                <w:rFonts w:ascii="Times New Roman" w:cs="Times New Roman" w:eastAsia="Times New Roman" w:hAnsi="Times New Roman"/>
                <w:sz w:val="18"/>
                <w:szCs w:val="18"/>
                <w:b w:val="1"/>
                <w:bCs w:val="1"/>
                <w:color w:val="auto"/>
              </w:rPr>
              <w:t>Three Months Ended</w:t>
            </w:r>
          </w:p>
        </w:tc>
        <w:tc>
          <w:tcPr>
            <w:tcW w:w="158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r>
      <w:tr>
        <w:trPr>
          <w:trHeight w:val="40"/>
        </w:trPr>
        <w:tc>
          <w:tcPr>
            <w:tcW w:w="1620" w:type="dxa"/>
            <w:vAlign w:val="bottom"/>
            <w:tcBorders>
              <w:left w:val="single" w:sz="8" w:color="CCEEFF"/>
            </w:tcBorders>
            <w:shd w:val="clear" w:color="auto" w:fill="000000"/>
          </w:tcPr>
          <w:p>
            <w:pPr>
              <w:spacing w:after="0"/>
              <w:rPr>
                <w:sz w:val="3"/>
                <w:szCs w:val="3"/>
                <w:color w:val="auto"/>
              </w:rPr>
            </w:pPr>
          </w:p>
        </w:tc>
        <w:tc>
          <w:tcPr>
            <w:tcW w:w="456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380" w:type="dxa"/>
            <w:vAlign w:val="bottom"/>
            <w:shd w:val="clear" w:color="auto" w:fill="CCEEFF"/>
          </w:tcPr>
          <w:p>
            <w:pPr>
              <w:spacing w:after="0"/>
              <w:rPr>
                <w:sz w:val="3"/>
                <w:szCs w:val="3"/>
                <w:color w:val="auto"/>
              </w:rPr>
            </w:pPr>
          </w:p>
        </w:tc>
      </w:tr>
      <w:tr>
        <w:trPr>
          <w:trHeight w:val="225"/>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 derivative gain (loss) at beginning of quarter</w:t>
            </w:r>
          </w:p>
        </w:tc>
        <w:tc>
          <w:tcPr>
            <w:tcW w:w="292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00" w:type="dxa"/>
            <w:vAlign w:val="bottom"/>
          </w:tcPr>
          <w:p>
            <w:pPr>
              <w:spacing w:after="0"/>
              <w:rPr>
                <w:sz w:val="19"/>
                <w:szCs w:val="19"/>
                <w:color w:val="auto"/>
              </w:rPr>
            </w:pPr>
          </w:p>
        </w:tc>
        <w:tc>
          <w:tcPr>
            <w:tcW w:w="800" w:type="dxa"/>
            <w:vAlign w:val="bottom"/>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180" w:type="dxa"/>
            <w:vAlign w:val="bottom"/>
            <w:tcBorders>
              <w:left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portion of changes in fair value recognized in OCI:</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r>
      <w:tr>
        <w:trPr>
          <w:trHeight w:val="225"/>
        </w:trPr>
        <w:tc>
          <w:tcPr>
            <w:tcW w:w="61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5"/>
        </w:trPr>
        <w:tc>
          <w:tcPr>
            <w:tcW w:w="61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5"/>
        </w:trPr>
        <w:tc>
          <w:tcPr>
            <w:tcW w:w="6180" w:type="dxa"/>
            <w:vAlign w:val="bottom"/>
            <w:gridSpan w:val="2"/>
          </w:tcPr>
          <w:p>
            <w:pPr>
              <w:ind w:left="20"/>
              <w:spacing w:after="0" w:line="186" w:lineRule="exact"/>
              <w:rPr>
                <w:sz w:val="20"/>
                <w:szCs w:val="20"/>
                <w:color w:val="auto"/>
              </w:rPr>
            </w:pPr>
            <w:r>
              <w:rPr>
                <w:rFonts w:ascii="Times New Roman" w:cs="Times New Roman" w:eastAsia="Times New Roman" w:hAnsi="Times New Roman"/>
                <w:sz w:val="18"/>
                <w:szCs w:val="18"/>
                <w:color w:val="auto"/>
              </w:rPr>
              <w:t>Amount of loss (gain) reclassified from OCI to earnings:</w:t>
            </w:r>
          </w:p>
        </w:tc>
        <w:tc>
          <w:tcPr>
            <w:tcW w:w="2920" w:type="dxa"/>
            <w:vAlign w:val="bottom"/>
            <w:gridSpan w:val="3"/>
          </w:tcPr>
          <w:p>
            <w:pPr>
              <w:spacing w:after="0" w:line="186" w:lineRule="exact"/>
              <w:rPr>
                <w:sz w:val="20"/>
                <w:szCs w:val="20"/>
                <w:color w:val="auto"/>
              </w:rPr>
            </w:pPr>
            <w:r>
              <w:rPr>
                <w:rFonts w:ascii="Times New Roman" w:cs="Times New Roman" w:eastAsia="Times New Roman" w:hAnsi="Times New Roman"/>
                <w:sz w:val="18"/>
                <w:szCs w:val="18"/>
                <w:b w:val="1"/>
                <w:bCs w:val="1"/>
                <w:color w:val="auto"/>
              </w:rPr>
              <w:t>Location in Earnings</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r>
      <w:tr>
        <w:trPr>
          <w:trHeight w:val="235"/>
        </w:trPr>
        <w:tc>
          <w:tcPr>
            <w:tcW w:w="6180" w:type="dxa"/>
            <w:vAlign w:val="bottom"/>
            <w:tcBorders>
              <w:left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Forward starting interest rate swaps</w:t>
            </w:r>
          </w:p>
        </w:tc>
        <w:tc>
          <w:tcPr>
            <w:tcW w:w="1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gridSpan w:val="2"/>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8"/>
        </w:trPr>
        <w:tc>
          <w:tcPr>
            <w:tcW w:w="6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OCI derivative gain (loss) at end of quarter</w:t>
            </w:r>
          </w:p>
        </w:tc>
        <w:tc>
          <w:tcPr>
            <w:tcW w:w="1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0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ind w:right="61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16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1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Based on current valuations, the amount expected to be reclassified from OCI into earnings within the next 12 months is a loss of $1 million.</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shows the total amounts of line items presented in the Consolidated Statements of Earnings, in which the effects of derivative instruments designated as cash-flow hedges are recorded and the total effect of hedge activity on these line items:</w:t>
      </w:r>
    </w:p>
    <w:p>
      <w:pPr>
        <w:sectPr>
          <w:pgSz w:w="11900" w:h="16838" w:orient="portrait"/>
          <w:cols w:equalWidth="0" w:num="1">
            <w:col w:w="11240"/>
          </w:cols>
          <w:pgMar w:left="320" w:top="9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511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Loss (gain) on cash-flow hedges: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34860" cy="142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spacing w:after="0" w:line="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Amount of loss (gain) reclassified from OCI to earnings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60" w:type="dxa"/>
            <w:vAlign w:val="bottom"/>
            <w:tcBorders>
              <w:top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1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134"/>
        </w:trPr>
        <w:tc>
          <w:tcPr>
            <w:tcW w:w="22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jc w:val="center"/>
              <w:ind w:right="181"/>
              <w:spacing w:after="0" w:line="134"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center"/>
              <w:ind w:right="181"/>
              <w:spacing w:after="0" w:line="134" w:lineRule="exact"/>
              <w:rPr>
                <w:sz w:val="20"/>
                <w:szCs w:val="20"/>
                <w:color w:val="auto"/>
              </w:rPr>
            </w:pPr>
            <w:r>
              <w:rPr>
                <w:rFonts w:ascii="Times New Roman" w:cs="Times New Roman" w:eastAsia="Times New Roman" w:hAnsi="Times New Roman"/>
                <w:sz w:val="14"/>
                <w:szCs w:val="14"/>
                <w:b w:val="1"/>
                <w:bCs w:val="1"/>
                <w:color w:val="auto"/>
                <w:w w:val="98"/>
              </w:rPr>
              <w:t>Interest</w:t>
            </w:r>
          </w:p>
        </w:tc>
      </w:tr>
      <w:tr>
        <w:trPr>
          <w:trHeight w:val="191"/>
        </w:trPr>
        <w:tc>
          <w:tcPr>
            <w:tcW w:w="220" w:type="dxa"/>
            <w:vAlign w:val="bottom"/>
          </w:tcPr>
          <w:p>
            <w:pPr>
              <w:spacing w:after="0"/>
              <w:rPr>
                <w:sz w:val="16"/>
                <w:szCs w:val="16"/>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220" w:type="dxa"/>
            <w:vAlign w:val="bottom"/>
          </w:tcPr>
          <w:p>
            <w:pPr>
              <w:spacing w:after="0"/>
              <w:rPr>
                <w:sz w:val="16"/>
                <w:szCs w:val="16"/>
                <w:color w:val="auto"/>
              </w:rPr>
            </w:pPr>
          </w:p>
        </w:tc>
        <w:tc>
          <w:tcPr>
            <w:tcW w:w="96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8"/>
              </w:rPr>
              <w:t>expense</w:t>
            </w:r>
          </w:p>
        </w:tc>
      </w:tr>
      <w:tr>
        <w:trPr>
          <w:trHeight w:val="232"/>
        </w:trPr>
        <w:tc>
          <w:tcPr>
            <w:tcW w:w="2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708"/>
        </w:trPr>
        <w:tc>
          <w:tcPr>
            <w:tcW w:w="220" w:type="dxa"/>
            <w:vAlign w:val="bottom"/>
          </w:tcPr>
          <w:p>
            <w:pPr>
              <w:jc w:val="right"/>
              <w:ind w:right="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4"/>
                <w:szCs w:val="24"/>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66" w:lineRule="exact"/>
        <w:rPr>
          <w:sz w:val="20"/>
          <w:szCs w:val="20"/>
          <w:color w:val="auto"/>
        </w:rPr>
      </w:pPr>
    </w:p>
    <w:p>
      <w:pPr>
        <w:sectPr>
          <w:pgSz w:w="11900" w:h="16838" w:orient="portrait"/>
          <w:cols w:equalWidth="0" w:num="2">
            <w:col w:w="8080" w:space="720"/>
            <w:col w:w="2440"/>
          </w:cols>
          <w:pgMar w:left="320" w:top="969" w:right="339" w:bottom="1440" w:gutter="0" w:footer="0" w:header="0"/>
          <w:type w:val="continuous"/>
        </w:sect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The amount excluded from effectiveness testing recognized in each line item of earnings using an amortization approach was not material in all periods presented.</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shows the effects of our derivative instruments not designated as hedges in the Consolidated Statements of Earnings: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0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r>
      <w:tr>
        <w:trPr>
          <w:trHeight w:val="24"/>
        </w:trPr>
        <w:tc>
          <w:tcPr>
            <w:tcW w:w="340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r>
      <w:tr>
        <w:trPr>
          <w:trHeight w:val="327"/>
        </w:trPr>
        <w:tc>
          <w:tcPr>
            <w:tcW w:w="3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 (Gain) Recognized in Earnings</w:t>
            </w: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24"/>
        </w:trPr>
        <w:tc>
          <w:tcPr>
            <w:tcW w:w="3400" w:type="dxa"/>
            <w:vAlign w:val="bottom"/>
            <w:tcBorders>
              <w:bottom w:val="single" w:sz="8" w:color="CCEEFF"/>
            </w:tcBorders>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18"/>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5"/>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contracts</w:t>
            </w:r>
          </w:p>
        </w:tc>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Pr>
          <w:p>
            <w:pPr>
              <w:spacing w:after="0"/>
              <w:rPr>
                <w:sz w:val="19"/>
                <w:szCs w:val="19"/>
                <w:color w:val="auto"/>
              </w:rPr>
            </w:pPr>
          </w:p>
        </w:tc>
        <w:tc>
          <w:tcPr>
            <w:tcW w:w="84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5"/>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compensation contracts</w:t>
            </w:r>
          </w:p>
        </w:tc>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8"/>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5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w w:val="95"/>
              </w:rPr>
              <w:t>(7)</w:t>
            </w:r>
          </w:p>
        </w:tc>
        <w:tc>
          <w:tcPr>
            <w:tcW w:w="100" w:type="dxa"/>
            <w:vAlign w:val="bottom"/>
          </w:tcPr>
          <w:p>
            <w:pPr>
              <w:spacing w:after="0"/>
              <w:rPr>
                <w:sz w:val="19"/>
                <w:szCs w:val="19"/>
                <w:color w:val="auto"/>
              </w:rPr>
            </w:pPr>
          </w:p>
        </w:tc>
        <w:tc>
          <w:tcPr>
            <w:tcW w:w="78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340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categorize financial assets and liabilities based on the following fair value hierarchy:</w:t>
      </w:r>
    </w:p>
    <w:p>
      <w:pPr>
        <w:spacing w:after="0" w:line="98" w:lineRule="exact"/>
        <w:rPr>
          <w:sz w:val="20"/>
          <w:szCs w:val="20"/>
          <w:color w:val="auto"/>
        </w:rPr>
      </w:pPr>
    </w:p>
    <w:p>
      <w:pPr>
        <w:ind w:left="640" w:hanging="316"/>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Observable inputs that reflect quoted prices (unadjusted) for identical assets or liabilities in active markets.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other than quoted prices included in Level 1 that are observable for the asset or liability through corroboration with observable market data.</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Unobservable inputs, which are valued based on our estimates of assumptions that market participants would use in pricing the asset or liability.</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21" w:name="page22"/>
    <w:bookmarkEnd w:id="21"/>
    <w:p>
      <w:pPr>
        <w:spacing w:after="0" w:line="274" w:lineRule="auto"/>
        <w:rPr>
          <w:sz w:val="20"/>
          <w:szCs w:val="20"/>
          <w:color w:val="auto"/>
        </w:rPr>
      </w:pPr>
      <w:r>
        <w:rPr>
          <w:rFonts w:ascii="Times New Roman" w:cs="Times New Roman" w:eastAsia="Times New Roman" w:hAnsi="Times New Roman"/>
          <w:sz w:val="18"/>
          <w:szCs w:val="18"/>
          <w:color w:val="auto"/>
        </w:rPr>
        <w:t>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02"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tables present our financial assets and liabilities that are measured at fair value on a recurring basis as of October 27, 2024, and July 28, 2024, consistent with the fair value hierarchy:</w:t>
      </w:r>
    </w:p>
    <w:p>
      <w:pPr>
        <w:sectPr>
          <w:pgSz w:w="11900" w:h="16838" w:orient="portrait"/>
          <w:cols w:equalWidth="0" w:num="1">
            <w:col w:w="11240"/>
          </w:cols>
          <w:pgMar w:left="320" w:top="969" w:right="339" w:bottom="1440" w:gutter="0" w:footer="0" w:header="0"/>
        </w:sectPr>
      </w:pP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920" w:type="dxa"/>
            <w:vAlign w:val="bottom"/>
          </w:tcPr>
          <w:p>
            <w:pPr>
              <w:jc w:val="center"/>
              <w:ind w:right="77"/>
              <w:spacing w:after="0" w:line="144"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800" w:type="dxa"/>
            <w:vAlign w:val="bottom"/>
            <w:gridSpan w:val="4"/>
            <w:vMerge w:val="continue"/>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0" w:type="dxa"/>
            <w:vAlign w:val="bottom"/>
            <w:gridSpan w:val="4"/>
          </w:tcPr>
          <w:p>
            <w:pPr>
              <w:spacing w:after="0" w:line="172" w:lineRule="exact"/>
              <w:rPr>
                <w:sz w:val="20"/>
                <w:szCs w:val="20"/>
                <w:color w:val="auto"/>
              </w:rPr>
            </w:pPr>
            <w:r>
              <w:rPr>
                <w:rFonts w:ascii="Times New Roman" w:cs="Times New Roman" w:eastAsia="Times New Roman" w:hAnsi="Times New Roman"/>
                <w:sz w:val="18"/>
                <w:szCs w:val="18"/>
                <w:color w:val="auto"/>
              </w:rPr>
              <w:t>Assets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780" w:type="dxa"/>
            <w:vAlign w:val="bottom"/>
            <w:gridSpan w:val="3"/>
          </w:tcPr>
          <w:p>
            <w:pPr>
              <w:ind w:left="100"/>
              <w:spacing w:after="0" w:line="192"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780" w:type="dxa"/>
            <w:vAlign w:val="bottom"/>
            <w:gridSpan w:val="3"/>
          </w:tcPr>
          <w:p>
            <w:pPr>
              <w:ind w:left="100"/>
              <w:spacing w:after="0" w:line="233" w:lineRule="exact"/>
              <w:rPr>
                <w:sz w:val="20"/>
                <w:szCs w:val="20"/>
                <w:color w:val="auto"/>
              </w:rPr>
            </w:pPr>
            <w:r>
              <w:rPr>
                <w:rFonts w:ascii="Times New Roman" w:cs="Times New Roman" w:eastAsia="Times New Roman" w:hAnsi="Times New Roman"/>
                <w:sz w:val="18"/>
                <w:szCs w:val="18"/>
                <w:color w:val="auto"/>
              </w:rPr>
              <w:t>derivative contracts</w:t>
            </w:r>
            <w:r>
              <w:rPr>
                <w:rFonts w:ascii="Times New Roman" w:cs="Times New Roman" w:eastAsia="Times New Roman" w:hAnsi="Times New Roman"/>
                <w:sz w:val="22"/>
                <w:szCs w:val="22"/>
                <w:color w:val="auto"/>
                <w:vertAlign w:val="superscript"/>
              </w:rPr>
              <w:t>(3)</w:t>
            </w:r>
          </w:p>
        </w:tc>
        <w:tc>
          <w:tcPr>
            <w:tcW w:w="16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3"/>
          </w:tcPr>
          <w:p>
            <w:pPr>
              <w:ind w:left="100"/>
              <w:spacing w:after="0" w:line="177" w:lineRule="exact"/>
              <w:rPr>
                <w:sz w:val="20"/>
                <w:szCs w:val="20"/>
                <w:color w:val="auto"/>
              </w:rPr>
            </w:pPr>
            <w:r>
              <w:rPr>
                <w:rFonts w:ascii="Times New Roman" w:cs="Times New Roman" w:eastAsia="Times New Roman" w:hAnsi="Times New Roman"/>
                <w:sz w:val="18"/>
                <w:szCs w:val="18"/>
                <w:color w:val="auto"/>
                <w:w w:val="98"/>
              </w:rPr>
              <w:t>Deferred 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780" w:type="dxa"/>
            <w:vAlign w:val="bottom"/>
            <w:gridSpan w:val="3"/>
          </w:tcPr>
          <w:p>
            <w:pPr>
              <w:ind w:left="100"/>
              <w:spacing w:after="0" w:line="239" w:lineRule="exact"/>
              <w:rPr>
                <w:sz w:val="20"/>
                <w:szCs w:val="20"/>
                <w:color w:val="auto"/>
              </w:rPr>
            </w:pPr>
            <w:r>
              <w:rPr>
                <w:rFonts w:ascii="Times New Roman" w:cs="Times New Roman" w:eastAsia="Times New Roman" w:hAnsi="Times New Roman"/>
                <w:sz w:val="18"/>
                <w:szCs w:val="18"/>
                <w:color w:val="auto"/>
              </w:rPr>
              <w:t>investments</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18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8"/>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180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2"/>
                <w:szCs w:val="12"/>
                <w:color w:val="auto"/>
              </w:rPr>
            </w:pPr>
          </w:p>
        </w:tc>
        <w:tc>
          <w:tcPr>
            <w:tcW w:w="920" w:type="dxa"/>
            <w:vAlign w:val="bottom"/>
          </w:tcPr>
          <w:p>
            <w:pPr>
              <w:jc w:val="center"/>
              <w:ind w:right="77"/>
              <w:spacing w:after="0" w:line="146" w:lineRule="exact"/>
              <w:rPr>
                <w:sz w:val="20"/>
                <w:szCs w:val="20"/>
                <w:color w:val="auto"/>
              </w:rPr>
            </w:pPr>
            <w:r>
              <w:rPr>
                <w:rFonts w:ascii="Times New Roman" w:cs="Times New Roman" w:eastAsia="Times New Roman" w:hAnsi="Times New Roman"/>
                <w:sz w:val="14"/>
                <w:szCs w:val="14"/>
                <w:b w:val="1"/>
                <w:bCs w:val="1"/>
                <w:color w:val="auto"/>
              </w:rPr>
              <w:t>as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00" w:type="dxa"/>
            <w:vAlign w:val="bottom"/>
            <w:gridSpan w:val="4"/>
            <w:vMerge w:val="continue"/>
          </w:tcPr>
          <w:p>
            <w:pPr>
              <w:spacing w:after="0"/>
              <w:rPr>
                <w:sz w:val="16"/>
                <w:szCs w:val="16"/>
                <w:color w:val="auto"/>
              </w:rPr>
            </w:pPr>
          </w:p>
        </w:tc>
        <w:tc>
          <w:tcPr>
            <w:tcW w:w="10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800" w:type="dxa"/>
            <w:vAlign w:val="bottom"/>
            <w:gridSpan w:val="4"/>
          </w:tcPr>
          <w:p>
            <w:pPr>
              <w:ind w:left="20"/>
              <w:spacing w:after="0" w:line="172" w:lineRule="exact"/>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780" w:type="dxa"/>
            <w:vAlign w:val="bottom"/>
            <w:gridSpan w:val="3"/>
          </w:tcPr>
          <w:p>
            <w:pPr>
              <w:ind w:left="120"/>
              <w:spacing w:after="0" w:line="197" w:lineRule="exact"/>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gridSpan w:val="3"/>
          </w:tcPr>
          <w:p>
            <w:pPr>
              <w:ind w:left="120"/>
              <w:spacing w:after="0" w:line="228"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(1)</w:t>
            </w:r>
          </w:p>
        </w:tc>
        <w:tc>
          <w:tcPr>
            <w:tcW w:w="160" w:type="dxa"/>
            <w:vAlign w:val="bottom"/>
            <w:vMerge w:val="continue"/>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780" w:type="dxa"/>
            <w:vAlign w:val="bottom"/>
            <w:gridSpan w:val="3"/>
          </w:tcPr>
          <w:p>
            <w:pPr>
              <w:ind w:left="120"/>
              <w:spacing w:after="0" w:line="182" w:lineRule="exact"/>
              <w:rPr>
                <w:sz w:val="20"/>
                <w:szCs w:val="20"/>
                <w:color w:val="auto"/>
              </w:rPr>
            </w:pPr>
            <w:r>
              <w:rPr>
                <w:rFonts w:ascii="Times New Roman" w:cs="Times New Roman" w:eastAsia="Times New Roman" w:hAnsi="Times New Roman"/>
                <w:sz w:val="18"/>
                <w:szCs w:val="18"/>
                <w:color w:val="auto"/>
              </w:rPr>
              <w:t>Commodity derivative</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780" w:type="dxa"/>
            <w:vAlign w:val="bottom"/>
            <w:gridSpan w:val="3"/>
          </w:tcPr>
          <w:p>
            <w:pPr>
              <w:ind w:left="120"/>
              <w:spacing w:after="0" w:line="228" w:lineRule="exact"/>
              <w:rPr>
                <w:sz w:val="20"/>
                <w:szCs w:val="20"/>
                <w:color w:val="auto"/>
              </w:rPr>
            </w:pPr>
            <w:r>
              <w:rPr>
                <w:rFonts w:ascii="Times New Roman" w:cs="Times New Roman" w:eastAsia="Times New Roman" w:hAnsi="Times New Roman"/>
                <w:sz w:val="18"/>
                <w:szCs w:val="18"/>
                <w:color w:val="auto"/>
              </w:rPr>
              <w:t>contracts</w:t>
            </w:r>
            <w:r>
              <w:rPr>
                <w:rFonts w:ascii="Times New Roman" w:cs="Times New Roman" w:eastAsia="Times New Roman" w:hAnsi="Times New Roman"/>
                <w:sz w:val="22"/>
                <w:szCs w:val="22"/>
                <w:color w:val="auto"/>
                <w:vertAlign w:val="superscript"/>
              </w:rPr>
              <w:t>(2)</w:t>
            </w:r>
          </w:p>
        </w:tc>
        <w:tc>
          <w:tcPr>
            <w:tcW w:w="1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780" w:type="dxa"/>
            <w:vAlign w:val="bottom"/>
            <w:gridSpan w:val="3"/>
          </w:tcPr>
          <w:p>
            <w:pPr>
              <w:ind w:left="120"/>
              <w:spacing w:after="0" w:line="186" w:lineRule="exact"/>
              <w:rPr>
                <w:sz w:val="20"/>
                <w:szCs w:val="20"/>
                <w:color w:val="auto"/>
              </w:rPr>
            </w:pPr>
            <w:r>
              <w:rPr>
                <w:rFonts w:ascii="Times New Roman" w:cs="Times New Roman" w:eastAsia="Times New Roman" w:hAnsi="Times New Roman"/>
                <w:sz w:val="18"/>
                <w:szCs w:val="18"/>
                <w:color w:val="auto"/>
              </w:rPr>
              <w:t>Deferred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780" w:type="dxa"/>
            <w:vAlign w:val="bottom"/>
            <w:gridSpan w:val="3"/>
          </w:tcPr>
          <w:p>
            <w:pPr>
              <w:ind w:left="120"/>
              <w:spacing w:after="0" w:line="177" w:lineRule="exact"/>
              <w:rPr>
                <w:sz w:val="20"/>
                <w:szCs w:val="20"/>
                <w:color w:val="auto"/>
              </w:rPr>
            </w:pPr>
            <w:r>
              <w:rPr>
                <w:rFonts w:ascii="Times New Roman" w:cs="Times New Roman" w:eastAsia="Times New Roman" w:hAnsi="Times New Roman"/>
                <w:sz w:val="18"/>
                <w:szCs w:val="18"/>
                <w:color w:val="auto"/>
              </w:rPr>
              <w:t>compensation</w:t>
            </w:r>
          </w:p>
        </w:tc>
        <w:tc>
          <w:tcPr>
            <w:tcW w:w="16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108</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780" w:type="dxa"/>
            <w:vAlign w:val="bottom"/>
            <w:gridSpan w:val="3"/>
          </w:tcPr>
          <w:p>
            <w:pPr>
              <w:ind w:left="120"/>
              <w:spacing w:after="0" w:line="225" w:lineRule="exact"/>
              <w:rPr>
                <w:sz w:val="20"/>
                <w:szCs w:val="20"/>
                <w:color w:val="auto"/>
              </w:rPr>
            </w:pPr>
            <w:r>
              <w:rPr>
                <w:rFonts w:ascii="Times New Roman" w:cs="Times New Roman" w:eastAsia="Times New Roman" w:hAnsi="Times New Roman"/>
                <w:sz w:val="18"/>
                <w:szCs w:val="18"/>
                <w:color w:val="auto"/>
              </w:rPr>
              <w:t>obligation</w:t>
            </w:r>
            <w:r>
              <w:rPr>
                <w:rFonts w:ascii="Times New Roman" w:cs="Times New Roman" w:eastAsia="Times New Roman" w:hAnsi="Times New Roman"/>
                <w:sz w:val="22"/>
                <w:szCs w:val="22"/>
                <w:color w:val="auto"/>
                <w:vertAlign w:val="superscript"/>
              </w:rPr>
              <w:t>(4)</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800" w:type="dxa"/>
            <w:vAlign w:val="bottom"/>
            <w:gridSpan w:val="4"/>
          </w:tcPr>
          <w:p>
            <w:pPr>
              <w:ind w:left="20"/>
              <w:spacing w:after="0" w:line="160" w:lineRule="exact"/>
              <w:rPr>
                <w:sz w:val="20"/>
                <w:szCs w:val="20"/>
                <w:color w:val="auto"/>
              </w:rPr>
            </w:pPr>
            <w:r>
              <w:rPr>
                <w:rFonts w:ascii="Times New Roman" w:cs="Times New Roman" w:eastAsia="Times New Roman" w:hAnsi="Times New Roman"/>
                <w:sz w:val="18"/>
                <w:szCs w:val="18"/>
                <w:color w:val="auto"/>
              </w:rPr>
              <w:t>Total liabilities at fair</w:t>
            </w:r>
          </w:p>
        </w:tc>
        <w:tc>
          <w:tcPr>
            <w:tcW w:w="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9"/>
        </w:trPr>
        <w:tc>
          <w:tcPr>
            <w:tcW w:w="1800" w:type="dxa"/>
            <w:vAlign w:val="bottom"/>
            <w:gridSpan w:val="4"/>
          </w:tcPr>
          <w:p>
            <w:pPr>
              <w:ind w:left="20"/>
              <w:spacing w:after="0" w:line="204" w:lineRule="exact"/>
              <w:rPr>
                <w:sz w:val="20"/>
                <w:szCs w:val="20"/>
                <w:color w:val="auto"/>
              </w:rPr>
            </w:pPr>
            <w:r>
              <w:rPr>
                <w:rFonts w:ascii="Times New Roman" w:cs="Times New Roman" w:eastAsia="Times New Roman" w:hAnsi="Times New Roman"/>
                <w:sz w:val="18"/>
                <w:szCs w:val="18"/>
                <w:color w:val="auto"/>
              </w:rPr>
              <w:t>value</w:t>
            </w:r>
          </w:p>
        </w:tc>
        <w:tc>
          <w:tcPr>
            <w:tcW w:w="160" w:type="dxa"/>
            <w:vAlign w:val="bottom"/>
            <w:tcBorders>
              <w:bottom w:val="single" w:sz="8" w:color="auto"/>
            </w:tcBorders>
            <w:vMerge w:val="continue"/>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500" w:type="dxa"/>
            <w:vAlign w:val="bottom"/>
          </w:tcPr>
          <w:p>
            <w:pPr>
              <w:spacing w:after="0"/>
              <w:rPr>
                <w:sz w:val="12"/>
                <w:szCs w:val="12"/>
                <w:color w:val="auto"/>
              </w:rPr>
            </w:pPr>
          </w:p>
        </w:tc>
        <w:tc>
          <w:tcPr>
            <w:tcW w:w="1820" w:type="dxa"/>
            <w:vAlign w:val="bottom"/>
            <w:gridSpan w:val="4"/>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October 27, 2024 Using</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4"/>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rPr>
              <w:t>July 28, 2024 Using</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500" w:type="dxa"/>
            <w:vAlign w:val="bottom"/>
          </w:tcPr>
          <w:p>
            <w:pPr>
              <w:spacing w:after="0"/>
              <w:rPr>
                <w:sz w:val="5"/>
                <w:szCs w:val="5"/>
                <w:color w:val="auto"/>
              </w:rPr>
            </w:pPr>
          </w:p>
        </w:tc>
        <w:tc>
          <w:tcPr>
            <w:tcW w:w="1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4"/>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8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2"/>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8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July 28, 2024</w:t>
            </w:r>
          </w:p>
        </w:tc>
        <w:tc>
          <w:tcPr>
            <w:tcW w:w="120" w:type="dxa"/>
            <w:vAlign w:val="bottom"/>
          </w:tcPr>
          <w:p>
            <w:pPr>
              <w:spacing w:after="0"/>
              <w:rPr>
                <w:sz w:val="16"/>
                <w:szCs w:val="16"/>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-7620</wp:posOffset>
            </wp:positionV>
            <wp:extent cx="7134860" cy="142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-142240</wp:posOffset>
            </wp:positionV>
            <wp:extent cx="220408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04085" cy="8255"/>
                    </a:xfrm>
                    <a:prstGeom prst="rect">
                      <a:avLst/>
                    </a:prstGeom>
                    <a:noFill/>
                  </pic:spPr>
                </pic:pic>
              </a:graphicData>
            </a:graphic>
          </wp:anchor>
        </w:drawing>
      </w:r>
    </w:p>
    <w:p>
      <w:pPr>
        <w:spacing w:after="0" w:line="370" w:lineRule="exact"/>
        <w:rPr>
          <w:sz w:val="20"/>
          <w:szCs w:val="20"/>
          <w:color w:val="auto"/>
        </w:rPr>
      </w:pPr>
    </w:p>
    <w:tbl>
      <w:tblPr>
        <w:tblLayout w:type="fixed"/>
        <w:tblInd w:w="520" w:type="dxa"/>
        <w:tblCellMar>
          <w:top w:w="0" w:type="dxa"/>
          <w:left w:w="0" w:type="dxa"/>
          <w:bottom w:w="0" w:type="dxa"/>
          <w:right w:w="0" w:type="dxa"/>
        </w:tblCellMar>
      </w:tblPr>
      <w:tr>
        <w:trPr>
          <w:trHeight w:val="233"/>
        </w:trPr>
        <w:tc>
          <w:tcPr>
            <w:tcW w:w="8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20"/>
                <w:szCs w:val="20"/>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3"/>
          </w:tcPr>
          <w:p>
            <w:pPr>
              <w:jc w:val="right"/>
              <w:ind w:right="292"/>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1"/>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411"/>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0"/>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w:t>
            </w:r>
          </w:p>
        </w:tc>
        <w:tc>
          <w:tcPr>
            <w:tcW w:w="46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9"/>
        </w:trPr>
        <w:tc>
          <w:tcPr>
            <w:tcW w:w="36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w:t>
            </w: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-2103755</wp:posOffset>
            </wp:positionH>
            <wp:positionV relativeFrom="paragraph">
              <wp:posOffset>-967105</wp:posOffset>
            </wp:positionV>
            <wp:extent cx="7134860" cy="260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260985"/>
                    </a:xfrm>
                    <a:prstGeom prst="rect">
                      <a:avLst/>
                    </a:prstGeom>
                    <a:noFill/>
                  </pic:spPr>
                </pic:pic>
              </a:graphicData>
            </a:graphic>
          </wp:anchor>
        </w:drawing>
        <w:drawing>
          <wp:anchor simplePos="0" relativeHeight="251657728" behindDoc="1" locked="0" layoutInCell="0" allowOverlap="1">
            <wp:simplePos x="0" y="0"/>
            <wp:positionH relativeFrom="column">
              <wp:posOffset>-2103755</wp:posOffset>
            </wp:positionH>
            <wp:positionV relativeFrom="paragraph">
              <wp:posOffset>-445135</wp:posOffset>
            </wp:positionV>
            <wp:extent cx="7134860" cy="269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269240"/>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-33020</wp:posOffset>
            </wp:positionV>
            <wp:extent cx="6896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9610" cy="825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-7620</wp:posOffset>
            </wp:positionV>
            <wp:extent cx="6896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961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 w:type="dxa"/>
            <w:vAlign w:val="bottom"/>
          </w:tcPr>
          <w:p>
            <w:pPr>
              <w:spacing w:after="0"/>
              <w:rPr>
                <w:sz w:val="13"/>
                <w:szCs w:val="13"/>
                <w:color w:val="auto"/>
              </w:rPr>
            </w:pPr>
          </w:p>
        </w:tc>
        <w:tc>
          <w:tcPr>
            <w:tcW w:w="18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2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 Measurements at</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500" w:type="dxa"/>
            <w:vAlign w:val="bottom"/>
          </w:tcPr>
          <w:p>
            <w:pPr>
              <w:spacing w:after="0"/>
              <w:rPr>
                <w:sz w:val="12"/>
                <w:szCs w:val="12"/>
                <w:color w:val="auto"/>
              </w:rPr>
            </w:pPr>
          </w:p>
        </w:tc>
        <w:tc>
          <w:tcPr>
            <w:tcW w:w="182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October 27, 2024 Using</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8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60" w:type="dxa"/>
            <w:vAlign w:val="bottom"/>
            <w:gridSpan w:val="4"/>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July 28, 2024 Using</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6"/>
        </w:trPr>
        <w:tc>
          <w:tcPr>
            <w:tcW w:w="500" w:type="dxa"/>
            <w:vAlign w:val="bottom"/>
          </w:tcPr>
          <w:p>
            <w:pPr>
              <w:spacing w:after="0"/>
              <w:rPr>
                <w:sz w:val="5"/>
                <w:szCs w:val="5"/>
                <w:color w:val="auto"/>
              </w:rPr>
            </w:pPr>
          </w:p>
        </w:tc>
        <w:tc>
          <w:tcPr>
            <w:tcW w:w="182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Hierarchy</w:t>
            </w: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560" w:type="dxa"/>
            <w:vAlign w:val="bottom"/>
            <w:gridSpan w:val="4"/>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Fair Value Hierarchy</w:t>
            </w: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500" w:type="dxa"/>
            <w:vAlign w:val="bottom"/>
          </w:tcPr>
          <w:p>
            <w:pPr>
              <w:spacing w:after="0"/>
              <w:rPr>
                <w:sz w:val="10"/>
                <w:szCs w:val="10"/>
                <w:color w:val="auto"/>
              </w:rPr>
            </w:pPr>
          </w:p>
        </w:tc>
        <w:tc>
          <w:tcPr>
            <w:tcW w:w="1820" w:type="dxa"/>
            <w:vAlign w:val="bottom"/>
            <w:gridSpan w:val="4"/>
            <w:vMerge w:val="continue"/>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2"/>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as of</w:t>
            </w:r>
          </w:p>
        </w:tc>
        <w:tc>
          <w:tcPr>
            <w:tcW w:w="8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4"/>
            <w:vMerge w:val="continue"/>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3"/>
        </w:trPr>
        <w:tc>
          <w:tcPr>
            <w:tcW w:w="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July 28, 2024</w:t>
            </w:r>
          </w:p>
        </w:tc>
        <w:tc>
          <w:tcPr>
            <w:tcW w:w="100" w:type="dxa"/>
            <w:vAlign w:val="bottom"/>
          </w:tcPr>
          <w:p>
            <w:pPr>
              <w:spacing w:after="0"/>
              <w:rPr>
                <w:sz w:val="16"/>
                <w:szCs w:val="16"/>
                <w:color w:val="auto"/>
              </w:rPr>
            </w:pPr>
          </w:p>
        </w:tc>
        <w:tc>
          <w:tcPr>
            <w:tcW w:w="82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-7620</wp:posOffset>
            </wp:positionV>
            <wp:extent cx="7117715" cy="142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7715" cy="142875"/>
                    </a:xfrm>
                    <a:prstGeom prst="rect">
                      <a:avLst/>
                    </a:prstGeom>
                    <a:noFill/>
                  </pic:spPr>
                </pic:pic>
              </a:graphicData>
            </a:graphic>
          </wp:anchor>
        </w:drawing>
        <w:drawing>
          <wp:anchor simplePos="0" relativeHeight="251657728" behindDoc="1" locked="0" layoutInCell="0" allowOverlap="1">
            <wp:simplePos x="0" y="0"/>
            <wp:positionH relativeFrom="column">
              <wp:posOffset>-202565</wp:posOffset>
            </wp:positionH>
            <wp:positionV relativeFrom="paragraph">
              <wp:posOffset>-142240</wp:posOffset>
            </wp:positionV>
            <wp:extent cx="21958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95830" cy="8255"/>
                    </a:xfrm>
                    <a:prstGeom prst="rect">
                      <a:avLst/>
                    </a:prstGeom>
                    <a:noFill/>
                  </pic:spPr>
                </pic:pic>
              </a:graphicData>
            </a:graphic>
          </wp:anchor>
        </w:drawing>
      </w:r>
    </w:p>
    <w:p>
      <w:pPr>
        <w:spacing w:after="0" w:line="370" w:lineRule="exact"/>
        <w:rPr>
          <w:sz w:val="20"/>
          <w:szCs w:val="20"/>
          <w:color w:val="auto"/>
        </w:rPr>
      </w:pPr>
    </w:p>
    <w:tbl>
      <w:tblPr>
        <w:tblLayout w:type="fixed"/>
        <w:tblInd w:w="420" w:type="dxa"/>
        <w:tblCellMar>
          <w:top w:w="0" w:type="dxa"/>
          <w:left w:w="0" w:type="dxa"/>
          <w:bottom w:w="0" w:type="dxa"/>
          <w:right w:w="0" w:type="dxa"/>
        </w:tblCellMar>
      </w:tblPr>
      <w:tr>
        <w:trPr>
          <w:trHeight w:val="233"/>
        </w:trPr>
        <w:tc>
          <w:tcPr>
            <w:tcW w:w="920" w:type="dxa"/>
            <w:vAlign w:val="bottom"/>
            <w:gridSpan w:val="2"/>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20" w:type="dxa"/>
            <w:vAlign w:val="bottom"/>
          </w:tcPr>
          <w:p>
            <w:pPr>
              <w:spacing w:after="0"/>
              <w:rPr>
                <w:sz w:val="20"/>
                <w:szCs w:val="20"/>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180" w:type="dxa"/>
            <w:vAlign w:val="bottom"/>
            <w:gridSpan w:val="3"/>
          </w:tcPr>
          <w:p>
            <w:pPr>
              <w:jc w:val="right"/>
              <w:ind w:right="232"/>
              <w:spacing w:after="0"/>
              <w:rPr>
                <w:sz w:val="20"/>
                <w:szCs w:val="20"/>
                <w:color w:val="auto"/>
              </w:rPr>
            </w:pPr>
            <w:r>
              <w:rPr>
                <w:rFonts w:ascii="Times New Roman" w:cs="Times New Roman" w:eastAsia="Times New Roman" w:hAnsi="Times New Roman"/>
                <w:sz w:val="18"/>
                <w:szCs w:val="18"/>
                <w:color w:val="auto"/>
              </w:rPr>
              <w:t>—  $</w:t>
            </w:r>
          </w:p>
        </w:tc>
        <w:tc>
          <w:tcPr>
            <w:tcW w:w="1240" w:type="dxa"/>
            <w:vAlign w:val="bottom"/>
            <w:gridSpan w:val="3"/>
          </w:tcPr>
          <w:p>
            <w:pPr>
              <w:jc w:val="right"/>
              <w:ind w:right="272"/>
              <w:spacing w:after="0"/>
              <w:rPr>
                <w:sz w:val="20"/>
                <w:szCs w:val="20"/>
                <w:color w:val="auto"/>
              </w:rPr>
            </w:pPr>
            <w:r>
              <w:rPr>
                <w:rFonts w:ascii="Times New Roman" w:cs="Times New Roman" w:eastAsia="Times New Roman" w:hAnsi="Times New Roman"/>
                <w:sz w:val="18"/>
                <w:szCs w:val="18"/>
                <w:color w:val="auto"/>
              </w:rPr>
              <w:t>—  $</w:t>
            </w:r>
          </w:p>
        </w:tc>
        <w:tc>
          <w:tcPr>
            <w:tcW w:w="120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411"/>
        </w:trPr>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1</w:t>
            </w:r>
          </w:p>
        </w:tc>
        <w:tc>
          <w:tcPr>
            <w:tcW w:w="4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582"/>
        </w:trPr>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108</w:t>
            </w: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364"/>
        </w:trPr>
        <w:tc>
          <w:tcPr>
            <w:tcW w:w="44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109</w:t>
            </w: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w:t>
            </w:r>
          </w:p>
        </w:tc>
        <w:tc>
          <w:tcPr>
            <w:tcW w:w="120" w:type="dxa"/>
            <w:vAlign w:val="bottom"/>
          </w:tcPr>
          <w:p>
            <w:pPr>
              <w:spacing w:after="0"/>
              <w:rPr>
                <w:sz w:val="24"/>
                <w:szCs w:val="24"/>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3"/>
          </w:tcPr>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Pr>
          <w:p>
            <w:pPr>
              <w:spacing w:after="0"/>
              <w:rPr>
                <w:sz w:val="24"/>
                <w:szCs w:val="24"/>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4"/>
                <w:szCs w:val="24"/>
                <w:color w:val="auto"/>
              </w:rPr>
            </w:pPr>
          </w:p>
        </w:tc>
        <w:tc>
          <w:tcPr>
            <w:tcW w:w="48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480" w:type="dxa"/>
            <w:vAlign w:val="bottom"/>
          </w:tcPr>
          <w:p>
            <w:pPr>
              <w:jc w:val="right"/>
              <w:ind w:right="292"/>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-2095500</wp:posOffset>
            </wp:positionH>
            <wp:positionV relativeFrom="paragraph">
              <wp:posOffset>-908050</wp:posOffset>
            </wp:positionV>
            <wp:extent cx="7117715" cy="260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17715" cy="260985"/>
                    </a:xfrm>
                    <a:prstGeom prst="rect">
                      <a:avLst/>
                    </a:prstGeom>
                    <a:noFill/>
                  </pic:spPr>
                </pic:pic>
              </a:graphicData>
            </a:graphic>
          </wp:anchor>
        </w:drawing>
        <w:drawing>
          <wp:anchor simplePos="0" relativeHeight="251657728" behindDoc="1" locked="0" layoutInCell="0" allowOverlap="1">
            <wp:simplePos x="0" y="0"/>
            <wp:positionH relativeFrom="column">
              <wp:posOffset>-2095500</wp:posOffset>
            </wp:positionH>
            <wp:positionV relativeFrom="paragraph">
              <wp:posOffset>-276860</wp:posOffset>
            </wp:positionV>
            <wp:extent cx="7117715" cy="277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17715" cy="277495"/>
                    </a:xfrm>
                    <a:prstGeom prst="rect">
                      <a:avLst/>
                    </a:prstGeom>
                    <a:noFill/>
                  </pic:spPr>
                </pic:pic>
              </a:graphicData>
            </a:graphic>
          </wp:anchor>
        </w:drawing>
      </w:r>
    </w:p>
    <w:p>
      <w:pPr>
        <w:spacing w:after="0" w:line="306" w:lineRule="exact"/>
        <w:rPr>
          <w:sz w:val="20"/>
          <w:szCs w:val="20"/>
          <w:color w:val="auto"/>
        </w:rPr>
      </w:pPr>
    </w:p>
    <w:p>
      <w:pPr>
        <w:sectPr>
          <w:pgSz w:w="11900" w:h="16838" w:orient="portrait"/>
          <w:cols w:equalWidth="0" w:num="2">
            <w:col w:w="3100" w:space="220"/>
            <w:col w:w="7920"/>
          </w:cols>
          <w:pgMar w:left="320" w:top="969" w:right="339" w:bottom="1440" w:gutter="0" w:footer="0" w:header="0"/>
          <w:type w:val="continuous"/>
        </w:sectPr>
      </w:pPr>
    </w:p>
    <w:p>
      <w:pPr>
        <w:ind w:left="320" w:hanging="314"/>
        <w:spacing w:after="0"/>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observable market transactions of spot currency rates and forward rates.</w:t>
      </w:r>
    </w:p>
    <w:p>
      <w:pPr>
        <w:ind w:left="320" w:hanging="314"/>
        <w:spacing w:after="0" w:line="215" w:lineRule="auto"/>
        <w:tabs>
          <w:tab w:leader="none" w:pos="308"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Level 1 and 2 are based on quoted futures exchanges and on observable prices of futures and options transactions in the marketplace. Level 3 is based on unobservable inputs in which there is little or no market data, which requires management’s own assumptions within an internally developed model.</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2"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equity index swap rates.</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1"/>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Based on the fair value of the participants’ investments.</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type w:val="continuous"/>
        </w:sectPr>
      </w:pPr>
    </w:p>
    <w:bookmarkStart w:id="22" w:name="page23"/>
    <w:bookmarkEnd w:id="22"/>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changes in fair value of Level 3 assets and liabilities: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40" w:type="dxa"/>
            <w:vAlign w:val="bottom"/>
            <w:gridSpan w:val="3"/>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8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8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720" w:type="dxa"/>
            <w:vAlign w:val="bottom"/>
            <w:vMerge w:val="continue"/>
          </w:tcPr>
          <w:p>
            <w:pPr>
              <w:spacing w:after="0"/>
              <w:rPr>
                <w:sz w:val="16"/>
                <w:szCs w:val="16"/>
                <w:color w:val="auto"/>
              </w:rPr>
            </w:pPr>
          </w:p>
        </w:tc>
        <w:tc>
          <w:tcPr>
            <w:tcW w:w="12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2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25"/>
        </w:trPr>
        <w:tc>
          <w:tcPr>
            <w:tcW w:w="8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at beginning of year</w:t>
            </w:r>
          </w:p>
        </w:tc>
        <w:tc>
          <w:tcPr>
            <w:tcW w:w="34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5"/>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(losses)</w:t>
            </w:r>
          </w:p>
        </w:tc>
        <w:tc>
          <w:tcPr>
            <w:tcW w:w="340" w:type="dxa"/>
            <w:vAlign w:val="bottom"/>
          </w:tcPr>
          <w:p>
            <w:pPr>
              <w:spacing w:after="0"/>
              <w:rPr>
                <w:sz w:val="19"/>
                <w:szCs w:val="19"/>
                <w:color w:val="auto"/>
              </w:rPr>
            </w:pPr>
          </w:p>
        </w:tc>
        <w:tc>
          <w:tcPr>
            <w:tcW w:w="860" w:type="dxa"/>
            <w:vAlign w:val="bottom"/>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rPr>
              <w:t>(1)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jc w:val="center"/>
              <w:ind w:left="9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25"/>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Settlements</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515"/>
              <w:spacing w:after="0"/>
              <w:rPr>
                <w:sz w:val="20"/>
                <w:szCs w:val="20"/>
                <w:color w:val="auto"/>
              </w:rPr>
            </w:pPr>
            <w:r>
              <w:rPr>
                <w:rFonts w:ascii="Times New Roman" w:cs="Times New Roman" w:eastAsia="Times New Roman" w:hAnsi="Times New Roman"/>
                <w:sz w:val="18"/>
                <w:szCs w:val="18"/>
                <w:b w:val="1"/>
                <w:bCs w:val="1"/>
                <w:color w:val="auto"/>
              </w:rPr>
              <w:t>(2)</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center"/>
              <w:ind w:left="52"/>
              <w:spacing w:after="0"/>
              <w:rPr>
                <w:sz w:val="20"/>
                <w:szCs w:val="20"/>
                <w:color w:val="auto"/>
              </w:rPr>
            </w:pPr>
            <w:r>
              <w:rPr>
                <w:rFonts w:ascii="Times New Roman" w:cs="Times New Roman" w:eastAsia="Times New Roman" w:hAnsi="Times New Roman"/>
                <w:sz w:val="18"/>
                <w:szCs w:val="18"/>
                <w:color w:val="auto"/>
                <w:w w:val="95"/>
              </w:rPr>
              <w:t>(2)</w:t>
            </w:r>
          </w:p>
        </w:tc>
        <w:tc>
          <w:tcPr>
            <w:tcW w:w="0" w:type="dxa"/>
            <w:vAlign w:val="bottom"/>
          </w:tcPr>
          <w:p>
            <w:pPr>
              <w:spacing w:after="0"/>
              <w:rPr>
                <w:sz w:val="1"/>
                <w:szCs w:val="1"/>
                <w:color w:val="auto"/>
              </w:rPr>
            </w:pPr>
          </w:p>
        </w:tc>
      </w:tr>
      <w:tr>
        <w:trPr>
          <w:trHeight w:val="218"/>
        </w:trPr>
        <w:tc>
          <w:tcPr>
            <w:tcW w:w="8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at end of quarter</w:t>
            </w:r>
          </w:p>
        </w:tc>
        <w:tc>
          <w:tcPr>
            <w:tcW w:w="34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tcPr>
          <w:p>
            <w:pPr>
              <w:jc w:val="center"/>
              <w:ind w:left="92"/>
              <w:spacing w:after="0"/>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0"/>
        </w:trPr>
        <w:tc>
          <w:tcPr>
            <w:tcW w:w="8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carrying values of cash and cash equivalents, accounts receivable and accounts payable approximate fair value.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There were cash equivalents of $169 million at October 27, 2024 and $25 million at July 28, 2024. Cash equivalents represent fair value as these highly liquid investments have an original maturity of three months or less. Fair value of cash equivalents is based on Level 2 inputs.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The fair value of short- and long-term debt was $7.623 billion at October 27, 2024, and $6.866 billion at July 28, 2024. The carrying value was $7.917 billion at October 27, 2024, and $7.184 billion at July 28, 2024. The fair value of long-term debt is principally estimated using Level 2 inputs based on quoted market prices or pricing models using current market rates.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Share Repurchases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7"/>
          <w:szCs w:val="17"/>
          <w:color w:val="auto"/>
        </w:rPr>
        <w:t>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48"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During the three-month periods ended October 27, 2024 and October 29, 2023, we repurchased 1.098 million shares at a cost of $54 million and 679 thousand shares at a cost of $28 million, respectively, pursuant to our anti-dilutive share repurchase programs. As of October 27, 2024, approximately $206 million remained available under the September 2024 program and approximately $301 million remained available under the September 2021 program.</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Stock-based Compensation</w:t>
      </w:r>
    </w:p>
    <w:p>
      <w:pPr>
        <w:spacing w:after="0" w:line="100"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2025, we issued time-lapse restricted stock units, unrestricted stock, TSR performance restricted stock units and EPS performance restricted stock units. We last issued stock options and FCF performance restricted stock units in 2019.</w:t>
      </w:r>
    </w:p>
    <w:p>
      <w:pPr>
        <w:spacing w:after="0" w:line="61"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In connection with the Sovos Brands acquisition, in the third quarter of 2024, we issued 1.721 million time-lapse restricted stock units (Replacement units) in exchange for certain Sovos Brands restricted stock units and performance restricted stock units. The Replacement units are subject to the same terms and conditions of the original Sovos Brands restricted stock units and performance restricted stock units. Certain Replacement units were subject to accelerated vesting. The Replacement units had a total fair value of $74 million based on the quoted price of our stock on the acquisition date. The portion of Replacement units attributed to pre-combination service was $42 million, which was accounted for as part of consideration transferred and was recorded in Additional Paid-in Capital in our Consolidated Statements of Equity in the third quarter of 2024. See Note 3 for additional information. The portion of the Replacement units attributable to post-combination service will be recognized as stock-based compensation expense over the remaining vesting period.</w:t>
      </w:r>
    </w:p>
    <w:p>
      <w:pPr>
        <w:spacing w:after="0" w:line="5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determining stock-based compensation expense, we estimate forfeitures expected to occur. Total pre-tax stock-based compensation expense and tax-related benefits recognized in the Consolidated Statements of Earnings were as follows: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0" w:type="dxa"/>
            <w:vAlign w:val="bottom"/>
            <w:gridSpan w:val="6"/>
          </w:tcPr>
          <w:p>
            <w:pPr>
              <w:jc w:val="right"/>
              <w:ind w:right="60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820" w:type="dxa"/>
            <w:vAlign w:val="bottom"/>
            <w:vMerge w:val="continue"/>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20" w:type="dxa"/>
            <w:vAlign w:val="bottom"/>
          </w:tcPr>
          <w:p>
            <w:pPr>
              <w:spacing w:after="0"/>
              <w:rPr>
                <w:sz w:val="16"/>
                <w:szCs w:val="16"/>
                <w:color w:val="auto"/>
              </w:rPr>
            </w:pPr>
          </w:p>
        </w:tc>
        <w:tc>
          <w:tcPr>
            <w:tcW w:w="116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25"/>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1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6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3"/>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Tax-related benefits</w:t>
            </w: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463"/>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377"/>
        </w:trPr>
        <w:tc>
          <w:tcPr>
            <w:tcW w:w="4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The following table summarizes stock option activity:</w:t>
            </w: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8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160" w:type="dxa"/>
            <w:vAlign w:val="bottom"/>
            <w:gridSpan w:val="2"/>
          </w:tcPr>
          <w:p>
            <w:pPr>
              <w:jc w:val="center"/>
              <w:ind w:left="266"/>
              <w:spacing w:after="0" w:line="160" w:lineRule="exact"/>
              <w:rPr>
                <w:sz w:val="20"/>
                <w:szCs w:val="20"/>
                <w:color w:val="auto"/>
              </w:rPr>
            </w:pPr>
            <w:r>
              <w:rPr>
                <w:rFonts w:ascii="Times New Roman" w:cs="Times New Roman" w:eastAsia="Times New Roman" w:hAnsi="Times New Roman"/>
                <w:sz w:val="14"/>
                <w:szCs w:val="14"/>
                <w:b w:val="1"/>
                <w:bCs w:val="1"/>
                <w:color w:val="auto"/>
                <w:w w:val="99"/>
              </w:rPr>
              <w:t>Weighted-</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160" w:type="dxa"/>
            <w:vAlign w:val="bottom"/>
            <w:gridSpan w:val="2"/>
          </w:tcPr>
          <w:p>
            <w:pPr>
              <w:jc w:val="center"/>
              <w:ind w:left="286"/>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restart"/>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6"/>
        </w:trPr>
        <w:tc>
          <w:tcPr>
            <w:tcW w:w="48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center"/>
              <w:ind w:left="419"/>
              <w:spacing w:after="0" w:line="146" w:lineRule="exact"/>
              <w:rPr>
                <w:sz w:val="20"/>
                <w:szCs w:val="20"/>
                <w:color w:val="auto"/>
              </w:rPr>
            </w:pPr>
            <w:r>
              <w:rPr>
                <w:rFonts w:ascii="Times New Roman" w:cs="Times New Roman" w:eastAsia="Times New Roman" w:hAnsi="Times New Roman"/>
                <w:sz w:val="14"/>
                <w:szCs w:val="14"/>
                <w:b w:val="1"/>
                <w:bCs w:val="1"/>
                <w:color w:val="auto"/>
              </w:rPr>
              <w:t>Average</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left="266"/>
              <w:spacing w:after="0" w:line="146"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4820" w:type="dxa"/>
            <w:vAlign w:val="bottom"/>
          </w:tcPr>
          <w:p>
            <w:pPr>
              <w:spacing w:after="0"/>
              <w:rPr>
                <w:sz w:val="11"/>
                <w:szCs w:val="11"/>
                <w:color w:val="auto"/>
              </w:rPr>
            </w:pPr>
          </w:p>
        </w:tc>
        <w:tc>
          <w:tcPr>
            <w:tcW w:w="16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ind w:left="419"/>
              <w:spacing w:after="0" w:line="13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left="286"/>
              <w:spacing w:after="0" w:line="133" w:lineRule="exact"/>
              <w:rPr>
                <w:sz w:val="20"/>
                <w:szCs w:val="20"/>
                <w:color w:val="auto"/>
              </w:rPr>
            </w:pPr>
            <w:r>
              <w:rPr>
                <w:rFonts w:ascii="Times New Roman" w:cs="Times New Roman" w:eastAsia="Times New Roman" w:hAnsi="Times New Roman"/>
                <w:sz w:val="14"/>
                <w:szCs w:val="14"/>
                <w:b w:val="1"/>
                <w:bCs w:val="1"/>
                <w:color w:val="auto"/>
                <w:w w:val="99"/>
              </w:rPr>
              <w:t>Contractual</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center"/>
              <w:ind w:right="282"/>
              <w:spacing w:after="0" w:line="133"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93"/>
        </w:trPr>
        <w:tc>
          <w:tcPr>
            <w:tcW w:w="4820" w:type="dxa"/>
            <w:vAlign w:val="bottom"/>
          </w:tcPr>
          <w:p>
            <w:pPr>
              <w:spacing w:after="0"/>
              <w:rPr>
                <w:sz w:val="16"/>
                <w:szCs w:val="16"/>
                <w:color w:val="auto"/>
              </w:rPr>
            </w:pPr>
          </w:p>
        </w:tc>
        <w:tc>
          <w:tcPr>
            <w:tcW w:w="1620" w:type="dxa"/>
            <w:vAlign w:val="bottom"/>
            <w:gridSpan w:val="2"/>
            <w:vMerge w:val="continue"/>
          </w:tcPr>
          <w:p>
            <w:pPr>
              <w:spacing w:after="0"/>
              <w:rPr>
                <w:sz w:val="16"/>
                <w:szCs w:val="16"/>
                <w:color w:val="auto"/>
              </w:rPr>
            </w:pPr>
          </w:p>
        </w:tc>
        <w:tc>
          <w:tcPr>
            <w:tcW w:w="1040" w:type="dxa"/>
            <w:vAlign w:val="bottom"/>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w w:val="99"/>
              </w:rPr>
              <w:t>Life</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1"/>
        </w:trPr>
        <w:tc>
          <w:tcPr>
            <w:tcW w:w="4820" w:type="dxa"/>
            <w:vAlign w:val="bottom"/>
          </w:tcPr>
          <w:p>
            <w:pPr>
              <w:spacing w:after="0"/>
              <w:rPr>
                <w:sz w:val="16"/>
                <w:szCs w:val="16"/>
                <w:color w:val="auto"/>
              </w:rPr>
            </w:pPr>
          </w:p>
        </w:tc>
        <w:tc>
          <w:tcPr>
            <w:tcW w:w="1520" w:type="dxa"/>
            <w:vAlign w:val="bottom"/>
            <w:tcBorders>
              <w:top w:val="single" w:sz="8" w:color="auto"/>
            </w:tcBorders>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Borders>
              <w:top w:val="single" w:sz="8" w:color="auto"/>
            </w:tcBorders>
            <w:gridSpan w:val="2"/>
          </w:tcPr>
          <w:p>
            <w:pPr>
              <w:jc w:val="center"/>
              <w:ind w:left="266"/>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center"/>
              <w:ind w:right="302"/>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3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July 28, 2024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Terminated</w:t>
            </w:r>
          </w:p>
        </w:tc>
        <w:tc>
          <w:tcPr>
            <w:tcW w:w="1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October 27, 2024</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40" w:type="dxa"/>
            <w:vAlign w:val="bottom"/>
            <w:tcBorders>
              <w:top w:val="single" w:sz="8" w:color="CCEEFF"/>
              <w:bottom w:val="single" w:sz="8" w:color="auto"/>
            </w:tcBorders>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520" w:type="dxa"/>
            <w:vAlign w:val="bottom"/>
            <w:tcBorders>
              <w:top w:val="single" w:sz="8" w:color="CCEEFF"/>
              <w:bottom w:val="single" w:sz="8" w:color="auto"/>
            </w:tcBorders>
            <w:shd w:val="clear" w:color="auto" w:fill="CCEEFF"/>
          </w:tcPr>
          <w:p>
            <w:pPr>
              <w:spacing w:after="0"/>
              <w:rPr>
                <w:sz w:val="20"/>
                <w:szCs w:val="20"/>
                <w:color w:val="auto"/>
              </w:rPr>
            </w:pPr>
          </w:p>
        </w:tc>
        <w:tc>
          <w:tcPr>
            <w:tcW w:w="640" w:type="dxa"/>
            <w:vAlign w:val="bottom"/>
            <w:tcBorders>
              <w:top w:val="single" w:sz="8" w:color="CCEEFF"/>
              <w:bottom w:val="single" w:sz="8" w:color="auto"/>
            </w:tcBorders>
            <w:shd w:val="clear" w:color="auto" w:fill="CCEEFF"/>
          </w:tcPr>
          <w:p>
            <w:pPr>
              <w:spacing w:after="0"/>
              <w:rPr>
                <w:sz w:val="20"/>
                <w:szCs w:val="20"/>
                <w:color w:val="auto"/>
              </w:rPr>
            </w:pPr>
          </w:p>
        </w:tc>
        <w:tc>
          <w:tcPr>
            <w:tcW w:w="3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auto"/>
            </w:tcBorders>
            <w:shd w:val="clear" w:color="auto" w:fill="CCEEFF"/>
          </w:tcPr>
          <w:p>
            <w:pPr>
              <w:spacing w:after="0"/>
              <w:rPr>
                <w:sz w:val="20"/>
                <w:szCs w:val="20"/>
                <w:color w:val="auto"/>
              </w:rPr>
            </w:pPr>
          </w:p>
        </w:tc>
        <w:tc>
          <w:tcPr>
            <w:tcW w:w="120" w:type="dxa"/>
            <w:vAlign w:val="bottom"/>
            <w:tcBorders>
              <w:top w:val="single" w:sz="8" w:color="CCEEFF"/>
              <w:bottom w:val="single" w:sz="8" w:color="auto"/>
            </w:tcBorders>
            <w:shd w:val="clear" w:color="auto" w:fill="CCEEFF"/>
          </w:tcPr>
          <w:p>
            <w:pPr>
              <w:spacing w:after="0"/>
              <w:rPr>
                <w:sz w:val="20"/>
                <w:szCs w:val="20"/>
                <w:color w:val="auto"/>
              </w:rPr>
            </w:pPr>
          </w:p>
        </w:tc>
        <w:tc>
          <w:tcPr>
            <w:tcW w:w="11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October 27, 2024</w:t>
            </w: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820" w:type="dxa"/>
            <w:vAlign w:val="bottom"/>
            <w:vMerge w:val="continue"/>
          </w:tcPr>
          <w:p>
            <w:pPr>
              <w:spacing w:after="0"/>
              <w:rPr>
                <w:sz w:val="17"/>
                <w:szCs w:val="17"/>
                <w:color w:val="auto"/>
              </w:rPr>
            </w:pPr>
          </w:p>
        </w:tc>
        <w:tc>
          <w:tcPr>
            <w:tcW w:w="15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779</w:t>
            </w:r>
          </w:p>
        </w:tc>
        <w:tc>
          <w:tcPr>
            <w:tcW w:w="10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839"/>
              <w:spacing w:after="0" w:line="198" w:lineRule="exact"/>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98"/>
              </w:rPr>
              <w:t>45.33</w:t>
            </w:r>
          </w:p>
        </w:tc>
        <w:tc>
          <w:tcPr>
            <w:tcW w:w="120" w:type="dxa"/>
            <w:vAlign w:val="bottom"/>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No options were exercised during the three-month period ended October 29, 2023. We measured the fair value of stock options using the Black-Scholes option pricing model.</w:t>
      </w:r>
    </w:p>
    <w:p>
      <w:pPr>
        <w:spacing w:after="0" w:line="31"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expensed stock options on a straight-line basis over the vesting period, except for awards issued to retirement eligible participants, which we expensed on an accelerated basis. As of January 2022, compensation related to stock options was fully expensed.</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time-lapse restricted stock units and EPS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tcPr>
          <w:p>
            <w:pPr>
              <w:spacing w:after="0"/>
              <w:rPr>
                <w:sz w:val="13"/>
                <w:szCs w:val="13"/>
                <w:color w:val="auto"/>
              </w:rPr>
            </w:pPr>
          </w:p>
        </w:tc>
        <w:tc>
          <w:tcPr>
            <w:tcW w:w="1860" w:type="dxa"/>
            <w:vAlign w:val="bottom"/>
            <w:gridSpan w:val="2"/>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76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91"/>
        </w:trPr>
        <w:tc>
          <w:tcPr>
            <w:tcW w:w="7620" w:type="dxa"/>
            <w:vAlign w:val="bottom"/>
          </w:tcPr>
          <w:p>
            <w:pPr>
              <w:spacing w:after="0"/>
              <w:rPr>
                <w:sz w:val="16"/>
                <w:szCs w:val="16"/>
                <w:color w:val="auto"/>
              </w:rPr>
            </w:pPr>
          </w:p>
        </w:tc>
        <w:tc>
          <w:tcPr>
            <w:tcW w:w="1760" w:type="dxa"/>
            <w:vAlign w:val="bottom"/>
            <w:tcBorders>
              <w:top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28, 2024</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w:t>
            </w:r>
          </w:p>
        </w:tc>
        <w:tc>
          <w:tcPr>
            <w:tcW w:w="0" w:type="dxa"/>
            <w:vAlign w:val="bottom"/>
          </w:tcPr>
          <w:p>
            <w:pPr>
              <w:spacing w:after="0"/>
              <w:rPr>
                <w:sz w:val="1"/>
                <w:szCs w:val="1"/>
                <w:color w:val="auto"/>
              </w:rPr>
            </w:pPr>
          </w:p>
        </w:tc>
      </w:tr>
      <w:tr>
        <w:trPr>
          <w:trHeight w:val="225"/>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w:t>
            </w:r>
          </w:p>
        </w:tc>
        <w:tc>
          <w:tcPr>
            <w:tcW w:w="0" w:type="dxa"/>
            <w:vAlign w:val="bottom"/>
          </w:tcPr>
          <w:p>
            <w:pPr>
              <w:spacing w:after="0"/>
              <w:rPr>
                <w:sz w:val="1"/>
                <w:szCs w:val="1"/>
                <w:color w:val="auto"/>
              </w:rPr>
            </w:pPr>
          </w:p>
        </w:tc>
      </w:tr>
      <w:tr>
        <w:trPr>
          <w:trHeight w:val="22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0" w:type="dxa"/>
            <w:vAlign w:val="bottom"/>
          </w:tcPr>
          <w:p>
            <w:pPr>
              <w:spacing w:after="0"/>
              <w:rPr>
                <w:sz w:val="1"/>
                <w:szCs w:val="1"/>
                <w:color w:val="auto"/>
              </w:rPr>
            </w:pPr>
          </w:p>
        </w:tc>
      </w:tr>
      <w:tr>
        <w:trPr>
          <w:trHeight w:val="225"/>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243"/>
        </w:trPr>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27, 2024</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45.47</w:t>
            </w:r>
          </w:p>
        </w:tc>
        <w:tc>
          <w:tcPr>
            <w:tcW w:w="0" w:type="dxa"/>
            <w:vAlign w:val="bottom"/>
          </w:tcPr>
          <w:p>
            <w:pPr>
              <w:spacing w:after="0"/>
              <w:rPr>
                <w:sz w:val="1"/>
                <w:szCs w:val="1"/>
                <w:color w:val="auto"/>
              </w:rPr>
            </w:pP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determine the fair value of time-lapse restricted stock units based on the quoted price of our stock at the date of grant. We expense time-lapse restricted stock units on a straight-line basis over the vesting period, except for awards issued to retirement-eligible participants and certain Replacement units, which we expense on an accelerated basis.</w:t>
      </w:r>
    </w:p>
    <w:p>
      <w:pPr>
        <w:spacing w:after="0" w:line="59"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Since 2022, we have granted EPS performance restricted stock units that will be earned upon the achievement of our adjusted EPS compound annual growth rate goal, measured over a three-year period. The actual number of EPS performance restricted stock units issued at the vesting date could range from 0% to 200% of the initial grant depending on actual performance achieved. The fair value of EPS performance restricted stock units is based upon the quoted price of our stock at the date of grant. We expense EPS performance restricted stock units on a straight-line basis over the service period, except for awards issued to retirement-eligible participants, which we expense on an accelerated basis. We estimate expense based on the number of awards expected to vest. In the first quarter of 2025, recipients of EPS performance restricted stock units earned 100% of the initial grants based upon actual performance achieved during a three-year period ended July 28, 2024. There were 946 thousand EPS performance target grants outstanding at October 27, 2024, with a weighted-average grant-date fair value of $45.39. In connection with the divestiture of our Pop Secret popcorn business, in the first quarter of 2025, our adjusted EPS compound annual growth rate goals for the EPS performance restricted stock units granted in 2024 and 2023 were revised to equitably adjust for the impact of the completed divestiture that was not contemplated at the time of approval of the original targets.</w:t>
      </w:r>
    </w:p>
    <w:p>
      <w:pPr>
        <w:spacing w:after="0" w:line="7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October 27, 2024, total remaining unearned compensation related to nonvested time-lapse restricted stock units and EPS performance restricted stock units was $98 million, which will be amortized over the weighted-average remaining service period of 1.9 years. The fair value of restricted stock units vested during the three-month periods ended October 27, 2024, and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10" w:right="339" w:bottom="1440" w:gutter="0" w:footer="0" w:header="0"/>
        </w:sectPr>
      </w:pPr>
    </w:p>
    <w:bookmarkStart w:id="24" w:name="page25"/>
    <w:bookmarkEnd w:id="24"/>
    <w:p>
      <w:pPr>
        <w:jc w:val="both"/>
        <w:spacing w:after="0" w:line="274" w:lineRule="auto"/>
        <w:rPr>
          <w:sz w:val="20"/>
          <w:szCs w:val="20"/>
          <w:color w:val="auto"/>
        </w:rPr>
      </w:pPr>
      <w:r>
        <w:rPr>
          <w:rFonts w:ascii="Times New Roman" w:cs="Times New Roman" w:eastAsia="Times New Roman" w:hAnsi="Times New Roman"/>
          <w:sz w:val="18"/>
          <w:szCs w:val="18"/>
          <w:color w:val="auto"/>
        </w:rPr>
        <w:t>October 29, 2023, was $59 million and $30 million, respectively. The weighted-average grant-date fair value of the restricted stock units granted during the three-month period ended October 29, 2023 was $41.09.</w:t>
      </w:r>
    </w:p>
    <w:p>
      <w:pPr>
        <w:spacing w:after="0" w:line="3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TSR performance restricted stock units activity: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1740" w:type="dxa"/>
            <w:vAlign w:val="bottom"/>
            <w:gridSpan w:val="3"/>
            <w:vMerge w:val="restart"/>
          </w:tcPr>
          <w:p>
            <w:pPr>
              <w:ind w:left="66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Weighted-Average Grant-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740" w:type="dxa"/>
            <w:vAlign w:val="bottom"/>
            <w:gridSpan w:val="3"/>
            <w:vMerge w:val="continue"/>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gridSpan w:val="2"/>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820" w:type="dxa"/>
            <w:vAlign w:val="bottom"/>
          </w:tcPr>
          <w:p>
            <w:pPr>
              <w:spacing w:after="0"/>
              <w:rPr>
                <w:sz w:val="16"/>
                <w:szCs w:val="16"/>
                <w:color w:val="auto"/>
              </w:rPr>
            </w:pPr>
          </w:p>
        </w:tc>
        <w:tc>
          <w:tcPr>
            <w:tcW w:w="1640" w:type="dxa"/>
            <w:vAlign w:val="bottom"/>
            <w:tcBorders>
              <w:top w:val="single" w:sz="8" w:color="auto"/>
            </w:tcBorders>
            <w:gridSpan w:val="2"/>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July 28, 2024</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19"/>
                <w:szCs w:val="19"/>
                <w:color w:val="auto"/>
              </w:rPr>
            </w:pPr>
          </w:p>
        </w:tc>
        <w:tc>
          <w:tcPr>
            <w:tcW w:w="30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Nonvested at October 27, 2024</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560" w:type="dxa"/>
            <w:vAlign w:val="bottom"/>
            <w:gridSpan w:val="4"/>
          </w:tcPr>
          <w:p>
            <w:pPr>
              <w:ind w:left="320"/>
              <w:spacing w:after="0"/>
              <w:rPr>
                <w:sz w:val="20"/>
                <w:szCs w:val="20"/>
                <w:color w:val="auto"/>
              </w:rPr>
            </w:pPr>
            <w:r>
              <w:rPr>
                <w:rFonts w:ascii="Times New Roman" w:cs="Times New Roman" w:eastAsia="Times New Roman" w:hAnsi="Times New Roman"/>
                <w:sz w:val="18"/>
                <w:szCs w:val="18"/>
                <w:color w:val="auto"/>
              </w:rPr>
              <w:t>We estimated the fair value of TSR performance restricted stock units at the grant date using a Monte Carlo simulation.</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2"/>
        </w:trPr>
        <w:tc>
          <w:tcPr>
            <w:tcW w:w="78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Assumptions used in the Monte Carlo simulation were as follows:</w:t>
            </w: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20" w:type="dxa"/>
            <w:vAlign w:val="bottom"/>
          </w:tcPr>
          <w:p>
            <w:pPr>
              <w:spacing w:after="0"/>
              <w:rPr>
                <w:sz w:val="17"/>
                <w:szCs w:val="17"/>
                <w:color w:val="auto"/>
              </w:rPr>
            </w:pPr>
          </w:p>
        </w:tc>
        <w:tc>
          <w:tcPr>
            <w:tcW w:w="1640" w:type="dxa"/>
            <w:vAlign w:val="bottom"/>
            <w:gridSpan w:val="2"/>
          </w:tcPr>
          <w:p>
            <w:pPr>
              <w:jc w:val="center"/>
              <w:ind w:left="1077"/>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40" w:type="dxa"/>
            <w:vAlign w:val="bottom"/>
            <w:gridSpan w:val="2"/>
          </w:tcPr>
          <w:p>
            <w:pPr>
              <w:jc w:val="center"/>
              <w:ind w:left="5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78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b w:val="1"/>
                <w:bCs w:val="1"/>
                <w:color w:val="auto"/>
              </w:rPr>
              <w:t>3.52%</w:t>
            </w:r>
          </w:p>
        </w:tc>
        <w:tc>
          <w:tcPr>
            <w:tcW w:w="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4.84%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740" w:type="dxa"/>
            <w:vAlign w:val="bottom"/>
            <w:gridSpan w:val="3"/>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rPr>
              <w:t>3.01%</w:t>
            </w:r>
          </w:p>
        </w:tc>
        <w:tc>
          <w:tcPr>
            <w:tcW w:w="300" w:type="dxa"/>
            <w:vAlign w:val="bottom"/>
          </w:tcPr>
          <w:p>
            <w:pPr>
              <w:spacing w:after="0"/>
              <w:rPr>
                <w:sz w:val="19"/>
                <w:szCs w:val="19"/>
                <w:color w:val="auto"/>
              </w:rPr>
            </w:pPr>
          </w:p>
        </w:tc>
        <w:tc>
          <w:tcPr>
            <w:tcW w:w="1340" w:type="dxa"/>
            <w:vAlign w:val="bottom"/>
            <w:gridSpan w:val="2"/>
          </w:tcPr>
          <w:p>
            <w:pPr>
              <w:jc w:val="center"/>
              <w:ind w:left="76"/>
              <w:spacing w:after="0"/>
              <w:rPr>
                <w:sz w:val="20"/>
                <w:szCs w:val="20"/>
                <w:color w:val="auto"/>
              </w:rPr>
            </w:pPr>
            <w:r>
              <w:rPr>
                <w:rFonts w:ascii="Times New Roman" w:cs="Times New Roman" w:eastAsia="Times New Roman" w:hAnsi="Times New Roman"/>
                <w:sz w:val="18"/>
                <w:szCs w:val="18"/>
                <w:color w:val="auto"/>
                <w:w w:val="98"/>
              </w:rPr>
              <w:t>3.54%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740" w:type="dxa"/>
            <w:vAlign w:val="bottom"/>
            <w:gridSpan w:val="3"/>
            <w:shd w:val="clear" w:color="auto" w:fill="CCEEFF"/>
          </w:tcPr>
          <w:p>
            <w:pPr>
              <w:jc w:val="center"/>
              <w:ind w:left="997"/>
              <w:spacing w:after="0"/>
              <w:rPr>
                <w:sz w:val="20"/>
                <w:szCs w:val="20"/>
                <w:color w:val="auto"/>
              </w:rPr>
            </w:pPr>
            <w:r>
              <w:rPr>
                <w:rFonts w:ascii="Times New Roman" w:cs="Times New Roman" w:eastAsia="Times New Roman" w:hAnsi="Times New Roman"/>
                <w:sz w:val="18"/>
                <w:szCs w:val="18"/>
                <w:b w:val="1"/>
                <w:bCs w:val="1"/>
                <w:color w:val="auto"/>
                <w:w w:val="99"/>
              </w:rPr>
              <w:t>22.46%</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left="76"/>
              <w:spacing w:after="0"/>
              <w:rPr>
                <w:sz w:val="20"/>
                <w:szCs w:val="20"/>
                <w:color w:val="auto"/>
              </w:rPr>
            </w:pPr>
            <w:r>
              <w:rPr>
                <w:rFonts w:ascii="Times New Roman" w:cs="Times New Roman" w:eastAsia="Times New Roman" w:hAnsi="Times New Roman"/>
                <w:sz w:val="18"/>
                <w:szCs w:val="18"/>
                <w:color w:val="auto"/>
                <w:w w:val="97"/>
              </w:rPr>
              <w:t>22.16%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w:t>
            </w:r>
          </w:p>
        </w:tc>
        <w:tc>
          <w:tcPr>
            <w:tcW w:w="780" w:type="dxa"/>
            <w:vAlign w:val="bottom"/>
          </w:tcPr>
          <w:p>
            <w:pPr>
              <w:spacing w:after="0"/>
              <w:rPr>
                <w:sz w:val="20"/>
                <w:szCs w:val="20"/>
                <w:color w:val="auto"/>
              </w:rPr>
            </w:pPr>
          </w:p>
        </w:tc>
        <w:tc>
          <w:tcPr>
            <w:tcW w:w="9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3 years</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We recognize compensation expense on a straight-line basis over the service period, except for awards issued to retirement eligible participants, which we expense on an accelerated basis. As of October 27, 2024, total remaining unearned compensation related to TSR performance restricted stock units was $23 million, which will be amortized over the weighted-average remaining service period of 1.9 years. In the first quarter of 2025, recipients of TSR performance restricted stock units earned 175% of the initial grants based upon our TSR ranking in a performance peer group during a three-year period ended July 26, 2024. As a result, approximately 199 thousand additional shares were awarded. In the first quarter of 2024, recipients of TSR performance restricted stock units earned 75% of the initial grants based upon our TSR ranking in a performance peer group during a three-year period ended July 28, 2023. The fair value of TSR performance restricted stock units vested during the three-month periods ended October 27, 2024, and October 29, 2023, was $23 million and $12 million, respectively. The grant-date fair value of the TSR performance restricted stock units granted during the three-month period ended October 29, 2023, was $44.18.</w:t>
      </w:r>
    </w:p>
    <w:p>
      <w:pPr>
        <w:spacing w:after="0" w:line="146" w:lineRule="exact"/>
        <w:rPr>
          <w:sz w:val="20"/>
          <w:szCs w:val="20"/>
          <w:color w:val="auto"/>
        </w:rPr>
      </w:pPr>
    </w:p>
    <w:p>
      <w:pPr>
        <w:ind w:right="8460" w:firstLine="6"/>
        <w:spacing w:after="0" w:line="367" w:lineRule="auto"/>
        <w:tabs>
          <w:tab w:leader="none" w:pos="265"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i w:val="1"/>
          <w:iCs w:val="1"/>
          <w:color w:val="auto"/>
        </w:rPr>
        <w:t>Regulatory and Litigation Matters</w:t>
      </w: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6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 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53" w:lineRule="exact"/>
        <w:rPr>
          <w:sz w:val="20"/>
          <w:szCs w:val="20"/>
          <w:color w:val="auto"/>
        </w:rPr>
      </w:pPr>
    </w:p>
    <w:p>
      <w:pPr>
        <w:jc w:val="both"/>
        <w:ind w:firstLine="318"/>
        <w:spacing w:after="0" w:line="253" w:lineRule="auto"/>
        <w:rPr>
          <w:sz w:val="20"/>
          <w:szCs w:val="20"/>
          <w:color w:val="auto"/>
        </w:rPr>
      </w:pPr>
      <w:r>
        <w:rPr>
          <w:rFonts w:ascii="Times New Roman" w:cs="Times New Roman" w:eastAsia="Times New Roman" w:hAnsi="Times New Roman"/>
          <w:sz w:val="17"/>
          <w:szCs w:val="17"/>
          <w:color w:val="auto"/>
        </w:rPr>
        <w:t>On March 20, 2024, the United States Department of Justice (DOJ), on behalf of the U.S. Environmental Protection Agency, and National Education Law Center, on behalf of Environment America and Lake Erie Waterkeeper, filed lawsuits in the United States District Court for the Northern District of Ohio – Western Division concerning alleged violations of the Clean Water Act relating to alleged contaminant discharges from our Napoleon, Ohio wastewater treatment facility in excess of the facility’s Clean Water Act permit limits. We have and are continuing to take actions to remediate the exceedances and are in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25" w:name="page26"/>
    <w:bookmarkEnd w:id="25"/>
    <w:p>
      <w:pPr>
        <w:jc w:val="both"/>
        <w:spacing w:after="0" w:line="244" w:lineRule="auto"/>
        <w:rPr>
          <w:sz w:val="20"/>
          <w:szCs w:val="20"/>
          <w:color w:val="auto"/>
        </w:rPr>
      </w:pPr>
      <w:r>
        <w:rPr>
          <w:rFonts w:ascii="Times New Roman" w:cs="Times New Roman" w:eastAsia="Times New Roman" w:hAnsi="Times New Roman"/>
          <w:sz w:val="18"/>
          <w:szCs w:val="18"/>
          <w:color w:val="auto"/>
        </w:rPr>
        <w:t>settlement discussions with the DOJ and the private environmental groups. While we cannot predict with certainty the amount of any civil penalty or the timing of the resolution of this matter, we do not expect that the ultimate costs to resolve this matter will have a material adverse effect on our financial condition, results of operations, or cash flows.</w:t>
      </w:r>
    </w:p>
    <w:p>
      <w:pPr>
        <w:spacing w:after="0" w:line="58"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October 27, 2024.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Contingencies</w:t>
      </w:r>
    </w:p>
    <w:p>
      <w:pPr>
        <w:spacing w:after="0" w:line="100"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have provided certain indemnifications in connection with divestitures, contracts and other transactions. Certain indemnifications have finite expiration dates. Liabilities recognized based on known exposures related to such matters were not material at October 27,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Supplier Finance Program Obligations</w:t>
      </w:r>
    </w:p>
    <w:p>
      <w:pPr>
        <w:spacing w:after="0" w:line="100"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To manage our cash flow and related liquidity, we work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approximately $269 million at October 27, 2024 and $243 million July 28, 2024.</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19. Supplemental Financial Statement Data</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13"/>
                <w:szCs w:val="13"/>
                <w:color w:val="auto"/>
              </w:rPr>
            </w:pPr>
          </w:p>
        </w:tc>
        <w:tc>
          <w:tcPr>
            <w:tcW w:w="134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July 28,</w:t>
            </w:r>
          </w:p>
        </w:tc>
        <w:tc>
          <w:tcPr>
            <w:tcW w:w="0" w:type="dxa"/>
            <w:vAlign w:val="bottom"/>
          </w:tcPr>
          <w:p>
            <w:pPr>
              <w:spacing w:after="0"/>
              <w:rPr>
                <w:sz w:val="1"/>
                <w:szCs w:val="1"/>
                <w:color w:val="auto"/>
              </w:rPr>
            </w:pPr>
          </w:p>
        </w:tc>
      </w:tr>
      <w:tr>
        <w:trPr>
          <w:trHeight w:val="191"/>
        </w:trPr>
        <w:tc>
          <w:tcPr>
            <w:tcW w:w="8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4"/>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1"/>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Balance Sheets</w:t>
            </w: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Raw materials, containers and supplies</w:t>
            </w:r>
          </w:p>
        </w:tc>
        <w:tc>
          <w:tcPr>
            <w:tcW w:w="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0" w:type="dxa"/>
            <w:vAlign w:val="bottom"/>
          </w:tcPr>
          <w:p>
            <w:pPr>
              <w:spacing w:after="0"/>
              <w:rPr>
                <w:sz w:val="1"/>
                <w:szCs w:val="1"/>
                <w:color w:val="auto"/>
              </w:rPr>
            </w:pPr>
          </w:p>
        </w:tc>
      </w:tr>
      <w:tr>
        <w:trPr>
          <w:trHeight w:val="225"/>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Finished products</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947</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43"/>
        </w:trPr>
        <w:tc>
          <w:tcPr>
            <w:tcW w:w="84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1,413</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8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gridSpan w:val="6"/>
          </w:tcPr>
          <w:p>
            <w:pPr>
              <w:jc w:val="right"/>
              <w:ind w:right="63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4"/>
        </w:trPr>
        <w:tc>
          <w:tcPr>
            <w:tcW w:w="84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8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0" w:type="dxa"/>
            <w:vAlign w:val="bottom"/>
          </w:tcPr>
          <w:p>
            <w:pPr>
              <w:spacing w:after="0"/>
              <w:rPr>
                <w:sz w:val="1"/>
                <w:szCs w:val="1"/>
                <w:color w:val="auto"/>
              </w:rPr>
            </w:pPr>
          </w:p>
        </w:tc>
      </w:tr>
      <w:tr>
        <w:trPr>
          <w:trHeight w:val="212"/>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Statements of Earnings</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expenses / (income)</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Amortization of intangible assets</w:t>
            </w:r>
            <w:r>
              <w:rPr>
                <w:rFonts w:ascii="Times New Roman" w:cs="Times New Roman" w:eastAsia="Times New Roman" w:hAnsi="Times New Roman"/>
                <w:sz w:val="22"/>
                <w:szCs w:val="22"/>
                <w:color w:val="auto"/>
                <w:vertAlign w:val="superscript"/>
              </w:rPr>
              <w:t>(1)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20</w:t>
            </w:r>
          </w:p>
        </w:tc>
        <w:tc>
          <w:tcPr>
            <w:tcW w:w="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periodic benefit expense (income) other than the service cost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line="225" w:lineRule="exact"/>
              <w:rPr>
                <w:sz w:val="20"/>
                <w:szCs w:val="20"/>
                <w:color w:val="auto"/>
              </w:rPr>
            </w:pPr>
            <w:r>
              <w:rPr>
                <w:rFonts w:ascii="Times New Roman" w:cs="Times New Roman" w:eastAsia="Times New Roman" w:hAnsi="Times New Roman"/>
                <w:sz w:val="18"/>
                <w:szCs w:val="18"/>
                <w:color w:val="auto"/>
              </w:rPr>
              <w:t>Costs associated with acquisition</w:t>
            </w:r>
            <w:r>
              <w:rPr>
                <w:rFonts w:ascii="Times New Roman" w:cs="Times New Roman" w:eastAsia="Times New Roman" w:hAnsi="Times New Roman"/>
                <w:sz w:val="22"/>
                <w:szCs w:val="22"/>
                <w:color w:val="auto"/>
                <w:vertAlign w:val="superscript"/>
              </w:rPr>
              <w:t>(2)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3"/>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line="225" w:lineRule="exact"/>
              <w:rPr>
                <w:sz w:val="20"/>
                <w:szCs w:val="20"/>
                <w:color w:val="auto"/>
              </w:rPr>
            </w:pPr>
            <w:r>
              <w:rPr>
                <w:rFonts w:ascii="Times New Roman" w:cs="Times New Roman" w:eastAsia="Times New Roman" w:hAnsi="Times New Roman"/>
                <w:sz w:val="18"/>
                <w:szCs w:val="18"/>
                <w:color w:val="auto"/>
              </w:rPr>
              <w:t>Loss on sale of business</w:t>
            </w:r>
            <w:r>
              <w:rPr>
                <w:rFonts w:ascii="Times New Roman" w:cs="Times New Roman" w:eastAsia="Times New Roman" w:hAnsi="Times New Roman"/>
                <w:sz w:val="22"/>
                <w:szCs w:val="22"/>
                <w:color w:val="auto"/>
                <w:vertAlign w:val="superscript"/>
              </w:rPr>
              <w:t>(3)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ind w:left="940"/>
              <w:spacing w:after="0"/>
              <w:rPr>
                <w:sz w:val="20"/>
                <w:szCs w:val="20"/>
                <w:color w:val="auto"/>
              </w:rPr>
            </w:pPr>
            <w:r>
              <w:rPr>
                <w:rFonts w:ascii="Times New Roman" w:cs="Times New Roman" w:eastAsia="Times New Roman" w:hAnsi="Times New Roman"/>
                <w:sz w:val="18"/>
                <w:szCs w:val="18"/>
                <w:b w:val="1"/>
                <w:bCs w:val="1"/>
                <w:color w:val="auto"/>
              </w:rPr>
              <w:t>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Transition services fees</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3"/>
          </w:tcPr>
          <w:p>
            <w:pPr>
              <w:ind w:left="94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84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bottom w:val="single" w:sz="8" w:color="auto"/>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b w:val="1"/>
                <w:bCs w:val="1"/>
                <w:color w:val="auto"/>
              </w:rPr>
              <w:t>43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w:t>
      </w:r>
    </w:p>
    <w:p>
      <w:pPr>
        <w:spacing w:after="0" w:line="58" w:lineRule="exact"/>
        <w:rPr>
          <w:sz w:val="20"/>
          <w:szCs w:val="20"/>
          <w:color w:val="auto"/>
        </w:rPr>
      </w:pPr>
    </w:p>
    <w:p>
      <w:pPr>
        <w:ind w:left="320" w:hanging="314"/>
        <w:spacing w:after="0" w:line="225" w:lineRule="auto"/>
        <w:tabs>
          <w:tab w:leader="none" w:pos="308"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accelerated amortization expense related to customer relationship intangible assets of $7 million in the three-month periods ended October 27, 2024 and October 29, 2023.</w:t>
      </w:r>
    </w:p>
    <w:p>
      <w:pPr>
        <w:spacing w:after="0" w:line="1" w:lineRule="exact"/>
        <w:rPr>
          <w:rFonts w:ascii="Times New Roman" w:cs="Times New Roman" w:eastAsia="Times New Roman" w:hAnsi="Times New Roman"/>
          <w:sz w:val="23"/>
          <w:szCs w:val="23"/>
          <w:color w:val="auto"/>
          <w:vertAlign w:val="superscript"/>
        </w:rPr>
      </w:pPr>
    </w:p>
    <w:p>
      <w:pPr>
        <w:ind w:left="320" w:hanging="314"/>
        <w:spacing w:after="0"/>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Related to the acquisition of Sovos Brands. See Note 3 for additional information.</w:t>
      </w:r>
    </w:p>
    <w:p>
      <w:pPr>
        <w:spacing w:after="0" w:line="53" w:lineRule="exact"/>
        <w:rPr>
          <w:rFonts w:ascii="Times New Roman" w:cs="Times New Roman" w:eastAsia="Times New Roman" w:hAnsi="Times New Roman"/>
          <w:sz w:val="23"/>
          <w:szCs w:val="23"/>
          <w:color w:val="auto"/>
          <w:vertAlign w:val="superscript"/>
        </w:rPr>
      </w:pPr>
    </w:p>
    <w:p>
      <w:pPr>
        <w:ind w:left="320" w:hanging="314"/>
        <w:spacing w:after="0" w:line="191" w:lineRule="auto"/>
        <w:tabs>
          <w:tab w:leader="none" w:pos="320" w:val="left"/>
        </w:tabs>
        <w:numPr>
          <w:ilvl w:val="0"/>
          <w:numId w:val="2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Related to the sale of our Pop Secret popcorn business. See Note 4 for additional information.</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20. Subsequent Event</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November 2024, we entered into an agreement to sell our noosa yoghurt business for $200 million, subject to certain customary purchase price adjustments. The closing of the transaction is subject to certain customary conditions, including regulatory approval. In connection with the sale, we will provide certain transition services to support the business.</w:t>
      </w:r>
    </w:p>
    <w:p>
      <w:pPr>
        <w:spacing w:after="0" w:line="5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noosa yoghurt business was purchased as part of the Sovos Brands acquisition. Net sales of the business were $68 million in 2024. Earnings were not material in 2024. The results of the business are reflected within the Meals &amp; Beverages segment.</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047" w:right="339" w:bottom="1440" w:gutter="0" w:footer="0" w:header="0"/>
        </w:sectPr>
      </w:pPr>
    </w:p>
    <w:bookmarkStart w:id="27" w:name="page28"/>
    <w:bookmarkEnd w:id="27"/>
    <w:p>
      <w:pPr>
        <w:ind w:right="4100"/>
        <w:spacing w:after="0" w:line="347"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 xml:space="preserve"> OVERVIEW</w:t>
      </w:r>
    </w:p>
    <w:p>
      <w:pPr>
        <w:spacing w:after="0" w:line="2"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Statements," and our Form 10-K for the year ended July 28, 2024, including but not limited to "Part I - Item 1A. Risk Factors" and "Part II - Item 7. Management's Discussion and Analysis of Financial Condition and Results of Operations."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89"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Unless otherwise stated, the terms "we," "us," "our" and the "company" refer to The Campbell's Company, formerly known as Campbell Soup Company, and its consolidated subsidiaries.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are a manufacturer and marketer of high-quality, branded food and beverage products. We operate in a highly competitive industry and experience competition in all of our categories.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Inc. (Sovos Brands) for total purchase consideration of $2.899 billion. For additional information on the Sovos Brands acquisition, see Note 3 to the Consolidated Financial Statements. All references to the acquisition below refer to the Sovos Brands acquisition.</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On August 26, 2024, we completed the sale of our Pop Secret popcorn business. For additional information on the divestiture, see Note 4 to the Consolidated Financial Statements.</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November 2024, we entered into an agreement to sell our noosa yoghurt business for $200 million, subject to certain customary purchase price adjustments. The closing of the transaction is subject to certain customary conditions, including regulatory approval. For additional information on the divestiture, see Note 20 to the Consolidated Financial Statements.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Trends</w:t>
      </w:r>
    </w:p>
    <w:p>
      <w:pPr>
        <w:spacing w:after="0" w:line="87"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Our industry continues to navigate a steady and ongoing recovery in light of supply chain disruptions, commodity cost volatility, changes in consumer purchasing and spending patterns, labor market issues, economic uncertainties and impacts of a change in administration as a result of the 2024 presidential election and other global macroeconomic challenges. Through the first quarter, we continued to experience some moderation in input cost inflation, as we continue to see improvement across certain ingredients and packaging materials. We anticipate continued supply chain productivity and benefits from cost savings initiatives to mitigate some of the inflationary pressures and expect such benefits to offset incremental costs in 2025. We expect consumer trends to continue to evolve and our volumes to improve over time; however, economic pressures on consumers, including the challenges of persistent inflation, may continue to negatively impact our volumes throughout 2025. We will continue to evaluate the evolving macroeconomic environment to take action to mitigate the impact on our business, consolidated results of operations and financial condition.</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Name Change</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November 19, 2024, at the 2024 Annual Meeting of Shareholders of the company, our shareholders approved an amendment to the company’s Restated Certificate of Incorporation to change the company’s name from “Campbell Soup Company” to “The Campbell’s Company.” The company’s name change became effective on November 19, 2024.</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Results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Summary of Results provides significant highlights from the discussion and analysis that follows.</w:t>
      </w:r>
    </w:p>
    <w:p>
      <w:pPr>
        <w:spacing w:after="0" w:line="98" w:lineRule="exact"/>
        <w:rPr>
          <w:sz w:val="20"/>
          <w:szCs w:val="20"/>
          <w:color w:val="auto"/>
        </w:rPr>
      </w:pPr>
    </w:p>
    <w:p>
      <w:pPr>
        <w:ind w:left="640" w:hanging="316"/>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sales increased 10% in the quarter to $2.772 billion primarily due to a 12-point benefit from the acquisition of Sovos Brands.</w:t>
      </w:r>
    </w:p>
    <w:p>
      <w:pPr>
        <w:spacing w:after="0" w:line="84"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as a percent of sales, was 31.3% in 2025 and the prior-year quarter. The performance reflected benefits from supply chain productivity improvements and mark-to-market adjustments on outstanding undesignated commodity hedges offset by the impact of cost inflation and other supply chain costs, unfavorable net price realization and the impact of the acquisition.</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were $.72 in 2025, compared to $.78 in the prior-year quarter. The current quarter included expenses of $.16 per share and the prior-year quarter included expenses of $.13 per share from items impacting comparability as discussed below.</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i w:val="1"/>
          <w:iCs w:val="1"/>
          <w:color w:val="auto"/>
        </w:rPr>
        <w:t>Net Earnings attributable to The Campbell's Company</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items impacted the comparability of net earnings and net earnings per share:</w:t>
      </w:r>
    </w:p>
    <w:p>
      <w:pPr>
        <w:spacing w:after="0" w:line="98" w:lineRule="exact"/>
        <w:rPr>
          <w:sz w:val="20"/>
          <w:szCs w:val="20"/>
          <w:color w:val="auto"/>
        </w:rPr>
      </w:pPr>
    </w:p>
    <w:p>
      <w:pPr>
        <w:jc w:val="both"/>
        <w:ind w:left="640" w:hanging="316"/>
        <w:spacing w:after="0" w:line="25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implemented several cost savings initiatives in recent years. In the first quarter of 2025, we recorded Restructuring charges of $6 million and implementation costs and other related costs of $11 million in Administrative expenses, $8 million in Cost of products sold, $1 million in Marketing and selling expenses and $1 million in Research and development expenses related to these initiatives. In the first quarter of 2024, we recorded Restructuring charges of $2 million and implementation costs and other related costs of $5 million in Administrative expenses, $3 million in Cost of products sold, $2 million in Marketing and selling expenses and $1 million in Research and development expenses (aggregate impact of $10 million after tax, or $0.03 per share) related to these initiatives.</w:t>
      </w:r>
    </w:p>
    <w:p>
      <w:pPr>
        <w:spacing w:after="0" w:line="65" w:lineRule="exact"/>
        <w:rPr>
          <w:rFonts w:ascii="Times New Roman" w:cs="Times New Roman" w:eastAsia="Times New Roman" w:hAnsi="Times New Roman"/>
          <w:sz w:val="18"/>
          <w:szCs w:val="18"/>
          <w:color w:val="auto"/>
        </w:rPr>
      </w:pPr>
    </w:p>
    <w:p>
      <w:pPr>
        <w:ind w:left="640"/>
        <w:spacing w:after="0" w:line="27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second quarter of 2024, we began implementation of an optimization initiative to improve the effectiveness of our Snacks direct-store-delivery route-to-market network. In the first quarter of 2025, we recognized $8 million in Marketing and selling expenses related to this initiative.</w:t>
      </w:r>
    </w:p>
    <w:p>
      <w:pPr>
        <w:spacing w:after="0" w:line="30" w:lineRule="exact"/>
        <w:rPr>
          <w:rFonts w:ascii="Times New Roman" w:cs="Times New Roman" w:eastAsia="Times New Roman" w:hAnsi="Times New Roman"/>
          <w:sz w:val="18"/>
          <w:szCs w:val="18"/>
          <w:color w:val="auto"/>
        </w:rPr>
      </w:pPr>
    </w:p>
    <w:p>
      <w:pPr>
        <w:jc w:val="both"/>
        <w:ind w:left="640"/>
        <w:spacing w:after="0" w:line="25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the total aggregate impact related to the cost savings and optimization initiatives was $35 million ($27 million after tax, or $0.09 per share). See Note 8 to the Consolidated Financial Statements and "Restructuring Charges, Cost Savings Initiatives and Other Optimization Initiatives" for additional information;</w:t>
      </w:r>
    </w:p>
    <w:p>
      <w:pPr>
        <w:spacing w:after="0" w:line="58"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recognized gains in Cost of products sold of $4 million ($3 million after tax, or $.01 per share) associated with unrealized mark-to-market adjustments on outstanding undesignated commodity hedges. In the first quarter of 2024, we recognized losses in Cost of products sold of $15 million ($11 million after tax, or $.04 per share) associated with unrealized mark-to-market adjustments on outstanding undesignated commodity hedges;</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and 2024, we recorded accelerated amortization expense in Other expenses / (income) of $7 million ($5 million after tax, or $.02 per share) related to customer relationship intangible assets due to the loss of certain contract manufacturing customers, which began in the fourth quarter of 2023;</w:t>
      </w:r>
    </w:p>
    <w:p>
      <w:pPr>
        <w:spacing w:after="0" w:line="45" w:lineRule="exact"/>
        <w:rPr>
          <w:rFonts w:ascii="Times New Roman" w:cs="Times New Roman" w:eastAsia="Times New Roman" w:hAnsi="Times New Roman"/>
          <w:sz w:val="18"/>
          <w:szCs w:val="18"/>
          <w:color w:val="auto"/>
        </w:rPr>
      </w:pPr>
    </w:p>
    <w:p>
      <w:pPr>
        <w:jc w:val="both"/>
        <w:ind w:left="640" w:hanging="316"/>
        <w:spacing w:after="0" w:line="25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recognized insurance recoveries in Administrative expenses of $1 million ($1 million after tax) related to a cybersecurity incident that was identified in the fourth quarter of 2023. In the first quarter of 2024, we recorded costs of $2 million in Cost of products sold and $1 million in Administrative expenses (aggregate impact of $2 million after tax, or $.01 per share) related to the cybersecurity incident;</w:t>
      </w:r>
    </w:p>
    <w:p>
      <w:pPr>
        <w:spacing w:after="0" w:line="61" w:lineRule="exact"/>
        <w:rPr>
          <w:rFonts w:ascii="Times New Roman" w:cs="Times New Roman" w:eastAsia="Times New Roman" w:hAnsi="Times New Roman"/>
          <w:sz w:val="18"/>
          <w:szCs w:val="18"/>
          <w:color w:val="auto"/>
        </w:rPr>
      </w:pPr>
    </w:p>
    <w:p>
      <w:pPr>
        <w:jc w:val="both"/>
        <w:ind w:left="640" w:hanging="316"/>
        <w:spacing w:after="0" w:line="259"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recorded litigation expenses in Administrative expenses of $1 million ($1 million after tax) related to the Plum baby food and snacks business (Plum), which was divested on May 3, 2021, and certain other litigation matters. In the first quarter of 2024, we recorded litigation expenses in Administrative expenses of $2 million ($2 million after tax, or $.01 per share) related to Plum;</w:t>
      </w:r>
    </w:p>
    <w:p>
      <w:pPr>
        <w:spacing w:after="0" w:line="58"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recognized an actuarial loss in Other expenses / (income) of $2 million ($1 million after tax) related to an interim remeasurement of our postretirement plan due to a plan amendment;</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2025, we recorded a loss in Other expenses / (income) of $25 million ($19 million after tax, or $.06 per share) on the sale of our Pop Secret popcorn business;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2024, we announced our intent to acquire Sovos Brands and on March 12, 2024, the acquisition closed. In the first quarter of 2024, we incurred costs associated with the acquisition in Other expenses / (income) of $9 million ($8 million after tax, or $.03 per share).</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5" w:right="339" w:bottom="1440" w:gutter="0" w:footer="0" w:header="0"/>
        </w:sectPr>
      </w:pPr>
    </w:p>
    <w:bookmarkStart w:id="29" w:name="page30"/>
    <w:bookmarkEnd w:id="29"/>
    <w:p>
      <w:pPr>
        <w:ind w:left="320"/>
        <w:spacing w:after="0"/>
        <w:rPr>
          <w:sz w:val="20"/>
          <w:szCs w:val="20"/>
          <w:color w:val="auto"/>
        </w:rPr>
      </w:pPr>
      <w:r>
        <w:rPr>
          <w:rFonts w:ascii="Times New Roman" w:cs="Times New Roman" w:eastAsia="Times New Roman" w:hAnsi="Times New Roman"/>
          <w:sz w:val="18"/>
          <w:szCs w:val="18"/>
          <w:color w:val="auto"/>
        </w:rPr>
        <w:t>The items impacting comparability are summarized below:</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4"/>
        </w:trPr>
        <w:tc>
          <w:tcPr>
            <w:tcW w:w="69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4"/>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October 29, 2023</w:t>
            </w:r>
          </w:p>
        </w:tc>
      </w:tr>
      <w:tr>
        <w:trPr>
          <w:trHeight w:val="161"/>
        </w:trPr>
        <w:tc>
          <w:tcPr>
            <w:tcW w:w="6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EPS</w:t>
            </w:r>
          </w:p>
        </w:tc>
        <w:tc>
          <w:tcPr>
            <w:tcW w:w="18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200" w:type="dxa"/>
            <w:vAlign w:val="bottom"/>
          </w:tcPr>
          <w:p>
            <w:pPr>
              <w:spacing w:after="0"/>
              <w:rPr>
                <w:sz w:val="13"/>
                <w:szCs w:val="13"/>
                <w:color w:val="auto"/>
              </w:rPr>
            </w:pPr>
          </w:p>
        </w:tc>
        <w:tc>
          <w:tcPr>
            <w:tcW w:w="800" w:type="dxa"/>
            <w:vAlign w:val="bottom"/>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EPS</w:t>
            </w:r>
          </w:p>
        </w:tc>
      </w:tr>
      <w:tr>
        <w:trPr>
          <w:trHeight w:val="212"/>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8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Impact</w:t>
            </w:r>
          </w:p>
        </w:tc>
        <w:tc>
          <w:tcPr>
            <w:tcW w:w="200" w:type="dxa"/>
            <w:vAlign w:val="bottom"/>
          </w:tcPr>
          <w:p>
            <w:pPr>
              <w:spacing w:after="0"/>
              <w:rPr>
                <w:sz w:val="18"/>
                <w:szCs w:val="18"/>
                <w:color w:val="auto"/>
              </w:rPr>
            </w:pPr>
          </w:p>
        </w:tc>
        <w:tc>
          <w:tcPr>
            <w:tcW w:w="9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80" w:type="dxa"/>
            <w:vAlign w:val="bottom"/>
          </w:tcPr>
          <w:p>
            <w:pPr>
              <w:spacing w:after="0"/>
              <w:rPr>
                <w:sz w:val="18"/>
                <w:szCs w:val="18"/>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200" w:type="dxa"/>
            <w:vAlign w:val="bottom"/>
          </w:tcPr>
          <w:p>
            <w:pPr>
              <w:spacing w:after="0"/>
              <w:rPr>
                <w:sz w:val="18"/>
                <w:szCs w:val="18"/>
                <w:color w:val="auto"/>
              </w:rPr>
            </w:pPr>
          </w:p>
        </w:tc>
        <w:tc>
          <w:tcPr>
            <w:tcW w:w="8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Impact</w:t>
            </w:r>
          </w:p>
        </w:tc>
      </w:tr>
      <w:tr>
        <w:trPr>
          <w:trHeight w:val="24"/>
        </w:trPr>
        <w:tc>
          <w:tcPr>
            <w:tcW w:w="69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3"/>
        </w:trPr>
        <w:tc>
          <w:tcPr>
            <w:tcW w:w="6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attributable to The Campbell's Company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12"/>
        </w:trPr>
        <w:tc>
          <w:tcPr>
            <w:tcW w:w="6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cost savings and optimization initiatives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Commodity mark-to-market gains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Accelerated amortization</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Cybersecurity incident recoveries (costs)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Certain litigation expenses</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actuarial losses</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Charges associated with divestiture</w:t>
            </w:r>
          </w:p>
        </w:tc>
        <w:tc>
          <w:tcPr>
            <w:tcW w:w="1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associated with acquisition</w:t>
            </w:r>
          </w:p>
        </w:tc>
        <w:tc>
          <w:tcPr>
            <w:tcW w:w="1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43"/>
        </w:trPr>
        <w:tc>
          <w:tcPr>
            <w:tcW w:w="6940" w:type="dxa"/>
            <w:vAlign w:val="bottom"/>
            <w:tcBorders>
              <w:top w:val="single" w:sz="8" w:color="CCEEFF"/>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Impact of items on Net earnings</w:t>
            </w:r>
            <w:r>
              <w:rPr>
                <w:rFonts w:ascii="Times New Roman" w:cs="Times New Roman" w:eastAsia="Times New Roman" w:hAnsi="Times New Roman"/>
                <w:sz w:val="22"/>
                <w:szCs w:val="22"/>
                <w:color w:val="auto"/>
                <w:vertAlign w:val="superscript"/>
              </w:rPr>
              <w:t>(1)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Sum of the individual amounts may not add due to rounding.</w:t>
      </w:r>
    </w:p>
    <w:p>
      <w:pPr>
        <w:spacing w:after="0" w:line="6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Net earnings attributable to The Campbell's Company were $218 million ($.72 per share) in the current quarter, compared to $234 million ($.78 per share) in the year-ago quarter. After adjusting for items impacting comparability, earnings decreased primarily due to higher interest expense, higher marketing and selling expenses and higher administrative expenses, partially offset by an increase in gross profit.</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FIRST-QUARTER DISCUSSION AND ANALYSIS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net sales by reportable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80" w:type="dxa"/>
            <w:vAlign w:val="bottom"/>
            <w:gridSpan w:val="5"/>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5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5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1,706</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22</w:t>
            </w:r>
          </w:p>
        </w:tc>
        <w:tc>
          <w:tcPr>
            <w:tcW w:w="0" w:type="dxa"/>
            <w:vAlign w:val="bottom"/>
          </w:tcPr>
          <w:p>
            <w:pPr>
              <w:spacing w:after="0"/>
              <w:rPr>
                <w:sz w:val="1"/>
                <w:szCs w:val="1"/>
                <w:color w:val="auto"/>
              </w:rPr>
            </w:pPr>
          </w:p>
        </w:tc>
      </w:tr>
      <w:tr>
        <w:trPr>
          <w:trHeight w:val="225"/>
        </w:trPr>
        <w:tc>
          <w:tcPr>
            <w:tcW w:w="7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1,066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1020" w:type="dxa"/>
            <w:vAlign w:val="bottom"/>
            <w:tcBorders>
              <w:bottom w:val="single" w:sz="8" w:color="CCEEFF"/>
            </w:tcBorders>
            <w:gridSpan w:val="4"/>
          </w:tcPr>
          <w:p>
            <w:pPr>
              <w:jc w:val="center"/>
              <w:ind w:left="12"/>
              <w:spacing w:after="0"/>
              <w:rPr>
                <w:sz w:val="20"/>
                <w:szCs w:val="20"/>
                <w:color w:val="auto"/>
              </w:rPr>
            </w:pPr>
            <w:r>
              <w:rPr>
                <w:rFonts w:ascii="Times New Roman" w:cs="Times New Roman" w:eastAsia="Times New Roman" w:hAnsi="Times New Roman"/>
                <w:sz w:val="18"/>
                <w:szCs w:val="18"/>
                <w:color w:val="auto"/>
                <w:w w:val="95"/>
              </w:rPr>
              <w:t>(4)</w:t>
            </w:r>
          </w:p>
        </w:tc>
        <w:tc>
          <w:tcPr>
            <w:tcW w:w="0" w:type="dxa"/>
            <w:vAlign w:val="bottom"/>
          </w:tcPr>
          <w:p>
            <w:pPr>
              <w:spacing w:after="0"/>
              <w:rPr>
                <w:sz w:val="1"/>
                <w:szCs w:val="1"/>
                <w:color w:val="auto"/>
              </w:rPr>
            </w:pPr>
          </w:p>
        </w:tc>
      </w:tr>
      <w:tr>
        <w:trPr>
          <w:trHeight w:val="243"/>
        </w:trPr>
        <w:tc>
          <w:tcPr>
            <w:tcW w:w="75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2,772</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1020" w:type="dxa"/>
            <w:vAlign w:val="bottom"/>
            <w:tcBorders>
              <w:bottom w:val="single" w:sz="8" w:color="CCEEFF"/>
            </w:tcBorders>
            <w:gridSpan w:val="4"/>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An analysis of percent change of net sales by reportable segment follows: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75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500" w:type="dxa"/>
            <w:vAlign w:val="bottom"/>
          </w:tcPr>
          <w:p>
            <w:pPr>
              <w:spacing w:after="0"/>
              <w:rPr>
                <w:sz w:val="17"/>
                <w:szCs w:val="17"/>
                <w:color w:val="auto"/>
              </w:rPr>
            </w:pP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Meals &amp; Beverages</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Snacks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24"/>
        </w:trPr>
        <w:tc>
          <w:tcPr>
            <w:tcW w:w="7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Volume/mix</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9"/>
              </w:rPr>
              <w:t>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9"/>
              </w:rPr>
              <w:t>(1)%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Net price realization</w:t>
            </w:r>
            <w:r>
              <w:rPr>
                <w:rFonts w:ascii="Times New Roman" w:cs="Times New Roman" w:eastAsia="Times New Roman" w:hAnsi="Times New Roman"/>
                <w:sz w:val="22"/>
                <w:szCs w:val="22"/>
                <w:color w:val="auto"/>
                <w:vertAlign w:val="superscript"/>
              </w:rPr>
              <w:t>(1)</w:t>
            </w:r>
          </w:p>
        </w:tc>
        <w:tc>
          <w:tcPr>
            <w:tcW w:w="140" w:type="dxa"/>
            <w:vAlign w:val="bottom"/>
          </w:tcPr>
          <w:p>
            <w:pPr>
              <w:spacing w:after="0"/>
              <w:rPr>
                <w:sz w:val="19"/>
                <w:szCs w:val="19"/>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95"/>
              </w:rPr>
              <w:t>(1)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95"/>
              </w:rPr>
              <w:t>(1)</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Divestiture</w:t>
            </w:r>
          </w:p>
        </w:tc>
        <w:tc>
          <w:tcPr>
            <w:tcW w:w="14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5"/>
              </w:rPr>
              <w:t>(2)</w:t>
            </w:r>
          </w:p>
        </w:tc>
        <w:tc>
          <w:tcPr>
            <w:tcW w:w="1020" w:type="dxa"/>
            <w:vAlign w:val="bottom"/>
            <w:gridSpan w:val="4"/>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w:t>
            </w:r>
          </w:p>
        </w:tc>
        <w:tc>
          <w:tcPr>
            <w:tcW w:w="140" w:type="dxa"/>
            <w:vAlign w:val="bottom"/>
          </w:tcPr>
          <w:p>
            <w:pPr>
              <w:spacing w:after="0"/>
              <w:rPr>
                <w:sz w:val="19"/>
                <w:szCs w:val="19"/>
                <w:color w:val="auto"/>
              </w:rPr>
            </w:pPr>
          </w:p>
        </w:tc>
        <w:tc>
          <w:tcPr>
            <w:tcW w:w="1180" w:type="dxa"/>
            <w:vAlign w:val="bottom"/>
          </w:tcPr>
          <w:p>
            <w:pPr>
              <w:jc w:val="center"/>
              <w:ind w:right="55"/>
              <w:spacing w:after="0"/>
              <w:rPr>
                <w:sz w:val="20"/>
                <w:szCs w:val="20"/>
                <w:color w:val="auto"/>
              </w:rPr>
            </w:pPr>
            <w:r>
              <w:rPr>
                <w:rFonts w:ascii="Times New Roman" w:cs="Times New Roman" w:eastAsia="Times New Roman" w:hAnsi="Times New Roman"/>
                <w:sz w:val="18"/>
                <w:szCs w:val="18"/>
                <w:color w:val="auto"/>
                <w:w w:val="88"/>
              </w:rPr>
              <w:t>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center"/>
              <w:ind w:right="15"/>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tcPr>
          <w:p>
            <w:pPr>
              <w:jc w:val="center"/>
              <w:ind w:left="32"/>
              <w:spacing w:after="0"/>
              <w:rPr>
                <w:sz w:val="20"/>
                <w:szCs w:val="20"/>
                <w:color w:val="auto"/>
              </w:rPr>
            </w:pPr>
            <w:r>
              <w:rPr>
                <w:rFonts w:ascii="Times New Roman" w:cs="Times New Roman" w:eastAsia="Times New Roman" w:hAnsi="Times New Roman"/>
                <w:sz w:val="18"/>
                <w:szCs w:val="18"/>
                <w:color w:val="auto"/>
                <w:w w:val="99"/>
              </w:rPr>
              <w:t>12</w:t>
            </w:r>
          </w:p>
        </w:tc>
        <w:tc>
          <w:tcPr>
            <w:tcW w:w="0" w:type="dxa"/>
            <w:vAlign w:val="bottom"/>
          </w:tcPr>
          <w:p>
            <w:pPr>
              <w:spacing w:after="0"/>
              <w:rPr>
                <w:sz w:val="1"/>
                <w:szCs w:val="1"/>
                <w:color w:val="auto"/>
              </w:rPr>
            </w:pPr>
          </w:p>
        </w:tc>
      </w:tr>
      <w:tr>
        <w:trPr>
          <w:trHeight w:val="244"/>
        </w:trPr>
        <w:tc>
          <w:tcPr>
            <w:tcW w:w="75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center"/>
              <w:ind w:right="55"/>
              <w:spacing w:after="0"/>
              <w:rPr>
                <w:sz w:val="20"/>
                <w:szCs w:val="20"/>
                <w:color w:val="auto"/>
              </w:rPr>
            </w:pPr>
            <w:r>
              <w:rPr>
                <w:rFonts w:ascii="Times New Roman" w:cs="Times New Roman" w:eastAsia="Times New Roman" w:hAnsi="Times New Roman"/>
                <w:sz w:val="18"/>
                <w:szCs w:val="18"/>
                <w:color w:val="auto"/>
                <w:w w:val="96"/>
              </w:rPr>
              <w:t>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center"/>
              <w:ind w:right="15"/>
              <w:spacing w:after="0"/>
              <w:rPr>
                <w:sz w:val="20"/>
                <w:szCs w:val="20"/>
                <w:color w:val="auto"/>
              </w:rPr>
            </w:pPr>
            <w:r>
              <w:rPr>
                <w:rFonts w:ascii="Times New Roman" w:cs="Times New Roman" w:eastAsia="Times New Roman" w:hAnsi="Times New Roman"/>
                <w:sz w:val="18"/>
                <w:szCs w:val="18"/>
                <w:color w:val="auto"/>
                <w:w w:val="99"/>
              </w:rPr>
              <w:t>(4)%</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17" w:lineRule="exact"/>
        <w:rPr>
          <w:sz w:val="20"/>
          <w:szCs w:val="20"/>
          <w:color w:val="auto"/>
        </w:rPr>
      </w:pPr>
    </w:p>
    <w:p>
      <w:pPr>
        <w:ind w:left="320" w:hanging="314"/>
        <w:spacing w:after="0"/>
        <w:tabs>
          <w:tab w:leader="none" w:pos="320" w:val="left"/>
        </w:tabs>
        <w:numPr>
          <w:ilvl w:val="0"/>
          <w:numId w:val="2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revenue reductions from trade promotion and consumer coupon redemption programs.</w:t>
      </w:r>
    </w:p>
    <w:p>
      <w:pPr>
        <w:spacing w:after="0" w:line="80"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 xml:space="preserve">In Meals &amp; Beverages, sales increased 22%, primarily due to a 22-point benefit from the acquisition of Sovos Brands. Excluding the benefit from the acquisition of Sovos Brands, sales were comparable as gains in </w:t>
      </w:r>
      <w:r>
        <w:rPr>
          <w:rFonts w:ascii="Times New Roman" w:cs="Times New Roman" w:eastAsia="Times New Roman" w:hAnsi="Times New Roman"/>
          <w:sz w:val="18"/>
          <w:szCs w:val="18"/>
          <w:i w:val="1"/>
          <w:iCs w:val="1"/>
          <w:color w:val="auto"/>
        </w:rPr>
        <w:t>Prego</w:t>
      </w:r>
      <w:r>
        <w:rPr>
          <w:rFonts w:ascii="Times New Roman" w:cs="Times New Roman" w:eastAsia="Times New Roman" w:hAnsi="Times New Roman"/>
          <w:sz w:val="18"/>
          <w:szCs w:val="18"/>
          <w:color w:val="auto"/>
        </w:rPr>
        <w:t xml:space="preserve"> pasta sauces, Canada and foodservice were offset by declines in U.S. soup. Favorable volume/mix was offset by lower net price realization. Sales of U.S. soup decreased 4% primarily due to movements in retailer inventory levels influenced by the later timing of the Thanksgiving holiday this year.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0" w:name="page31"/>
    <w:bookmarkEnd w:id="30"/>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 xml:space="preserve">In Snacks, sales decreased 4%. Excluding the impact from the divestiture of the Pop Secret popcorn business, sales decreased due to declines in third-party partner brands and contract manufacturing, Pepperidge Farm cookies, </w:t>
      </w:r>
      <w:r>
        <w:rPr>
          <w:rFonts w:ascii="Times New Roman" w:cs="Times New Roman" w:eastAsia="Times New Roman" w:hAnsi="Times New Roman"/>
          <w:sz w:val="18"/>
          <w:szCs w:val="18"/>
          <w:i w:val="1"/>
          <w:iCs w:val="1"/>
          <w:color w:val="auto"/>
        </w:rPr>
        <w:t>Goldfish</w:t>
      </w:r>
      <w:r>
        <w:rPr>
          <w:rFonts w:ascii="Times New Roman" w:cs="Times New Roman" w:eastAsia="Times New Roman" w:hAnsi="Times New Roman"/>
          <w:sz w:val="18"/>
          <w:szCs w:val="18"/>
          <w:color w:val="auto"/>
        </w:rPr>
        <w:t xml:space="preserve"> crackers and </w:t>
      </w:r>
      <w:r>
        <w:rPr>
          <w:rFonts w:ascii="Times New Roman" w:cs="Times New Roman" w:eastAsia="Times New Roman" w:hAnsi="Times New Roman"/>
          <w:sz w:val="18"/>
          <w:szCs w:val="18"/>
          <w:i w:val="1"/>
          <w:iCs w:val="1"/>
          <w:color w:val="auto"/>
        </w:rPr>
        <w:t>Late July</w:t>
      </w:r>
      <w:r>
        <w:rPr>
          <w:rFonts w:ascii="Times New Roman" w:cs="Times New Roman" w:eastAsia="Times New Roman" w:hAnsi="Times New Roman"/>
          <w:sz w:val="18"/>
          <w:szCs w:val="18"/>
          <w:color w:val="auto"/>
        </w:rPr>
        <w:t xml:space="preserve"> snacks. Sales were impacted by volume/mix declines and lower net price realization.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Gross profit, defined as Net sales less Cost of products sold, increased by $79 million in 2025 from 2024. As a percent of sales, gross profit was 31.3% in 2025 and 2024.</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Gross profit margin performance was impacted by the following:</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960" w:type="dxa"/>
            <w:vAlign w:val="bottom"/>
          </w:tcPr>
          <w:p>
            <w:pPr>
              <w:spacing w:after="0"/>
              <w:rPr>
                <w:sz w:val="16"/>
                <w:szCs w:val="16"/>
                <w:color w:val="auto"/>
              </w:rPr>
            </w:pPr>
          </w:p>
        </w:tc>
        <w:tc>
          <w:tcPr>
            <w:tcW w:w="128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Margin Impact</w:t>
            </w:r>
          </w:p>
        </w:tc>
      </w:tr>
      <w:tr>
        <w:trPr>
          <w:trHeight w:val="24"/>
        </w:trPr>
        <w:tc>
          <w:tcPr>
            <w:tcW w:w="99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9"/>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Productivity improvements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150</w:t>
            </w:r>
          </w:p>
        </w:tc>
      </w:tr>
      <w:tr>
        <w:trPr>
          <w:trHeight w:val="225"/>
        </w:trPr>
        <w:tc>
          <w:tcPr>
            <w:tcW w:w="996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Volume/mix</w:t>
            </w:r>
            <w:r>
              <w:rPr>
                <w:rFonts w:ascii="Times New Roman" w:cs="Times New Roman" w:eastAsia="Times New Roman" w:hAnsi="Times New Roman"/>
                <w:sz w:val="22"/>
                <w:szCs w:val="22"/>
                <w:color w:val="auto"/>
                <w:vertAlign w:val="superscript"/>
              </w:rPr>
              <w:t>(1)</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price realization</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(80)</w:t>
            </w:r>
          </w:p>
        </w:tc>
      </w:tr>
      <w:tr>
        <w:trPr>
          <w:trHeight w:val="225"/>
        </w:trPr>
        <w:tc>
          <w:tcPr>
            <w:tcW w:w="9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Impact of acquisition</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w:t>
            </w:r>
          </w:p>
        </w:tc>
      </w:tr>
      <w:tr>
        <w:trPr>
          <w:trHeight w:val="225"/>
        </w:trPr>
        <w:tc>
          <w:tcPr>
            <w:tcW w:w="9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 costs associated with cost savings initiatives</w:t>
            </w:r>
          </w:p>
        </w:tc>
        <w:tc>
          <w:tcPr>
            <w:tcW w:w="1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w:t>
            </w:r>
          </w:p>
        </w:tc>
      </w:tr>
      <w:tr>
        <w:trPr>
          <w:trHeight w:val="225"/>
        </w:trPr>
        <w:tc>
          <w:tcPr>
            <w:tcW w:w="9960" w:type="dxa"/>
            <w:vAlign w:val="bottom"/>
            <w:tcBorders>
              <w:bottom w:val="single" w:sz="8" w:color="CCEEFF"/>
            </w:tcBorders>
          </w:tcPr>
          <w:p>
            <w:pPr>
              <w:ind w:left="20"/>
              <w:spacing w:after="0" w:line="225" w:lineRule="exact"/>
              <w:rPr>
                <w:sz w:val="20"/>
                <w:szCs w:val="20"/>
                <w:color w:val="auto"/>
              </w:rPr>
            </w:pPr>
            <w:r>
              <w:rPr>
                <w:rFonts w:ascii="Times New Roman" w:cs="Times New Roman" w:eastAsia="Times New Roman" w:hAnsi="Times New Roman"/>
                <w:sz w:val="18"/>
                <w:szCs w:val="18"/>
                <w:color w:val="auto"/>
              </w:rPr>
              <w:t>Cost inflation, supply chain costs and other factors</w:t>
            </w:r>
            <w:r>
              <w:rPr>
                <w:rFonts w:ascii="Times New Roman" w:cs="Times New Roman" w:eastAsia="Times New Roman" w:hAnsi="Times New Roman"/>
                <w:sz w:val="22"/>
                <w:szCs w:val="22"/>
                <w:color w:val="auto"/>
                <w:vertAlign w:val="superscript"/>
              </w:rPr>
              <w:t>(2)</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r>
      <w:tr>
        <w:trPr>
          <w:trHeight w:val="243"/>
        </w:trPr>
        <w:tc>
          <w:tcPr>
            <w:tcW w:w="996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w:t>
            </w:r>
          </w:p>
        </w:tc>
      </w:tr>
      <w:tr>
        <w:trPr>
          <w:trHeight w:val="20"/>
        </w:trPr>
        <w:tc>
          <w:tcPr>
            <w:tcW w:w="9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30" w:lineRule="exact"/>
        <w:rPr>
          <w:sz w:val="20"/>
          <w:szCs w:val="20"/>
          <w:color w:val="auto"/>
        </w:rPr>
      </w:pPr>
    </w:p>
    <w:p>
      <w:pPr>
        <w:ind w:left="320" w:hanging="314"/>
        <w:spacing w:after="0"/>
        <w:tabs>
          <w:tab w:leader="none" w:pos="320"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impact of operating leverage.</w:t>
      </w:r>
    </w:p>
    <w:p>
      <w:pPr>
        <w:spacing w:after="0" w:line="53" w:lineRule="exact"/>
        <w:rPr>
          <w:rFonts w:ascii="Times New Roman" w:cs="Times New Roman" w:eastAsia="Times New Roman" w:hAnsi="Times New Roman"/>
          <w:sz w:val="23"/>
          <w:szCs w:val="23"/>
          <w:color w:val="auto"/>
          <w:vertAlign w:val="superscript"/>
        </w:rPr>
      </w:pPr>
    </w:p>
    <w:p>
      <w:pPr>
        <w:jc w:val="both"/>
        <w:ind w:left="320" w:hanging="314"/>
        <w:spacing w:after="0" w:line="224" w:lineRule="auto"/>
        <w:tabs>
          <w:tab w:leader="none" w:pos="308" w:val="left"/>
        </w:tabs>
        <w:numPr>
          <w:ilvl w:val="0"/>
          <w:numId w:val="2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 80 basis-point positive impact from the change in unrealized mark-to-market adjustments on outstanding undesignated commodity hedges, an estimated positive margin impact of 40 basis points from the benefit of cost savings initiatives and a 10-basis point prior-year impact from a cybersecurity incident, which were more than offset by the impact of cost inflation and other factors.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Marketing and Selling Expenses</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Marketing and selling expenses as a percent of sales were 9.0% in 2025 compared to 8.8% in 2024. Marketing and selling expenses increased 13% in 2025 from 2024. The increase was primarily due to the impact of the acquisition (approximately 12 points) and higher costs associated with costs savings and optimization initiatives (approximately 3 points), partially offset by lower other marketing expenses (approximately 2 points).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Expenses</w:t>
      </w:r>
    </w:p>
    <w:p>
      <w:pPr>
        <w:spacing w:after="0" w:line="89"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Administrative expenses as a percent of sales were 6.3% in 2025 and 2024. Administrative expenses increased 11% in 2025 from 2024. The increase was primarily due to higher general administrative costs and inflation (approximately 7 points); the impact of the acquisition (approximately 5 points) and higher costs associated with cost savings initiatives (approximately 4 points), partially offset by increased benefits from cost savings initiatives (approximately 4 points).</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Expenses / (Income)</w:t>
      </w:r>
    </w:p>
    <w:p>
      <w:pPr>
        <w:spacing w:after="0" w:line="10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Other expenses were $43 million in 2025 compared to $24 million in 2024. Other expenses in 2025 included a loss of $25 million on the sale of the Pop Secret popcorn business, accelerated amortization expense of $7 million and a postretirement actuarial loss of $2 million. Other expenses in 2024 included costs associated with the acquisition of $9 million and accelerated amortization expense of $7 million.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Earnings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Segment operating earnings increased 7% in 2025 from 2024.</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 analysis of operating earnings by segment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12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337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top w:val="single" w:sz="8" w:color="CCEEFF"/>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w:t>
            </w:r>
          </w:p>
        </w:tc>
        <w:tc>
          <w:tcPr>
            <w:tcW w:w="0" w:type="dxa"/>
            <w:vAlign w:val="bottom"/>
          </w:tcPr>
          <w:p>
            <w:pPr>
              <w:spacing w:after="0"/>
              <w:rPr>
                <w:sz w:val="1"/>
                <w:szCs w:val="1"/>
                <w:color w:val="auto"/>
              </w:rPr>
            </w:pPr>
          </w:p>
        </w:tc>
      </w:tr>
      <w:tr>
        <w:trPr>
          <w:trHeight w:val="225"/>
        </w:trPr>
        <w:tc>
          <w:tcPr>
            <w:tcW w:w="7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142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040" w:type="dxa"/>
            <w:vAlign w:val="bottom"/>
            <w:tcBorders>
              <w:bottom w:val="single" w:sz="8" w:color="CCEEFF"/>
            </w:tcBorders>
            <w:gridSpan w:val="2"/>
          </w:tcPr>
          <w:p>
            <w:pPr>
              <w:jc w:val="center"/>
              <w:ind w:left="32"/>
              <w:spacing w:after="0"/>
              <w:rPr>
                <w:sz w:val="20"/>
                <w:szCs w:val="20"/>
                <w:color w:val="auto"/>
              </w:rPr>
            </w:pPr>
            <w:r>
              <w:rPr>
                <w:rFonts w:ascii="Times New Roman" w:cs="Times New Roman" w:eastAsia="Times New Roman" w:hAnsi="Times New Roman"/>
                <w:sz w:val="18"/>
                <w:szCs w:val="18"/>
                <w:color w:val="auto"/>
                <w:w w:val="93"/>
              </w:rPr>
              <w:t>(12)</w:t>
            </w:r>
          </w:p>
        </w:tc>
        <w:tc>
          <w:tcPr>
            <w:tcW w:w="0" w:type="dxa"/>
            <w:vAlign w:val="bottom"/>
          </w:tcPr>
          <w:p>
            <w:pPr>
              <w:spacing w:after="0"/>
              <w:rPr>
                <w:sz w:val="1"/>
                <w:szCs w:val="1"/>
                <w:color w:val="auto"/>
              </w:rPr>
            </w:pPr>
          </w:p>
        </w:tc>
      </w:tr>
      <w:tr>
        <w:trPr>
          <w:trHeight w:val="218"/>
        </w:trPr>
        <w:tc>
          <w:tcPr>
            <w:tcW w:w="7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448</w:t>
            </w:r>
          </w:p>
        </w:tc>
        <w:tc>
          <w:tcPr>
            <w:tcW w:w="1040" w:type="dxa"/>
            <w:vAlign w:val="bottom"/>
            <w:gridSpan w:val="2"/>
            <w:shd w:val="clear" w:color="auto" w:fill="CCEEFF"/>
          </w:tcPr>
          <w:p>
            <w:pPr>
              <w:jc w:val="center"/>
              <w:ind w:left="32"/>
              <w:spacing w:after="0"/>
              <w:rPr>
                <w:sz w:val="20"/>
                <w:szCs w:val="20"/>
                <w:color w:val="auto"/>
              </w:rPr>
            </w:pPr>
            <w:r>
              <w:rPr>
                <w:rFonts w:ascii="Times New Roman" w:cs="Times New Roman" w:eastAsia="Times New Roman" w:hAnsi="Times New Roman"/>
                <w:sz w:val="18"/>
                <w:szCs w:val="18"/>
                <w:color w:val="auto"/>
                <w:w w:val="88"/>
              </w:rPr>
              <w:t>7</w:t>
            </w:r>
          </w:p>
        </w:tc>
        <w:tc>
          <w:tcPr>
            <w:tcW w:w="0" w:type="dxa"/>
            <w:vAlign w:val="bottom"/>
          </w:tcPr>
          <w:p>
            <w:pPr>
              <w:spacing w:after="0"/>
              <w:rPr>
                <w:sz w:val="1"/>
                <w:szCs w:val="1"/>
                <w:color w:val="auto"/>
              </w:rPr>
            </w:pPr>
          </w:p>
        </w:tc>
      </w:tr>
      <w:tr>
        <w:trPr>
          <w:trHeight w:val="225"/>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income (expense)</w:t>
            </w:r>
          </w:p>
        </w:tc>
        <w:tc>
          <w:tcPr>
            <w:tcW w:w="120" w:type="dxa"/>
            <w:vAlign w:val="bottom"/>
          </w:tcPr>
          <w:p>
            <w:pPr>
              <w:spacing w:after="0"/>
              <w:rPr>
                <w:sz w:val="19"/>
                <w:szCs w:val="19"/>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(106)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4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Restructuring charges</w:t>
            </w:r>
            <w:r>
              <w:rPr>
                <w:rFonts w:ascii="Times New Roman" w:cs="Times New Roman" w:eastAsia="Times New Roman" w:hAnsi="Times New Roman"/>
                <w:sz w:val="22"/>
                <w:szCs w:val="22"/>
                <w:color w:val="auto"/>
                <w:vertAlign w:val="superscript"/>
              </w:rPr>
              <w:t>(1)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before interest and taxes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367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1" w:name="page32"/>
    <w:bookmarkEnd w:id="31"/>
    <w:p>
      <w:pPr>
        <w:ind w:left="320" w:hanging="314"/>
        <w:spacing w:after="0"/>
        <w:tabs>
          <w:tab w:leader="none" w:pos="320" w:val="left"/>
        </w:tabs>
        <w:numPr>
          <w:ilvl w:val="0"/>
          <w:numId w:val="29"/>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Note 8 to the Consolidated Financial Statements for additional information on restructuring charges.</w:t>
      </w:r>
    </w:p>
    <w:p>
      <w:pPr>
        <w:spacing w:after="0" w:line="73" w:lineRule="exact"/>
        <w:rPr>
          <w:sz w:val="20"/>
          <w:szCs w:val="20"/>
          <w:color w:val="auto"/>
        </w:rPr>
      </w:pPr>
    </w:p>
    <w:p>
      <w:pPr>
        <w:ind w:right="20" w:firstLine="318"/>
        <w:spacing w:after="0" w:line="274" w:lineRule="auto"/>
        <w:rPr>
          <w:sz w:val="20"/>
          <w:szCs w:val="20"/>
          <w:color w:val="auto"/>
        </w:rPr>
      </w:pPr>
      <w:r>
        <w:rPr>
          <w:rFonts w:ascii="Times New Roman" w:cs="Times New Roman" w:eastAsia="Times New Roman" w:hAnsi="Times New Roman"/>
          <w:sz w:val="18"/>
          <w:szCs w:val="18"/>
          <w:color w:val="auto"/>
        </w:rPr>
        <w:t>Operating earnings from Meals &amp; Beverages increased 17%. The increase was primarily due to the benefit of the acquisition of Sovos Brands and lower marketing and selling expenses.</w:t>
      </w:r>
    </w:p>
    <w:p>
      <w:pPr>
        <w:spacing w:after="0" w:line="31" w:lineRule="exact"/>
        <w:rPr>
          <w:sz w:val="20"/>
          <w:szCs w:val="20"/>
          <w:color w:val="auto"/>
        </w:rPr>
      </w:pPr>
    </w:p>
    <w:p>
      <w:pPr>
        <w:ind w:firstLine="318"/>
        <w:spacing w:after="0" w:line="304" w:lineRule="auto"/>
        <w:rPr>
          <w:sz w:val="20"/>
          <w:szCs w:val="20"/>
          <w:color w:val="auto"/>
        </w:rPr>
      </w:pPr>
      <w:r>
        <w:rPr>
          <w:rFonts w:ascii="Times New Roman" w:cs="Times New Roman" w:eastAsia="Times New Roman" w:hAnsi="Times New Roman"/>
          <w:sz w:val="17"/>
          <w:szCs w:val="17"/>
          <w:color w:val="auto"/>
        </w:rPr>
        <w:t>Operating earnings from Snacks decreased 12%. The decrease was primarily due to lower gross profit. Gross profit decreased primarily due to the impact of cost inflation and other supply chain costs as well as unfavorable net price realization, partially offset by supply chain productivity improvements.</w:t>
      </w:r>
    </w:p>
    <w:p>
      <w:pPr>
        <w:spacing w:after="0" w:line="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2025 included the following:</w:t>
      </w:r>
    </w:p>
    <w:p>
      <w:pPr>
        <w:spacing w:after="0" w:line="98" w:lineRule="exact"/>
        <w:rPr>
          <w:sz w:val="20"/>
          <w:szCs w:val="20"/>
          <w:color w:val="auto"/>
        </w:rPr>
      </w:pPr>
    </w:p>
    <w:p>
      <w:pPr>
        <w:ind w:left="640" w:hanging="15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$29 million related to costs savings and optimization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million loss on the sale of the Pop Secret popcorn business;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postretirement actuarial loss;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certain litigation expenses, including expenses related to Plum;</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million of unrealized mark-to-market gains on outstanding undesignated commodity hedges; and</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million of insurance recoveries related to a cybersecurity incident.</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Corporate expense in 2024 included the following:</w:t>
      </w:r>
    </w:p>
    <w:p>
      <w:pPr>
        <w:spacing w:after="0" w:line="98" w:lineRule="exact"/>
        <w:rPr>
          <w:sz w:val="20"/>
          <w:szCs w:val="20"/>
          <w:color w:val="auto"/>
        </w:rPr>
      </w:pPr>
    </w:p>
    <w:p>
      <w:pPr>
        <w:ind w:left="640" w:hanging="15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million of unrealized mark-to-market losses on outstanding undesignated commodity hedges;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$11 million related to cost savings initiatives;</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million of costs associated with the acquisition of Sovos Brands;</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million of accelerated amortization expense;</w:t>
      </w:r>
    </w:p>
    <w:p>
      <w:pPr>
        <w:spacing w:after="0" w:line="97"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million of costs related to a cybersecurity incident; and</w:t>
      </w:r>
    </w:p>
    <w:p>
      <w:pPr>
        <w:spacing w:after="0" w:line="84" w:lineRule="exact"/>
        <w:rPr>
          <w:rFonts w:ascii="Times New Roman" w:cs="Times New Roman" w:eastAsia="Times New Roman" w:hAnsi="Times New Roman"/>
          <w:sz w:val="18"/>
          <w:szCs w:val="18"/>
          <w:color w:val="auto"/>
        </w:rPr>
      </w:pPr>
    </w:p>
    <w:p>
      <w:pPr>
        <w:ind w:left="640" w:hanging="157"/>
        <w:spacing w:after="0"/>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million of Plum litigation expenses.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Interest expense of $87 million in 2025 increased from $49 million in 2024 primarily due to higher levels of debt.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Taxes on Earnings</w:t>
      </w:r>
    </w:p>
    <w:p>
      <w:pPr>
        <w:spacing w:after="0" w:line="102"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effective tax rate was 23.2% in 2025 and 24.5% in 2024. The decrease in the effective tax rate was primarily due to excess tax benefits associated with the vesting of stock-based compensation awards.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Restructuring Charges, Cost Savings Initiatives and Other Optimization Initiatives</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Multi-year Cost Savings Initiatives and Snyder's-Lance, Inc. (Snyder's-Lance) Cost Transformation Program and Integration</w:t>
      </w:r>
    </w:p>
    <w:p>
      <w:pPr>
        <w:spacing w:after="0" w:line="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u w:val="single" w:color="auto"/>
          <w:color w:val="auto"/>
        </w:rPr>
        <w:t>Continuing Operations</w:t>
      </w:r>
    </w:p>
    <w:p>
      <w:pPr>
        <w:spacing w:after="0" w:line="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Beginning in fiscal 2015, we implemented initiatives to reduce costs and to streamline our organizational structure.</w:t>
      </w:r>
    </w:p>
    <w:p>
      <w:pPr>
        <w:spacing w:after="0" w:line="9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Over the years, we expanded these initiatives by continuing to optimize our supply chain and manufacturing networks, as well as our information technology infrastructure.</w:t>
      </w:r>
    </w:p>
    <w:p>
      <w:pPr>
        <w:spacing w:after="0" w:line="4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On March 26, 2018, we completed the acquisition of Snyder's-Lance. Prior to the acquisition, Snyder's-Lance launched a cost transformation program following a comprehensive review of its operations with the goal of significantly improving its financial performance. We continued to implement this program and identified opportunities for additional cost synergies as we integrated Snyder's-Lance.</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2" w:name="page33"/>
    <w:bookmarkEnd w:id="32"/>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2022, we expanded these initiatives as we continued to pursue cost savings by further optimizing our supply chain and manufacturing network and through effective cost management. In the second quarter of 2023, we announced plans to consolidate our Snacks offices in Charlotte, North Carolina, and Norwalk, Connecticut, into our headquarters in Camden, New Jersey.</w:t>
      </w:r>
    </w:p>
    <w:p>
      <w:pPr>
        <w:spacing w:after="0" w:line="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recognized in the Consolidated Statements of Earnings related to these initiatives is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186"/>
        </w:trPr>
        <w:tc>
          <w:tcPr>
            <w:tcW w:w="78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October 29, 2023</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788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vMerge w:val="restart"/>
          </w:tcPr>
          <w:p>
            <w:pPr>
              <w:ind w:left="320"/>
              <w:spacing w:after="0"/>
              <w:rPr>
                <w:sz w:val="20"/>
                <w:szCs w:val="20"/>
                <w:color w:val="auto"/>
              </w:rPr>
            </w:pPr>
            <w:r>
              <w:rPr>
                <w:rFonts w:ascii="Times New Roman" w:cs="Times New Roman" w:eastAsia="Times New Roman" w:hAnsi="Times New Roman"/>
                <w:sz w:val="18"/>
                <w:szCs w:val="18"/>
                <w:color w:val="auto"/>
              </w:rPr>
              <w:t>A summary of the pre-tax costs associated with these initiatives is as follows: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78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Total Program</w:t>
            </w:r>
          </w:p>
        </w:tc>
        <w:tc>
          <w:tcPr>
            <w:tcW w:w="0" w:type="dxa"/>
            <w:vAlign w:val="bottom"/>
          </w:tcPr>
          <w:p>
            <w:pPr>
              <w:spacing w:after="0"/>
              <w:rPr>
                <w:sz w:val="1"/>
                <w:szCs w:val="1"/>
                <w:color w:val="auto"/>
              </w:rPr>
            </w:pPr>
          </w:p>
        </w:tc>
      </w:tr>
      <w:tr>
        <w:trPr>
          <w:trHeight w:val="24"/>
        </w:trPr>
        <w:tc>
          <w:tcPr>
            <w:tcW w:w="78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tc>
        <w:tc>
          <w:tcPr>
            <w:tcW w:w="1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Of the aggregate $895 million pre-tax costs incurred, approximately $720 million were cash expenditures.</w:t>
      </w:r>
    </w:p>
    <w:p>
      <w:pPr>
        <w:spacing w:after="0" w:line="98" w:lineRule="exact"/>
        <w:rPr>
          <w:sz w:val="20"/>
          <w:szCs w:val="20"/>
          <w:color w:val="auto"/>
        </w:rPr>
      </w:pPr>
    </w:p>
    <w:p>
      <w:pPr>
        <w:jc w:val="both"/>
        <w:ind w:firstLine="318"/>
        <w:spacing w:after="0" w:line="265"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tbl>
      <w:tblPr>
        <w:tblLayout w:type="fixed"/>
        <w:tblInd w:w="0" w:type="dxa"/>
        <w:tblCellMar>
          <w:top w:w="0" w:type="dxa"/>
          <w:left w:w="0" w:type="dxa"/>
          <w:bottom w:w="0" w:type="dxa"/>
          <w:right w:w="0" w:type="dxa"/>
        </w:tblCellMar>
      </w:tblPr>
      <w:tr>
        <w:trPr>
          <w:trHeight w:val="186"/>
        </w:trPr>
        <w:tc>
          <w:tcPr>
            <w:tcW w:w="9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220" w:type="dxa"/>
            <w:vAlign w:val="bottom"/>
          </w:tcPr>
          <w:p>
            <w:pPr>
              <w:spacing w:after="0"/>
              <w:rPr>
                <w:sz w:val="16"/>
                <w:szCs w:val="16"/>
                <w:color w:val="auto"/>
              </w:rPr>
            </w:pPr>
          </w:p>
        </w:tc>
        <w:tc>
          <w:tcPr>
            <w:tcW w:w="130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Total Program</w:t>
            </w:r>
          </w:p>
        </w:tc>
      </w:tr>
      <w:tr>
        <w:trPr>
          <w:trHeight w:val="24"/>
        </w:trPr>
        <w:tc>
          <w:tcPr>
            <w:tcW w:w="9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9"/>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w:t>
            </w:r>
          </w:p>
        </w:tc>
      </w:tr>
      <w:tr>
        <w:trPr>
          <w:trHeight w:val="20"/>
        </w:trPr>
        <w:tc>
          <w:tcPr>
            <w:tcW w:w="9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As of July 28, 2024, we substantially completed the multi-year cost savings initiatives and Snyder's-Lance cost transformation program and integration, and we generated total pre-tax savings of approximately $950 million. Certain phases that had not been fully implemented were incorporated into the 2025 cost savings initiatives described below.</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Sovos Brands Integration Initiatives</w:t>
      </w:r>
    </w:p>
    <w:p>
      <w:pPr>
        <w:spacing w:after="0" w:line="87" w:lineRule="exact"/>
        <w:rPr>
          <w:sz w:val="20"/>
          <w:szCs w:val="20"/>
          <w:color w:val="auto"/>
        </w:rPr>
      </w:pPr>
    </w:p>
    <w:p>
      <w:pPr>
        <w:jc w:val="both"/>
        <w:ind w:right="20" w:firstLine="318"/>
        <w:spacing w:after="0" w:line="274" w:lineRule="auto"/>
        <w:rPr>
          <w:sz w:val="20"/>
          <w:szCs w:val="20"/>
          <w:color w:val="auto"/>
        </w:rPr>
      </w:pPr>
      <w:r>
        <w:rPr>
          <w:rFonts w:ascii="Times New Roman" w:cs="Times New Roman" w:eastAsia="Times New Roman" w:hAnsi="Times New Roman"/>
          <w:sz w:val="18"/>
          <w:szCs w:val="18"/>
          <w:color w:val="auto"/>
        </w:rPr>
        <w:t>On March 12, 2024, we completed the acquisition of Sovos Brands. See Note 3 to the Consolidated Financial Statements for additional information. We identified opportunities for cost synergies as we integrate Sovos Brands.</w:t>
      </w:r>
    </w:p>
    <w:p>
      <w:pPr>
        <w:spacing w:after="0" w:line="4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2024, we recorded Restructuring charges of $21 million for severance pay and benefits related to initiatives to achieve the synergies and generated pre-tax savings of $10 million. The charges incurred in 2024 were associated with the Meals &amp; Beverages segment.</w:t>
      </w:r>
    </w:p>
    <w:p>
      <w:pPr>
        <w:spacing w:after="0" w:line="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2025, the initiatives to achieve synergies were incorporated into the cost savings initiatives described below.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color w:val="auto"/>
        </w:rPr>
        <w:t>2025 Cost Savings Initiatives</w:t>
      </w:r>
    </w:p>
    <w:p>
      <w:pPr>
        <w:spacing w:after="0" w:line="87"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On September 10, 2024, we announced plans to implement cost savings initiatives beginning in 2025, including initiatives to further optimize our supply chain and manufacturing network, optimization of our information technology infrastructure and targeted cost management. We also identified additional opportunities for cost synergies as we integrate Sovos Brands. As mentioned above, we substantially completed our previous multi-year cost savings initiatives and Snyder's-Lance cost transformation program and integration. Certain initiatives from that program have been incorporated into our 2025 cost savings initiatives. Cost estimates for the 2025 initiatives, as well as timing for certain activities, are continuing to be developed.</w:t>
      </w:r>
    </w:p>
    <w:p>
      <w:pPr>
        <w:spacing w:after="0" w:line="6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summary of the pre-tax charges recorded in the Consolidated Statement of Earnings related to these initiatives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0" w:type="dxa"/>
            <w:vAlign w:val="bottom"/>
          </w:tcPr>
          <w:p>
            <w:pPr>
              <w:spacing w:after="0"/>
              <w:rPr>
                <w:sz w:val="1"/>
                <w:szCs w:val="1"/>
                <w:color w:val="auto"/>
              </w:rPr>
            </w:pPr>
          </w:p>
        </w:tc>
      </w:tr>
      <w:tr>
        <w:trPr>
          <w:trHeight w:val="24"/>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 except per share amounts)</w:t>
            </w: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7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1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Marketing and selling expenses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1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pre-tax charges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97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after-tax impact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20"/>
        </w:trPr>
        <w:tc>
          <w:tcPr>
            <w:tcW w:w="9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9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Per share impact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.07</w:t>
            </w:r>
          </w:p>
        </w:tc>
        <w:tc>
          <w:tcPr>
            <w:tcW w:w="0" w:type="dxa"/>
            <w:vAlign w:val="bottom"/>
          </w:tcPr>
          <w:p>
            <w:pPr>
              <w:spacing w:after="0"/>
              <w:rPr>
                <w:sz w:val="1"/>
                <w:szCs w:val="1"/>
                <w:color w:val="auto"/>
              </w:rPr>
            </w:pPr>
          </w:p>
        </w:tc>
      </w:tr>
      <w:tr>
        <w:trPr>
          <w:trHeight w:val="20"/>
        </w:trPr>
        <w:tc>
          <w:tcPr>
            <w:tcW w:w="9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ectPr>
          <w:pgSz w:w="11900" w:h="16838" w:orient="portrait"/>
          <w:cols w:equalWidth="0" w:num="1">
            <w:col w:w="11240"/>
          </w:cols>
          <w:pgMar w:left="320" w:top="967" w:right="339" w:bottom="1440" w:gutter="0" w:footer="0" w:header="0"/>
        </w:sectPr>
      </w:pPr>
    </w:p>
    <w:p>
      <w:pPr>
        <w:ind w:left="320"/>
        <w:spacing w:after="0"/>
        <w:rPr>
          <w:sz w:val="20"/>
          <w:szCs w:val="20"/>
          <w:color w:val="auto"/>
        </w:rPr>
      </w:pPr>
      <w:r>
        <w:rPr>
          <w:rFonts w:ascii="Times New Roman" w:cs="Times New Roman" w:eastAsia="Times New Roman" w:hAnsi="Times New Roman"/>
          <w:sz w:val="17"/>
          <w:szCs w:val="17"/>
          <w:color w:val="auto"/>
        </w:rPr>
        <w:t>A summary of the pre-tax costs associated with the initiatives is as follows:</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31115</wp:posOffset>
            </wp:positionV>
            <wp:extent cx="7134860" cy="1511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Severance pay and benefits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Asset impairment/accelerated depreciation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7134860" cy="1428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8"/>
          <w:szCs w:val="18"/>
          <w:color w:val="auto"/>
        </w:rPr>
        <w:t>Implementation costs and other related costs</w:t>
      </w:r>
    </w:p>
    <w:p>
      <w:pPr>
        <w:spacing w:after="0" w:line="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3"/>
                <w:szCs w:val="13"/>
                <w:color w:val="auto"/>
              </w:rPr>
            </w:pPr>
          </w:p>
        </w:tc>
        <w:tc>
          <w:tcPr>
            <w:tcW w:w="138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Recognized as of</w:t>
            </w:r>
          </w:p>
        </w:tc>
      </w:tr>
      <w:tr>
        <w:trPr>
          <w:trHeight w:val="191"/>
        </w:trPr>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October 27, 2024</w:t>
            </w:r>
          </w:p>
        </w:tc>
      </w:tr>
      <w:tr>
        <w:trPr>
          <w:trHeight w:val="219"/>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5"/>
        </w:trPr>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1"/>
        </w:trPr>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99250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ind w:left="1320" w:hanging="1304"/>
        <w:spacing w:after="0"/>
        <w:tabs>
          <w:tab w:leader="none" w:pos="13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9925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99250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40005</wp:posOffset>
            </wp:positionV>
            <wp:extent cx="9925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992505" cy="825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8960" w:space="720"/>
            <w:col w:w="1560"/>
          </w:cols>
          <w:pgMar w:left="320" w:top="967" w:right="339" w:bottom="1440" w:gutter="0" w:footer="0" w:header="0"/>
          <w:type w:val="continuous"/>
        </w:sectPr>
      </w:pPr>
    </w:p>
    <w:p>
      <w:pPr>
        <w:spacing w:after="0" w:line="4"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The total estimated pre-tax costs for actions that have been identified to date are approximately $190 million, and we expect to incur substantially all of the costs through 2028. These estimates will be updated as the detailed plans are developed.</w:t>
      </w:r>
    </w:p>
    <w:p>
      <w:pPr>
        <w:spacing w:after="0" w:line="44"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We expect the costs for the actions that have been identified to date to consist of the following: approximately $20 million in severance pay and benefits; approximately $50 million in asset impairment and accelerated depreciation; and approximately $120 million in implementation costs and other related costs. We expect these pre-tax costs to be associated with our segments as follows: Meals &amp; Beverages - approximately 72%; Snacks - approximately 12% and Corporate - approximately 16%.</w:t>
      </w:r>
    </w:p>
    <w:p>
      <w:pPr>
        <w:spacing w:after="0" w:line="61"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Of the aggregate $190 million of pre-tax costs identified to date, we expect approximately $135 million will be cash expenditures. In addition, we expect to invest approximately $215 million in capital expenditures, of which we invested $18 million as of October 27, 2024. The capital expenditures primarily relate to optimization of production within our manufacturing network, implementation of our existing SAP enterprise-resource planning system for Sovos Brands and optimization of information technology infrastructure and applications.</w:t>
      </w:r>
    </w:p>
    <w:p>
      <w:pPr>
        <w:spacing w:after="0" w:line="4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expect the initiatives, once all phases are implemented, to generate annual ongoing savings of approximately $250 million by the end of 2028. As of October 27, 2024, we have generated total program-to-date pre-tax savings of $30 million.</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type w:val="continuous"/>
        </w:sectPr>
      </w:pPr>
    </w:p>
    <w:bookmarkStart w:id="34" w:name="page35"/>
    <w:bookmarkEnd w:id="34"/>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0" w:type="dxa"/>
            <w:vAlign w:val="bottom"/>
          </w:tcPr>
          <w:p>
            <w:pPr>
              <w:spacing w:after="0"/>
              <w:rPr>
                <w:sz w:val="1"/>
                <w:szCs w:val="1"/>
                <w:color w:val="auto"/>
              </w:rPr>
            </w:pPr>
          </w:p>
        </w:tc>
      </w:tr>
      <w:tr>
        <w:trPr>
          <w:trHeight w:val="24"/>
        </w:trPr>
        <w:tc>
          <w:tcPr>
            <w:tcW w:w="97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97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8"/>
              <w:spacing w:after="0"/>
              <w:rPr>
                <w:sz w:val="20"/>
                <w:szCs w:val="20"/>
                <w:color w:val="auto"/>
              </w:rPr>
            </w:pPr>
            <w:r>
              <w:rPr>
                <w:rFonts w:ascii="Times New Roman" w:cs="Times New Roman" w:eastAsia="Times New Roman" w:hAnsi="Times New Roman"/>
                <w:sz w:val="14"/>
                <w:szCs w:val="14"/>
                <w:b w:val="1"/>
                <w:bCs w:val="1"/>
                <w:color w:val="auto"/>
              </w:rPr>
              <w:t>October 27, 2024</w:t>
            </w:r>
          </w:p>
        </w:tc>
        <w:tc>
          <w:tcPr>
            <w:tcW w:w="0" w:type="dxa"/>
            <w:vAlign w:val="bottom"/>
          </w:tcPr>
          <w:p>
            <w:pPr>
              <w:spacing w:after="0"/>
              <w:rPr>
                <w:sz w:val="1"/>
                <w:szCs w:val="1"/>
                <w:color w:val="auto"/>
              </w:rPr>
            </w:pP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Meals &amp; Beverages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5"/>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Snacks</w:t>
            </w:r>
          </w:p>
        </w:tc>
        <w:tc>
          <w:tcPr>
            <w:tcW w:w="1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8"/>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9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Optimization Initiatives</w:t>
      </w:r>
    </w:p>
    <w:p>
      <w:pPr>
        <w:spacing w:after="0" w:line="87" w:lineRule="exact"/>
        <w:rPr>
          <w:sz w:val="20"/>
          <w:szCs w:val="20"/>
          <w:color w:val="auto"/>
        </w:rPr>
      </w:pPr>
    </w:p>
    <w:p>
      <w:pPr>
        <w:jc w:val="both"/>
        <w:ind w:firstLine="318"/>
        <w:spacing w:after="0" w:line="251" w:lineRule="auto"/>
        <w:rPr>
          <w:sz w:val="20"/>
          <w:szCs w:val="20"/>
          <w:color w:val="auto"/>
        </w:rPr>
      </w:pPr>
      <w:r>
        <w:rPr>
          <w:rFonts w:ascii="Times New Roman" w:cs="Times New Roman" w:eastAsia="Times New Roman" w:hAnsi="Times New Roman"/>
          <w:sz w:val="18"/>
          <w:szCs w:val="18"/>
          <w:color w:val="auto"/>
        </w:rPr>
        <w:t>In the second quarter of 2024, we began implementation of an initiative to improve the effectiveness of our Snacks direct-store-delivery route-to-market network. Pursuant to this initiative we will purchase certain Pepperidge Farm and Snyder's-Lance routes where there are opportunities to unlock greater scale in select markets, combine them and sell the combined routes to independent contractor distributors. We expect to execute this program in a staggered rollout and to incur expenses of up to approximately $115 million through 2029. In the three-month period ended October 27, 2024, we incurred $8 million in Marketing and selling expenses related to this initiative. As of October 27, 2024, we have incurred $13 million in Marketing and selling expenses related to this initiative.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0"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expect foreseeable liquidity and capital resource requirements to be met through anticipated cash flows from operations; long-term borrowings; short-term borrowings, which may include commercial paper; credit facilities; and cash and cash equivalents. We believe that our sources of financing will be adequate to meet our future requirements.</w:t>
      </w:r>
    </w:p>
    <w:p>
      <w:pPr>
        <w:spacing w:after="0" w:line="45"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We generated cash flows from operations of $225 million in 2025, compared to $174 million in 2024. The increase in 2025 was primarily due to changes in working capital and higher cash earnings.</w:t>
      </w:r>
    </w:p>
    <w:p>
      <w:pPr>
        <w:spacing w:after="0" w:line="31"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We had negative working capital of $328 million as of October 27, 2024, and $1.386 billion as of July 28, 2024. Current assets were less than current liabilities, which included debt maturing in one year, due to a focus on lowering core working capital requirements. Total debt maturing within one year was $1.212 billion as of October 27, 2024, and $1.423 billion as of July 28, 2024.</w:t>
      </w:r>
    </w:p>
    <w:p>
      <w:pPr>
        <w:spacing w:after="0" w:line="58"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8"/>
          <w:szCs w:val="18"/>
          <w:color w:val="auto"/>
        </w:rPr>
        <w:t>As part of our focus to lower core working capital requirements, we have worked with our suppliers to optimize our terms and conditions, including the extension of payment terms. Our current payment terms with our suppliers, which we deem to be commercially reasonable, generally range from 0 to 120 days. We also maintain agreements with third-party administrators that allow participating suppliers to track payment obligations from us, and, at the sole discretion of the supplier, sell those payment obligations to participating financial institutions. Our obligations to our suppliers, including amounts due and scheduled payment terms, are not impacted. Supplier participation in these agreements is voluntary. We have no economic interest in a supplier’s decision to enter into these agreements and no direct financial relationship with the financial institutions. We have not pledged assets as security or provided any guarantees in connection with these arrangements. The payment of these obligations is included in cash provided by operating activities in the Consolidated Statements of Cash Flows. Amounts outstanding under these programs, which are included in Accounts payable on the Consolidated Balance Sheets, were approximately $269 million at October 27, 2024 and $243 million at July 28, 2024.</w:t>
      </w:r>
    </w:p>
    <w:p>
      <w:pPr>
        <w:spacing w:after="0" w:line="55" w:lineRule="exact"/>
        <w:rPr>
          <w:sz w:val="20"/>
          <w:szCs w:val="20"/>
          <w:color w:val="auto"/>
        </w:rPr>
      </w:pPr>
    </w:p>
    <w:p>
      <w:pPr>
        <w:jc w:val="both"/>
        <w:ind w:firstLine="318"/>
        <w:spacing w:after="0" w:line="244" w:lineRule="auto"/>
        <w:rPr>
          <w:sz w:val="20"/>
          <w:szCs w:val="20"/>
          <w:color w:val="auto"/>
        </w:rPr>
      </w:pPr>
      <w:r>
        <w:rPr>
          <w:rFonts w:ascii="Times New Roman" w:cs="Times New Roman" w:eastAsia="Times New Roman" w:hAnsi="Times New Roman"/>
          <w:sz w:val="18"/>
          <w:szCs w:val="18"/>
          <w:color w:val="auto"/>
        </w:rPr>
        <w:t>Capital expenditures were $110 million in 2025 and $143 million in 2024. Capital expenditures in 2025 included chip and cracker capacity expansion for our Snacks business, enhancements to our headquarters in Camden, New Jersey and network optimization for our Meals &amp; Beverages business. Capital expenditures are expected to total approximately $500 million in 2025.</w:t>
      </w:r>
    </w:p>
    <w:p>
      <w:pPr>
        <w:spacing w:after="0" w:line="58"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In Snacks, we have a direct-store-delivery distribution model that uses independent contractor distributors. From time to time, we purchase and sell routes, including certain routes under our optimization initiatives. The purchase and sale proceeds of the routes are reflected in investing activities.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5" w:name="page36"/>
    <w:bookmarkEnd w:id="35"/>
    <w:p>
      <w:pPr>
        <w:ind w:left="320"/>
        <w:spacing w:after="0"/>
        <w:rPr>
          <w:sz w:val="20"/>
          <w:szCs w:val="20"/>
          <w:color w:val="auto"/>
        </w:rPr>
      </w:pPr>
      <w:r>
        <w:rPr>
          <w:rFonts w:ascii="Times New Roman" w:cs="Times New Roman" w:eastAsia="Times New Roman" w:hAnsi="Times New Roman"/>
          <w:sz w:val="18"/>
          <w:szCs w:val="18"/>
          <w:color w:val="auto"/>
        </w:rPr>
        <w:t>On August 26, 2024, we sold our Pop Secret popcorn business for $70 million.</w:t>
      </w:r>
    </w:p>
    <w:p>
      <w:pPr>
        <w:spacing w:after="0" w:line="85" w:lineRule="exact"/>
        <w:rPr>
          <w:sz w:val="20"/>
          <w:szCs w:val="20"/>
          <w:color w:val="auto"/>
        </w:rPr>
      </w:pPr>
    </w:p>
    <w:p>
      <w:pPr>
        <w:jc w:val="both"/>
        <w:ind w:firstLine="318"/>
        <w:spacing w:after="0" w:line="252" w:lineRule="auto"/>
        <w:rPr>
          <w:sz w:val="20"/>
          <w:szCs w:val="20"/>
          <w:color w:val="auto"/>
        </w:rPr>
      </w:pPr>
      <w:r>
        <w:rPr>
          <w:rFonts w:ascii="Times New Roman" w:cs="Times New Roman" w:eastAsia="Times New Roman" w:hAnsi="Times New Roman"/>
          <w:sz w:val="18"/>
          <w:szCs w:val="18"/>
          <w:color w:val="auto"/>
        </w:rPr>
        <w:t>Dividend payments were $116 million in 2025 and $114 million in 2024. The regular quarterly dividend paid on our capital stock was $.37 per share in both the first quarter of 2025 and 2024. On September 18, 2024, the Board of Directors declared a regular quarterly dividend of $.37 per share payable on October 28, 2024 to shareholders of record at the close of business on October 3, 2024. On December 3, 2024, the Board of Directors approved an increase in the regular quarterly dividend from $.37 per share to $.39 per share, or 5%. They then declared a regular quarterly dividend of $.39 per share payable on January 27, 2025 to shareholders of record at the close of business on January 2, 2025.</w:t>
      </w:r>
    </w:p>
    <w:p>
      <w:pPr>
        <w:spacing w:after="0" w:line="66"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 During the three-month periods ended October 27, 2024 and October 29, 2023, we repurchased 1.098 million shares at a cost of $54 million and 679 thousand shares at a cost of $28 million, respectively, pursuant to our anti-dilutive share repurchase programs. As of October 27, 2024, approximately $206 million remained available under the September 2024 program and approximately $301 million remained available under the September 2021 program. See Note 15 to the Consolidated Financial Statements and “Unregistered Sales of Equity Securities and Use of Proceeds” for additional information.</w:t>
      </w:r>
    </w:p>
    <w:p>
      <w:pPr>
        <w:spacing w:after="0" w:line="72"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In August 2023, we filed a registration statement with the Securities and Exchange Commission that registered an indeterminate amount of debt securities. Under the registration statement we may issue debt securities from time to time, depending on market conditions. On October 2, 2024, pursuant to the registration statement, we completed the issuance of senior unsecured notes of $1.15 billion, consisting of:</w:t>
      </w:r>
    </w:p>
    <w:p>
      <w:pPr>
        <w:spacing w:after="0" w:line="45" w:lineRule="exact"/>
        <w:rPr>
          <w:sz w:val="20"/>
          <w:szCs w:val="20"/>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$800 million aggregate principal amount of notes bearing interest at a fixed rate of 4.75% per annum, due March 23, 2035, with interest payable semi-annually on each of March 23 and September 23 commencing March 23, 2025; and</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aggregate principal amount of notes bearing interest at a fixed rate of 5.25% per annum, due October 13, 2054, with interest payable semi-annually on each of April 13 and October 13 commencing April 13, 2025.</w:t>
      </w:r>
    </w:p>
    <w:p>
      <w:pPr>
        <w:spacing w:after="0" w:line="4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notes contain customary covenants and events of default. If a change of control triggering event occurs, we will be required to offer to purchase the notes at a purchase price equal to 101% of the principal amount plus accrued and unpaid interest, if any, to the purchase date. In October 2024, we used a portion of the net proceeds from the issuance of the notes to repay $200 million of the $400 million outstanding under our 2022 Delayed Draw Term Loan Credit Agreement due November 15, 2025 and a portion of our outstanding commercial paper. We have $1.15 billion aggregate principal amount of senior notes maturing in March 2025, which we intend to repay by using a portion of the proceeds from the issuance of the notes along with cash on hand and issuing commercial paper.</w:t>
      </w:r>
    </w:p>
    <w:p>
      <w:pPr>
        <w:spacing w:after="0" w:line="53" w:lineRule="exact"/>
        <w:rPr>
          <w:sz w:val="20"/>
          <w:szCs w:val="20"/>
          <w:color w:val="auto"/>
        </w:rPr>
      </w:pPr>
    </w:p>
    <w:p>
      <w:pPr>
        <w:jc w:val="both"/>
        <w:ind w:firstLine="318"/>
        <w:spacing w:after="0" w:line="274" w:lineRule="auto"/>
        <w:rPr>
          <w:sz w:val="20"/>
          <w:szCs w:val="20"/>
          <w:color w:val="auto"/>
        </w:rPr>
      </w:pPr>
      <w:r>
        <w:rPr>
          <w:rFonts w:ascii="Times New Roman" w:cs="Times New Roman" w:eastAsia="Times New Roman" w:hAnsi="Times New Roman"/>
          <w:sz w:val="18"/>
          <w:szCs w:val="18"/>
          <w:color w:val="auto"/>
        </w:rPr>
        <w:t>As of October 27, 2024, we had $1.212 billion of short-term borrowings due within one year, of which $34 million was comprised of commercial paper borrowings. As of October 27, 2024, we issued $27 million of standby letters of credit.</w:t>
      </w:r>
    </w:p>
    <w:p>
      <w:pPr>
        <w:spacing w:after="0" w:line="44" w:lineRule="exact"/>
        <w:rPr>
          <w:sz w:val="20"/>
          <w:szCs w:val="20"/>
          <w:color w:val="auto"/>
        </w:rPr>
      </w:pPr>
    </w:p>
    <w:p>
      <w:pPr>
        <w:jc w:val="both"/>
        <w:ind w:firstLine="318"/>
        <w:spacing w:after="0" w:line="248" w:lineRule="auto"/>
        <w:rPr>
          <w:sz w:val="20"/>
          <w:szCs w:val="20"/>
          <w:color w:val="auto"/>
        </w:rPr>
      </w:pPr>
      <w:r>
        <w:rPr>
          <w:rFonts w:ascii="Times New Roman" w:cs="Times New Roman" w:eastAsia="Times New Roman" w:hAnsi="Times New Roman"/>
          <w:sz w:val="18"/>
          <w:szCs w:val="18"/>
          <w:color w:val="auto"/>
        </w:rPr>
        <w:t>On April 16, 2024, we entered into a Five-Year Credit Agreement for an unsecured, senior revolving credit facility (the 2024 Revolving Credit Facility Agreement) in an aggregate principal amount equal to $1.85 billion with a maturity date of April 16, 2029 or such later date as extended pursuant to the terms set forth in the 2024 Revolving Credit Facility Agreement. The 2024 Revolving Credit Facility Agreement remained unused at October 27, 2024, except for $1 million of standby letters of credit that we issued under it. We may increase the 2024 Revolving Credit Facility Agreement commitments up to an additional $500 million, subject to the satisfaction of certain conditions. Loans under the 2024 Revolving Credit Facility Agreement will bear interest at the rates specified in the 2024 Revolving Credit Facility Agreement, which vary based on the type of loan and certain other conditions. The 2024 Revolving Credit Facility Agreement contains customary covenants, including a financial covenant with respect to a minimum consolidated interest coverage ratio of consolidated adjusted EBITDA to consolidated interest expense of not less than 3.25:1.00, and customary events of default for credit facilities of this type. The facility supports our commercial paper program and other general corporate purposes. We expect to continue to access the commercial paper markets, bank credit lines and utilize cash flows from operations to support our short-term liquidity requirements.</w:t>
      </w:r>
    </w:p>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are in compliance with the covenants contained in our credit facilities and debt securities.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87" w:lineRule="exact"/>
        <w:rPr>
          <w:sz w:val="20"/>
          <w:szCs w:val="20"/>
          <w:color w:val="auto"/>
        </w:rPr>
      </w:pPr>
    </w:p>
    <w:p>
      <w:pPr>
        <w:jc w:val="both"/>
        <w:ind w:firstLine="318"/>
        <w:spacing w:after="0" w:line="219" w:lineRule="exact"/>
        <w:rPr>
          <w:sz w:val="20"/>
          <w:szCs w:val="20"/>
          <w:color w:val="auto"/>
        </w:rPr>
      </w:pPr>
      <w:r>
        <w:rPr>
          <w:rFonts w:ascii="Times New Roman" w:cs="Times New Roman" w:eastAsia="Times New Roman" w:hAnsi="Times New Roman"/>
          <w:sz w:val="18"/>
          <w:szCs w:val="18"/>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28, 2024 (2024 Annual Report on Form 10-K). The accounting policies we used in preparing these financial statements are substantially consistent with those we applied in our 2024 Annual Report on Form 10-K. Our critical accounting estimates are described in Management’s Discussion and Analysis included in the 2024 Annual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2 to the Consolidated Financial Statements for information on recent accounting pronouncements.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00" w:lineRule="exact"/>
        <w:rPr>
          <w:sz w:val="20"/>
          <w:szCs w:val="20"/>
          <w:color w:val="auto"/>
        </w:rPr>
      </w:pPr>
    </w:p>
    <w:p>
      <w:pPr>
        <w:jc w:val="both"/>
        <w:ind w:firstLine="318"/>
        <w:spacing w:after="0" w:line="250"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"intend," "plan," "pursue," "strategy," "target," "will"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67"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8"/>
          <w:szCs w:val="18"/>
          <w:color w:val="auto"/>
        </w:rPr>
        <w:t>We wish to caution the reader that the following important factors and those important factors described in our other Securities and Exchange Commission filings, or in our 2024 Annual Report on Form 10-K, could affect our actual results and could cause such results to vary materially from those expressed in any forward-looking statements made by, or on behalf of, us:</w:t>
      </w:r>
    </w:p>
    <w:p>
      <w:pPr>
        <w:spacing w:after="0" w:line="45" w:lineRule="exact"/>
        <w:rPr>
          <w:sz w:val="20"/>
          <w:szCs w:val="20"/>
          <w:color w:val="auto"/>
        </w:rPr>
      </w:pPr>
    </w:p>
    <w:p>
      <w:pPr>
        <w:ind w:left="640" w:hanging="316"/>
        <w:spacing w:after="0" w:line="304" w:lineRule="auto"/>
        <w:tabs>
          <w:tab w:leader="none" w:pos="63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 that the cost savings and any other synergies from the Sovos Brands transaction may not be fully realized or may take longer or cost more to be realized than expected, including that the Sovos Brands transaction may not be accretive within the expected timeframe or the extent anticipated;</w:t>
      </w:r>
    </w:p>
    <w:p>
      <w:pPr>
        <w:spacing w:after="0" w:line="21" w:lineRule="exact"/>
        <w:rPr>
          <w:rFonts w:ascii="Times New Roman" w:cs="Times New Roman" w:eastAsia="Times New Roman" w:hAnsi="Times New Roman"/>
          <w:sz w:val="17"/>
          <w:szCs w:val="17"/>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the availability of, and cost inflation in, supply chain inputs, including labor, raw materials, commodities, packaging and transportation;</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on and realize the expected benefits from our strategy, including growing sales in snacks and growing/maintaining our market share position in soup;</w:t>
      </w:r>
    </w:p>
    <w:p>
      <w:pPr>
        <w:spacing w:after="0" w:line="30"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strong competitive responses to our efforts to leverage brand power with product innovation, promotional programs and new advertising;</w:t>
      </w:r>
    </w:p>
    <w:p>
      <w:pPr>
        <w:spacing w:after="0" w:line="4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associated with trade and consumer acceptance of product improvements, shelving initiatives, new products and pricing and promotional strategies;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projected cost savings and benefits from cost savings initiatives and the integration of recent acquisitions;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or inefficiencies to our supply chain and/or operations, including reliance on key contract manufacturer and supplier relationships;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effectiveness of our hedging activities and our ability to respond to volatility in commodity prices;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changes to our organizational structure and/or business processes, including selling, distribution, manufacturing and information management systems or processes;</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for our products and favorable perception of our brands;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inventory management practices by certain of our key customers;</w:t>
      </w:r>
    </w:p>
    <w:p>
      <w:pPr>
        <w:spacing w:after="0" w:line="84"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changing customer landscape, with value and e-commerce retailers expanding their market presence, while certain of our key customers maintain significance to our business;</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quality and safety issues, including recalls and product liabilities;</w:t>
      </w:r>
    </w:p>
    <w:p>
      <w:pPr>
        <w:spacing w:after="0" w:line="97" w:lineRule="exact"/>
        <w:rPr>
          <w:rFonts w:ascii="Times New Roman" w:cs="Times New Roman" w:eastAsia="Times New Roman" w:hAnsi="Times New Roman"/>
          <w:sz w:val="18"/>
          <w:szCs w:val="18"/>
          <w:color w:val="auto"/>
        </w:rPr>
      </w:pPr>
    </w:p>
    <w:p>
      <w:pPr>
        <w:ind w:left="640" w:hanging="316"/>
        <w:spacing w:after="0" w:line="274" w:lineRule="auto"/>
        <w:tabs>
          <w:tab w:leader="none" w:pos="6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30"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uncertainties of litigation and regulatory actions against us;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967" w:right="339" w:bottom="1440" w:gutter="0" w:footer="0" w:header="0"/>
        </w:sectPr>
      </w:pPr>
    </w:p>
    <w:bookmarkStart w:id="37" w:name="page38"/>
    <w:bookmarkEnd w:id="37"/>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disruption and diversion of management's attention associated with activist investors;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disruption, failure or security breach of our or our vendors' information technology systems, including ransomware attacks;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to goodwill or other intangible assets;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w:t>
      </w:r>
    </w:p>
    <w:p>
      <w:pPr>
        <w:spacing w:after="0" w:line="8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liabilities and costs related to our defined benefit pension plans;</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key talent;</w:t>
      </w:r>
    </w:p>
    <w:p>
      <w:pPr>
        <w:spacing w:after="0" w:line="9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goals and initiatives related to, and the impacts of, climate change, including from weather-related events;</w:t>
      </w:r>
    </w:p>
    <w:p>
      <w:pPr>
        <w:spacing w:after="0" w:line="84" w:lineRule="exact"/>
        <w:rPr>
          <w:rFonts w:ascii="Times New Roman" w:cs="Times New Roman" w:eastAsia="Times New Roman" w:hAnsi="Times New Roman"/>
          <w:sz w:val="18"/>
          <w:szCs w:val="18"/>
          <w:color w:val="auto"/>
        </w:rPr>
      </w:pPr>
    </w:p>
    <w:p>
      <w:pPr>
        <w:ind w:left="640" w:right="12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changes and volatility in financial and credit markets, deteriorating economic conditions and other external factors, including the impact of new or changes to existing governmental laws and regulations and their application;</w:t>
      </w:r>
    </w:p>
    <w:p>
      <w:pPr>
        <w:spacing w:after="0" w:line="4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indebtedness and ability to pay such indebtedness; and</w:t>
      </w:r>
    </w:p>
    <w:p>
      <w:pPr>
        <w:spacing w:after="0" w:line="97" w:lineRule="exact"/>
        <w:rPr>
          <w:rFonts w:ascii="Times New Roman" w:cs="Times New Roman" w:eastAsia="Times New Roman" w:hAnsi="Times New Roman"/>
          <w:sz w:val="18"/>
          <w:szCs w:val="18"/>
          <w:color w:val="auto"/>
        </w:rPr>
      </w:pPr>
    </w:p>
    <w:p>
      <w:pPr>
        <w:ind w:left="640" w:right="100" w:hanging="316"/>
        <w:spacing w:after="0" w:line="274" w:lineRule="auto"/>
        <w:tabs>
          <w:tab w:leader="none" w:pos="6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business disruptions or other impacts due to political instability, civil disobedience, terrorism, geopolitical conflicts, extreme weather conditions, natural disasters, pandemics or other outbreaks of disease or other calamities.</w:t>
      </w:r>
    </w:p>
    <w:p>
      <w:pPr>
        <w:spacing w:after="0" w:line="31" w:lineRule="exact"/>
        <w:rPr>
          <w:sz w:val="20"/>
          <w:szCs w:val="20"/>
          <w:color w:val="auto"/>
        </w:rPr>
      </w:pPr>
    </w:p>
    <w:p>
      <w:pPr>
        <w:jc w:val="both"/>
        <w:ind w:right="100" w:firstLine="318"/>
        <w:spacing w:after="0" w:line="304" w:lineRule="auto"/>
        <w:rPr>
          <w:sz w:val="20"/>
          <w:szCs w:val="20"/>
          <w:color w:val="auto"/>
        </w:rPr>
      </w:pPr>
      <w:r>
        <w:rPr>
          <w:rFonts w:ascii="Times New Roman" w:cs="Times New Roman" w:eastAsia="Times New Roman" w:hAnsi="Times New Roman"/>
          <w:sz w:val="17"/>
          <w:szCs w:val="17"/>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102"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For information regarding our exposure to certain market risk, see Item 7A, Quantitative and Qualitative Disclosure About Market Risk, in the 2024 Annual Report on Form 10-K.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5" w:lineRule="exact"/>
        <w:rPr>
          <w:sz w:val="20"/>
          <w:szCs w:val="20"/>
          <w:color w:val="auto"/>
        </w:rPr>
      </w:pPr>
    </w:p>
    <w:p>
      <w:pPr>
        <w:ind w:left="640" w:hanging="316"/>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Evaluation of Disclosure Controls and Procedure</w:t>
      </w:r>
    </w:p>
    <w:p>
      <w:pPr>
        <w:spacing w:after="0" w:line="98" w:lineRule="exact"/>
        <w:rPr>
          <w:sz w:val="20"/>
          <w:szCs w:val="20"/>
          <w:color w:val="auto"/>
        </w:rPr>
      </w:pPr>
    </w:p>
    <w:p>
      <w:pPr>
        <w:jc w:val="both"/>
        <w:ind w:right="100" w:firstLine="318"/>
        <w:spacing w:after="0" w:line="252" w:lineRule="auto"/>
        <w:rPr>
          <w:sz w:val="20"/>
          <w:szCs w:val="20"/>
          <w:color w:val="auto"/>
        </w:rPr>
      </w:pPr>
      <w:r>
        <w:rPr>
          <w:rFonts w:ascii="Times New Roman" w:cs="Times New Roman" w:eastAsia="Times New Roman" w:hAnsi="Times New Roman"/>
          <w:sz w:val="18"/>
          <w:szCs w:val="18"/>
          <w:color w:val="auto"/>
        </w:rPr>
        <w:t>We, under the supervision and with the participation of our management, including the President and Chief Executive Officer and the Executive Vice President and Chief Financial Officer, have evaluated the effectiveness of our disclosure controls and procedures (as such term is defined in Rules 13a-15(e) and 15d-15(e) under the Securities Exchange Act of 1934, as amended) as of October 27, 2024 (Evaluation Date). Based on such evaluation, the President and Chief Executive Officer and the Executive Vice President and Chief Financial Officer have concluded that, as of the Evaluation Date, our disclosure controls and procedures are effective.</w:t>
      </w:r>
    </w:p>
    <w:p>
      <w:pPr>
        <w:spacing w:after="0" w:line="79" w:lineRule="exact"/>
        <w:rPr>
          <w:sz w:val="20"/>
          <w:szCs w:val="20"/>
          <w:color w:val="auto"/>
        </w:rPr>
      </w:pPr>
    </w:p>
    <w:p>
      <w:pPr>
        <w:ind w:left="640" w:hanging="316"/>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Changes in Internal Control</w:t>
      </w:r>
    </w:p>
    <w:p>
      <w:pPr>
        <w:spacing w:after="0" w:line="98" w:lineRule="exact"/>
        <w:rPr>
          <w:sz w:val="20"/>
          <w:szCs w:val="20"/>
          <w:color w:val="auto"/>
        </w:rPr>
      </w:pPr>
    </w:p>
    <w:p>
      <w:pPr>
        <w:jc w:val="both"/>
        <w:ind w:right="100" w:firstLine="318"/>
        <w:spacing w:after="0" w:line="259"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such term is defined in Rules 13a-15(f) and 15d-15(f) under the Securities Exchange Act of 1934, as amended) that materially affected, or are likely to materially affect, such internal control over financial reporting during the quarter ended October 27, 2024.</w:t>
      </w:r>
    </w:p>
    <w:p>
      <w:pPr>
        <w:spacing w:after="0" w:line="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Information regarding reportable legal proceedings is contained in Note 17 to the Consolidated Financial Statements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1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share repurchase activity in the three months ended October 27, 2024 was:</w:t>
      </w:r>
    </w:p>
    <w:p>
      <w:pPr>
        <w:spacing w:after="0" w:line="114"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2"/>
          </w:tcPr>
          <w:p>
            <w:pPr>
              <w:jc w:val="center"/>
              <w:ind w:right="400"/>
              <w:spacing w:after="0" w:line="157" w:lineRule="exact"/>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60" w:type="dxa"/>
            <w:vAlign w:val="bottom"/>
          </w:tcPr>
          <w:p>
            <w:pPr>
              <w:spacing w:after="0"/>
              <w:rPr>
                <w:sz w:val="13"/>
                <w:szCs w:val="13"/>
                <w:color w:val="auto"/>
              </w:rPr>
            </w:pPr>
          </w:p>
        </w:tc>
        <w:tc>
          <w:tcPr>
            <w:tcW w:w="1260" w:type="dxa"/>
            <w:vAlign w:val="bottom"/>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Shares that may yet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162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40" w:type="dxa"/>
            <w:vAlign w:val="bottom"/>
          </w:tcPr>
          <w:p>
            <w:pPr>
              <w:spacing w:after="0"/>
              <w:rPr>
                <w:sz w:val="11"/>
                <w:szCs w:val="11"/>
                <w:color w:val="auto"/>
              </w:rPr>
            </w:pPr>
          </w:p>
        </w:tc>
        <w:tc>
          <w:tcPr>
            <w:tcW w:w="1360" w:type="dxa"/>
            <w:vAlign w:val="bottom"/>
            <w:gridSpan w:val="2"/>
            <w:vMerge w:val="restart"/>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96"/>
              </w:rPr>
              <w:t>Average</w:t>
            </w:r>
          </w:p>
        </w:tc>
        <w:tc>
          <w:tcPr>
            <w:tcW w:w="2040" w:type="dxa"/>
            <w:vAlign w:val="bottom"/>
            <w:gridSpan w:val="2"/>
          </w:tcPr>
          <w:p>
            <w:pPr>
              <w:jc w:val="center"/>
              <w:ind w:right="400"/>
              <w:spacing w:after="0" w:line="133"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60" w:type="dxa"/>
            <w:vAlign w:val="bottom"/>
          </w:tcPr>
          <w:p>
            <w:pPr>
              <w:spacing w:after="0"/>
              <w:rPr>
                <w:sz w:val="11"/>
                <w:szCs w:val="11"/>
                <w:color w:val="auto"/>
              </w:rPr>
            </w:pPr>
          </w:p>
        </w:tc>
        <w:tc>
          <w:tcPr>
            <w:tcW w:w="12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w w:val="99"/>
              </w:rPr>
              <w:t>be Purchased</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040" w:type="dxa"/>
            <w:vAlign w:val="bottom"/>
            <w:gridSpan w:val="2"/>
          </w:tcPr>
          <w:p>
            <w:pPr>
              <w:jc w:val="center"/>
              <w:ind w:right="400"/>
              <w:spacing w:after="0" w:line="146"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40" w:type="dxa"/>
            <w:vAlign w:val="bottom"/>
          </w:tcPr>
          <w:p>
            <w:pPr>
              <w:spacing w:after="0"/>
              <w:rPr>
                <w:sz w:val="12"/>
                <w:szCs w:val="12"/>
                <w:color w:val="auto"/>
              </w:rPr>
            </w:pPr>
          </w:p>
        </w:tc>
        <w:tc>
          <w:tcPr>
            <w:tcW w:w="136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4420" w:type="dxa"/>
            <w:vAlign w:val="bottom"/>
            <w:gridSpan w:val="2"/>
            <w:vMerge w:val="continue"/>
          </w:tcPr>
          <w:p>
            <w:pPr>
              <w:spacing w:after="0"/>
              <w:rPr>
                <w:sz w:val="12"/>
                <w:szCs w:val="12"/>
                <w:color w:val="auto"/>
              </w:rPr>
            </w:pPr>
          </w:p>
        </w:tc>
        <w:tc>
          <w:tcPr>
            <w:tcW w:w="162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Purchased </w:t>
            </w:r>
            <w:r>
              <w:rPr>
                <w:rFonts w:ascii="Times New Roman" w:cs="Times New Roman" w:eastAsia="Times New Roman" w:hAnsi="Times New Roman"/>
                <w:sz w:val="16"/>
                <w:szCs w:val="16"/>
                <w:b w:val="1"/>
                <w:bCs w:val="1"/>
                <w:color w:val="auto"/>
                <w:vertAlign w:val="superscript"/>
              </w:rPr>
              <w:t>(1)</w:t>
            </w:r>
          </w:p>
        </w:tc>
        <w:tc>
          <w:tcPr>
            <w:tcW w:w="140" w:type="dxa"/>
            <w:vAlign w:val="bottom"/>
          </w:tcPr>
          <w:p>
            <w:pPr>
              <w:spacing w:after="0"/>
              <w:rPr>
                <w:sz w:val="12"/>
                <w:szCs w:val="12"/>
                <w:color w:val="auto"/>
              </w:rPr>
            </w:pPr>
          </w:p>
        </w:tc>
        <w:tc>
          <w:tcPr>
            <w:tcW w:w="1360" w:type="dxa"/>
            <w:vAlign w:val="bottom"/>
            <w:gridSpan w:val="2"/>
          </w:tcPr>
          <w:p>
            <w:pPr>
              <w:jc w:val="center"/>
              <w:ind w:right="54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Per Share </w:t>
            </w:r>
            <w:r>
              <w:rPr>
                <w:rFonts w:ascii="Times New Roman" w:cs="Times New Roman" w:eastAsia="Times New Roman" w:hAnsi="Times New Roman"/>
                <w:sz w:val="16"/>
                <w:szCs w:val="16"/>
                <w:b w:val="1"/>
                <w:bCs w:val="1"/>
                <w:color w:val="auto"/>
                <w:vertAlign w:val="superscript"/>
              </w:rPr>
              <w:t>(2)</w:t>
            </w:r>
          </w:p>
        </w:tc>
        <w:tc>
          <w:tcPr>
            <w:tcW w:w="2040" w:type="dxa"/>
            <w:vAlign w:val="bottom"/>
            <w:gridSpan w:val="2"/>
          </w:tcPr>
          <w:p>
            <w:pPr>
              <w:jc w:val="center"/>
              <w:ind w:right="380"/>
              <w:spacing w:after="0" w:line="146" w:lineRule="exact"/>
              <w:rPr>
                <w:sz w:val="20"/>
                <w:szCs w:val="20"/>
                <w:color w:val="auto"/>
              </w:rPr>
            </w:pPr>
            <w:r>
              <w:rPr>
                <w:rFonts w:ascii="Times New Roman" w:cs="Times New Roman" w:eastAsia="Times New Roman" w:hAnsi="Times New Roman"/>
                <w:sz w:val="14"/>
                <w:szCs w:val="14"/>
                <w:b w:val="1"/>
                <w:bCs w:val="1"/>
                <w:color w:val="auto"/>
              </w:rPr>
              <w:t xml:space="preserve">Programs </w:t>
            </w:r>
            <w:r>
              <w:rPr>
                <w:rFonts w:ascii="Times New Roman" w:cs="Times New Roman" w:eastAsia="Times New Roman" w:hAnsi="Times New Roman"/>
                <w:sz w:val="9"/>
                <w:szCs w:val="9"/>
                <w:b w:val="1"/>
                <w:bCs w:val="1"/>
                <w:color w:val="auto"/>
              </w:rPr>
              <w:t>(3)</w:t>
            </w:r>
          </w:p>
        </w:tc>
        <w:tc>
          <w:tcPr>
            <w:tcW w:w="1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 in Millions) </w:t>
            </w:r>
            <w:r>
              <w:rPr>
                <w:rFonts w:ascii="Times New Roman" w:cs="Times New Roman" w:eastAsia="Times New Roman" w:hAnsi="Times New Roman"/>
                <w:sz w:val="16"/>
                <w:szCs w:val="16"/>
                <w:b w:val="1"/>
                <w:bCs w:val="1"/>
                <w:color w:val="auto"/>
                <w:vertAlign w:val="superscript"/>
              </w:rPr>
              <w:t>(3)</w:t>
            </w:r>
          </w:p>
        </w:tc>
        <w:tc>
          <w:tcPr>
            <w:tcW w:w="0" w:type="dxa"/>
            <w:vAlign w:val="bottom"/>
          </w:tcPr>
          <w:p>
            <w:pPr>
              <w:spacing w:after="0"/>
              <w:rPr>
                <w:sz w:val="1"/>
                <w:szCs w:val="1"/>
                <w:color w:val="auto"/>
              </w:rPr>
            </w:pPr>
          </w:p>
        </w:tc>
      </w:tr>
      <w:tr>
        <w:trPr>
          <w:trHeight w:val="33"/>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7/29/24 - 8/30/24</w:t>
            </w:r>
          </w:p>
        </w:tc>
        <w:tc>
          <w:tcPr>
            <w:tcW w:w="16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4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9/2/24 - 9/30/24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770,000</w:t>
            </w:r>
          </w:p>
        </w:tc>
        <w:tc>
          <w:tcPr>
            <w:tcW w:w="3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w:t>
            </w:r>
          </w:p>
        </w:tc>
        <w:tc>
          <w:tcPr>
            <w:tcW w:w="380" w:type="dxa"/>
            <w:vAlign w:val="bottom"/>
          </w:tcPr>
          <w:p>
            <w:pPr>
              <w:spacing w:after="0"/>
              <w:rPr>
                <w:sz w:val="19"/>
                <w:szCs w:val="19"/>
                <w:color w:val="auto"/>
              </w:rPr>
            </w:pPr>
          </w:p>
        </w:tc>
        <w:tc>
          <w:tcPr>
            <w:tcW w:w="166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770,000</w:t>
            </w:r>
          </w:p>
        </w:tc>
        <w:tc>
          <w:tcPr>
            <w:tcW w:w="3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44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10/1/24-10/25/24</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328,000</w:t>
            </w:r>
          </w:p>
        </w:tc>
        <w:tc>
          <w:tcPr>
            <w:tcW w:w="3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47.67</w:t>
            </w:r>
          </w:p>
        </w:tc>
        <w:tc>
          <w:tcPr>
            <w:tcW w:w="380" w:type="dxa"/>
            <w:vAlign w:val="bottom"/>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328,000</w:t>
            </w:r>
          </w:p>
        </w:tc>
        <w:tc>
          <w:tcPr>
            <w:tcW w:w="3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1,098,000</w:t>
            </w:r>
          </w:p>
        </w:tc>
        <w:tc>
          <w:tcPr>
            <w:tcW w:w="38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49.61</w:t>
            </w:r>
          </w:p>
        </w:tc>
        <w:tc>
          <w:tcPr>
            <w:tcW w:w="380" w:type="dxa"/>
            <w:vAlign w:val="bottom"/>
          </w:tcPr>
          <w:p>
            <w:pPr>
              <w:spacing w:after="0"/>
              <w:rPr>
                <w:sz w:val="20"/>
                <w:szCs w:val="20"/>
                <w:color w:val="auto"/>
              </w:rPr>
            </w:pPr>
          </w:p>
        </w:tc>
        <w:tc>
          <w:tcPr>
            <w:tcW w:w="1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1,098,000</w:t>
            </w:r>
          </w:p>
        </w:tc>
        <w:tc>
          <w:tcPr>
            <w:tcW w:w="38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____________________________________</w:t>
      </w:r>
    </w:p>
    <w:p>
      <w:pPr>
        <w:spacing w:after="0" w:line="200" w:lineRule="exact"/>
        <w:rPr>
          <w:sz w:val="20"/>
          <w:szCs w:val="20"/>
          <w:color w:val="auto"/>
        </w:rPr>
      </w:pPr>
    </w:p>
    <w:p>
      <w:pPr>
        <w:spacing w:after="0" w:line="35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969" w:right="239" w:bottom="1440" w:gutter="0" w:footer="0" w:header="0"/>
        </w:sectPr>
      </w:pPr>
    </w:p>
    <w:bookmarkStart w:id="38" w:name="page39"/>
    <w:bookmarkEnd w:id="38"/>
    <w:p>
      <w:pPr>
        <w:ind w:left="320" w:hanging="314"/>
        <w:spacing w:after="0"/>
        <w:tabs>
          <w:tab w:leader="none" w:pos="320"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Shares purchased are as of the trade date.</w:t>
      </w:r>
    </w:p>
    <w:p>
      <w:pPr>
        <w:jc w:val="both"/>
        <w:ind w:left="320" w:hanging="314"/>
        <w:spacing w:after="0" w:line="224" w:lineRule="auto"/>
        <w:tabs>
          <w:tab w:leader="none" w:pos="30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Average price paid per share is calculated on a settlement basis and excludes commission and excise tax. As of January 1, 2023, our share repurchases in excess of issuances are subject to a 1% excise tax enacted by the Inflation Reduction Act. Any excise tax incurred is recognized as part of the cost basis of the shares acquired in the Consolidated Statements of Equity.</w:t>
      </w:r>
    </w:p>
    <w:p>
      <w:pPr>
        <w:spacing w:after="0" w:line="2" w:lineRule="exact"/>
        <w:rPr>
          <w:rFonts w:ascii="Times New Roman" w:cs="Times New Roman" w:eastAsia="Times New Roman" w:hAnsi="Times New Roman"/>
          <w:sz w:val="23"/>
          <w:szCs w:val="23"/>
          <w:color w:val="auto"/>
          <w:vertAlign w:val="superscript"/>
        </w:rPr>
      </w:pPr>
    </w:p>
    <w:p>
      <w:pPr>
        <w:jc w:val="both"/>
        <w:ind w:left="320" w:hanging="314"/>
        <w:spacing w:after="0" w:line="236" w:lineRule="auto"/>
        <w:tabs>
          <w:tab w:leader="none" w:pos="308" w:val="left"/>
        </w:tabs>
        <w:numPr>
          <w:ilvl w:val="0"/>
          <w:numId w:val="3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Board approved a strategic share repurchase program of up to $500 million (September 2021 program). The September 2021 program has no expiration date, but it may be suspended or discontinued at any time. Repurchases under the September 2021 program may be made in open-market or privately negotiated transactions. In September 2024, the Board authorized an anti-dilutive share repurchase program of up to $250 million (September 2024 program) to offset the impact of dilution from shares issued under our stock compensation programs. The September 2024 program has no expiration date, but it may be suspended or discontinued at any time. Repurchases under the September 2024 program may be made in open-market or privately negotiated transactions. The September 2024 program replaced an anti-dilutive share repurchase program of up to $250 million that was approved by the Board in June 2021 and has been terminated.</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89" w:lineRule="exact"/>
        <w:rPr>
          <w:sz w:val="20"/>
          <w:szCs w:val="20"/>
          <w:color w:val="auto"/>
        </w:rPr>
      </w:pPr>
    </w:p>
    <w:p>
      <w:pPr>
        <w:jc w:val="both"/>
        <w:ind w:firstLine="318"/>
        <w:spacing w:after="0" w:line="282" w:lineRule="auto"/>
        <w:rPr>
          <w:sz w:val="20"/>
          <w:szCs w:val="20"/>
          <w:color w:val="auto"/>
        </w:rPr>
      </w:pPr>
      <w:r>
        <w:rPr>
          <w:rFonts w:ascii="Times New Roman" w:cs="Times New Roman" w:eastAsia="Times New Roman" w:hAnsi="Times New Roman"/>
          <w:sz w:val="17"/>
          <w:szCs w:val="17"/>
          <w:color w:val="auto"/>
        </w:rPr>
        <w:t>During the quarter ended October 27, 2024, none of our directors or officers (as defined in Rule 16a-1(f) under the Securities Exchange Act of 1934, as amended) adopted or terminated any contract, instruction or written plan for the purchase or sale of our securities that was intended to satisfy the affirmative defense conditions of Rule 10b5-1(c) or any "non-Rule 10b5-1 trading arrangement" in accordance with Item 408 of Regulation S-K of the Securities Act.</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8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Index to Exhibits, which immediately precedes the signature page, is incorporated by reference into this Report.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896" w:right="339" w:bottom="1440" w:gutter="0" w:footer="0" w:header="0"/>
        </w:sectPr>
      </w:pPr>
    </w:p>
    <w:bookmarkStart w:id="39" w:name="page40"/>
    <w:bookmarkEnd w:id="39"/>
    <w:tbl>
      <w:tblPr>
        <w:tblLayout w:type="fixed"/>
        <w:tblInd w:w="3" w:type="dxa"/>
        <w:tblCellMar>
          <w:top w:w="0" w:type="dxa"/>
          <w:left w:w="0" w:type="dxa"/>
          <w:bottom w:w="0" w:type="dxa"/>
          <w:right w:w="0" w:type="dxa"/>
        </w:tblCellMar>
      </w:tblPr>
      <w:tr>
        <w:trPr>
          <w:trHeight w:val="231"/>
        </w:trPr>
        <w:tc>
          <w:tcPr>
            <w:tcW w:w="1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520" w:type="dxa"/>
            <w:vAlign w:val="bottom"/>
            <w:gridSpan w:val="12"/>
          </w:tcPr>
          <w:p>
            <w:pPr>
              <w:ind w:left="1160"/>
              <w:spacing w:after="0"/>
              <w:rPr>
                <w:sz w:val="20"/>
                <w:szCs w:val="20"/>
                <w:color w:val="auto"/>
              </w:rPr>
            </w:pPr>
            <w:r>
              <w:rPr>
                <w:rFonts w:ascii="Times New Roman" w:cs="Times New Roman" w:eastAsia="Times New Roman" w:hAnsi="Times New Roman"/>
                <w:sz w:val="18"/>
                <w:szCs w:val="18"/>
                <w:color w:val="auto"/>
              </w:rPr>
              <w:t>INDEX TO EXHIBITS</w:t>
            </w:r>
          </w:p>
        </w:tc>
      </w:tr>
      <w:tr>
        <w:trPr>
          <w:trHeight w:val="30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Restated Certificate of Incorporation, as amended through November 19, 2024</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000" w:type="dxa"/>
            <w:vAlign w:val="bottom"/>
            <w:gridSpan w:val="14"/>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By-Laws of The Campbell's Company, amended and restated effective November 19, 2024, incorporated by reference to Exhibit 3.2 to</w:t>
              </w:r>
            </w:hyperlink>
          </w:p>
        </w:tc>
      </w:tr>
      <w:tr>
        <w:trPr>
          <w:trHeight w:val="152"/>
        </w:trPr>
        <w:tc>
          <w:tcPr>
            <w:tcW w:w="1100" w:type="dxa"/>
            <w:vAlign w:val="bottom"/>
          </w:tcPr>
          <w:p>
            <w:pPr>
              <w:spacing w:after="0"/>
              <w:rPr>
                <w:sz w:val="13"/>
                <w:szCs w:val="13"/>
                <w:color w:val="auto"/>
              </w:rPr>
            </w:pPr>
          </w:p>
        </w:tc>
        <w:tc>
          <w:tcPr>
            <w:tcW w:w="952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83">
              <w:r>
                <w:rPr>
                  <w:rFonts w:ascii="Times New Roman" w:cs="Times New Roman" w:eastAsia="Times New Roman" w:hAnsi="Times New Roman"/>
                  <w:sz w:val="17"/>
                  <w:szCs w:val="17"/>
                  <w:color w:val="0000FF"/>
                </w:rPr>
                <w:t>Campbell’s Current Report on Form 8-K (SEC file number 1-3822) filed on November 20, 2024</w:t>
              </w:r>
              <w:r>
                <w:rPr>
                  <w:rFonts w:ascii="Times New Roman" w:cs="Times New Roman" w:eastAsia="Times New Roman" w:hAnsi="Times New Roman"/>
                  <w:sz w:val="17"/>
                  <w:szCs w:val="17"/>
                  <w:color w:val="000000"/>
                </w:rPr>
                <w:t>.</w:t>
              </w:r>
            </w:hyperlink>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000" w:type="dxa"/>
            <w:vAlign w:val="bottom"/>
            <w:gridSpan w:val="14"/>
          </w:tcPr>
          <w:p>
            <w:pPr>
              <w:spacing w:after="0"/>
              <w:rPr>
                <w:rFonts w:ascii="Times New Roman" w:cs="Times New Roman" w:eastAsia="Times New Roman" w:hAnsi="Times New Roman"/>
                <w:sz w:val="18"/>
                <w:szCs w:val="18"/>
                <w:color w:val="0000FF"/>
                <w:w w:val="97"/>
              </w:rPr>
            </w:pPr>
            <w:hyperlink r:id="rId84">
              <w:r>
                <w:rPr>
                  <w:rFonts w:ascii="Times New Roman" w:cs="Times New Roman" w:eastAsia="Times New Roman" w:hAnsi="Times New Roman"/>
                  <w:sz w:val="18"/>
                  <w:szCs w:val="18"/>
                  <w:color w:val="0000FF"/>
                  <w:w w:val="97"/>
                </w:rPr>
                <w:t>Form of 2035 Note, incorporated by reference to Exhibit 4.3.1 to Campbell’s Current Report on Form 8-K (SEC file number 1-3822) filed on</w:t>
              </w:r>
            </w:hyperlink>
          </w:p>
        </w:tc>
      </w:tr>
      <w:tr>
        <w:trPr>
          <w:trHeight w:val="152"/>
        </w:trPr>
        <w:tc>
          <w:tcPr>
            <w:tcW w:w="110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84">
              <w:r>
                <w:rPr>
                  <w:rFonts w:ascii="Times New Roman" w:cs="Times New Roman" w:eastAsia="Times New Roman" w:hAnsi="Times New Roman"/>
                  <w:sz w:val="17"/>
                  <w:szCs w:val="17"/>
                  <w:color w:val="0000FF"/>
                </w:rPr>
                <w:t>October 2, 2024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000" w:type="dxa"/>
            <w:vAlign w:val="bottom"/>
            <w:gridSpan w:val="14"/>
          </w:tcPr>
          <w:p>
            <w:pPr>
              <w:spacing w:after="0"/>
              <w:rPr>
                <w:rFonts w:ascii="Times New Roman" w:cs="Times New Roman" w:eastAsia="Times New Roman" w:hAnsi="Times New Roman"/>
                <w:sz w:val="18"/>
                <w:szCs w:val="18"/>
                <w:color w:val="0000FF"/>
                <w:w w:val="97"/>
              </w:rPr>
            </w:pPr>
            <w:hyperlink r:id="rId85">
              <w:r>
                <w:rPr>
                  <w:rFonts w:ascii="Times New Roman" w:cs="Times New Roman" w:eastAsia="Times New Roman" w:hAnsi="Times New Roman"/>
                  <w:sz w:val="18"/>
                  <w:szCs w:val="18"/>
                  <w:color w:val="0000FF"/>
                  <w:w w:val="97"/>
                </w:rPr>
                <w:t>Form of 2054 Note, incorporated by reference to Exhibit 4.3.2 to Campbell’s Current Report on Form 8-K (SEC file number 1-3822) filed on</w:t>
              </w:r>
            </w:hyperlink>
          </w:p>
        </w:tc>
      </w:tr>
      <w:tr>
        <w:trPr>
          <w:trHeight w:val="152"/>
        </w:trPr>
        <w:tc>
          <w:tcPr>
            <w:tcW w:w="1100" w:type="dxa"/>
            <w:vAlign w:val="bottom"/>
          </w:tcPr>
          <w:p>
            <w:pPr>
              <w:spacing w:after="0"/>
              <w:rPr>
                <w:sz w:val="13"/>
                <w:szCs w:val="13"/>
                <w:color w:val="auto"/>
              </w:rPr>
            </w:pPr>
          </w:p>
        </w:tc>
        <w:tc>
          <w:tcPr>
            <w:tcW w:w="998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85">
              <w:r>
                <w:rPr>
                  <w:rFonts w:ascii="Times New Roman" w:cs="Times New Roman" w:eastAsia="Times New Roman" w:hAnsi="Times New Roman"/>
                  <w:sz w:val="17"/>
                  <w:szCs w:val="17"/>
                  <w:color w:val="0000FF"/>
                </w:rPr>
                <w:t>October 2, 2024</w:t>
              </w:r>
              <w:r>
                <w:rPr>
                  <w:rFonts w:ascii="Times New Roman" w:cs="Times New Roman" w:eastAsia="Times New Roman" w:hAnsi="Times New Roman"/>
                  <w:sz w:val="17"/>
                  <w:szCs w:val="17"/>
                  <w:color w:val="000000"/>
                </w:rPr>
                <w:t>.</w:t>
              </w:r>
            </w:hyperlink>
          </w:p>
        </w:tc>
        <w:tc>
          <w:tcPr>
            <w:tcW w:w="20" w:type="dxa"/>
            <w:vAlign w:val="bottom"/>
          </w:tcPr>
          <w:p>
            <w:pPr>
              <w:spacing w:after="0"/>
              <w:rPr>
                <w:sz w:val="13"/>
                <w:szCs w:val="13"/>
                <w:color w:val="auto"/>
              </w:rPr>
            </w:pPr>
          </w:p>
        </w:tc>
      </w:tr>
      <w:tr>
        <w:trPr>
          <w:trHeight w:val="20"/>
        </w:trPr>
        <w:tc>
          <w:tcPr>
            <w:tcW w:w="110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r>
      <w:tr>
        <w:trPr>
          <w:trHeight w:val="311"/>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of 2022 Long-Term Incentive Plan Performance Restricted Stock Unit Agreement (Earnings Per Share)</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Form of 2022 Long-Term Incentive Plan Performance Restricted Stock Unit Agreement (Total Shareholder Return)</w:t>
            </w:r>
            <w:r>
              <w:rPr>
                <w:rFonts w:ascii="Times New Roman" w:cs="Times New Roman" w:eastAsia="Times New Roman" w:hAnsi="Times New Roman"/>
                <w:sz w:val="18"/>
                <w:szCs w:val="18"/>
                <w:color w:val="000000"/>
              </w:rPr>
              <w:t>.</w:t>
            </w: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8160" w:type="dxa"/>
            <w:vAlign w:val="bottom"/>
            <w:tcBorders>
              <w:top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8"/>
              </w:rPr>
              <w:t>Campbell Soup Company Supplemental Retirement Plan, as amended and restated effective as of October 1, 2024</w:t>
            </w:r>
            <w:r>
              <w:rPr>
                <w:rFonts w:ascii="Times New Roman" w:cs="Times New Roman" w:eastAsia="Times New Roman" w:hAnsi="Times New Roman"/>
                <w:sz w:val="18"/>
                <w:szCs w:val="18"/>
                <w:color w:val="000000"/>
                <w:w w:val="98"/>
              </w:rPr>
              <w:t>.</w:t>
            </w:r>
          </w:p>
        </w:tc>
        <w:tc>
          <w:tcPr>
            <w:tcW w:w="1840" w:type="dxa"/>
            <w:vAlign w:val="bottom"/>
            <w:gridSpan w:val="3"/>
          </w:tcPr>
          <w:p>
            <w:pPr>
              <w:spacing w:after="0"/>
              <w:rPr>
                <w:sz w:val="24"/>
                <w:szCs w:val="24"/>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06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2025 Non-Employee Director Fees</w:t>
            </w:r>
            <w:r>
              <w:rPr>
                <w:rFonts w:ascii="Times New Roman" w:cs="Times New Roman" w:eastAsia="Times New Roman" w:hAnsi="Times New Roman"/>
                <w:sz w:val="18"/>
                <w:szCs w:val="18"/>
                <w:color w:val="000000"/>
              </w:rPr>
              <w:t>.</w:t>
            </w:r>
          </w:p>
        </w:tc>
        <w:tc>
          <w:tcPr>
            <w:tcW w:w="1940" w:type="dxa"/>
            <w:vAlign w:val="bottom"/>
            <w:gridSpan w:val="4"/>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Rule 13a-14(a).</w:t>
            </w:r>
          </w:p>
        </w:tc>
      </w:tr>
      <w:tr>
        <w:trPr>
          <w:trHeight w:val="20"/>
        </w:trPr>
        <w:tc>
          <w:tcPr>
            <w:tcW w:w="1100" w:type="dxa"/>
            <w:vAlign w:val="bottom"/>
          </w:tcPr>
          <w:p>
            <w:pPr>
              <w:spacing w:after="0" w:line="20" w:lineRule="exact"/>
              <w:rPr>
                <w:sz w:val="1"/>
                <w:szCs w:val="1"/>
                <w:color w:val="auto"/>
              </w:rPr>
            </w:pPr>
          </w:p>
        </w:tc>
        <w:tc>
          <w:tcPr>
            <w:tcW w:w="424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Rule 13a-14(a)</w:t>
            </w:r>
            <w:r>
              <w:rPr>
                <w:rFonts w:ascii="Times New Roman" w:cs="Times New Roman" w:eastAsia="Times New Roman" w:hAnsi="Times New Roman"/>
                <w:sz w:val="18"/>
                <w:szCs w:val="18"/>
                <w:color w:val="000000"/>
              </w:rPr>
              <w:t>.</w:t>
            </w:r>
          </w:p>
        </w:tc>
      </w:tr>
      <w:tr>
        <w:trPr>
          <w:trHeight w:val="20"/>
        </w:trPr>
        <w:tc>
          <w:tcPr>
            <w:tcW w:w="1100" w:type="dxa"/>
            <w:vAlign w:val="bottom"/>
          </w:tcPr>
          <w:p>
            <w:pPr>
              <w:spacing w:after="0" w:line="20" w:lineRule="exact"/>
              <w:rPr>
                <w:sz w:val="1"/>
                <w:szCs w:val="1"/>
                <w:color w:val="auto"/>
              </w:rPr>
            </w:pPr>
          </w:p>
        </w:tc>
        <w:tc>
          <w:tcPr>
            <w:tcW w:w="4440" w:type="dxa"/>
            <w:vAlign w:val="bottom"/>
            <w:gridSpan w:val="4"/>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Mark A. Clouse pursuant to 18 U.S.C. Section 1350.</w:t>
            </w:r>
          </w:p>
        </w:tc>
      </w:tr>
      <w:tr>
        <w:trPr>
          <w:trHeight w:val="20"/>
        </w:trPr>
        <w:tc>
          <w:tcPr>
            <w:tcW w:w="1100" w:type="dxa"/>
            <w:vAlign w:val="bottom"/>
          </w:tcPr>
          <w:p>
            <w:pPr>
              <w:spacing w:after="0" w:line="20" w:lineRule="exact"/>
              <w:rPr>
                <w:sz w:val="1"/>
                <w:szCs w:val="1"/>
                <w:color w:val="auto"/>
              </w:rPr>
            </w:pPr>
          </w:p>
        </w:tc>
        <w:tc>
          <w:tcPr>
            <w:tcW w:w="4840" w:type="dxa"/>
            <w:vAlign w:val="bottom"/>
            <w:gridSpan w:val="5"/>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r>
      <w:tr>
        <w:trPr>
          <w:trHeight w:val="29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rPr>
              <w:t>Certification of Carrie L. Anderson pursuant to 18 U.S.C. Section 1350.</w:t>
            </w:r>
          </w:p>
        </w:tc>
      </w:tr>
      <w:tr>
        <w:trPr>
          <w:trHeight w:val="20"/>
        </w:trPr>
        <w:tc>
          <w:tcPr>
            <w:tcW w:w="1100" w:type="dxa"/>
            <w:vAlign w:val="bottom"/>
          </w:tcPr>
          <w:p>
            <w:pPr>
              <w:spacing w:after="0" w:line="20" w:lineRule="exact"/>
              <w:rPr>
                <w:sz w:val="1"/>
                <w:szCs w:val="1"/>
                <w:color w:val="auto"/>
              </w:rPr>
            </w:pPr>
          </w:p>
        </w:tc>
        <w:tc>
          <w:tcPr>
            <w:tcW w:w="5080" w:type="dxa"/>
            <w:vAlign w:val="bottom"/>
            <w:gridSpan w:val="6"/>
            <w:shd w:val="clear" w:color="auto" w:fill="0000FF"/>
          </w:tcPr>
          <w:p>
            <w:pPr>
              <w:spacing w:after="0" w:line="20" w:lineRule="exact"/>
              <w:rPr>
                <w:sz w:val="1"/>
                <w:szCs w:val="1"/>
                <w:color w:val="auto"/>
              </w:rPr>
            </w:pPr>
          </w:p>
        </w:tc>
        <w:tc>
          <w:tcPr>
            <w:tcW w:w="4920" w:type="dxa"/>
            <w:vAlign w:val="bottom"/>
            <w:gridSpan w:val="8"/>
          </w:tcPr>
          <w:p>
            <w:pPr>
              <w:spacing w:after="0" w:line="20" w:lineRule="exact"/>
              <w:rPr>
                <w:sz w:val="1"/>
                <w:szCs w:val="1"/>
                <w:color w:val="auto"/>
              </w:rPr>
            </w:pPr>
          </w:p>
        </w:tc>
      </w:tr>
      <w:tr>
        <w:trPr>
          <w:trHeight w:val="28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on the Interactive Data File because its XBRL tags are embedded</w:t>
            </w:r>
          </w:p>
        </w:tc>
      </w:tr>
      <w:tr>
        <w:trPr>
          <w:trHeight w:val="231"/>
        </w:trPr>
        <w:tc>
          <w:tcPr>
            <w:tcW w:w="1100" w:type="dxa"/>
            <w:vAlign w:val="bottom"/>
          </w:tcPr>
          <w:p>
            <w:pPr>
              <w:spacing w:after="0"/>
              <w:rPr>
                <w:sz w:val="20"/>
                <w:szCs w:val="20"/>
                <w:color w:val="auto"/>
              </w:rPr>
            </w:pP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2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Extension Schema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Extension Calculation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Extension Definition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Extension Label Linkbase Document.</w:t>
            </w:r>
          </w:p>
        </w:tc>
      </w:tr>
      <w:tr>
        <w:trPr>
          <w:trHeight w:val="3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Extension Presentation Linkbase Document.</w:t>
            </w:r>
          </w:p>
        </w:tc>
      </w:tr>
    </w:tbl>
    <w:p>
      <w:pPr>
        <w:spacing w:after="0" w:line="87" w:lineRule="exact"/>
        <w:rPr>
          <w:sz w:val="20"/>
          <w:szCs w:val="20"/>
          <w:color w:val="auto"/>
        </w:rPr>
      </w:pPr>
    </w:p>
    <w:p>
      <w:pPr>
        <w:ind w:left="-37" w:right="2120" w:firstLine="37"/>
        <w:spacing w:after="0" w:line="350" w:lineRule="auto"/>
        <w:tabs>
          <w:tab w:leader="none" w:pos="109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cover page from this Quarterly Report on Form 10-Q, formatted in Inline XBRL (included in Exhibit 101). * This exhibit is a management contract or compensatory plan or arrangement.</w:t>
      </w:r>
    </w:p>
    <w:p>
      <w:pPr>
        <w:spacing w:after="0" w:line="200" w:lineRule="exact"/>
        <w:rPr>
          <w:sz w:val="20"/>
          <w:szCs w:val="20"/>
          <w:color w:val="auto"/>
        </w:rPr>
      </w:pPr>
    </w:p>
    <w:p>
      <w:pPr>
        <w:spacing w:after="0" w:line="230" w:lineRule="exact"/>
        <w:rPr>
          <w:sz w:val="20"/>
          <w:szCs w:val="20"/>
          <w:color w:val="auto"/>
        </w:rPr>
      </w:pPr>
    </w:p>
    <w:p>
      <w:pPr>
        <w:jc w:val="center"/>
        <w:ind w:right="-82"/>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69215</wp:posOffset>
            </wp:positionV>
            <wp:extent cx="716026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083"/>
          </w:cols>
          <w:pgMar w:left="357" w:top="969" w:right="459" w:bottom="1440" w:gutter="0" w:footer="0" w:header="0"/>
        </w:sectPr>
      </w:pPr>
    </w:p>
    <w:bookmarkStart w:id="40" w:name="page41"/>
    <w:bookmarkEnd w:id="4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2024</w:t>
      </w:r>
    </w:p>
    <w:p>
      <w:pPr>
        <w:spacing w:after="0" w:line="4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b w:val="1"/>
          <w:bCs w:val="1"/>
          <w:color w:val="auto"/>
        </w:rPr>
        <w:t>THE CAMPBELL'S COMPANY</w:t>
      </w:r>
    </w:p>
    <w:p>
      <w:pPr>
        <w:spacing w:after="0" w:line="232"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24" w:lineRule="exact"/>
        <w:rPr>
          <w:sz w:val="20"/>
          <w:szCs w:val="20"/>
          <w:color w:val="auto"/>
        </w:rPr>
      </w:pPr>
    </w:p>
    <w:p>
      <w:pPr>
        <w:ind w:left="5440"/>
        <w:spacing w:after="0"/>
        <w:rPr>
          <w:sz w:val="20"/>
          <w:szCs w:val="20"/>
          <w:color w:val="auto"/>
        </w:rPr>
      </w:pPr>
      <w:r>
        <w:rPr>
          <w:rFonts w:ascii="Times New Roman" w:cs="Times New Roman" w:eastAsia="Times New Roman" w:hAnsi="Times New Roman"/>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3621405</wp:posOffset>
            </wp:positionH>
            <wp:positionV relativeFrom="paragraph">
              <wp:posOffset>14605</wp:posOffset>
            </wp:positionV>
            <wp:extent cx="317182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3171825" cy="8255"/>
                    </a:xfrm>
                    <a:prstGeom prst="rect">
                      <a:avLst/>
                    </a:prstGeom>
                    <a:noFill/>
                  </pic:spPr>
                </pic:pic>
              </a:graphicData>
            </a:graphic>
          </wp:anchor>
        </w:drawing>
      </w:r>
    </w:p>
    <w:p>
      <w:pPr>
        <w:spacing w:after="0" w:line="1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Stanley Polomski</w:t>
      </w:r>
    </w:p>
    <w:p>
      <w:pPr>
        <w:spacing w:after="0" w:line="24"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874" w:right="45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1"/>
          <w:szCs w:val="21"/>
          <w:b w:val="1"/>
          <w:bCs w:val="1"/>
          <w:i w:val="1"/>
          <w:iCs w:val="1"/>
          <w:color w:val="auto"/>
        </w:rPr>
        <w:t>The Campbell’s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21"/>
          <w:szCs w:val="21"/>
          <w:color w:val="auto"/>
        </w:rPr>
        <w:t>INCORPORATED IN NEW JERSEY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1"/>
          <w:szCs w:val="21"/>
          <w:b w:val="1"/>
          <w:bCs w:val="1"/>
          <w:color w:val="auto"/>
        </w:rPr>
        <w:t>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As Restated December 1, 1980, and as amended through November 19, 2024</w:t>
      </w:r>
    </w:p>
    <w:p>
      <w:pPr>
        <w:sectPr>
          <w:pgSz w:w="11900" w:h="16838" w:orient="portrait"/>
          <w:cols w:equalWidth="0" w:num="1">
            <w:col w:w="10120"/>
          </w:cols>
          <w:pgMar w:left="1440" w:top="358"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21"/>
          <w:szCs w:val="21"/>
          <w:b w:val="1"/>
          <w:bCs w:val="1"/>
          <w:color w:val="auto"/>
        </w:rPr>
        <w:t>RESTATED CERTIFICATE OF INCORPORATION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CAMPBELL’S COMPANY</w:t>
      </w:r>
    </w:p>
    <w:p>
      <w:pPr>
        <w:spacing w:after="0" w:line="200" w:lineRule="exact"/>
        <w:rPr>
          <w:sz w:val="20"/>
          <w:szCs w:val="20"/>
          <w:color w:val="auto"/>
        </w:rPr>
      </w:pPr>
    </w:p>
    <w:p>
      <w:pPr>
        <w:spacing w:after="0" w:line="2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FIRST. The name of the corporation is:</w:t>
      </w:r>
    </w:p>
    <w:p>
      <w:pPr>
        <w:spacing w:after="0" w:line="24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1"/>
          <w:szCs w:val="21"/>
          <w:color w:val="auto"/>
        </w:rPr>
        <w:t>THE CAMPBELL’S COMPANY</w:t>
      </w:r>
    </w:p>
    <w:p>
      <w:pPr>
        <w:spacing w:after="0" w:line="249" w:lineRule="exact"/>
        <w:rPr>
          <w:sz w:val="20"/>
          <w:szCs w:val="20"/>
          <w:color w:val="auto"/>
        </w:rPr>
      </w:pPr>
    </w:p>
    <w:p>
      <w:pPr>
        <w:ind w:right="260" w:firstLine="636"/>
        <w:spacing w:after="0" w:line="285" w:lineRule="auto"/>
        <w:rPr>
          <w:sz w:val="20"/>
          <w:szCs w:val="20"/>
          <w:color w:val="auto"/>
        </w:rPr>
      </w:pPr>
      <w:r>
        <w:rPr>
          <w:rFonts w:ascii="Times New Roman" w:cs="Times New Roman" w:eastAsia="Times New Roman" w:hAnsi="Times New Roman"/>
          <w:sz w:val="21"/>
          <w:szCs w:val="21"/>
          <w:color w:val="auto"/>
        </w:rPr>
        <w:t>SECOND. The address of the corporation's registered office is Campbell Place, Camden, New Jersey 08101. The name of the corporation's registered agent at such address, upon whom process against the corporation may be served, is John J. Furey.</w:t>
      </w:r>
    </w:p>
    <w:p>
      <w:pPr>
        <w:spacing w:after="0" w:line="16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THIRD. The purposes for which the corporation is organized are to engage in any or all activities within the purposes for which corporations now or at any time hereafter may be organized under the New Jersey Business Corporation Act and under all amendments and supplements thereto, or any revision thereof or any statute enacted to take the place thereof, including but not limited to the following:</w:t>
      </w:r>
    </w:p>
    <w:p>
      <w:pPr>
        <w:spacing w:after="0" w:line="188" w:lineRule="exact"/>
        <w:rPr>
          <w:sz w:val="20"/>
          <w:szCs w:val="20"/>
          <w:color w:val="auto"/>
        </w:rPr>
      </w:pPr>
    </w:p>
    <w:p>
      <w:pPr>
        <w:jc w:val="both"/>
        <w:ind w:firstLine="1278"/>
        <w:spacing w:after="0" w:line="267" w:lineRule="auto"/>
        <w:tabs>
          <w:tab w:leader="none" w:pos="157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do all kinds of agricultural, communications, construction, farming, food, mining, manufacturing, marketing, publishing, sales, service, trading, transportation and warehousing business; and to acquire, use, sell and grant licenses with respect to copyrights, trademarks, patents and other intellectual property.</w:t>
      </w:r>
    </w:p>
    <w:p>
      <w:pPr>
        <w:spacing w:after="0" w:line="201" w:lineRule="exact"/>
        <w:rPr>
          <w:rFonts w:ascii="Times New Roman" w:cs="Times New Roman" w:eastAsia="Times New Roman" w:hAnsi="Times New Roman"/>
          <w:sz w:val="21"/>
          <w:szCs w:val="21"/>
          <w:color w:val="auto"/>
        </w:rPr>
      </w:pPr>
    </w:p>
    <w:p>
      <w:pPr>
        <w:jc w:val="both"/>
        <w:ind w:firstLine="1278"/>
        <w:spacing w:after="0" w:line="267" w:lineRule="auto"/>
        <w:tabs>
          <w:tab w:leader="none" w:pos="1599"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engage in any activities encompassed within this Article Third directly or through or with one or more subsidiaries, general or limited partnerships, joint ventures, other incorporated or unincorporated associations or entities, or individuals and to take any and all acts deemed appropriate to promote the interests thereof; and</w:t>
      </w:r>
    </w:p>
    <w:p>
      <w:pPr>
        <w:spacing w:after="0" w:line="187" w:lineRule="exact"/>
        <w:rPr>
          <w:rFonts w:ascii="Times New Roman" w:cs="Times New Roman" w:eastAsia="Times New Roman" w:hAnsi="Times New Roman"/>
          <w:sz w:val="21"/>
          <w:szCs w:val="21"/>
          <w:color w:val="auto"/>
        </w:rPr>
      </w:pPr>
    </w:p>
    <w:p>
      <w:pPr>
        <w:jc w:val="both"/>
        <w:ind w:firstLine="1278"/>
        <w:spacing w:after="0" w:line="274" w:lineRule="auto"/>
        <w:tabs>
          <w:tab w:leader="none" w:pos="1572"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exercise as a purpose or purposes each power granted to corporations by the New Jersey Business Corporation Act or by any amendment or supplement thereto or by any statute enacted to take the place thereof, insofar as such powers authorize or may hereafter authorize corporations to engage in activities.</w:t>
      </w:r>
    </w:p>
    <w:p>
      <w:pPr>
        <w:spacing w:after="0" w:line="180"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21"/>
          <w:szCs w:val="21"/>
          <w:color w:val="auto"/>
        </w:rPr>
        <w:t>FOURTH. The aggregate number of shares which the corporation has authority to issue is 600,000,000, consisting of 560,000,000 shares of Capital Stock, $0.0375 par value, and 40,000,000 shares of Preferred Stock issuable in one or more classes and series of any class. The shares of Preferred Stock of each class shall be without par value unless the amendment creating the class provides for a par value.</w:t>
      </w:r>
    </w:p>
    <w:p>
      <w:pPr>
        <w:spacing w:after="0" w:line="200" w:lineRule="exact"/>
        <w:rPr>
          <w:sz w:val="20"/>
          <w:szCs w:val="20"/>
          <w:color w:val="auto"/>
        </w:rPr>
      </w:pPr>
    </w:p>
    <w:p>
      <w:pPr>
        <w:spacing w:after="0" w:line="247" w:lineRule="exact"/>
        <w:rPr>
          <w:sz w:val="20"/>
          <w:szCs w:val="20"/>
          <w:color w:val="auto"/>
        </w:rPr>
      </w:pPr>
    </w:p>
    <w:p>
      <w:pPr>
        <w:jc w:val="both"/>
        <w:ind w:firstLine="636"/>
        <w:spacing w:after="0" w:line="267" w:lineRule="auto"/>
        <w:rPr>
          <w:sz w:val="20"/>
          <w:szCs w:val="20"/>
          <w:color w:val="auto"/>
        </w:rPr>
      </w:pPr>
      <w:r>
        <w:rPr>
          <w:rFonts w:ascii="Times New Roman" w:cs="Times New Roman" w:eastAsia="Times New Roman" w:hAnsi="Times New Roman"/>
          <w:sz w:val="21"/>
          <w:szCs w:val="21"/>
          <w:color w:val="auto"/>
        </w:rPr>
        <w:t>The designations, relative voting, dividend, liquidation and other rights, preferences and limitations of the Preferred Stock and Capital Stock of the corporation, and the authority of the board of directors to divide the shares of the Preferred Stock in to classes or series and to</w:t>
      </w:r>
    </w:p>
    <w:p>
      <w:pPr>
        <w:sectPr>
          <w:pgSz w:w="11900" w:h="16838" w:orient="portrait"/>
          <w:cols w:equalWidth="0" w:num="1">
            <w:col w:w="11240"/>
          </w:cols>
          <w:pgMar w:left="320" w:top="139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21"/>
          <w:szCs w:val="21"/>
          <w:color w:val="auto"/>
        </w:rPr>
        <w:t>determine and change the relative rights, preferences and limitations of any such class or series are as follows: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 PREFERRED STOCK</w:t>
      </w:r>
    </w:p>
    <w:p>
      <w:pPr>
        <w:spacing w:after="0" w:line="249" w:lineRule="exact"/>
        <w:rPr>
          <w:sz w:val="20"/>
          <w:szCs w:val="20"/>
          <w:color w:val="auto"/>
        </w:rPr>
      </w:pPr>
    </w:p>
    <w:p>
      <w:pPr>
        <w:jc w:val="both"/>
        <w:ind w:firstLine="642"/>
        <w:spacing w:after="0" w:line="262" w:lineRule="auto"/>
        <w:tabs>
          <w:tab w:leader="none" w:pos="936"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is expressly authorized to adopt and to cause to be executed and filed, without further approval of the stockholders, an amendment or amendments to this Restated Certificate of Incorporation to divide any unissued shares of Preferred Stock into one or more classes and into series within any class or classes of Preferred Stock, to authorize the issuance of such shares for such consideration (not less than par value in the case of shares having a par value) as the board of directors may determine, and to determine in any one or more respects from time to time before issuance of such unissued shares;</w:t>
      </w:r>
    </w:p>
    <w:p>
      <w:pPr>
        <w:spacing w:after="0" w:line="192" w:lineRule="exact"/>
        <w:rPr>
          <w:rFonts w:ascii="Times New Roman" w:cs="Times New Roman" w:eastAsia="Times New Roman" w:hAnsi="Times New Roman"/>
          <w:sz w:val="21"/>
          <w:szCs w:val="21"/>
          <w:color w:val="auto"/>
        </w:rPr>
      </w:pPr>
    </w:p>
    <w:p>
      <w:pPr>
        <w:jc w:val="both"/>
        <w:ind w:firstLine="1278"/>
        <w:spacing w:after="0" w:line="266" w:lineRule="auto"/>
        <w:tabs>
          <w:tab w:leader="none" w:pos="156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distinctive designation of such class or series and the number of shares to constitute such class or series and whether shares of such class are to have a par value and the par value of any shares which are to have a par value, provided that, unless otherwise stated in any such resolution or resolutions, such number of shares may be increased or decreased by the board of directors;</w:t>
      </w:r>
    </w:p>
    <w:p>
      <w:pPr>
        <w:spacing w:after="0" w:line="188" w:lineRule="exact"/>
        <w:rPr>
          <w:rFonts w:ascii="Times New Roman" w:cs="Times New Roman" w:eastAsia="Times New Roman" w:hAnsi="Times New Roman"/>
          <w:sz w:val="21"/>
          <w:szCs w:val="21"/>
          <w:color w:val="auto"/>
        </w:rPr>
      </w:pPr>
    </w:p>
    <w:p>
      <w:pPr>
        <w:ind w:firstLine="1278"/>
        <w:spacing w:after="0" w:line="285" w:lineRule="auto"/>
        <w:tabs>
          <w:tab w:leader="none" w:pos="1585"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annual dividend rate on the shares of such class or series and the date or dates from which dividends shall accumulate thereon as herein provided;</w:t>
      </w:r>
    </w:p>
    <w:p>
      <w:pPr>
        <w:spacing w:after="0" w:line="168" w:lineRule="exact"/>
        <w:rPr>
          <w:rFonts w:ascii="Times New Roman" w:cs="Times New Roman" w:eastAsia="Times New Roman" w:hAnsi="Times New Roman"/>
          <w:sz w:val="21"/>
          <w:szCs w:val="21"/>
          <w:color w:val="auto"/>
        </w:rPr>
      </w:pPr>
    </w:p>
    <w:p>
      <w:pPr>
        <w:jc w:val="both"/>
        <w:ind w:firstLine="1278"/>
        <w:spacing w:after="0" w:line="266" w:lineRule="auto"/>
        <w:tabs>
          <w:tab w:leader="none" w:pos="157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times of redemption of the shares of such class or series and the prices which the holders of shares of such class or series shall be entitled to receive upon the redemption thereof, which prices may vary at different redemption dates and may also be different with respect to shares redeemed through the operation of any retirement or sinking fund than with respect to shares otherwise redeemed;</w:t>
      </w:r>
    </w:p>
    <w:p>
      <w:pPr>
        <w:spacing w:after="0" w:line="188" w:lineRule="exact"/>
        <w:rPr>
          <w:rFonts w:ascii="Times New Roman" w:cs="Times New Roman" w:eastAsia="Times New Roman" w:hAnsi="Times New Roman"/>
          <w:sz w:val="21"/>
          <w:szCs w:val="21"/>
          <w:color w:val="auto"/>
        </w:rPr>
      </w:pPr>
    </w:p>
    <w:p>
      <w:pPr>
        <w:ind w:firstLine="1278"/>
        <w:spacing w:after="0" w:line="285" w:lineRule="auto"/>
        <w:tabs>
          <w:tab w:leader="none" w:pos="1585"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amount which the holders of shares of such class or series shall be entitled to receive upon the voluntary or involuntary liquidation, dissolution, or winding up of the corporation;</w:t>
      </w:r>
    </w:p>
    <w:p>
      <w:pPr>
        <w:spacing w:after="0" w:line="181" w:lineRule="exact"/>
        <w:rPr>
          <w:rFonts w:ascii="Times New Roman" w:cs="Times New Roman" w:eastAsia="Times New Roman" w:hAnsi="Times New Roman"/>
          <w:sz w:val="21"/>
          <w:szCs w:val="21"/>
          <w:color w:val="auto"/>
        </w:rPr>
      </w:pPr>
    </w:p>
    <w:p>
      <w:pPr>
        <w:jc w:val="both"/>
        <w:ind w:firstLine="1278"/>
        <w:spacing w:after="0" w:line="267" w:lineRule="auto"/>
        <w:tabs>
          <w:tab w:leader="none" w:pos="157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 shares of such class or series shall be subject to the operation of a purchase or sinking fund, and, if so, the extent to and manner in which the fund shall be applied to the purchase or redemption of the shares of such class or series for retirement or for other corporate purposes and the terms and provisions relative to the operation thereof;</w:t>
      </w:r>
    </w:p>
    <w:p>
      <w:pPr>
        <w:spacing w:after="0" w:line="187" w:lineRule="exact"/>
        <w:rPr>
          <w:rFonts w:ascii="Times New Roman" w:cs="Times New Roman" w:eastAsia="Times New Roman" w:hAnsi="Times New Roman"/>
          <w:sz w:val="21"/>
          <w:szCs w:val="21"/>
          <w:color w:val="auto"/>
        </w:rPr>
      </w:pPr>
    </w:p>
    <w:p>
      <w:pPr>
        <w:jc w:val="both"/>
        <w:ind w:firstLine="1278"/>
        <w:spacing w:after="0" w:line="274" w:lineRule="auto"/>
        <w:tabs>
          <w:tab w:leader="none" w:pos="1550"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whether or not the shares of such class or series shall, at the option of the holder or the corporation or both, be convertible into, or exchangeable for shares of stock of any other class or series, and if so convertible or exchangeable, the price or prices or the rate or rates of conversion or exchange and the method, if any, of adjusting the same; and</w:t>
      </w:r>
    </w:p>
    <w:p>
      <w:pPr>
        <w:spacing w:after="0" w:line="179" w:lineRule="exact"/>
        <w:rPr>
          <w:rFonts w:ascii="Times New Roman" w:cs="Times New Roman" w:eastAsia="Times New Roman" w:hAnsi="Times New Roman"/>
          <w:sz w:val="21"/>
          <w:szCs w:val="21"/>
          <w:color w:val="auto"/>
        </w:rPr>
      </w:pPr>
    </w:p>
    <w:p>
      <w:pPr>
        <w:ind w:firstLine="1278"/>
        <w:spacing w:after="0" w:line="285" w:lineRule="auto"/>
        <w:tabs>
          <w:tab w:leader="none" w:pos="1599"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preferences, rights, restrictions and qualifications as shall not be inconsistent herewith and as are permitted by the New Jersey Business Corporation Act.</w:t>
      </w:r>
    </w:p>
    <w:p>
      <w:pPr>
        <w:sectPr>
          <w:pgSz w:w="11900" w:h="16838" w:orient="portrait"/>
          <w:cols w:equalWidth="0" w:num="1">
            <w:col w:w="11240"/>
          </w:cols>
          <w:pgMar w:left="320" w:top="1397" w:right="339" w:bottom="1440" w:gutter="0" w:footer="0" w:header="0"/>
        </w:sectPr>
      </w:pPr>
    </w:p>
    <w:bookmarkStart w:id="44" w:name="page45"/>
    <w:bookmarkEnd w:id="44"/>
    <w:p>
      <w:pPr>
        <w:ind w:left="-6" w:firstLine="642"/>
        <w:spacing w:after="0" w:line="285" w:lineRule="auto"/>
        <w:tabs>
          <w:tab w:leader="none" w:pos="943"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is expressly authorized to determine voting rights for the holders of the shares of any class or series of Preferred Stock, provided that the voting rights shall be limited to any or all of the following:</w:t>
      </w:r>
    </w:p>
    <w:p>
      <w:pPr>
        <w:spacing w:after="0" w:line="168" w:lineRule="exact"/>
        <w:rPr>
          <w:rFonts w:ascii="Times New Roman" w:cs="Times New Roman" w:eastAsia="Times New Roman" w:hAnsi="Times New Roman"/>
          <w:sz w:val="21"/>
          <w:szCs w:val="21"/>
          <w:color w:val="auto"/>
        </w:rPr>
      </w:pPr>
    </w:p>
    <w:p>
      <w:pPr>
        <w:jc w:val="both"/>
        <w:ind w:left="-6" w:firstLine="1278"/>
        <w:spacing w:after="0" w:line="274" w:lineRule="auto"/>
        <w:tabs>
          <w:tab w:leader="none" w:pos="1567"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 to elect, voting as a class, a maximum of two directors upon default of the equivalent of six quarterly dividends, whether or not the defaulted dividends occurred in consecutive periods, and such right will remain in effect until cumulative dividends have been paid in full or until non-cumulative dividends have been paid regularly for at least one year;</w:t>
      </w:r>
    </w:p>
    <w:p>
      <w:pPr>
        <w:spacing w:after="0" w:line="179" w:lineRule="exact"/>
        <w:rPr>
          <w:rFonts w:ascii="Times New Roman" w:cs="Times New Roman" w:eastAsia="Times New Roman" w:hAnsi="Times New Roman"/>
          <w:sz w:val="21"/>
          <w:szCs w:val="21"/>
          <w:color w:val="auto"/>
        </w:rPr>
      </w:pPr>
    </w:p>
    <w:p>
      <w:pPr>
        <w:ind w:left="-6" w:firstLine="1278"/>
        <w:spacing w:after="0" w:line="285" w:lineRule="auto"/>
        <w:tabs>
          <w:tab w:leader="none" w:pos="1579"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 to approve, by at least a majority of the outstanding shares of the class or classes of Preferred Stock affected, any increase in the authorized number of shares of such class or classes or the creation of a class of equal rank;</w:t>
      </w:r>
    </w:p>
    <w:p>
      <w:pPr>
        <w:spacing w:after="0" w:line="168" w:lineRule="exact"/>
        <w:rPr>
          <w:rFonts w:ascii="Times New Roman" w:cs="Times New Roman" w:eastAsia="Times New Roman" w:hAnsi="Times New Roman"/>
          <w:sz w:val="21"/>
          <w:szCs w:val="21"/>
          <w:color w:val="auto"/>
        </w:rPr>
      </w:pPr>
    </w:p>
    <w:p>
      <w:pPr>
        <w:jc w:val="both"/>
        <w:ind w:left="-6" w:firstLine="1278"/>
        <w:spacing w:after="0" w:line="259" w:lineRule="auto"/>
        <w:tabs>
          <w:tab w:leader="none" w:pos="1567"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 to approve, by at least two-thirds of the outstanding shares of Preferred Stock, the creation of a senior equity security, provided that the board of directors may create a senior equity security without such stockholder vote if (i) stockholders authorized such action by the board of directors at the time the existing class of Preferred Stock was created or (ii) the holders of shares of the existing class of Preferred Stock previously received adequate notice of the redemption thereof, which redemption must occur within 90 days, unless all or part of the existing issue is being retired with proceeds from the sale of the new senior equity security; and</w:t>
      </w:r>
    </w:p>
    <w:p>
      <w:pPr>
        <w:spacing w:after="0" w:line="198" w:lineRule="exact"/>
        <w:rPr>
          <w:rFonts w:ascii="Times New Roman" w:cs="Times New Roman" w:eastAsia="Times New Roman" w:hAnsi="Times New Roman"/>
          <w:sz w:val="21"/>
          <w:szCs w:val="21"/>
          <w:color w:val="auto"/>
        </w:rPr>
      </w:pPr>
    </w:p>
    <w:p>
      <w:pPr>
        <w:jc w:val="both"/>
        <w:ind w:left="-6" w:firstLine="1278"/>
        <w:spacing w:after="0" w:line="262" w:lineRule="auto"/>
        <w:tabs>
          <w:tab w:leader="none" w:pos="1566" w:val="left"/>
        </w:tabs>
        <w:numPr>
          <w:ilvl w:val="2"/>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right to approve, by at least two-thirds of the outstanding shares of the class of Preferred Stock affected, the adoption of any amendment to the Restated Certificate of Incorporation or the by-laws that would materially change existing terms of such class of Preferred Stock, provided that if all series of a class of Preferred Stock are not equally affected by such amendment, then such amendment shall receive the approval of two-thirds of the outstanding shares of the class and, in addition, two-thirds of the outstanding shares of the series that will have a diminished status.</w:t>
      </w:r>
    </w:p>
    <w:p>
      <w:pPr>
        <w:spacing w:after="0" w:line="192" w:lineRule="exact"/>
        <w:rPr>
          <w:rFonts w:ascii="Times New Roman" w:cs="Times New Roman" w:eastAsia="Times New Roman" w:hAnsi="Times New Roman"/>
          <w:sz w:val="21"/>
          <w:szCs w:val="21"/>
          <w:color w:val="auto"/>
        </w:rPr>
      </w:pPr>
    </w:p>
    <w:p>
      <w:pPr>
        <w:jc w:val="both"/>
        <w:ind w:left="-6" w:firstLine="642"/>
        <w:spacing w:after="0" w:line="274" w:lineRule="auto"/>
        <w:tabs>
          <w:tab w:leader="none" w:pos="957" w:val="left"/>
        </w:tabs>
        <w:numPr>
          <w:ilvl w:val="1"/>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board of directors may also change the designation or number of shares or the relative rights, preferences and limitations of any of the shares of any theretofore established class or series of the Preferred Stock no shares of which class or series have been issued.</w:t>
      </w:r>
    </w:p>
    <w:p>
      <w:pPr>
        <w:spacing w:after="0" w:line="179" w:lineRule="exact"/>
        <w:rPr>
          <w:rFonts w:ascii="Times New Roman" w:cs="Times New Roman" w:eastAsia="Times New Roman" w:hAnsi="Times New Roman"/>
          <w:sz w:val="21"/>
          <w:szCs w:val="21"/>
          <w:color w:val="auto"/>
        </w:rPr>
      </w:pPr>
    </w:p>
    <w:p>
      <w:pPr>
        <w:ind w:left="254" w:hanging="254"/>
        <w:spacing w:after="0"/>
        <w:tabs>
          <w:tab w:leader="none" w:pos="254"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STOCK</w:t>
      </w:r>
    </w:p>
    <w:p>
      <w:pPr>
        <w:spacing w:after="0" w:line="248" w:lineRule="exact"/>
        <w:rPr>
          <w:rFonts w:ascii="Times New Roman" w:cs="Times New Roman" w:eastAsia="Times New Roman" w:hAnsi="Times New Roman"/>
          <w:sz w:val="21"/>
          <w:szCs w:val="21"/>
          <w:color w:val="auto"/>
        </w:rPr>
      </w:pPr>
    </w:p>
    <w:p>
      <w:pPr>
        <w:jc w:val="both"/>
        <w:ind w:left="-6" w:firstLine="642"/>
        <w:spacing w:after="0" w:line="266" w:lineRule="auto"/>
        <w:tabs>
          <w:tab w:leader="none" w:pos="943"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holder of Capital Stock of the corporation from time to time issued and outstanding shall be entitled to vote and shall have one vote for each share of Capital Stock standing in the holder's name on the books of the corporation, except with respect to matters as to which the holders of the Preferred Stock or any class or series thereof shall be entitled to vote separately as a single class as authorized in Section A of this Article FOURTH or as may be required by law.</w:t>
      </w:r>
    </w:p>
    <w:p>
      <w:pPr>
        <w:sectPr>
          <w:pgSz w:w="11900" w:h="16838" w:orient="portrait"/>
          <w:cols w:equalWidth="0" w:num="1">
            <w:col w:w="11234"/>
          </w:cols>
          <w:pgMar w:left="326" w:top="1397" w:right="339" w:bottom="1440" w:gutter="0" w:footer="0" w:header="0"/>
        </w:sectPr>
      </w:pPr>
    </w:p>
    <w:bookmarkStart w:id="45" w:name="page46"/>
    <w:bookmarkEnd w:id="45"/>
    <w:p>
      <w:pPr>
        <w:jc w:val="both"/>
        <w:ind w:firstLine="642"/>
        <w:spacing w:after="0" w:line="267" w:lineRule="auto"/>
        <w:tabs>
          <w:tab w:leader="none" w:pos="949"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the provisions of Section A of this Article FOURTH, the board of directors in its discretion may, from the assets of the corporation legally available for the payment of dividends and at such times and in such manner as determined by the board of directors, declare and pay, whether in cash, property, stock or otherwise, dividends on the Capital Stock of the corporation.</w:t>
      </w:r>
    </w:p>
    <w:p>
      <w:pPr>
        <w:spacing w:after="0" w:line="201" w:lineRule="exact"/>
        <w:rPr>
          <w:rFonts w:ascii="Times New Roman" w:cs="Times New Roman" w:eastAsia="Times New Roman" w:hAnsi="Times New Roman"/>
          <w:sz w:val="21"/>
          <w:szCs w:val="21"/>
          <w:color w:val="auto"/>
        </w:rPr>
      </w:pPr>
    </w:p>
    <w:p>
      <w:pPr>
        <w:jc w:val="both"/>
        <w:ind w:firstLine="642"/>
        <w:spacing w:after="0" w:line="267" w:lineRule="auto"/>
        <w:tabs>
          <w:tab w:leader="none" w:pos="936" w:val="left"/>
        </w:tabs>
        <w:numPr>
          <w:ilvl w:val="1"/>
          <w:numId w:val="4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of any liquidation, dissolution or winding up of the corporation, whether voluntary or involuntary, subject to the preferential or other rights of the holders of the Preferred Stock pursuant to Section A of this Article FOURTH, the holders of the Capital Stock shall be entitled to receive ratably any and all assets remaining to be paid or distributed.</w:t>
      </w:r>
    </w:p>
    <w:p>
      <w:pPr>
        <w:spacing w:after="0" w:line="187" w:lineRule="exact"/>
        <w:rPr>
          <w:rFonts w:ascii="Times New Roman" w:cs="Times New Roman" w:eastAsia="Times New Roman" w:hAnsi="Times New Roman"/>
          <w:sz w:val="21"/>
          <w:szCs w:val="21"/>
          <w:color w:val="auto"/>
        </w:rPr>
      </w:pPr>
    </w:p>
    <w:p>
      <w:pPr>
        <w:ind w:left="260" w:hanging="254"/>
        <w:spacing w:after="0"/>
        <w:tabs>
          <w:tab w:leader="none" w:pos="260" w:val="left"/>
        </w:tabs>
        <w:numPr>
          <w:ilvl w:val="0"/>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SHARES</w:t>
      </w:r>
    </w:p>
    <w:p>
      <w:pPr>
        <w:spacing w:after="0" w:line="24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No holder of shares of any class or series of stock of the corporation shall be entitled as such, as a matter of right, to subscribe for or purchase any unissued or treasury shares of any class or series of stock, or any option rights, or securities convertible into, exchangeable for or warrants to subscribe to, stock, of any class or series whatsoever, whether now or hereafter authorized and whether issued for cash or other consideration or by way of dividend.</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A stockholder may not cumulate his or her votes in an election for directors.</w:t>
      </w:r>
    </w:p>
    <w:p>
      <w:pPr>
        <w:spacing w:after="0" w:line="249"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21"/>
          <w:szCs w:val="21"/>
          <w:color w:val="auto"/>
        </w:rPr>
        <w:t>FIFTH. The number of directors of the corporation as of November 21, 1980, is sixteen and their names and business office addresses are:</w:t>
      </w:r>
    </w:p>
    <w:p>
      <w:pPr>
        <w:sectPr>
          <w:pgSz w:w="11900" w:h="16838" w:orient="portrait"/>
          <w:cols w:equalWidth="0" w:num="1">
            <w:col w:w="11240"/>
          </w:cols>
          <w:pgMar w:left="320" w:top="1397" w:right="339" w:bottom="1440" w:gutter="0" w:footer="0" w:header="0"/>
        </w:sectPr>
      </w:pPr>
    </w:p>
    <w:p>
      <w:pPr>
        <w:spacing w:after="0" w:line="182"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Robert A. Beck</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Prudential Insurance Company</w:t>
      </w:r>
    </w:p>
    <w:p>
      <w:pPr>
        <w:spacing w:after="0" w:line="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of America</w:t>
      </w:r>
    </w:p>
    <w:p>
      <w:pPr>
        <w:spacing w:after="0" w:line="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Prudential Plaza</w:t>
      </w:r>
    </w:p>
    <w:p>
      <w:pPr>
        <w:spacing w:after="0" w:line="10"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Newark, New Jersey07101</w:t>
      </w:r>
    </w:p>
    <w:p>
      <w:pPr>
        <w:spacing w:after="0" w:line="200" w:lineRule="exact"/>
        <w:rPr>
          <w:sz w:val="20"/>
          <w:szCs w:val="20"/>
          <w:color w:val="auto"/>
        </w:rPr>
      </w:pPr>
    </w:p>
    <w:p>
      <w:pPr>
        <w:sectPr>
          <w:pgSz w:w="11900" w:h="16838" w:orient="portrait"/>
          <w:cols w:equalWidth="0" w:num="2">
            <w:col w:w="1960" w:space="640"/>
            <w:col w:w="8640"/>
          </w:cols>
          <w:pgMar w:left="320" w:top="1397" w:right="339" w:bottom="1440" w:gutter="0" w:footer="0" w:header="0"/>
          <w:type w:val="continuous"/>
        </w:sectPr>
      </w:pPr>
    </w:p>
    <w:p>
      <w:pPr>
        <w:spacing w:after="0" w:line="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James H. Binns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Armstrong World Industries, Inc.</w:t>
      </w:r>
    </w:p>
    <w:p>
      <w:pPr>
        <w:spacing w:after="0" w:line="35"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Liberty and Charlotte Streets</w:t>
      </w:r>
    </w:p>
    <w:p>
      <w:pPr>
        <w:spacing w:after="0" w:line="2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Lancaster, Pennsylvania17604</w:t>
      </w:r>
    </w:p>
    <w:p>
      <w:pPr>
        <w:spacing w:after="0" w:line="200" w:lineRule="exact"/>
        <w:rPr>
          <w:sz w:val="20"/>
          <w:szCs w:val="20"/>
          <w:color w:val="auto"/>
        </w:rPr>
      </w:pPr>
    </w:p>
    <w:p>
      <w:pPr>
        <w:sectPr>
          <w:pgSz w:w="11900" w:h="16838" w:orient="portrait"/>
          <w:cols w:equalWidth="0" w:num="2">
            <w:col w:w="1960" w:space="640"/>
            <w:col w:w="8640"/>
          </w:cols>
          <w:pgMar w:left="320" w:top="1397" w:right="339" w:bottom="1440" w:gutter="0" w:footer="0" w:header="0"/>
          <w:type w:val="continuous"/>
        </w:sectPr>
      </w:pPr>
    </w:p>
    <w:p>
      <w:pPr>
        <w:spacing w:after="0" w:line="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William S. Cashel, Jr.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American Telephone and Telegraph</w:t>
      </w:r>
    </w:p>
    <w:p>
      <w:pPr>
        <w:spacing w:after="0" w:line="34"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Company</w:t>
      </w:r>
    </w:p>
    <w:p>
      <w:pPr>
        <w:spacing w:after="0" w:line="1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1"/>
          <w:szCs w:val="21"/>
          <w:color w:val="auto"/>
        </w:rPr>
        <w:t>195 Broadway</w:t>
      </w:r>
    </w:p>
    <w:p>
      <w:pPr>
        <w:spacing w:after="0" w:line="1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New York, New York10007</w:t>
      </w:r>
    </w:p>
    <w:p>
      <w:pPr>
        <w:spacing w:after="0" w:line="200" w:lineRule="exact"/>
        <w:rPr>
          <w:sz w:val="20"/>
          <w:szCs w:val="20"/>
          <w:color w:val="auto"/>
        </w:rPr>
      </w:pPr>
    </w:p>
    <w:p>
      <w:pPr>
        <w:sectPr>
          <w:pgSz w:w="11900" w:h="16838" w:orient="portrait"/>
          <w:cols w:equalWidth="0" w:num="2">
            <w:col w:w="2480" w:space="620"/>
            <w:col w:w="8140"/>
          </w:cols>
          <w:pgMar w:left="320" w:top="1397" w:right="339" w:bottom="1440" w:gutter="0" w:footer="0" w:header="0"/>
          <w:type w:val="continuous"/>
        </w:sectPr>
      </w:pPr>
    </w:p>
    <w:p>
      <w:pPr>
        <w:spacing w:after="0" w:line="4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John T. Dorrance, Jr.</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Place</w:t>
      </w:r>
    </w:p>
    <w:p>
      <w:pPr>
        <w:spacing w:after="0" w:line="34"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1"/>
          <w:szCs w:val="21"/>
          <w:color w:val="auto"/>
        </w:rPr>
        <w:t>Camden, New Jersey08101</w:t>
      </w:r>
    </w:p>
    <w:p>
      <w:pPr>
        <w:spacing w:after="0" w:line="200" w:lineRule="exact"/>
        <w:rPr>
          <w:sz w:val="20"/>
          <w:szCs w:val="20"/>
          <w:color w:val="auto"/>
        </w:rPr>
      </w:pPr>
    </w:p>
    <w:p>
      <w:pPr>
        <w:sectPr>
          <w:pgSz w:w="11900" w:h="16838" w:orient="portrait"/>
          <w:cols w:equalWidth="0" w:num="2">
            <w:col w:w="2400" w:space="640"/>
            <w:col w:w="8200"/>
          </w:cols>
          <w:pgMar w:left="320" w:top="1397" w:right="339" w:bottom="1440" w:gutter="0" w:footer="0" w:header="0"/>
          <w:type w:val="continuous"/>
        </w:sectPr>
      </w:pPr>
    </w:p>
    <w:p>
      <w:pPr>
        <w:spacing w:after="0" w:line="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Henry W. Gadsden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 Lake Road</w:t>
      </w:r>
    </w:p>
    <w:p>
      <w:pPr>
        <w:spacing w:after="0" w:line="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Short Hills, New Jersey07078</w:t>
      </w:r>
    </w:p>
    <w:p>
      <w:pPr>
        <w:spacing w:after="0" w:line="200" w:lineRule="exact"/>
        <w:rPr>
          <w:sz w:val="20"/>
          <w:szCs w:val="20"/>
          <w:color w:val="auto"/>
        </w:rPr>
      </w:pPr>
    </w:p>
    <w:p>
      <w:pPr>
        <w:sectPr>
          <w:pgSz w:w="11900" w:h="16838" w:orient="portrait"/>
          <w:cols w:equalWidth="0" w:num="2">
            <w:col w:w="2260" w:space="620"/>
            <w:col w:w="8360"/>
          </w:cols>
          <w:pgMar w:left="320" w:top="1397" w:right="339" w:bottom="1440" w:gutter="0" w:footer="0" w:header="0"/>
          <w:type w:val="continuous"/>
        </w:sectPr>
      </w:pPr>
    </w:p>
    <w:p>
      <w:pPr>
        <w:spacing w:after="0" w:line="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Belton K. Johnson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300 MainPlaza Bldg.</w:t>
      </w:r>
    </w:p>
    <w:p>
      <w:pPr>
        <w:sectPr>
          <w:pgSz w:w="11900" w:h="16838" w:orient="portrait"/>
          <w:cols w:equalWidth="0" w:num="2">
            <w:col w:w="2220" w:space="640"/>
            <w:col w:w="8380"/>
          </w:cols>
          <w:pgMar w:left="320" w:top="1397" w:right="339" w:bottom="1440" w:gutter="0" w:footer="0" w:header="0"/>
          <w:type w:val="continuous"/>
        </w:sectPr>
      </w:pPr>
    </w:p>
    <w:bookmarkStart w:id="46" w:name="page47"/>
    <w:bookmarkEnd w:id="46"/>
    <w:p>
      <w:pPr>
        <w:ind w:left="3820"/>
        <w:spacing w:after="0"/>
        <w:rPr>
          <w:sz w:val="20"/>
          <w:szCs w:val="20"/>
          <w:color w:val="auto"/>
        </w:rPr>
      </w:pPr>
      <w:r>
        <w:rPr>
          <w:rFonts w:ascii="Times New Roman" w:cs="Times New Roman" w:eastAsia="Times New Roman" w:hAnsi="Times New Roman"/>
          <w:sz w:val="21"/>
          <w:szCs w:val="21"/>
          <w:color w:val="auto"/>
        </w:rPr>
        <w:t>114 West Commerce</w:t>
      </w:r>
    </w:p>
    <w:p>
      <w:pPr>
        <w:spacing w:after="0" w:line="3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San Antonio, Texas78205</w:t>
      </w:r>
    </w:p>
    <w:p>
      <w:pPr>
        <w:sectPr>
          <w:pgSz w:w="11900" w:h="16838" w:orient="portrait"/>
          <w:cols w:equalWidth="0" w:num="1">
            <w:col w:w="11240"/>
          </w:cols>
          <w:pgMar w:left="320" w:top="1397" w:right="339" w:bottom="1440" w:gutter="0" w:footer="0" w:header="0"/>
        </w:sectPr>
      </w:pP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J. M. Lindley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Place</w:t>
      </w:r>
    </w:p>
    <w:p>
      <w:pPr>
        <w:spacing w:after="0" w:line="35"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Camden, New Jersey08101</w:t>
      </w:r>
    </w:p>
    <w:p>
      <w:pPr>
        <w:spacing w:after="0" w:line="200" w:lineRule="exact"/>
        <w:rPr>
          <w:sz w:val="20"/>
          <w:szCs w:val="20"/>
          <w:color w:val="auto"/>
        </w:rPr>
      </w:pPr>
    </w:p>
    <w:p>
      <w:pPr>
        <w:sectPr>
          <w:pgSz w:w="11900" w:h="16838" w:orient="portrait"/>
          <w:cols w:equalWidth="0" w:num="2">
            <w:col w:w="1920" w:space="720"/>
            <w:col w:w="8600"/>
          </w:cols>
          <w:pgMar w:left="320" w:top="1397" w:right="339" w:bottom="1440" w:gutter="0" w:footer="0" w:header="0"/>
          <w:type w:val="continuous"/>
        </w:sectPr>
      </w:pP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Claudine B. Malone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Harvard University</w:t>
      </w:r>
    </w:p>
    <w:p>
      <w:pPr>
        <w:spacing w:after="0" w:line="34"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Graduate School of Business</w:t>
      </w:r>
    </w:p>
    <w:p>
      <w:pPr>
        <w:spacing w:after="0" w:line="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Administration</w:t>
      </w:r>
    </w:p>
    <w:p>
      <w:pPr>
        <w:spacing w:after="0" w:line="10"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Soldiers Field</w:t>
      </w:r>
    </w:p>
    <w:p>
      <w:pPr>
        <w:spacing w:after="0" w:line="11"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21"/>
          <w:szCs w:val="21"/>
          <w:color w:val="auto"/>
        </w:rPr>
        <w:t>Boston, Massachusetts02163</w:t>
      </w:r>
    </w:p>
    <w:p>
      <w:pPr>
        <w:spacing w:after="0" w:line="200" w:lineRule="exact"/>
        <w:rPr>
          <w:sz w:val="20"/>
          <w:szCs w:val="20"/>
          <w:color w:val="auto"/>
        </w:rPr>
      </w:pPr>
    </w:p>
    <w:p>
      <w:pPr>
        <w:sectPr>
          <w:pgSz w:w="11900" w:h="16838" w:orient="portrait"/>
          <w:cols w:equalWidth="0" w:num="2">
            <w:col w:w="2360" w:space="640"/>
            <w:col w:w="8240"/>
          </w:cols>
          <w:pgMar w:left="320" w:top="1397" w:right="339" w:bottom="1440" w:gutter="0" w:footer="0" w:header="0"/>
          <w:type w:val="continuous"/>
        </w:sectPr>
      </w:pPr>
    </w:p>
    <w:p>
      <w:pPr>
        <w:spacing w:after="0" w:line="37"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R. G. McGovern</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Place</w:t>
      </w:r>
    </w:p>
    <w:p>
      <w:pPr>
        <w:spacing w:after="0" w:line="3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Camden, New Jersey08101</w:t>
      </w:r>
    </w:p>
    <w:p>
      <w:pPr>
        <w:spacing w:after="0" w:line="200" w:lineRule="exact"/>
        <w:rPr>
          <w:sz w:val="20"/>
          <w:szCs w:val="20"/>
          <w:color w:val="auto"/>
        </w:rPr>
      </w:pPr>
    </w:p>
    <w:p>
      <w:pPr>
        <w:sectPr>
          <w:pgSz w:w="11900" w:h="16838" w:orient="portrait"/>
          <w:cols w:equalWidth="0" w:num="2">
            <w:col w:w="2060" w:space="640"/>
            <w:col w:w="8540"/>
          </w:cols>
          <w:pgMar w:left="320" w:top="1397" w:right="339" w:bottom="1440" w:gutter="0" w:footer="0" w:header="0"/>
          <w:type w:val="continuous"/>
        </w:sectPr>
      </w:pPr>
    </w:p>
    <w:p>
      <w:pPr>
        <w:spacing w:after="0" w:line="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William Piel, Jr.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Sullivan &amp; Cromwell</w:t>
      </w:r>
    </w:p>
    <w:p>
      <w:pPr>
        <w:spacing w:after="0" w:line="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125 Broad Street</w:t>
      </w:r>
    </w:p>
    <w:p>
      <w:pPr>
        <w:spacing w:after="0" w:line="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0"/>
          <w:szCs w:val="20"/>
          <w:color w:val="auto"/>
        </w:rPr>
        <w:t>New York, New York10004</w:t>
      </w:r>
    </w:p>
    <w:p>
      <w:pPr>
        <w:spacing w:after="0" w:line="200" w:lineRule="exact"/>
        <w:rPr>
          <w:sz w:val="20"/>
          <w:szCs w:val="20"/>
          <w:color w:val="auto"/>
        </w:rPr>
      </w:pPr>
    </w:p>
    <w:p>
      <w:pPr>
        <w:sectPr>
          <w:pgSz w:w="11900" w:h="16838" w:orient="portrait"/>
          <w:cols w:equalWidth="0" w:num="2">
            <w:col w:w="2020" w:space="620"/>
            <w:col w:w="8600"/>
          </w:cols>
          <w:pgMar w:left="320" w:top="1397" w:right="339" w:bottom="1440" w:gutter="0" w:footer="0" w:header="0"/>
          <w:type w:val="continuous"/>
        </w:sectPr>
      </w:pPr>
    </w:p>
    <w:p>
      <w:pPr>
        <w:spacing w:after="0" w:line="50"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Harold A. Shaub</w:t>
      </w:r>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Place</w:t>
      </w:r>
    </w:p>
    <w:p>
      <w:pPr>
        <w:spacing w:after="0" w:line="3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Camden, New Jersey08101</w:t>
      </w:r>
    </w:p>
    <w:p>
      <w:pPr>
        <w:spacing w:after="0" w:line="200" w:lineRule="exact"/>
        <w:rPr>
          <w:sz w:val="20"/>
          <w:szCs w:val="20"/>
          <w:color w:val="auto"/>
        </w:rPr>
      </w:pPr>
    </w:p>
    <w:p>
      <w:pPr>
        <w:sectPr>
          <w:pgSz w:w="11900" w:h="16838" w:orient="portrait"/>
          <w:cols w:equalWidth="0" w:num="2">
            <w:col w:w="2080" w:space="620"/>
            <w:col w:w="8540"/>
          </w:cols>
          <w:pgMar w:left="320" w:top="1397" w:right="339" w:bottom="1440" w:gutter="0" w:footer="0" w:header="0"/>
          <w:type w:val="continuous"/>
        </w:sectPr>
      </w:pPr>
    </w:p>
    <w:p>
      <w:pPr>
        <w:spacing w:after="0" w:line="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Lewis H. Van Dusen, Jr.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Drinker Biddle &amp; Reath</w:t>
      </w:r>
    </w:p>
    <w:p>
      <w:pPr>
        <w:spacing w:after="0" w:line="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1100 Philadelphia National Bank</w:t>
      </w:r>
    </w:p>
    <w:p>
      <w:pPr>
        <w:spacing w:after="0" w:line="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Building</w:t>
      </w:r>
    </w:p>
    <w:p>
      <w:pPr>
        <w:spacing w:after="0" w:line="1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Broad and Chestnut Streets</w:t>
      </w:r>
    </w:p>
    <w:p>
      <w:pPr>
        <w:spacing w:after="0" w:line="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Philadelphia, Pennsylvania19107</w:t>
      </w:r>
    </w:p>
    <w:p>
      <w:pPr>
        <w:spacing w:after="0" w:line="200" w:lineRule="exact"/>
        <w:rPr>
          <w:sz w:val="20"/>
          <w:szCs w:val="20"/>
          <w:color w:val="auto"/>
        </w:rPr>
      </w:pPr>
    </w:p>
    <w:p>
      <w:pPr>
        <w:sectPr>
          <w:pgSz w:w="11900" w:h="16838" w:orient="portrait"/>
          <w:cols w:equalWidth="0" w:num="2">
            <w:col w:w="2700" w:space="420"/>
            <w:col w:w="8120"/>
          </w:cols>
          <w:pgMar w:left="320" w:top="1397" w:right="339" w:bottom="1440" w:gutter="0" w:footer="0" w:header="0"/>
          <w:type w:val="continuous"/>
        </w:sectPr>
      </w:pPr>
    </w:p>
    <w:p>
      <w:pPr>
        <w:spacing w:after="0" w:line="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Robert J. Vlasic</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Vlasic Foods, Inc.</w:t>
      </w:r>
    </w:p>
    <w:p>
      <w:pPr>
        <w:spacing w:after="0" w:line="34"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710 North Woodward</w:t>
      </w:r>
    </w:p>
    <w:p>
      <w:pPr>
        <w:spacing w:after="0" w:line="1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1"/>
          <w:szCs w:val="21"/>
          <w:color w:val="auto"/>
        </w:rPr>
        <w:t>Bloomfield Hills, Michigan48013</w:t>
      </w:r>
    </w:p>
    <w:p>
      <w:pPr>
        <w:spacing w:after="0" w:line="200" w:lineRule="exact"/>
        <w:rPr>
          <w:sz w:val="20"/>
          <w:szCs w:val="20"/>
          <w:color w:val="auto"/>
        </w:rPr>
      </w:pPr>
    </w:p>
    <w:p>
      <w:pPr>
        <w:sectPr>
          <w:pgSz w:w="11900" w:h="16838" w:orient="portrait"/>
          <w:cols w:equalWidth="0" w:num="2">
            <w:col w:w="2000" w:space="640"/>
            <w:col w:w="8600"/>
          </w:cols>
          <w:pgMar w:left="320" w:top="1397" w:right="339" w:bottom="1440" w:gutter="0" w:footer="0" w:header="0"/>
          <w:type w:val="continuous"/>
        </w:sectPr>
      </w:pPr>
    </w:p>
    <w:p>
      <w:pPr>
        <w:spacing w:after="0" w:line="38"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0"/>
          <w:szCs w:val="20"/>
          <w:color w:val="auto"/>
        </w:rPr>
        <w:t>J. Page R. Wadsworth</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 Box 211</w:t>
      </w:r>
    </w:p>
    <w:p>
      <w:pPr>
        <w:spacing w:after="0" w:line="34"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Commerce Court Postal Station</w:t>
      </w:r>
    </w:p>
    <w:p>
      <w:pPr>
        <w:spacing w:after="0" w:line="1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Toronto, CanadaM5L 1E8</w:t>
      </w:r>
    </w:p>
    <w:p>
      <w:pPr>
        <w:spacing w:after="0" w:line="200" w:lineRule="exact"/>
        <w:rPr>
          <w:sz w:val="20"/>
          <w:szCs w:val="20"/>
          <w:color w:val="auto"/>
        </w:rPr>
      </w:pPr>
    </w:p>
    <w:p>
      <w:pPr>
        <w:sectPr>
          <w:pgSz w:w="11900" w:h="16838" w:orient="portrait"/>
          <w:cols w:equalWidth="0" w:num="2">
            <w:col w:w="2500" w:space="640"/>
            <w:col w:w="8100"/>
          </w:cols>
          <w:pgMar w:left="320" w:top="1397" w:right="339" w:bottom="1440" w:gutter="0" w:footer="0" w:header="0"/>
          <w:type w:val="continuous"/>
        </w:sectPr>
      </w:pPr>
    </w:p>
    <w:p>
      <w:pPr>
        <w:spacing w:after="0" w:line="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A. M. Williams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Place</w:t>
      </w:r>
    </w:p>
    <w:p>
      <w:pPr>
        <w:spacing w:after="0" w:line="3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1"/>
          <w:szCs w:val="21"/>
          <w:color w:val="auto"/>
        </w:rPr>
        <w:t>Camden, New Jersey08101</w:t>
      </w:r>
    </w:p>
    <w:p>
      <w:pPr>
        <w:spacing w:after="0" w:line="200" w:lineRule="exact"/>
        <w:rPr>
          <w:sz w:val="20"/>
          <w:szCs w:val="20"/>
          <w:color w:val="auto"/>
        </w:rPr>
      </w:pPr>
    </w:p>
    <w:p>
      <w:pPr>
        <w:sectPr>
          <w:pgSz w:w="11900" w:h="16838" w:orient="portrait"/>
          <w:cols w:equalWidth="0" w:num="2">
            <w:col w:w="1960" w:space="640"/>
            <w:col w:w="8640"/>
          </w:cols>
          <w:pgMar w:left="320" w:top="1397" w:right="339" w:bottom="1440" w:gutter="0" w:footer="0" w:header="0"/>
          <w:type w:val="continuous"/>
        </w:sectPr>
      </w:pPr>
    </w:p>
    <w:p>
      <w:pPr>
        <w:spacing w:after="0" w:line="25" w:lineRule="exact"/>
        <w:rPr>
          <w:sz w:val="20"/>
          <w:szCs w:val="20"/>
          <w:color w:val="auto"/>
        </w:rPr>
      </w:pPr>
    </w:p>
    <w:p>
      <w:pPr>
        <w:jc w:val="center"/>
        <w:ind w:left="640"/>
        <w:spacing w:after="0"/>
        <w:rPr>
          <w:sz w:val="20"/>
          <w:szCs w:val="20"/>
          <w:color w:val="auto"/>
        </w:rPr>
      </w:pPr>
      <w:r>
        <w:rPr>
          <w:rFonts w:ascii="Times New Roman" w:cs="Times New Roman" w:eastAsia="Times New Roman" w:hAnsi="Times New Roman"/>
          <w:sz w:val="21"/>
          <w:szCs w:val="21"/>
          <w:color w:val="auto"/>
        </w:rPr>
        <w:t>Sterling Wortman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Rockefeller Foundation</w:t>
      </w:r>
    </w:p>
    <w:p>
      <w:pPr>
        <w:spacing w:after="0" w:line="35"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1133 Avenue of the Americas</w:t>
      </w:r>
    </w:p>
    <w:p>
      <w:pPr>
        <w:spacing w:after="0" w:line="2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1"/>
          <w:szCs w:val="21"/>
          <w:color w:val="auto"/>
        </w:rPr>
        <w:t>New York, New York10036</w:t>
      </w:r>
    </w:p>
    <w:p>
      <w:pPr>
        <w:spacing w:after="0" w:line="200" w:lineRule="exact"/>
        <w:rPr>
          <w:sz w:val="20"/>
          <w:szCs w:val="20"/>
          <w:color w:val="auto"/>
        </w:rPr>
      </w:pPr>
    </w:p>
    <w:p>
      <w:pPr>
        <w:sectPr>
          <w:pgSz w:w="11900" w:h="16838" w:orient="portrait"/>
          <w:cols w:equalWidth="0" w:num="2">
            <w:col w:w="2160" w:space="620"/>
            <w:col w:w="8460"/>
          </w:cols>
          <w:pgMar w:left="320" w:top="1397" w:right="339" w:bottom="1440" w:gutter="0" w:footer="0" w:header="0"/>
          <w:type w:val="continuous"/>
        </w:sectPr>
      </w:pPr>
    </w:p>
    <w:p>
      <w:pPr>
        <w:spacing w:after="0" w:line="25" w:lineRule="exact"/>
        <w:rPr>
          <w:sz w:val="20"/>
          <w:szCs w:val="20"/>
          <w:color w:val="auto"/>
        </w:rPr>
      </w:pPr>
    </w:p>
    <w:p>
      <w:pPr>
        <w:ind w:firstLine="636"/>
        <w:spacing w:after="0" w:line="285" w:lineRule="auto"/>
        <w:rPr>
          <w:sz w:val="20"/>
          <w:szCs w:val="20"/>
          <w:color w:val="auto"/>
        </w:rPr>
      </w:pPr>
      <w:r>
        <w:rPr>
          <w:rFonts w:ascii="Times New Roman" w:cs="Times New Roman" w:eastAsia="Times New Roman" w:hAnsi="Times New Roman"/>
          <w:sz w:val="21"/>
          <w:szCs w:val="21"/>
          <w:color w:val="auto"/>
        </w:rPr>
        <w:t>SIXTH. The number of directors at any time may be increased or decreased by vote of the board of directors, and in case of any such increase the board of directors shall have power to</w:t>
      </w:r>
    </w:p>
    <w:p>
      <w:pPr>
        <w:sectPr>
          <w:pgSz w:w="11900" w:h="16838" w:orient="portrait"/>
          <w:cols w:equalWidth="0" w:num="1">
            <w:col w:w="11240"/>
          </w:cols>
          <w:pgMar w:left="320" w:top="1397" w:right="339" w:bottom="1440" w:gutter="0" w:footer="0" w:header="0"/>
          <w:type w:val="continuous"/>
        </w:sectPr>
      </w:pPr>
    </w:p>
    <w:bookmarkStart w:id="47" w:name="page48"/>
    <w:bookmarkEnd w:id="47"/>
    <w:p>
      <w:pPr>
        <w:jc w:val="both"/>
        <w:spacing w:after="0" w:line="285" w:lineRule="auto"/>
        <w:rPr>
          <w:sz w:val="20"/>
          <w:szCs w:val="20"/>
          <w:color w:val="auto"/>
        </w:rPr>
      </w:pPr>
      <w:r>
        <w:rPr>
          <w:rFonts w:ascii="Times New Roman" w:cs="Times New Roman" w:eastAsia="Times New Roman" w:hAnsi="Times New Roman"/>
          <w:sz w:val="21"/>
          <w:szCs w:val="21"/>
          <w:color w:val="auto"/>
        </w:rPr>
        <w:t>elect each such additional director to hold office until the next succeeding annual meeting of stockholders and until his or her successor shall have been elected and qualified.</w:t>
      </w:r>
    </w:p>
    <w:p>
      <w:pPr>
        <w:spacing w:after="0" w:line="16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The board of directors, by the affirmative vote of two-thirds of the directors in office, may remove a director or directors for cause where, in the judgment of such majority, the continuation of the director or directors in office would be harmful to the interests of the corporation and may suspend the director or directors for a reasonable period pending final determination of whether cause exists for such removal.</w:t>
      </w:r>
    </w:p>
    <w:p>
      <w:pPr>
        <w:spacing w:after="0" w:line="188"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SEVENTH. The following action may be taken by the affirmative vote of two-thirds of the votes cast by the holders of all of the corporation's outstanding shares of stock entitled to vote thereon, and, in addition, if any class or series is entitled to vote thereon as a class, the affirmative vote of two-thirds of all of the votes which the holders of each such class or series are entitled to cast thereon:</w:t>
      </w:r>
    </w:p>
    <w:p>
      <w:pPr>
        <w:spacing w:after="0" w:line="18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(1) the adoption by the stockholders of a proposed amendment of this Restated Certificate of Incorporation of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corporation;</w:t>
      </w:r>
    </w:p>
    <w:p>
      <w:pPr>
        <w:spacing w:after="0" w:line="225" w:lineRule="exact"/>
        <w:rPr>
          <w:sz w:val="20"/>
          <w:szCs w:val="20"/>
          <w:color w:val="auto"/>
        </w:rPr>
      </w:pPr>
    </w:p>
    <w:p>
      <w:pPr>
        <w:ind w:left="1580" w:hanging="302"/>
        <w:spacing w:after="0"/>
        <w:tabs>
          <w:tab w:leader="none" w:pos="15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adoption by the stockholders of a proposed plan of merger or consolidation involving the corporation;</w:t>
      </w:r>
    </w:p>
    <w:p>
      <w:pPr>
        <w:spacing w:after="0" w:line="248" w:lineRule="exact"/>
        <w:rPr>
          <w:rFonts w:ascii="Times New Roman" w:cs="Times New Roman" w:eastAsia="Times New Roman" w:hAnsi="Times New Roman"/>
          <w:sz w:val="21"/>
          <w:szCs w:val="21"/>
          <w:color w:val="auto"/>
        </w:rPr>
      </w:pPr>
    </w:p>
    <w:p>
      <w:pPr>
        <w:ind w:firstLine="1278"/>
        <w:spacing w:after="0" w:line="298" w:lineRule="auto"/>
        <w:tabs>
          <w:tab w:leader="none" w:pos="158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approval by the stockholders of a sale, lease, exchange, or other disposition of all, or substantially all, the assets of the corporation otherwise than in the usual and regular course of business as conducted by the corporation; and</w:t>
      </w:r>
    </w:p>
    <w:p>
      <w:pPr>
        <w:spacing w:after="0" w:line="155" w:lineRule="exact"/>
        <w:rPr>
          <w:rFonts w:ascii="Times New Roman" w:cs="Times New Roman" w:eastAsia="Times New Roman" w:hAnsi="Times New Roman"/>
          <w:sz w:val="21"/>
          <w:szCs w:val="21"/>
          <w:color w:val="auto"/>
        </w:rPr>
      </w:pPr>
    </w:p>
    <w:p>
      <w:pPr>
        <w:ind w:left="1580" w:hanging="302"/>
        <w:spacing w:after="0"/>
        <w:tabs>
          <w:tab w:leader="none" w:pos="158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dissolution.</w:t>
      </w:r>
    </w:p>
    <w:p>
      <w:pPr>
        <w:spacing w:after="0" w:line="249" w:lineRule="exact"/>
        <w:rPr>
          <w:sz w:val="20"/>
          <w:szCs w:val="20"/>
          <w:color w:val="auto"/>
        </w:rPr>
      </w:pPr>
    </w:p>
    <w:p>
      <w:pPr>
        <w:jc w:val="both"/>
        <w:ind w:firstLine="636"/>
        <w:spacing w:after="0" w:line="266" w:lineRule="auto"/>
        <w:rPr>
          <w:sz w:val="20"/>
          <w:szCs w:val="20"/>
          <w:color w:val="auto"/>
        </w:rPr>
      </w:pPr>
      <w:r>
        <w:rPr>
          <w:rFonts w:ascii="Times New Roman" w:cs="Times New Roman" w:eastAsia="Times New Roman" w:hAnsi="Times New Roman"/>
          <w:sz w:val="21"/>
          <w:szCs w:val="21"/>
          <w:color w:val="auto"/>
        </w:rPr>
        <w:t>EIGHTH. Except as otherwise provided by statute or by this Restated Certificate of Incorporation or the by-laws of the corporation as in each case the same may be amended from time to time, all corporate powers may be exercised by the board of directors. Without limiting the foregoing, the board of directors shall have the power, without stockholder action except where required by New Jersey law:</w:t>
      </w:r>
    </w:p>
    <w:p>
      <w:pPr>
        <w:spacing w:after="0" w:line="188" w:lineRule="exact"/>
        <w:rPr>
          <w:sz w:val="20"/>
          <w:szCs w:val="20"/>
          <w:color w:val="auto"/>
        </w:rPr>
      </w:pPr>
    </w:p>
    <w:p>
      <w:pPr>
        <w:ind w:left="1580" w:hanging="302"/>
        <w:spacing w:after="0"/>
        <w:tabs>
          <w:tab w:leader="none" w:pos="1580"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amend the by-laws of the corporation;</w:t>
      </w:r>
    </w:p>
    <w:p>
      <w:pPr>
        <w:spacing w:after="0" w:line="248" w:lineRule="exact"/>
        <w:rPr>
          <w:rFonts w:ascii="Times New Roman" w:cs="Times New Roman" w:eastAsia="Times New Roman" w:hAnsi="Times New Roman"/>
          <w:sz w:val="21"/>
          <w:szCs w:val="21"/>
          <w:color w:val="auto"/>
        </w:rPr>
      </w:pPr>
    </w:p>
    <w:p>
      <w:pPr>
        <w:ind w:firstLine="1278"/>
        <w:spacing w:after="0" w:line="285" w:lineRule="auto"/>
        <w:tabs>
          <w:tab w:leader="none" w:pos="1599"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authorize the corporation to issue for cash or property shares of any class or series of its stock, now or hereafter authorized but unissued or held in the treasury; and</w:t>
      </w:r>
    </w:p>
    <w:p>
      <w:pPr>
        <w:spacing w:after="0" w:line="168" w:lineRule="exact"/>
        <w:rPr>
          <w:rFonts w:ascii="Times New Roman" w:cs="Times New Roman" w:eastAsia="Times New Roman" w:hAnsi="Times New Roman"/>
          <w:sz w:val="21"/>
          <w:szCs w:val="21"/>
          <w:color w:val="auto"/>
        </w:rPr>
      </w:pPr>
    </w:p>
    <w:p>
      <w:pPr>
        <w:jc w:val="both"/>
        <w:ind w:firstLine="1278"/>
        <w:spacing w:after="0" w:line="262" w:lineRule="auto"/>
        <w:tabs>
          <w:tab w:leader="none" w:pos="1572"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authorize the borrowing of money, the issuance of bonds, debentures, notes and other obligations or evidences of indebtedness of the corporation, secured or unsecured, and the inclusion of provisions as to redeemability and convertibility into shares of any class or series of stock of the corporation or otherwise, and, as security for money borrowed or bonds, debentures, notes and other obligations or evidences of indebtedness issued by the corporation, the mortgaging or pledging of any property, real, personal, or mixed, then owned or thereafter acquired by the corporation.</w:t>
      </w:r>
    </w:p>
    <w:p>
      <w:pPr>
        <w:sectPr>
          <w:pgSz w:w="11900" w:h="16838" w:orient="portrait"/>
          <w:cols w:equalWidth="0" w:num="1">
            <w:col w:w="11240"/>
          </w:cols>
          <w:pgMar w:left="320" w:top="1397" w:right="339" w:bottom="1440" w:gutter="0" w:footer="0" w:header="0"/>
        </w:sectPr>
      </w:pPr>
    </w:p>
    <w:bookmarkStart w:id="48" w:name="page49"/>
    <w:bookmarkEnd w:id="48"/>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NINTH. The duration of the corporation is perpetual.</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TENTH. The effective date of this Restated Certificate of Incorporation shall be December 1, 1980.</w:t>
      </w:r>
    </w:p>
    <w:p>
      <w:pPr>
        <w:spacing w:after="0" w:line="249" w:lineRule="exact"/>
        <w:rPr>
          <w:sz w:val="20"/>
          <w:szCs w:val="20"/>
          <w:color w:val="auto"/>
        </w:rPr>
      </w:pPr>
    </w:p>
    <w:p>
      <w:pPr>
        <w:jc w:val="both"/>
        <w:ind w:firstLine="636"/>
        <w:spacing w:after="0" w:line="260" w:lineRule="auto"/>
        <w:rPr>
          <w:sz w:val="20"/>
          <w:szCs w:val="20"/>
          <w:color w:val="auto"/>
        </w:rPr>
      </w:pPr>
      <w:r>
        <w:rPr>
          <w:rFonts w:ascii="Times New Roman" w:cs="Times New Roman" w:eastAsia="Times New Roman" w:hAnsi="Times New Roman"/>
          <w:sz w:val="21"/>
          <w:szCs w:val="21"/>
          <w:color w:val="auto"/>
        </w:rPr>
        <w:t>ELEVENTH. To the full extent from time to time permitted by law, no director or officer of the corporation shall be personally liable to the corporation or its stockholders for damages for breach of any duty owed to the corporation or its stockholders. Neither the amendment or repeal of this Article ELEVENTH, nor the adoption of any provision of this Restated Certificate of Incorporation inconsistent with this Article ELEVENTH, shall eliminate, reduce or have any effect on the protection afforded by this Article ELEVENTH to a director or an officer of the corporation in respect of any matter occurring, or any cause of action, suit or claim that but for this Article ELEVENTH would accrue or arise, prior to such amendment, repeal or adoption of an inconsistent provision.</w:t>
      </w:r>
    </w:p>
    <w:p>
      <w:pPr>
        <w:sectPr>
          <w:pgSz w:w="11900" w:h="16838" w:orient="portrait"/>
          <w:cols w:equalWidth="0" w:num="1">
            <w:col w:w="11240"/>
          </w:cols>
          <w:pgMar w:left="320" w:top="1440"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CAMPBELL SOUP COMPANY</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2022 LONG-TERM INCENTIVE PLAN</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RESTRICTED STOCK UNIT AGREEMENT</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(Fiscal Year 2025 – Adjusted Earnings Per Share)</w:t>
      </w:r>
    </w:p>
    <w:p>
      <w:pPr>
        <w:spacing w:after="0" w:line="232"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PERFORMANCE RESTRICTED STOCK UNIT AGREEMENT</w:t>
      </w:r>
      <w:r>
        <w:rPr>
          <w:rFonts w:ascii="Times New Roman" w:cs="Times New Roman" w:eastAsia="Times New Roman" w:hAnsi="Times New Roman"/>
          <w:sz w:val="19"/>
          <w:szCs w:val="19"/>
          <w:color w:val="auto"/>
        </w:rPr>
        <w:t xml:space="preserve"> (“Agreement”) between the Campbell Soup Company (the “Company”) and [Employee Full Legal Name] (“Grantee”), an employee of the Company or one of its participating subsidiaries on [Grant Date] (the “Grant Date”).</w:t>
      </w:r>
    </w:p>
    <w:p>
      <w:pPr>
        <w:spacing w:after="0" w:line="17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award Grantee performance Restricted Stock Units (the “Award), which each represent a right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 one share of capital stock, $.0375 par value of the Company (a “Share” or “Shares”) as hereinafter provided (the “Performance Stock Units”), under the Company’s 2022 Long-Term Incentive Plan (the “Plan”) and this Agreement.</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by accepting this Award, the Grantee agrees to the terms of this Agreement.</w:t>
      </w:r>
    </w:p>
    <w:p>
      <w:pPr>
        <w:spacing w:after="0" w:line="232" w:lineRule="exact"/>
        <w:rPr>
          <w:sz w:val="20"/>
          <w:szCs w:val="20"/>
          <w:color w:val="auto"/>
        </w:rPr>
      </w:pPr>
    </w:p>
    <w:p>
      <w:pPr>
        <w:jc w:val="both"/>
        <w:ind w:firstLine="636"/>
        <w:spacing w:after="0" w:line="289"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valuable consideration the legal sufficiency of which is hereby acknowledged,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Grantee, each intending to be legally bound hereby, agree as follows:</w:t>
      </w:r>
    </w:p>
    <w:p>
      <w:pPr>
        <w:spacing w:after="0" w:line="150" w:lineRule="exact"/>
        <w:rPr>
          <w:sz w:val="20"/>
          <w:szCs w:val="20"/>
          <w:color w:val="auto"/>
        </w:rPr>
      </w:pPr>
    </w:p>
    <w:p>
      <w:pPr>
        <w:jc w:val="both"/>
        <w:ind w:firstLine="642"/>
        <w:spacing w:after="0" w:line="247" w:lineRule="auto"/>
        <w:tabs>
          <w:tab w:leader="none" w:pos="830" w:val="left"/>
        </w:tabs>
        <w:numPr>
          <w:ilvl w:val="0"/>
          <w:numId w:val="4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Form of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hereby grants to Grantee on the Grant Date [#Granted - EPS] Adjusted Earnings Per Share (“EPS”)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Performance Stock Units. The Performance Stock Units are in all respects limited and conditioned as hereinafter provided, and are subject in all respects to the Plan’s terms and conditions, as amended.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the Award shall consist of stock units but any portion of the Award that ultimately vests will be delivered in Shares.</w:t>
      </w:r>
    </w:p>
    <w:p>
      <w:pPr>
        <w:spacing w:after="0" w:line="1" w:lineRule="exact"/>
        <w:rPr>
          <w:rFonts w:ascii="Times New Roman" w:cs="Times New Roman" w:eastAsia="Times New Roman" w:hAnsi="Times New Roman"/>
          <w:sz w:val="19"/>
          <w:szCs w:val="19"/>
          <w:b w:val="1"/>
          <w:bCs w:val="1"/>
          <w:color w:val="auto"/>
        </w:rPr>
      </w:pPr>
    </w:p>
    <w:p>
      <w:pPr>
        <w:jc w:val="both"/>
        <w:ind w:firstLine="636"/>
        <w:spacing w:after="0" w:line="239" w:lineRule="auto"/>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 xml:space="preserve">The number of Shares that will vest and be delivered, if any, may range from 0-200% of the [#Granted - EPS] Performance Stock Units granted. Any accumulated dividend equivalents will be paid in cash pursuant to paragraph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(each a “Vesting Date” and as defined in the applicable LTI Brochure).</w:t>
      </w:r>
    </w:p>
    <w:p>
      <w:pPr>
        <w:spacing w:after="0" w:line="215" w:lineRule="exact"/>
        <w:rPr>
          <w:sz w:val="20"/>
          <w:szCs w:val="20"/>
          <w:color w:val="auto"/>
        </w:rPr>
      </w:pPr>
    </w:p>
    <w:p>
      <w:pPr>
        <w:jc w:val="both"/>
        <w:ind w:firstLine="636"/>
        <w:spacing w:after="0" w:line="251" w:lineRule="auto"/>
        <w:rPr>
          <w:sz w:val="20"/>
          <w:szCs w:val="20"/>
          <w:color w:val="auto"/>
        </w:rPr>
      </w:pPr>
      <w:r>
        <w:rPr>
          <w:rFonts w:ascii="Times New Roman" w:cs="Times New Roman" w:eastAsia="Times New Roman" w:hAnsi="Times New Roman"/>
          <w:sz w:val="19"/>
          <w:szCs w:val="19"/>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200" w:lineRule="exact"/>
        <w:rPr>
          <w:sz w:val="20"/>
          <w:szCs w:val="20"/>
          <w:color w:val="auto"/>
        </w:rPr>
      </w:pPr>
    </w:p>
    <w:p>
      <w:pPr>
        <w:spacing w:after="0" w:line="210" w:lineRule="exact"/>
        <w:rPr>
          <w:sz w:val="20"/>
          <w:szCs w:val="20"/>
          <w:color w:val="auto"/>
        </w:rPr>
      </w:pPr>
    </w:p>
    <w:p>
      <w:pPr>
        <w:jc w:val="both"/>
        <w:ind w:firstLine="642"/>
        <w:spacing w:after="0" w:line="261" w:lineRule="auto"/>
        <w:tabs>
          <w:tab w:leader="none" w:pos="830" w:val="left"/>
        </w:tabs>
        <w:numPr>
          <w:ilvl w:val="1"/>
          <w:numId w:val="4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Full or Pro-Rata Awards upon Certain Events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Section 12.3 of the Plan, the Award shall terminate and become null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void if and when the Grantee ceases to be an employee of the Company or its subsidiaries prior to the Vesting Date due to termination for Cause, voluntary resignation, Retirement or Full­ Retirement, except as provided below:</w:t>
      </w:r>
    </w:p>
    <w:p>
      <w:pPr>
        <w:spacing w:after="0" w:line="192" w:lineRule="exact"/>
        <w:rPr>
          <w:rFonts w:ascii="Times New Roman" w:cs="Times New Roman" w:eastAsia="Times New Roman" w:hAnsi="Times New Roman"/>
          <w:sz w:val="19"/>
          <w:szCs w:val="19"/>
          <w:b w:val="1"/>
          <w:bCs w:val="1"/>
          <w:color w:val="auto"/>
        </w:rPr>
      </w:pPr>
    </w:p>
    <w:p>
      <w:pPr>
        <w:jc w:val="both"/>
        <w:ind w:firstLine="562"/>
        <w:spacing w:after="0" w:line="240" w:lineRule="exact"/>
        <w:tabs>
          <w:tab w:leader="none" w:pos="1262"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Grantee’s employment is terminated at least six (6) months following the Grant Date by the Company other than for Cause or as a result of Retirement, Total Disability, or death, the Grantee (or his or her legal representative, as applicable) shall be eligible to receive a Pro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Rata Vesting of the Award determined as of the date of termination.</w:t>
      </w:r>
    </w:p>
    <w:p>
      <w:pPr>
        <w:sectPr>
          <w:pgSz w:w="11900" w:h="16838" w:orient="portrait"/>
          <w:cols w:equalWidth="0" w:num="1">
            <w:col w:w="11240"/>
          </w:cols>
          <w:pgMar w:left="320" w:top="358" w:right="339" w:bottom="1440" w:gutter="0" w:footer="0" w:header="0"/>
        </w:sectPr>
      </w:pPr>
    </w:p>
    <w:bookmarkStart w:id="50" w:name="page51"/>
    <w:bookmarkEnd w:id="50"/>
    <w:p>
      <w:pPr>
        <w:jc w:val="both"/>
        <w:ind w:firstLine="562"/>
        <w:spacing w:after="0" w:line="250" w:lineRule="auto"/>
        <w:tabs>
          <w:tab w:leader="none" w:pos="126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Grantee’s employment is terminated at least six (6) months following the Grant Date as a result of Full Retirement, the Performance Stock Units shall continue to vest through each Vesting Date, and the Company will deliver to Grantee, or his or her legal representative, one Share for each Performance Stock Unit vested on that date multiplied by a factor based on the Company’s attainment of performance criteria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as set forth in paragraph 1 above.</w:t>
      </w:r>
    </w:p>
    <w:p>
      <w:pPr>
        <w:spacing w:after="0" w:line="202" w:lineRule="exact"/>
        <w:rPr>
          <w:rFonts w:ascii="Times New Roman" w:cs="Times New Roman" w:eastAsia="Times New Roman" w:hAnsi="Times New Roman"/>
          <w:sz w:val="19"/>
          <w:szCs w:val="19"/>
          <w:color w:val="auto"/>
        </w:rPr>
      </w:pPr>
    </w:p>
    <w:p>
      <w:pPr>
        <w:jc w:val="both"/>
        <w:ind w:firstLine="562"/>
        <w:spacing w:after="0" w:line="259" w:lineRule="auto"/>
        <w:tabs>
          <w:tab w:leader="none" w:pos="1262"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Any Termination Prior to Six-Month Anniversary of Grant Date</w:t>
      </w:r>
      <w:r>
        <w:rPr>
          <w:rFonts w:ascii="Times New Roman" w:cs="Times New Roman" w:eastAsia="Times New Roman" w:hAnsi="Times New Roman"/>
          <w:sz w:val="19"/>
          <w:szCs w:val="19"/>
          <w:color w:val="auto"/>
        </w:rPr>
        <w:t>. If Grantee ceases to be an employee of the Company for any reason before six (6) months have elapsed from the Grant Date, the Award shall be cancelled by the Company and Grantee shall forfeit the entire Award.</w:t>
      </w:r>
    </w:p>
    <w:p>
      <w:pPr>
        <w:spacing w:after="0" w:line="180" w:lineRule="exact"/>
        <w:rPr>
          <w:rFonts w:ascii="Times New Roman" w:cs="Times New Roman" w:eastAsia="Times New Roman" w:hAnsi="Times New Roman"/>
          <w:sz w:val="19"/>
          <w:szCs w:val="19"/>
          <w:color w:val="auto"/>
        </w:rPr>
      </w:pPr>
    </w:p>
    <w:p>
      <w:pPr>
        <w:ind w:left="1260" w:hanging="698"/>
        <w:spacing w:after="0"/>
        <w:tabs>
          <w:tab w:leader="none" w:pos="1260" w:val="left"/>
        </w:tabs>
        <w:numPr>
          <w:ilvl w:val="1"/>
          <w:numId w:val="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 Notwithstanding the forgoing paragraph 2(a) and 2(b) above, if Grantee’s employment is terminated at least six</w:t>
      </w:r>
    </w:p>
    <w:p>
      <w:pPr>
        <w:spacing w:after="0" w:line="15" w:lineRule="exact"/>
        <w:rPr>
          <w:rFonts w:ascii="Times New Roman" w:cs="Times New Roman" w:eastAsia="Times New Roman" w:hAnsi="Times New Roman"/>
          <w:sz w:val="19"/>
          <w:szCs w:val="19"/>
          <w:color w:val="auto"/>
        </w:rPr>
      </w:pPr>
    </w:p>
    <w:p>
      <w:pPr>
        <w:ind w:left="300" w:hanging="294"/>
        <w:spacing w:after="0"/>
        <w:tabs>
          <w:tab w:leader="none" w:pos="300"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following the Grant Date by the Company other than for Cause or as a result of Retirement, Full Retirement, Total Disability, or</w:t>
      </w:r>
    </w:p>
    <w:p>
      <w:pPr>
        <w:spacing w:after="0" w:line="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death, and the terms of the Non-Competition and Restrictive Covenants Agreement (“RCA”)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are subsequently violated, the Committee or its delegate, in its sole direction, may cancel the unvested portions of the Award, including any Pro-Rata Vesting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215" w:lineRule="exact"/>
        <w:rPr>
          <w:sz w:val="20"/>
          <w:szCs w:val="20"/>
          <w:color w:val="auto"/>
        </w:rPr>
      </w:pPr>
    </w:p>
    <w:p>
      <w:pPr>
        <w:jc w:val="both"/>
        <w:ind w:firstLine="562"/>
        <w:spacing w:after="0" w:line="259" w:lineRule="auto"/>
        <w:tabs>
          <w:tab w:leader="none" w:pos="1262"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 with Severance Benefits</w:t>
      </w:r>
      <w:r>
        <w:rPr>
          <w:rFonts w:ascii="Times New Roman" w:cs="Times New Roman" w:eastAsia="Times New Roman" w:hAnsi="Times New Roman"/>
          <w:sz w:val="19"/>
          <w:szCs w:val="19"/>
          <w:color w:val="auto"/>
        </w:rPr>
        <w:t>. For U.S. participants, notwithstanding paragraphs 2(a)-(c) above, if severance is offered, eligibility for a prorated Award is contingent upon the Company receiving your signed Severance Agreement &amp; General Release. Without a signed release, all unvested Performance Stock Units are forfeited.</w:t>
      </w:r>
    </w:p>
    <w:p>
      <w:pPr>
        <w:spacing w:after="0" w:line="180" w:lineRule="exact"/>
        <w:rPr>
          <w:rFonts w:ascii="Times New Roman" w:cs="Times New Roman" w:eastAsia="Times New Roman" w:hAnsi="Times New Roman"/>
          <w:sz w:val="19"/>
          <w:szCs w:val="19"/>
          <w:color w:val="auto"/>
        </w:rPr>
      </w:pPr>
    </w:p>
    <w:p>
      <w:pPr>
        <w:ind w:left="1280" w:hanging="718"/>
        <w:spacing w:after="0"/>
        <w:tabs>
          <w:tab w:leader="none" w:pos="128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the following terms shall have the meanings set forth below:</w:t>
      </w:r>
    </w:p>
    <w:p>
      <w:pPr>
        <w:spacing w:after="0" w:line="245" w:lineRule="exact"/>
        <w:rPr>
          <w:rFonts w:ascii="Times New Roman" w:cs="Times New Roman" w:eastAsia="Times New Roman" w:hAnsi="Times New Roman"/>
          <w:sz w:val="19"/>
          <w:szCs w:val="19"/>
          <w:color w:val="auto"/>
        </w:rPr>
      </w:pPr>
    </w:p>
    <w:p>
      <w:pPr>
        <w:ind w:firstLine="1596"/>
        <w:spacing w:after="0" w:line="270" w:lineRule="auto"/>
        <w:tabs>
          <w:tab w:leader="none" w:pos="190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or “Retirement Eligible” means Grantee terminates, or is eligible to terminate, employment with the Company or its subsidiaries after attaining 55 years of age with at least 5 years of continuous service on or prior to the date of termination.</w:t>
      </w:r>
    </w:p>
    <w:p>
      <w:pPr>
        <w:spacing w:after="0" w:line="170" w:lineRule="exact"/>
        <w:rPr>
          <w:rFonts w:ascii="Times New Roman" w:cs="Times New Roman" w:eastAsia="Times New Roman" w:hAnsi="Times New Roman"/>
          <w:sz w:val="19"/>
          <w:szCs w:val="19"/>
          <w:color w:val="auto"/>
        </w:rPr>
      </w:pPr>
    </w:p>
    <w:p>
      <w:pPr>
        <w:jc w:val="both"/>
        <w:ind w:firstLine="1596"/>
        <w:spacing w:after="0" w:line="259" w:lineRule="auto"/>
        <w:tabs>
          <w:tab w:leader="none" w:pos="190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 Retirement” or “Full Retirement Eligible” means Grantee (i) is Retirement Eligible (as defined above) and (ii) terminates, or is eligible to terminate, employment with the Company or its subsidiaries after his or her (x) years of age and (y) years of continuous service equal or exceed a total of 65 when added together prior to the date of termination.</w:t>
      </w:r>
    </w:p>
    <w:p>
      <w:pPr>
        <w:spacing w:after="0" w:line="193" w:lineRule="exact"/>
        <w:rPr>
          <w:rFonts w:ascii="Times New Roman" w:cs="Times New Roman" w:eastAsia="Times New Roman" w:hAnsi="Times New Roman"/>
          <w:sz w:val="19"/>
          <w:szCs w:val="19"/>
          <w:color w:val="auto"/>
        </w:rPr>
      </w:pPr>
    </w:p>
    <w:p>
      <w:pPr>
        <w:jc w:val="both"/>
        <w:ind w:firstLine="1596"/>
        <w:spacing w:after="0" w:line="265" w:lineRule="auto"/>
        <w:tabs>
          <w:tab w:leader="none" w:pos="190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200" w:lineRule="exact"/>
        <w:rPr>
          <w:rFonts w:ascii="Times New Roman" w:cs="Times New Roman" w:eastAsia="Times New Roman" w:hAnsi="Times New Roman"/>
          <w:sz w:val="19"/>
          <w:szCs w:val="19"/>
          <w:color w:val="auto"/>
        </w:rPr>
      </w:pPr>
    </w:p>
    <w:p>
      <w:pPr>
        <w:spacing w:after="0" w:line="205" w:lineRule="exact"/>
        <w:rPr>
          <w:rFonts w:ascii="Times New Roman" w:cs="Times New Roman" w:eastAsia="Times New Roman" w:hAnsi="Times New Roman"/>
          <w:sz w:val="19"/>
          <w:szCs w:val="19"/>
          <w:color w:val="auto"/>
        </w:rPr>
      </w:pPr>
    </w:p>
    <w:p>
      <w:pPr>
        <w:jc w:val="both"/>
        <w:ind w:firstLine="1596"/>
        <w:spacing w:after="0" w:line="250" w:lineRule="auto"/>
        <w:tabs>
          <w:tab w:leader="none" w:pos="190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“Pro-Rata Vesting” means a number of Shares deliverable upon a pro-rata vesting event. This shall be calculated by multiplying this Award by the number of months worked from Grant Date to termination date divided by 36, which will then be multiplied by a factor based on the Company’s attainment of performance criteria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as set forth in paragraph 1 above. Thereafter, the number of Shares deliverable shall be rounded down to the nearest whole Share.</w:t>
      </w:r>
    </w:p>
    <w:p>
      <w:pPr>
        <w:spacing w:after="0" w:line="202" w:lineRule="exact"/>
        <w:rPr>
          <w:rFonts w:ascii="Times New Roman" w:cs="Times New Roman" w:eastAsia="Times New Roman" w:hAnsi="Times New Roman"/>
          <w:sz w:val="19"/>
          <w:szCs w:val="19"/>
          <w:color w:val="auto"/>
        </w:rPr>
      </w:pPr>
    </w:p>
    <w:p>
      <w:pPr>
        <w:jc w:val="both"/>
        <w:ind w:firstLine="1596"/>
        <w:spacing w:after="0" w:line="259" w:lineRule="auto"/>
        <w:tabs>
          <w:tab w:leader="none" w:pos="1908"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of employment,” “separation from service,” and similar references mean a separation from service within the meaning of Section 409A of the Internal Revenue Code of 1986, as amended (the “Code”) with the Company and/or any of its subsidiaries or affiliates, which</w:t>
      </w:r>
    </w:p>
    <w:p>
      <w:pPr>
        <w:sectPr>
          <w:pgSz w:w="11900" w:h="16838" w:orient="portrait"/>
          <w:cols w:equalWidth="0" w:num="1">
            <w:col w:w="11240"/>
          </w:cols>
          <w:pgMar w:left="320" w:top="1389" w:right="339" w:bottom="1440" w:gutter="0" w:footer="0" w:header="0"/>
        </w:sectPr>
      </w:pPr>
    </w:p>
    <w:bookmarkStart w:id="51" w:name="page52"/>
    <w:bookmarkEnd w:id="51"/>
    <w:p>
      <w:pPr>
        <w:jc w:val="both"/>
        <w:spacing w:after="0" w:line="255" w:lineRule="auto"/>
        <w:rPr>
          <w:sz w:val="20"/>
          <w:szCs w:val="20"/>
          <w:color w:val="auto"/>
        </w:rPr>
      </w:pPr>
      <w:r>
        <w:rPr>
          <w:rFonts w:ascii="Times New Roman" w:cs="Times New Roman" w:eastAsia="Times New Roman" w:hAnsi="Times New Roman"/>
          <w:sz w:val="19"/>
          <w:szCs w:val="19"/>
          <w:color w:val="auto"/>
        </w:rPr>
        <w:t>includes circumstances in which Grantee is reasonably anticipated not to perform further services with the Company or its affiliates or subsidiaries.</w:t>
      </w:r>
    </w:p>
    <w:p>
      <w:pPr>
        <w:spacing w:after="0" w:line="200" w:lineRule="exact"/>
        <w:rPr>
          <w:sz w:val="20"/>
          <w:szCs w:val="20"/>
          <w:color w:val="auto"/>
        </w:rPr>
      </w:pPr>
    </w:p>
    <w:p>
      <w:pPr>
        <w:spacing w:after="0" w:line="24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 xml:space="preserve">Any Shares deliverable under this Paragraph 2 shall be delivered at the same time long-term incentive awards are normally paid and/or delivered after the end of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9"/>
          <w:szCs w:val="19"/>
          <w:color w:val="auto"/>
        </w:rPr>
        <w:t>Notwithstanding anything in this paragraph 2 to the contrary, in the case of a Key Employee (defined below), a distribution upon the Key Employee’s termination of employment shall be made on the first day of the month following six (6) months after the date on which the Key Employee separates from service or, if earlier, the date of death. A “Key Employee” means an employee who, as of his termination of employment from the Company or its affiliates or subsidiaries, is treated as a “specified employee” under Code Section 409A(a)(2)(B)(i) (i.e., a key employee as defined in Code Section 416(i) without regard to paragraph (5) thereof). Key Employees shall be determined in accordance with Code Section 409A. Currently, the Company classifies all employees in Salary Grade Levels A and B as Key Employees.</w:t>
      </w:r>
    </w:p>
    <w:p>
      <w:pPr>
        <w:spacing w:after="0" w:line="189" w:lineRule="exact"/>
        <w:rPr>
          <w:sz w:val="20"/>
          <w:szCs w:val="20"/>
          <w:color w:val="auto"/>
        </w:rPr>
      </w:pPr>
    </w:p>
    <w:p>
      <w:pPr>
        <w:jc w:val="both"/>
        <w:ind w:firstLine="642"/>
        <w:spacing w:after="0" w:line="250" w:lineRule="auto"/>
        <w:tabs>
          <w:tab w:leader="none" w:pos="857"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Dividend Equivalent 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a Vesting Date, Grantee shall be paid in cash the accumulated amount equivalent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dividends which would have been paid on such Shares underlying the Performance Stock Units to the extent the Company’s Board of Directors had approved and declared a dividend on its capital stock. Such dividend equivalent amount shall be paid during that month following that Vesting Date. Subject to paragraph 2 above, the dividend equivalent payment shall be forfeited for any Performance Stock Units that do not vest or are terminated in accordance with paragraph 2.</w:t>
      </w:r>
    </w:p>
    <w:p>
      <w:pPr>
        <w:spacing w:after="0" w:line="187" w:lineRule="exact"/>
        <w:rPr>
          <w:rFonts w:ascii="Times New Roman" w:cs="Times New Roman" w:eastAsia="Times New Roman" w:hAnsi="Times New Roman"/>
          <w:sz w:val="19"/>
          <w:szCs w:val="19"/>
          <w:b w:val="1"/>
          <w:bCs w:val="1"/>
          <w:color w:val="auto"/>
        </w:rPr>
      </w:pPr>
    </w:p>
    <w:p>
      <w:pPr>
        <w:jc w:val="both"/>
        <w:ind w:firstLine="642"/>
        <w:spacing w:after="0" w:line="247" w:lineRule="auto"/>
        <w:tabs>
          <w:tab w:leader="none" w:pos="830"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Incorporation of Plan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Award is subject to the terms and conditions of the Plan. Such terms and conditions of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incorporated into and made a part of this Agreement by reference. In the event of any conflicts between the provisions of this Agreement and the terms of the Plan, the terms of the Plan will control.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201" w:lineRule="exact"/>
        <w:rPr>
          <w:rFonts w:ascii="Times New Roman" w:cs="Times New Roman" w:eastAsia="Times New Roman" w:hAnsi="Times New Roman"/>
          <w:sz w:val="19"/>
          <w:szCs w:val="19"/>
          <w:b w:val="1"/>
          <w:bCs w:val="1"/>
          <w:color w:val="auto"/>
        </w:rPr>
      </w:pPr>
    </w:p>
    <w:p>
      <w:pPr>
        <w:ind w:left="840" w:hanging="198"/>
        <w:spacing w:after="0"/>
        <w:tabs>
          <w:tab w:leader="none" w:pos="840" w:val="left"/>
        </w:tabs>
        <w:numPr>
          <w:ilvl w:val="0"/>
          <w:numId w:val="5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Cancellation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Rescission of Award after Vesting or Distribution</w:t>
      </w:r>
      <w:r>
        <w:rPr>
          <w:rFonts w:ascii="Times New Roman" w:cs="Times New Roman" w:eastAsia="Times New Roman" w:hAnsi="Times New Roman"/>
          <w:sz w:val="19"/>
          <w:szCs w:val="19"/>
          <w:b w:val="1"/>
          <w:bCs w:val="1"/>
          <w:color w:val="auto"/>
        </w:rPr>
        <w:t>.</w:t>
      </w:r>
    </w:p>
    <w:p>
      <w:pPr>
        <w:spacing w:after="0" w:line="236" w:lineRule="exact"/>
        <w:rPr>
          <w:sz w:val="20"/>
          <w:szCs w:val="20"/>
          <w:color w:val="auto"/>
        </w:rPr>
      </w:pPr>
    </w:p>
    <w:p>
      <w:pPr>
        <w:jc w:val="both"/>
        <w:ind w:firstLine="642"/>
        <w:spacing w:after="0" w:line="259" w:lineRule="auto"/>
        <w:tabs>
          <w:tab w:leader="none" w:pos="1262"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while Grantee is an employee of the Company (or one of its subsidiaries) or after Grantee ceases to be such an employee, the Committee or its delegate determines that Grantee breached his or her duty of loyalty to the Company, any Shares distributed in settlement of this Award during the three (3) year period prior to such deemed breach shall be rescinded.</w:t>
      </w:r>
    </w:p>
    <w:p>
      <w:pPr>
        <w:spacing w:after="0" w:line="193" w:lineRule="exact"/>
        <w:rPr>
          <w:rFonts w:ascii="Times New Roman" w:cs="Times New Roman" w:eastAsia="Times New Roman" w:hAnsi="Times New Roman"/>
          <w:sz w:val="19"/>
          <w:szCs w:val="19"/>
          <w:color w:val="auto"/>
        </w:rPr>
      </w:pPr>
    </w:p>
    <w:p>
      <w:pPr>
        <w:ind w:firstLine="960"/>
        <w:spacing w:after="0" w:line="270" w:lineRule="auto"/>
        <w:tabs>
          <w:tab w:leader="none" w:pos="1272"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notify Grantee in writing of any such rescission not later than one-hundred and eighty (180) days after the Company obtains knowledge of Grantee’s breach of his or her duty of loyalty as described in Subparagraph 5(a) above.</w:t>
      </w:r>
    </w:p>
    <w:p>
      <w:pPr>
        <w:spacing w:after="0" w:line="170" w:lineRule="exact"/>
        <w:rPr>
          <w:rFonts w:ascii="Times New Roman" w:cs="Times New Roman" w:eastAsia="Times New Roman" w:hAnsi="Times New Roman"/>
          <w:sz w:val="19"/>
          <w:szCs w:val="19"/>
          <w:color w:val="auto"/>
        </w:rPr>
      </w:pPr>
    </w:p>
    <w:p>
      <w:pPr>
        <w:jc w:val="both"/>
        <w:ind w:firstLine="960"/>
        <w:spacing w:after="0" w:line="249" w:lineRule="auto"/>
        <w:tabs>
          <w:tab w:leader="none" w:pos="1272" w:val="left"/>
        </w:tabs>
        <w:numPr>
          <w:ilvl w:val="1"/>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ten (10) days after receiving a such notice from the Company: (i) Grantee must surrender to the Company the Shares acquired upon settlement of this Award; or (ii) if such Shares have been sold or transferred, (x) Grantee must make a payment to the Company of the proceeds from such sale or transfer, or (y) if there are no proceeds from such transfer, Grantee must make a payment to the Company equal to the Fair Market Value (as defined in the Plan) of such Shares on the date of such transfer. In all cases, Grantee shall pay to the Company the gross amount of any gain realized or payment received (not net of any withholding or other taxes paid by Grantee) as a result of the Shares.</w:t>
      </w:r>
    </w:p>
    <w:p>
      <w:pPr>
        <w:sectPr>
          <w:pgSz w:w="11900" w:h="16838" w:orient="portrait"/>
          <w:cols w:equalWidth="0" w:num="1">
            <w:col w:w="11240"/>
          </w:cols>
          <w:pgMar w:left="320" w:top="1389" w:right="339" w:bottom="1440" w:gutter="0" w:footer="0" w:header="0"/>
        </w:sectPr>
      </w:pPr>
    </w:p>
    <w:bookmarkStart w:id="52" w:name="page53"/>
    <w:bookmarkEnd w:id="52"/>
    <w:p>
      <w:pPr>
        <w:jc w:val="both"/>
        <w:ind w:firstLine="642"/>
        <w:spacing w:after="0" w:line="250" w:lineRule="auto"/>
        <w:tabs>
          <w:tab w:leader="none" w:pos="126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while Grantee is an employee of the Company (or one of its subsidiaries) or after Grantee ceases to be such an employee, the Committee or its delegate determines that Grantee breached his or her duty of loyalty to the Company before any Performance Stock Units vest pursuant to the achievement of Company performance criteria previously established and approved by the Committee for the </w:t>
      </w:r>
      <w:r>
        <w:rPr>
          <w:rFonts w:ascii="Times New Roman" w:cs="Times New Roman" w:eastAsia="Times New Roman" w:hAnsi="Times New Roman"/>
          <w:sz w:val="19"/>
          <w:szCs w:val="19"/>
          <w:b w:val="1"/>
          <w:bCs w:val="1"/>
          <w:color w:val="auto"/>
        </w:rPr>
        <w:t>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cycle </w:t>
      </w:r>
      <w:r>
        <w:rPr>
          <w:rFonts w:ascii="Times New Roman" w:cs="Times New Roman" w:eastAsia="Times New Roman" w:hAnsi="Times New Roman"/>
          <w:sz w:val="19"/>
          <w:szCs w:val="19"/>
          <w:color w:val="auto"/>
        </w:rPr>
        <w:t>(as defined in the applicable LTI Brochure), this Award shall be cancelled without further action by the Committee or its delegate.</w:t>
      </w:r>
    </w:p>
    <w:p>
      <w:pPr>
        <w:spacing w:after="0" w:line="20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For purposes of this Agreement and avoidance of doubt, “duty of loyalty” to the Company means that Grantee cannot act contrary to the Company’s interest, such as competing with the Company while employed or using the Company’s proprietary and confidential information to compete with the Company, or as otherwise as determined by a court of law.</w:t>
      </w:r>
    </w:p>
    <w:p>
      <w:pPr>
        <w:spacing w:after="0" w:line="176" w:lineRule="exact"/>
        <w:rPr>
          <w:sz w:val="20"/>
          <w:szCs w:val="20"/>
          <w:color w:val="auto"/>
        </w:rPr>
      </w:pPr>
    </w:p>
    <w:p>
      <w:pPr>
        <w:jc w:val="both"/>
        <w:ind w:firstLine="642"/>
        <w:spacing w:after="0" w:line="250" w:lineRule="auto"/>
        <w:tabs>
          <w:tab w:leader="none" w:pos="830"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Withholding of Taxes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will require Grantee to remit an amount equal to any tax withholding required under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 or local law on the value of the Shares deliverable under this Agreement at such time as the Company is required to withhold such amounts. In accordance with any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187"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843"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Limits on Transferability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Grantee’s right in the Performance Stock Units awarded under this Agreement and any interest therein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not be sold, pledged, assigned, hypothecated, transferred, or disposed of in any manner, other than by will or by the laws of descent or distribution. The Award shall not be subject to execution, attachment or other process.</w:t>
      </w:r>
    </w:p>
    <w:p>
      <w:pPr>
        <w:spacing w:after="0" w:line="174"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843"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Compliance with Securities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shall not be issued with respect to this Award unless the issuance and delivery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shall comply with all relevant provisions of state and federal laws, rules and regulations, and, in the discretion of the Company, shall be further subject to the approval of counsel for the Company with respect to that compliance.</w:t>
      </w:r>
    </w:p>
    <w:p>
      <w:pPr>
        <w:spacing w:after="0" w:line="188" w:lineRule="exact"/>
        <w:rPr>
          <w:rFonts w:ascii="Times New Roman" w:cs="Times New Roman" w:eastAsia="Times New Roman" w:hAnsi="Times New Roman"/>
          <w:sz w:val="19"/>
          <w:szCs w:val="19"/>
          <w:b w:val="1"/>
          <w:bCs w:val="1"/>
          <w:color w:val="auto"/>
        </w:rPr>
      </w:pPr>
    </w:p>
    <w:p>
      <w:pPr>
        <w:jc w:val="both"/>
        <w:ind w:firstLine="642"/>
        <w:spacing w:after="0" w:line="251" w:lineRule="auto"/>
        <w:tabs>
          <w:tab w:leader="none" w:pos="830"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Employment or Voting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Nothing contained in the Plan or this Agreement shall give any employee the right to be retained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employment of the Company or its subsidiaries or affiliates, or their successors or assigns, whether existing now or in the future (collectively “Campbell Companies”), or affect the right of any of the Campbell Companies to terminate any employee. Grantee shall have no voting rights with respect to the Performance Stock Units.</w:t>
      </w:r>
    </w:p>
    <w:p>
      <w:pPr>
        <w:spacing w:after="0" w:line="185" w:lineRule="exact"/>
        <w:rPr>
          <w:rFonts w:ascii="Times New Roman" w:cs="Times New Roman" w:eastAsia="Times New Roman" w:hAnsi="Times New Roman"/>
          <w:sz w:val="19"/>
          <w:szCs w:val="19"/>
          <w:b w:val="1"/>
          <w:bCs w:val="1"/>
          <w:color w:val="auto"/>
        </w:rPr>
      </w:pPr>
    </w:p>
    <w:p>
      <w:pPr>
        <w:jc w:val="both"/>
        <w:ind w:firstLine="642"/>
        <w:spacing w:after="0" w:line="256" w:lineRule="auto"/>
        <w:tabs>
          <w:tab w:leader="none" w:pos="941"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Internal Revenue Code Section 409A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interpreted, operated, and administered in a manner so as not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180" w:lineRule="exact"/>
        <w:rPr>
          <w:rFonts w:ascii="Times New Roman" w:cs="Times New Roman" w:eastAsia="Times New Roman" w:hAnsi="Times New Roman"/>
          <w:sz w:val="19"/>
          <w:szCs w:val="19"/>
          <w:b w:val="1"/>
          <w:bCs w:val="1"/>
          <w:color w:val="auto"/>
        </w:rPr>
      </w:pPr>
    </w:p>
    <w:p>
      <w:pPr>
        <w:jc w:val="both"/>
        <w:ind w:firstLine="642"/>
        <w:spacing w:after="0" w:line="251" w:lineRule="auto"/>
        <w:tabs>
          <w:tab w:leader="none" w:pos="917"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Electronic Delivery and Acceptance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may, in its sole discretion, decide to deliver any documents related to current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future participation in the Plan by electronic means or to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99" w:lineRule="exact"/>
        <w:rPr>
          <w:rFonts w:ascii="Times New Roman" w:cs="Times New Roman" w:eastAsia="Times New Roman" w:hAnsi="Times New Roman"/>
          <w:sz w:val="19"/>
          <w:szCs w:val="19"/>
          <w:b w:val="1"/>
          <w:bCs w:val="1"/>
          <w:color w:val="auto"/>
        </w:rPr>
      </w:pPr>
    </w:p>
    <w:p>
      <w:pPr>
        <w:ind w:firstLine="642"/>
        <w:spacing w:after="0" w:line="275" w:lineRule="auto"/>
        <w:tabs>
          <w:tab w:leader="none" w:pos="941" w:val="left"/>
        </w:tabs>
        <w:numPr>
          <w:ilvl w:val="0"/>
          <w:numId w:val="5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terms of the Plan and this Agreement when accepted by the Grantee will constitute the 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the subject matter hereof. This Agreement</w:t>
      </w:r>
    </w:p>
    <w:p>
      <w:pPr>
        <w:sectPr>
          <w:pgSz w:w="11900" w:h="16838" w:orient="portrait"/>
          <w:cols w:equalWidth="0" w:num="1">
            <w:col w:w="11240"/>
          </w:cols>
          <w:pgMar w:left="320" w:top="138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9"/>
          <w:szCs w:val="19"/>
          <w:color w:val="auto"/>
        </w:rPr>
        <w:t>supersedes any prior agreements, representations or promises of the parties relating to the subject matter hereof.</w:t>
      </w:r>
    </w:p>
    <w:p>
      <w:pPr>
        <w:spacing w:after="0" w:line="16" w:lineRule="exact"/>
        <w:rPr>
          <w:sz w:val="20"/>
          <w:szCs w:val="20"/>
          <w:color w:val="auto"/>
        </w:rPr>
      </w:pPr>
    </w:p>
    <w:p>
      <w:pPr>
        <w:ind w:firstLine="642"/>
        <w:spacing w:after="0" w:line="261" w:lineRule="auto"/>
        <w:tabs>
          <w:tab w:leader="none" w:pos="927" w:val="left"/>
        </w:tabs>
        <w:numPr>
          <w:ilvl w:val="0"/>
          <w:numId w:val="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Non-Competition and Restrictive Covenants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condition of receiving the Award, Grantee must agree to the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the RCA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74" w:lineRule="exact"/>
        <w:rPr>
          <w:rFonts w:ascii="Times New Roman" w:cs="Times New Roman" w:eastAsia="Times New Roman" w:hAnsi="Times New Roman"/>
          <w:sz w:val="19"/>
          <w:szCs w:val="19"/>
          <w:b w:val="1"/>
          <w:bCs w:val="1"/>
          <w:color w:val="auto"/>
        </w:rPr>
      </w:pPr>
    </w:p>
    <w:p>
      <w:pPr>
        <w:jc w:val="both"/>
        <w:ind w:firstLine="642"/>
        <w:spacing w:after="0" w:line="256" w:lineRule="auto"/>
        <w:tabs>
          <w:tab w:leader="none" w:pos="927" w:val="left"/>
        </w:tabs>
        <w:numPr>
          <w:ilvl w:val="0"/>
          <w:numId w:val="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and any Shares issued pursuant to this Agreement will be subject to reduction, cancellation, repayment,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forfeiture or recoupment in accordance with any clawback policy adopted by the Company. By accepting this Award, the Grantee is agreeing to be bound by any such clawback policy, as in effect or as may be adopted and/or modified from time to time by the Company in its discretion, and any or clawback requirements imposed under applicable laws, rules and regulations.</w:t>
      </w:r>
    </w:p>
    <w:p>
      <w:pPr>
        <w:spacing w:after="0" w:line="180" w:lineRule="exact"/>
        <w:rPr>
          <w:rFonts w:ascii="Times New Roman" w:cs="Times New Roman" w:eastAsia="Times New Roman" w:hAnsi="Times New Roman"/>
          <w:sz w:val="19"/>
          <w:szCs w:val="19"/>
          <w:b w:val="1"/>
          <w:bCs w:val="1"/>
          <w:color w:val="auto"/>
        </w:rPr>
      </w:pPr>
    </w:p>
    <w:p>
      <w:pPr>
        <w:jc w:val="both"/>
        <w:ind w:firstLine="642"/>
        <w:spacing w:after="0" w:line="250" w:lineRule="auto"/>
        <w:tabs>
          <w:tab w:leader="none" w:pos="927" w:val="left"/>
        </w:tabs>
        <w:numPr>
          <w:ilvl w:val="0"/>
          <w:numId w:val="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one or more of the provisions of this Agreement shall be held invalid, illegal or unenforceable in any respect,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7" w:lineRule="exact"/>
        <w:rPr>
          <w:rFonts w:ascii="Times New Roman" w:cs="Times New Roman" w:eastAsia="Times New Roman" w:hAnsi="Times New Roman"/>
          <w:sz w:val="19"/>
          <w:szCs w:val="19"/>
          <w:b w:val="1"/>
          <w:bCs w:val="1"/>
          <w:color w:val="auto"/>
        </w:rPr>
      </w:pPr>
    </w:p>
    <w:p>
      <w:pPr>
        <w:ind w:firstLine="642"/>
        <w:spacing w:after="0" w:line="275" w:lineRule="auto"/>
        <w:tabs>
          <w:tab w:leader="none" w:pos="927" w:val="left"/>
        </w:tabs>
        <w:numPr>
          <w:ilvl w:val="0"/>
          <w:numId w:val="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binding upon and inure to the benefit of any successor or successors of the Company and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 or persons who shall acquire any rights hereunder in accordance with this Agreement or the Plan.</w:t>
      </w:r>
    </w:p>
    <w:p>
      <w:pPr>
        <w:spacing w:after="0" w:line="175" w:lineRule="exact"/>
        <w:rPr>
          <w:rFonts w:ascii="Times New Roman" w:cs="Times New Roman" w:eastAsia="Times New Roman" w:hAnsi="Times New Roman"/>
          <w:sz w:val="19"/>
          <w:szCs w:val="19"/>
          <w:b w:val="1"/>
          <w:bCs w:val="1"/>
          <w:color w:val="auto"/>
        </w:rPr>
      </w:pPr>
    </w:p>
    <w:p>
      <w:pPr>
        <w:jc w:val="both"/>
        <w:ind w:firstLine="642"/>
        <w:spacing w:after="0" w:line="251" w:lineRule="auto"/>
        <w:tabs>
          <w:tab w:leader="none" w:pos="941" w:val="left"/>
        </w:tabs>
        <w:numPr>
          <w:ilvl w:val="0"/>
          <w:numId w:val="5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Governing Law; Jurisdiction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construed in accordance with, and its interpretation shall otherwise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WITNESS WHEREOF, the Company has caused this Agreement to be executed by a duly authorized executive all as of the Grant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Diane Johnson May</w:t>
      </w:r>
    </w:p>
    <w:p>
      <w:pPr>
        <w:spacing w:after="0"/>
        <w:rPr>
          <w:sz w:val="20"/>
          <w:szCs w:val="20"/>
          <w:color w:val="auto"/>
        </w:rPr>
      </w:pPr>
      <w:r>
        <w:rPr>
          <w:rFonts w:ascii="Times New Roman" w:cs="Times New Roman" w:eastAsia="Times New Roman" w:hAnsi="Times New Roman"/>
          <w:sz w:val="19"/>
          <w:szCs w:val="19"/>
          <w:color w:val="auto"/>
        </w:rPr>
        <w:t>Executive Vice President &amp; Chief People and Culture</w:t>
      </w:r>
    </w:p>
    <w:p>
      <w:pPr>
        <w:ind w:left="3820"/>
        <w:spacing w:after="0"/>
        <w:rPr>
          <w:sz w:val="20"/>
          <w:szCs w:val="20"/>
          <w:color w:val="auto"/>
        </w:rPr>
      </w:pPr>
      <w:r>
        <w:rPr>
          <w:rFonts w:ascii="Times New Roman" w:cs="Times New Roman" w:eastAsia="Times New Roman" w:hAnsi="Times New Roman"/>
          <w:sz w:val="19"/>
          <w:szCs w:val="19"/>
          <w:color w:val="auto"/>
        </w:rPr>
        <w:t>Officer</w:t>
      </w:r>
    </w:p>
    <w:p>
      <w:pPr>
        <w:sectPr>
          <w:pgSz w:w="11900" w:h="16838" w:orient="portrait"/>
          <w:cols w:equalWidth="0" w:num="1">
            <w:col w:w="11240"/>
          </w:cols>
          <w:pgMar w:left="320" w:top="1389"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NON-COMPETITION AND RESTRICTIVE COVENANTS AGREEMENT</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(LONG-TERM INCENTIVE PROGRAM)</w:t>
      </w:r>
    </w:p>
    <w:p>
      <w:pPr>
        <w:spacing w:after="0" w:line="210"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This Non-Competition and Restrictive Covenants Agreement (“RCA”) is made by and between Campbell Soup Company (“Campbell”) and [Employee Full Legal Name] (“Employee”).</w:t>
      </w:r>
    </w:p>
    <w:p>
      <w:pPr>
        <w:spacing w:after="0" w:line="15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9"/>
          <w:szCs w:val="19"/>
          <w:color w:val="auto"/>
        </w:rPr>
        <w:t>Employee has been selected to receive a Long-Term Incentive (“LTI”) award under the Campbell Soup Company 2022 Long-Term Incentive Plan (“Plan”). Employee understands and agrees that in consideration of the LTI award and as a precondition of accepting the LTI award, Employee must read and accept the terms and conditions of this RCA. Employee understands and agrees that if Employee does not accept and refuses to agree to this RCA within 90 days of being notified of the LTI award, the Compensation and Organization Committee of Campbell’s Board of Directors (“Committee”) shall, in its sole discretion, cancel the grant.</w:t>
      </w:r>
    </w:p>
    <w:p>
      <w:pPr>
        <w:spacing w:after="0" w:line="19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In consideration of the respective agreements of the parties contained in this RCA, intending to be legally bound and subject to the terms and conditions stated in this RCA, it is agreed as follows:</w:t>
      </w:r>
    </w:p>
    <w:p>
      <w:pPr>
        <w:spacing w:after="0" w:line="153" w:lineRule="exact"/>
        <w:rPr>
          <w:sz w:val="20"/>
          <w:szCs w:val="20"/>
          <w:color w:val="auto"/>
        </w:rPr>
      </w:pPr>
    </w:p>
    <w:p>
      <w:pPr>
        <w:ind w:left="840" w:hanging="198"/>
        <w:spacing w:after="0"/>
        <w:tabs>
          <w:tab w:leader="none" w:pos="840" w:val="left"/>
        </w:tabs>
        <w:numPr>
          <w:ilvl w:val="0"/>
          <w:numId w:val="59"/>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Confidential Information</w:t>
      </w:r>
      <w:r>
        <w:rPr>
          <w:rFonts w:ascii="Times New Roman" w:cs="Times New Roman" w:eastAsia="Times New Roman" w:hAnsi="Times New Roman"/>
          <w:sz w:val="19"/>
          <w:szCs w:val="19"/>
          <w:color w:val="auto"/>
        </w:rPr>
        <w:t>.</w:t>
      </w:r>
    </w:p>
    <w:p>
      <w:pPr>
        <w:spacing w:after="0" w:line="236" w:lineRule="exact"/>
        <w:rPr>
          <w:rFonts w:ascii="Times New Roman" w:cs="Times New Roman" w:eastAsia="Times New Roman" w:hAnsi="Times New Roman"/>
          <w:sz w:val="19"/>
          <w:szCs w:val="19"/>
          <w:b w:val="1"/>
          <w:bCs w:val="1"/>
          <w:color w:val="auto"/>
        </w:rPr>
      </w:pPr>
    </w:p>
    <w:p>
      <w:pPr>
        <w:jc w:val="both"/>
        <w:ind w:firstLine="1278"/>
        <w:spacing w:after="0" w:line="249" w:lineRule="auto"/>
        <w:tabs>
          <w:tab w:leader="none" w:pos="1616"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Employee’s employment with Campbell or its subsidiaries or affiliates, or their successors or assigns, whether existing now or in the future (collectively “Campbell Companies”), Employee will receive and have access to confidential proprietary information about Campbell Companies (“Information”) and its business, including but not limited to information about costs, profits, sales, marketing or business plans, existing or prospective customers, suppliers, possible acquisitions or divestitures, potential new products or markets, personnel, know-how, formulae, recipes, processes, equipment, discoveries, inventions, research, technical or scientific information, and other data not available to the public, none of which is part of the general knowledge of the industry.</w:t>
      </w:r>
    </w:p>
    <w:p>
      <w:pPr>
        <w:spacing w:after="0" w:line="190" w:lineRule="exact"/>
        <w:rPr>
          <w:rFonts w:ascii="Times New Roman" w:cs="Times New Roman" w:eastAsia="Times New Roman" w:hAnsi="Times New Roman"/>
          <w:sz w:val="19"/>
          <w:szCs w:val="19"/>
          <w:color w:val="auto"/>
        </w:rPr>
      </w:pPr>
    </w:p>
    <w:p>
      <w:pPr>
        <w:jc w:val="both"/>
        <w:ind w:firstLine="1278"/>
        <w:spacing w:after="0" w:line="250" w:lineRule="auto"/>
        <w:tabs>
          <w:tab w:leader="none" w:pos="1606"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and after Employee’s employment with Campbell Companies (“Employee’s employment”), Employee will not disclose, use, or appropriate Information for his/her own use or for the use of others, directly or indirectly, except as required in the performance of Employee’s duties to Campbell Companies. Employee recognizes that any unauthorized disclosure, use, or appropriation of Information would be highly prejudicial to Campbell Companies.</w:t>
      </w:r>
    </w:p>
    <w:p>
      <w:pPr>
        <w:spacing w:after="0" w:line="202" w:lineRule="exact"/>
        <w:rPr>
          <w:rFonts w:ascii="Times New Roman" w:cs="Times New Roman" w:eastAsia="Times New Roman" w:hAnsi="Times New Roman"/>
          <w:sz w:val="19"/>
          <w:szCs w:val="19"/>
          <w:color w:val="auto"/>
        </w:rPr>
      </w:pPr>
    </w:p>
    <w:p>
      <w:pPr>
        <w:jc w:val="both"/>
        <w:ind w:firstLine="1278"/>
        <w:spacing w:after="0" w:line="250" w:lineRule="auto"/>
        <w:tabs>
          <w:tab w:leader="none" w:pos="1579"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Employee’s employment terminates for any reason, Employee shall deliver to Campbell Companies, upon request or before Employee’s last day of employment, all originals and copies of files, writings, reports, memoranda, diaries, notebooks, notes of meetings or presentations, data, electronic files and data, drawings, charts, photographs, slides, patents, or any other form of record which contains Information created or produced for, at the direction of or by Campbell Companies, or its employees or agents.</w:t>
      </w:r>
    </w:p>
    <w:p>
      <w:pPr>
        <w:spacing w:after="0" w:line="189" w:lineRule="exact"/>
        <w:rPr>
          <w:rFonts w:ascii="Times New Roman" w:cs="Times New Roman" w:eastAsia="Times New Roman" w:hAnsi="Times New Roman"/>
          <w:sz w:val="19"/>
          <w:szCs w:val="19"/>
          <w:color w:val="auto"/>
        </w:rPr>
      </w:pPr>
    </w:p>
    <w:p>
      <w:pPr>
        <w:jc w:val="both"/>
        <w:ind w:firstLine="1278"/>
        <w:spacing w:after="0" w:line="249" w:lineRule="auto"/>
        <w:tabs>
          <w:tab w:leader="none" w:pos="1643"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RCA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state or federal law or regulation. Employees does not need the prior authorization of Campbell to make any such reports or disclosures and employee is am not required to notify Campbell that Employee has made such reports or disclosures.</w:t>
      </w:r>
    </w:p>
    <w:p>
      <w:pPr>
        <w:sectPr>
          <w:pgSz w:w="11900" w:h="16838" w:orient="portrait"/>
          <w:cols w:equalWidth="0" w:num="1">
            <w:col w:w="11240"/>
          </w:cols>
          <w:pgMar w:left="320" w:top="1385" w:right="339" w:bottom="1440" w:gutter="0" w:footer="0" w:header="0"/>
        </w:sectPr>
      </w:pPr>
    </w:p>
    <w:bookmarkStart w:id="55" w:name="page56"/>
    <w:bookmarkEnd w:id="55"/>
    <w:p>
      <w:pPr>
        <w:jc w:val="both"/>
        <w:ind w:left="-642" w:firstLine="642"/>
        <w:spacing w:after="0" w:line="250" w:lineRule="auto"/>
        <w:tabs>
          <w:tab w:leader="none" w:pos="215"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Business Diversion</w:t>
      </w:r>
      <w:r>
        <w:rPr>
          <w:rFonts w:ascii="Times New Roman" w:cs="Times New Roman" w:eastAsia="Times New Roman" w:hAnsi="Times New Roman"/>
          <w:sz w:val="19"/>
          <w:szCs w:val="19"/>
          <w:color w:val="auto"/>
        </w:rPr>
        <w:t>. During Employee’s employment, and for a period of 12 months thereafter following the termination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employment (for any reason), Employee will not, without the written consent of Campbell’s General Counsel, directly or indirectly, solicit, divert or take away, or attempt to solicit, divert or take away, any customers, business or suppliers of Campbell Companies whom Employee serviced, called upon, or solicited during Employee’s employment, or with whom Employee became acquainted as a result of Employee’s employment.</w:t>
      </w:r>
    </w:p>
    <w:p>
      <w:pPr>
        <w:spacing w:after="0" w:line="187" w:lineRule="exact"/>
        <w:rPr>
          <w:rFonts w:ascii="Times New Roman" w:cs="Times New Roman" w:eastAsia="Times New Roman" w:hAnsi="Times New Roman"/>
          <w:sz w:val="19"/>
          <w:szCs w:val="19"/>
          <w:b w:val="1"/>
          <w:bCs w:val="1"/>
          <w:color w:val="auto"/>
        </w:rPr>
      </w:pPr>
    </w:p>
    <w:p>
      <w:pPr>
        <w:jc w:val="both"/>
        <w:ind w:left="-642" w:firstLine="642"/>
        <w:spacing w:after="0" w:line="250" w:lineRule="auto"/>
        <w:tabs>
          <w:tab w:leader="none" w:pos="201"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Employee Solicitation</w:t>
      </w:r>
      <w:r>
        <w:rPr>
          <w:rFonts w:ascii="Times New Roman" w:cs="Times New Roman" w:eastAsia="Times New Roman" w:hAnsi="Times New Roman"/>
          <w:sz w:val="19"/>
          <w:szCs w:val="19"/>
          <w:color w:val="auto"/>
        </w:rPr>
        <w:t>. During Employee’s employment, and for a period of 12 months thereafter following the termination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employment (for any reason), Employee will not, without the written consent of Campbell’s General Counsel, directly or indirectly, solicit, hire, interfere with, attempt to entice away from Campbell Companies, or recommend for employment outside Campbell Companies, any individual who is employed by Campbell Companies at the time of such solicitation, hiring, interference, or enticement or who voluntarily terminated his/her employment by Campbell Companies within six months of such solicitation, hiring, interference, or enticement.</w:t>
      </w:r>
    </w:p>
    <w:p>
      <w:pPr>
        <w:spacing w:after="0" w:line="187" w:lineRule="exact"/>
        <w:rPr>
          <w:rFonts w:ascii="Times New Roman" w:cs="Times New Roman" w:eastAsia="Times New Roman" w:hAnsi="Times New Roman"/>
          <w:sz w:val="19"/>
          <w:szCs w:val="19"/>
          <w:b w:val="1"/>
          <w:bCs w:val="1"/>
          <w:color w:val="auto"/>
        </w:rPr>
      </w:pPr>
    </w:p>
    <w:p>
      <w:pPr>
        <w:ind w:left="198" w:hanging="198"/>
        <w:spacing w:after="0"/>
        <w:tabs>
          <w:tab w:leader="none" w:pos="198" w:val="left"/>
        </w:tabs>
        <w:numPr>
          <w:ilvl w:val="0"/>
          <w:numId w:val="6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Non-Competition</w:t>
      </w:r>
      <w:r>
        <w:rPr>
          <w:rFonts w:ascii="Times New Roman" w:cs="Times New Roman" w:eastAsia="Times New Roman" w:hAnsi="Times New Roman"/>
          <w:sz w:val="19"/>
          <w:szCs w:val="19"/>
          <w:color w:val="auto"/>
        </w:rPr>
        <w:t>.*</w:t>
      </w:r>
    </w:p>
    <w:p>
      <w:pPr>
        <w:spacing w:after="0" w:line="249" w:lineRule="exact"/>
        <w:rPr>
          <w:rFonts w:ascii="Times New Roman" w:cs="Times New Roman" w:eastAsia="Times New Roman" w:hAnsi="Times New Roman"/>
          <w:sz w:val="19"/>
          <w:szCs w:val="19"/>
          <w:b w:val="1"/>
          <w:bCs w:val="1"/>
          <w:color w:val="auto"/>
        </w:rPr>
      </w:pPr>
    </w:p>
    <w:p>
      <w:pPr>
        <w:jc w:val="both"/>
        <w:ind w:left="-642" w:firstLine="1278"/>
        <w:spacing w:after="0" w:line="246" w:lineRule="auto"/>
        <w:tabs>
          <w:tab w:leader="none" w:pos="988"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Employee’s employment, and for a period of 12 months thereafter following the termination of Employee’s employment (for any reason), Employee will not, without the written consent of Campbell’s General Counsel, directly or indirectly, own, advise, manage, operate, join, control, receive compensation or benefits from, or participate in the ownership, management, operation, or control of, or be employed or be otherwise connected in any manner with, any business which directly or indirectly competes (as defined in sub-paragraph 4(b)) with, in any part of the world, the business of Campbell Companies, as conducted or planned by Campbell Companies during Employee’s employment (the “Non-Compete Period”).</w:t>
      </w:r>
    </w:p>
    <w:p>
      <w:pPr>
        <w:spacing w:after="0" w:line="193" w:lineRule="exact"/>
        <w:rPr>
          <w:rFonts w:ascii="Times New Roman" w:cs="Times New Roman" w:eastAsia="Times New Roman" w:hAnsi="Times New Roman"/>
          <w:sz w:val="19"/>
          <w:szCs w:val="19"/>
          <w:color w:val="auto"/>
        </w:rPr>
      </w:pPr>
    </w:p>
    <w:p>
      <w:pPr>
        <w:jc w:val="both"/>
        <w:ind w:left="-642" w:firstLine="1278"/>
        <w:spacing w:after="0" w:line="250" w:lineRule="auto"/>
        <w:tabs>
          <w:tab w:leader="none" w:pos="964"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“Competes” as used in this RCA means engages in, or plans to engage in, the development, production, manufacture, marketing, or selling of any product or service of any person, business or organization, other than Campbell Companies, which resemble or compete with a product or service of Campbell Companies (or a product or service which, to Employee’s knowledge, was under development by Campbell Companies) during Employee’s employment.</w:t>
      </w:r>
    </w:p>
    <w:p>
      <w:pPr>
        <w:spacing w:after="0" w:line="202" w:lineRule="exact"/>
        <w:rPr>
          <w:rFonts w:ascii="Times New Roman" w:cs="Times New Roman" w:eastAsia="Times New Roman" w:hAnsi="Times New Roman"/>
          <w:sz w:val="19"/>
          <w:szCs w:val="19"/>
          <w:color w:val="auto"/>
        </w:rPr>
      </w:pPr>
    </w:p>
    <w:p>
      <w:pPr>
        <w:jc w:val="both"/>
        <w:ind w:left="-642" w:firstLine="1278"/>
        <w:spacing w:after="0" w:line="259" w:lineRule="auto"/>
        <w:tabs>
          <w:tab w:leader="none" w:pos="964"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prohibited in paragraph 4(A), this RCA will not preclude Employee from ownership of less than 1% of the outstanding shares of any class of shares of any corporations listed on the New York Stock Exchange or the American Stock Exchange or quoted on NASDAQ.</w:t>
      </w:r>
    </w:p>
    <w:p>
      <w:pPr>
        <w:spacing w:after="0" w:line="180" w:lineRule="exact"/>
        <w:rPr>
          <w:rFonts w:ascii="Times New Roman" w:cs="Times New Roman" w:eastAsia="Times New Roman" w:hAnsi="Times New Roman"/>
          <w:sz w:val="19"/>
          <w:szCs w:val="19"/>
          <w:color w:val="auto"/>
        </w:rPr>
      </w:pPr>
    </w:p>
    <w:p>
      <w:pPr>
        <w:ind w:left="-642" w:firstLine="1278"/>
        <w:spacing w:after="0" w:line="285" w:lineRule="auto"/>
        <w:tabs>
          <w:tab w:leader="none" w:pos="948"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that any employment or relationship in violation of this RCA would necessarily require Employee to use or rely on Information to which Employee became privy during the course of Employee’s employment with Campbell Companies.</w:t>
      </w:r>
    </w:p>
    <w:p>
      <w:pPr>
        <w:spacing w:after="0" w:line="156" w:lineRule="exact"/>
        <w:rPr>
          <w:rFonts w:ascii="Times New Roman" w:cs="Times New Roman" w:eastAsia="Times New Roman" w:hAnsi="Times New Roman"/>
          <w:sz w:val="19"/>
          <w:szCs w:val="19"/>
          <w:color w:val="auto"/>
        </w:rPr>
      </w:pPr>
    </w:p>
    <w:p>
      <w:pPr>
        <w:jc w:val="both"/>
        <w:ind w:left="-642" w:firstLine="1278"/>
        <w:spacing w:after="0" w:line="243" w:lineRule="auto"/>
        <w:tabs>
          <w:tab w:leader="none" w:pos="926" w:val="left"/>
        </w:tabs>
        <w:numPr>
          <w:ilvl w:val="1"/>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where Employee’s employment is terminated by Campbell Companies “for cause” as defined in the Plan, or where Employee voluntarily terminates Employee’s employment by Campbell Companies, when Employee, despite his/her best efforts, is unable within ninety (90) days after the termination of Employee’s employment to secure other employment not violative of Employee’s obligations under this RCA, Employee will notify Campbell’s General Counsel by registered mail. Unless Campbell Companies notifies Employee in writing that it elects not to enforce paragraph 4 of this RCA, beginning ninety (90) days after termination of Employee’s employment, Campbell Companies shall provide to Employee payments during the Non-Compete Period equal to 100% of Employee’s base salary (exclusive of commissions, bonuses, benefits, allowances, and any other form of compensation) which Employee had been receiving at the termination of Employee’s employment (the “Non-Compete Payments”). The Non-Compete Payments shall continue for as long as Campbell Companies elects to</w:t>
      </w:r>
    </w:p>
    <w:p>
      <w:pPr>
        <w:sectPr>
          <w:pgSz w:w="11900" w:h="16838" w:orient="portrait"/>
          <w:cols w:equalWidth="0" w:num="1">
            <w:col w:w="10598"/>
          </w:cols>
          <w:pgMar w:left="962" w:top="138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color w:val="auto"/>
        </w:rPr>
        <w:t>continue to enforce paragraph 4 of this RCA or until such time as Employee finds employment consistent with this RCA.</w:t>
      </w:r>
    </w:p>
    <w:p>
      <w:pPr>
        <w:spacing w:after="0" w:line="232" w:lineRule="exact"/>
        <w:rPr>
          <w:sz w:val="20"/>
          <w:szCs w:val="20"/>
          <w:color w:val="auto"/>
        </w:rPr>
      </w:pPr>
    </w:p>
    <w:p>
      <w:pPr>
        <w:jc w:val="both"/>
        <w:ind w:firstLine="1278"/>
        <w:spacing w:after="0" w:line="249" w:lineRule="auto"/>
        <w:tabs>
          <w:tab w:leader="none" w:pos="1558"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of receiving the Non-Compete Payments, Employee will conscientiously seek employment and will inform Campbell Companies on a monthly basis, in a detailed written account, of all such efforts. Employee understands and agrees that Campbell Companies, in its sole discretion, may elect not to pay Employee for any month for which Employee does not provide an appropriate written account of efforts to secure employment. Additionally, upon obtaining employment consistent with this RCA, Employee will immediately notify Campbell Companies by registered mail, and the Non-Compete Payments shall cease.</w:t>
      </w:r>
    </w:p>
    <w:p>
      <w:pPr>
        <w:spacing w:after="0" w:line="204" w:lineRule="exact"/>
        <w:rPr>
          <w:rFonts w:ascii="Times New Roman" w:cs="Times New Roman" w:eastAsia="Times New Roman" w:hAnsi="Times New Roman"/>
          <w:sz w:val="19"/>
          <w:szCs w:val="19"/>
          <w:color w:val="auto"/>
        </w:rPr>
      </w:pPr>
    </w:p>
    <w:p>
      <w:pPr>
        <w:jc w:val="both"/>
        <w:ind w:firstLine="1278"/>
        <w:spacing w:after="0" w:line="250" w:lineRule="auto"/>
        <w:tabs>
          <w:tab w:leader="none" w:pos="1603"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forgoing provisions, Campbell Companies, in its sole and absolute discretion, may discontinue the Non-Compete Payments at any time during the Non-Compete Period by releasing Employee of his/her obligations to Campbell Companies under this paragraph 4. The discontinuance by Campbell Companies of Non-Compete Payments shall have no impact on Employee’s other contractual obligations set forth in this RCA including, but not limited to, the post-employment obligations set forth in paragraphs 1-3.</w:t>
      </w:r>
    </w:p>
    <w:p>
      <w:pPr>
        <w:spacing w:after="0" w:line="189" w:lineRule="exact"/>
        <w:rPr>
          <w:rFonts w:ascii="Times New Roman" w:cs="Times New Roman" w:eastAsia="Times New Roman" w:hAnsi="Times New Roman"/>
          <w:sz w:val="19"/>
          <w:szCs w:val="19"/>
          <w:color w:val="auto"/>
        </w:rPr>
      </w:pPr>
    </w:p>
    <w:p>
      <w:pPr>
        <w:jc w:val="both"/>
        <w:ind w:firstLine="1278"/>
        <w:spacing w:after="0" w:line="265" w:lineRule="auto"/>
        <w:tabs>
          <w:tab w:leader="none" w:pos="1616" w:val="left"/>
        </w:tabs>
        <w:numPr>
          <w:ilvl w:val="1"/>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Employee’s employment is voluntarily terminated or terminated “for cause” as defined in the Plan, Employee shall be required to abide by all of the terms of this RCA including, but not limited to paragraphs 1- 4, without receiving Non-Compete Payments.</w:t>
      </w:r>
    </w:p>
    <w:p>
      <w:pPr>
        <w:spacing w:after="0" w:line="200" w:lineRule="exact"/>
        <w:rPr>
          <w:rFonts w:ascii="Times New Roman" w:cs="Times New Roman" w:eastAsia="Times New Roman" w:hAnsi="Times New Roman"/>
          <w:sz w:val="19"/>
          <w:szCs w:val="19"/>
          <w:color w:val="auto"/>
        </w:rPr>
      </w:pPr>
    </w:p>
    <w:p>
      <w:pPr>
        <w:spacing w:after="0" w:line="201" w:lineRule="exact"/>
        <w:rPr>
          <w:rFonts w:ascii="Times New Roman" w:cs="Times New Roman" w:eastAsia="Times New Roman" w:hAnsi="Times New Roman"/>
          <w:sz w:val="19"/>
          <w:szCs w:val="19"/>
          <w:color w:val="auto"/>
        </w:rPr>
      </w:pPr>
    </w:p>
    <w:p>
      <w:pPr>
        <w:jc w:val="both"/>
        <w:ind w:firstLine="642"/>
        <w:spacing w:after="0" w:line="250" w:lineRule="auto"/>
        <w:tabs>
          <w:tab w:leader="none" w:pos="843"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Integration of Severance Pay</w:t>
      </w:r>
      <w:r>
        <w:rPr>
          <w:rFonts w:ascii="Times New Roman" w:cs="Times New Roman" w:eastAsia="Times New Roman" w:hAnsi="Times New Roman"/>
          <w:sz w:val="19"/>
          <w:szCs w:val="19"/>
          <w:color w:val="auto"/>
        </w:rPr>
        <w:t>. If Employee receives severance pay from Campbell Companies at the time of the termination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employment or at any time during the Non-Compete Period, whether under the terms of a severance pay policy or otherwise, the Non-Compete Payments, if any, otherwise payable to Employee under paragraph 4 of this RCA will be integrated with and offset by the severance pay. For the time during which Employee receives any amount of severance pay from Campbell Companies, the Non-Compete Payments, if any, otherwise payable under paragraph 4 of this RCA will be reduced, on a dollar-for-dollar basis (to an amount not less than zero), by the amount of severance pay paid to Employee during that time.</w:t>
      </w:r>
    </w:p>
    <w:p>
      <w:pPr>
        <w:spacing w:after="0" w:line="184" w:lineRule="exact"/>
        <w:rPr>
          <w:rFonts w:ascii="Times New Roman" w:cs="Times New Roman" w:eastAsia="Times New Roman" w:hAnsi="Times New Roman"/>
          <w:sz w:val="19"/>
          <w:szCs w:val="19"/>
          <w:b w:val="1"/>
          <w:bCs w:val="1"/>
          <w:color w:val="auto"/>
        </w:rPr>
      </w:pPr>
    </w:p>
    <w:p>
      <w:pPr>
        <w:ind w:left="840" w:hanging="198"/>
        <w:spacing w:after="0"/>
        <w:tabs>
          <w:tab w:leader="none" w:pos="840"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Notice of Immunity Under the Defend Trade Secrets Act of 2016 (“DTSA”)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 other provision of this RCA:</w:t>
      </w:r>
    </w:p>
    <w:p>
      <w:pPr>
        <w:spacing w:after="0" w:line="236" w:lineRule="exact"/>
        <w:rPr>
          <w:rFonts w:ascii="Times New Roman" w:cs="Times New Roman" w:eastAsia="Times New Roman" w:hAnsi="Times New Roman"/>
          <w:sz w:val="19"/>
          <w:szCs w:val="19"/>
          <w:b w:val="1"/>
          <w:bCs w:val="1"/>
          <w:color w:val="auto"/>
        </w:rPr>
      </w:pPr>
    </w:p>
    <w:p>
      <w:pPr>
        <w:jc w:val="both"/>
        <w:ind w:firstLine="1278"/>
        <w:spacing w:after="0" w:line="255" w:lineRule="auto"/>
        <w:tabs>
          <w:tab w:leader="none" w:pos="159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will not be held criminally or civilly liable under any federal or state trade secret law for any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w:t>
      </w:r>
    </w:p>
    <w:p>
      <w:pPr>
        <w:spacing w:after="0" w:line="184" w:lineRule="exact"/>
        <w:rPr>
          <w:rFonts w:ascii="Times New Roman" w:cs="Times New Roman" w:eastAsia="Times New Roman" w:hAnsi="Times New Roman"/>
          <w:sz w:val="19"/>
          <w:szCs w:val="19"/>
          <w:color w:val="auto"/>
        </w:rPr>
      </w:pPr>
    </w:p>
    <w:p>
      <w:pPr>
        <w:jc w:val="both"/>
        <w:ind w:firstLine="1278"/>
        <w:spacing w:after="0" w:line="251" w:lineRule="auto"/>
        <w:tabs>
          <w:tab w:leader="none" w:pos="1592"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Employee files a lawsuit for retaliation by Campbell Companies for reporting a suspected violation of law, Employee may disclose Campbell Companies’ trade secrets to Employee’s attorney and use the trade secret information in the court proceeding if Employee: (i) files any document containing the trade secret under seal; and (ii) does not disclose the trade secret, except pursuant to court order.</w:t>
      </w:r>
    </w:p>
    <w:p>
      <w:pPr>
        <w:spacing w:after="0" w:line="200" w:lineRule="exact"/>
        <w:rPr>
          <w:rFonts w:ascii="Times New Roman" w:cs="Times New Roman" w:eastAsia="Times New Roman" w:hAnsi="Times New Roman"/>
          <w:sz w:val="19"/>
          <w:szCs w:val="19"/>
          <w:color w:val="auto"/>
        </w:rPr>
      </w:pPr>
    </w:p>
    <w:p>
      <w:pPr>
        <w:spacing w:after="0" w:line="223" w:lineRule="exact"/>
        <w:rPr>
          <w:rFonts w:ascii="Times New Roman" w:cs="Times New Roman" w:eastAsia="Times New Roman" w:hAnsi="Times New Roman"/>
          <w:sz w:val="19"/>
          <w:szCs w:val="19"/>
          <w:color w:val="auto"/>
        </w:rPr>
      </w:pPr>
    </w:p>
    <w:p>
      <w:pPr>
        <w:ind w:left="840" w:hanging="198"/>
        <w:spacing w:after="0"/>
        <w:tabs>
          <w:tab w:leader="none" w:pos="840" w:val="left"/>
        </w:tabs>
        <w:numPr>
          <w:ilvl w:val="0"/>
          <w:numId w:val="6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Enforcement of RCA</w:t>
      </w:r>
      <w:r>
        <w:rPr>
          <w:rFonts w:ascii="Times New Roman" w:cs="Times New Roman" w:eastAsia="Times New Roman" w:hAnsi="Times New Roman"/>
          <w:sz w:val="19"/>
          <w:szCs w:val="19"/>
          <w:b w:val="1"/>
          <w:bCs w:val="1"/>
          <w:color w:val="auto"/>
        </w:rPr>
        <w:t>.</w:t>
      </w:r>
    </w:p>
    <w:p>
      <w:pPr>
        <w:spacing w:after="0" w:line="236" w:lineRule="exact"/>
        <w:rPr>
          <w:rFonts w:ascii="Times New Roman" w:cs="Times New Roman" w:eastAsia="Times New Roman" w:hAnsi="Times New Roman"/>
          <w:sz w:val="19"/>
          <w:szCs w:val="19"/>
          <w:b w:val="1"/>
          <w:bCs w:val="1"/>
          <w:color w:val="auto"/>
        </w:rPr>
      </w:pPr>
    </w:p>
    <w:p>
      <w:pPr>
        <w:jc w:val="both"/>
        <w:ind w:firstLine="1278"/>
        <w:spacing w:after="0" w:line="259" w:lineRule="auto"/>
        <w:tabs>
          <w:tab w:leader="none" w:pos="1590" w:val="left"/>
        </w:tabs>
        <w:numPr>
          <w:ilvl w:val="1"/>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that the restrictions in this RCA are necessary to protect the legitimate interests of Campbell Companies, and impose no undue hardship on Employee. Employee further agrees that the breach or threatened breach of any provision of this RCA will result in irreparable injury to Campbell Companies, for which there is no adequate remedy at law. Employee consents to the</w:t>
      </w:r>
    </w:p>
    <w:p>
      <w:pPr>
        <w:sectPr>
          <w:pgSz w:w="11900" w:h="16838" w:orient="portrait"/>
          <w:cols w:equalWidth="0" w:num="1">
            <w:col w:w="11240"/>
          </w:cols>
          <w:pgMar w:left="320" w:top="1389" w:right="339" w:bottom="1440" w:gutter="0" w:footer="0" w:header="0"/>
        </w:sectPr>
      </w:pPr>
    </w:p>
    <w:bookmarkStart w:id="57" w:name="page58"/>
    <w:bookmarkEnd w:id="57"/>
    <w:p>
      <w:pPr>
        <w:jc w:val="both"/>
        <w:spacing w:after="0" w:line="249" w:lineRule="auto"/>
        <w:rPr>
          <w:sz w:val="20"/>
          <w:szCs w:val="20"/>
          <w:color w:val="auto"/>
        </w:rPr>
      </w:pPr>
      <w:r>
        <w:rPr>
          <w:rFonts w:ascii="Times New Roman" w:cs="Times New Roman" w:eastAsia="Times New Roman" w:hAnsi="Times New Roman"/>
          <w:sz w:val="19"/>
          <w:szCs w:val="19"/>
          <w:color w:val="auto"/>
        </w:rPr>
        <w:t>issuance of any restraining or preliminary restraining order or injunction which arises from, directly or indirectly, any use, disclosure, or conduct by Employee in violation of this RCA without the need for the posting of a bond. Employee agrees that, if Campbell Companies prevail in any suit or proceeding under this RCA, Employee will pay Campbell Companies all of Campbell Companies’ attorney fees, costs, and expenses incurred in connection with such suit or proceeding or the enforcement of Campbell Companies’ rights under this RCA, regardless of whether the scope of the no-compete is reformed by the court.</w:t>
      </w:r>
    </w:p>
    <w:p>
      <w:pPr>
        <w:spacing w:after="0" w:line="192" w:lineRule="exact"/>
        <w:rPr>
          <w:sz w:val="20"/>
          <w:szCs w:val="20"/>
          <w:color w:val="auto"/>
        </w:rPr>
      </w:pPr>
    </w:p>
    <w:p>
      <w:pPr>
        <w:jc w:val="both"/>
        <w:ind w:firstLine="1278"/>
        <w:spacing w:after="0" w:line="250" w:lineRule="auto"/>
        <w:tabs>
          <w:tab w:leader="none" w:pos="1592" w:val="left"/>
        </w:tabs>
        <w:numPr>
          <w:ilvl w:val="1"/>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RCA and all terms of Employee’s employment shall be governed by, construed and enforced in accordance with the laws of the State of New Jersey, without giving effect to conflict of law principles. Each party irrevocably agrees that any legal proceeding arising out of, or relating to the subject matter of, this RCA shall be brought in the Superior Court of New Jersey in CamdenCounty or the United States District Court of New Jersey, Camden Vicinage. Each party irrevocably consents to such jurisdiction and venue.</w:t>
      </w:r>
    </w:p>
    <w:p>
      <w:pPr>
        <w:spacing w:after="0" w:line="198" w:lineRule="exact"/>
        <w:rPr>
          <w:rFonts w:ascii="Times New Roman" w:cs="Times New Roman" w:eastAsia="Times New Roman" w:hAnsi="Times New Roman"/>
          <w:sz w:val="19"/>
          <w:szCs w:val="19"/>
          <w:color w:val="auto"/>
        </w:rPr>
      </w:pPr>
    </w:p>
    <w:p>
      <w:pPr>
        <w:ind w:left="840" w:hanging="198"/>
        <w:spacing w:after="0"/>
        <w:tabs>
          <w:tab w:leader="none" w:pos="840"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RCA shall survive the termination of Employee’s employment for any reason.</w:t>
      </w:r>
    </w:p>
    <w:p>
      <w:pPr>
        <w:spacing w:after="0" w:line="232" w:lineRule="exact"/>
        <w:rPr>
          <w:rFonts w:ascii="Times New Roman" w:cs="Times New Roman" w:eastAsia="Times New Roman" w:hAnsi="Times New Roman"/>
          <w:sz w:val="19"/>
          <w:szCs w:val="19"/>
          <w:b w:val="1"/>
          <w:bCs w:val="1"/>
          <w:color w:val="auto"/>
        </w:rPr>
      </w:pPr>
    </w:p>
    <w:p>
      <w:pPr>
        <w:ind w:firstLine="642"/>
        <w:spacing w:after="0" w:line="289" w:lineRule="auto"/>
        <w:tabs>
          <w:tab w:leader="none" w:pos="870"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Contract of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RCA is not a contract of employment, nor does it impose on Campbell Companies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 to retain Employee in its employ. To the contrary, Employee is an employee-at-will.</w:t>
      </w:r>
    </w:p>
    <w:p>
      <w:pPr>
        <w:spacing w:after="0" w:line="149"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941"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Reform of RCA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 provision of this RCA may be amended or waived unless agreed to in writing and signed by the General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Counsel of Campbell. The failure to exercise, or delay in exercising, any right, power, or remedy under this RCA shall not waive any right, power, or remedy which Campbell has under this RCA.</w:t>
      </w:r>
    </w:p>
    <w:p>
      <w:pPr>
        <w:spacing w:after="0" w:line="174" w:lineRule="exact"/>
        <w:rPr>
          <w:rFonts w:ascii="Times New Roman" w:cs="Times New Roman" w:eastAsia="Times New Roman" w:hAnsi="Times New Roman"/>
          <w:sz w:val="19"/>
          <w:szCs w:val="19"/>
          <w:b w:val="1"/>
          <w:bCs w:val="1"/>
          <w:color w:val="auto"/>
        </w:rPr>
      </w:pPr>
    </w:p>
    <w:p>
      <w:pPr>
        <w:jc w:val="both"/>
        <w:ind w:firstLine="642"/>
        <w:spacing w:after="0" w:line="256" w:lineRule="auto"/>
        <w:tabs>
          <w:tab w:leader="none" w:pos="917"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 or Reform by Court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event that any provision of this RCA is deemed by a court to be broader than permitted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law, then such provision shall be reformed so that it is enforceable to the fullest extent permitted by applicable law. If any provision of this RCA shall be declared by a court to be invalid or unenforceable to any extent, the validity or enforceability of the remaining provisions of this RCA shall not be affected.</w:t>
      </w:r>
    </w:p>
    <w:p>
      <w:pPr>
        <w:spacing w:after="0" w:line="180"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941" w:val="left"/>
        </w:tabs>
        <w:numPr>
          <w:ilvl w:val="0"/>
          <w:numId w:val="64"/>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RCA constitutes the entire understanding between the parties to this RCA with respect to Employee’s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obligations in connection with the receipt and acceptance of the LTI award. Unless specified, this RCA does not supersede any prior agreements, understandings and arrangements, oral or written, between the parties.</w:t>
      </w:r>
    </w:p>
    <w:p>
      <w:pPr>
        <w:spacing w:after="0" w:line="17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9"/>
          <w:szCs w:val="19"/>
          <w:b w:val="1"/>
          <w:bCs w:val="1"/>
          <w:color w:val="auto"/>
        </w:rPr>
        <w:t>EMPLOYEE ACKNOWLEDGES THAT HE/SHE HAS READ THE ABOVE RCA AND HAS BEEN GIVEN ADEQUATE TIME TO CONSULT WITH AN ATTORNEY OR OTHER ADVISOR OF HIS/HER CHOICE.</w:t>
      </w:r>
    </w:p>
    <w:p>
      <w:pPr>
        <w:spacing w:after="0" w:line="392" w:lineRule="exact"/>
        <w:rPr>
          <w:sz w:val="20"/>
          <w:szCs w:val="20"/>
          <w:color w:val="auto"/>
        </w:rPr>
      </w:pPr>
    </w:p>
    <w:p>
      <w:pPr>
        <w:ind w:right="560" w:firstLine="6"/>
        <w:spacing w:after="0" w:line="285" w:lineRule="auto"/>
        <w:tabs>
          <w:tab w:leader="none" w:pos="146"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accordance with New Jersey law, this paragraph 4 shall not apply to employees of the Company who are employed in the capacity of attorneys.</w:t>
      </w:r>
    </w:p>
    <w:p>
      <w:pPr>
        <w:sectPr>
          <w:pgSz w:w="11900" w:h="16838" w:orient="portrait"/>
          <w:cols w:equalWidth="0" w:num="1">
            <w:col w:w="11240"/>
          </w:cols>
          <w:pgMar w:left="320" w:top="1389"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CAMPBELL SOUP COMPANY</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2022 LONG-TERM INCENTIVE PLAN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PERFORMANCE RESTRICTED STOCK UNIT AGREEMENT</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(Fiscal Year 2025 – Relative Total Shareholder Return)</w:t>
      </w:r>
    </w:p>
    <w:p>
      <w:pPr>
        <w:spacing w:after="0" w:line="24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color w:val="auto"/>
        </w:rPr>
        <w:t xml:space="preserve">This </w:t>
      </w:r>
      <w:r>
        <w:rPr>
          <w:rFonts w:ascii="Times New Roman" w:cs="Times New Roman" w:eastAsia="Times New Roman" w:hAnsi="Times New Roman"/>
          <w:sz w:val="19"/>
          <w:szCs w:val="19"/>
          <w:b w:val="1"/>
          <w:bCs w:val="1"/>
          <w:color w:val="auto"/>
        </w:rPr>
        <w:t>PERFORMANCE RESTRICTED STOCK UNIT AGREEMENT</w:t>
      </w:r>
      <w:r>
        <w:rPr>
          <w:rFonts w:ascii="Times New Roman" w:cs="Times New Roman" w:eastAsia="Times New Roman" w:hAnsi="Times New Roman"/>
          <w:sz w:val="19"/>
          <w:szCs w:val="19"/>
          <w:color w:val="auto"/>
        </w:rPr>
        <w:t xml:space="preserve"> (“Agreement”) between the Campbell Soup Company (the “Company”) and [Employee Full Legal Name] (“Grantee”), an employee of the Company or one of its participating subsidiaries on [Grant Date] (the “Grant Date”).</w:t>
      </w:r>
    </w:p>
    <w:p>
      <w:pPr>
        <w:spacing w:after="0" w:line="175" w:lineRule="exact"/>
        <w:rPr>
          <w:sz w:val="20"/>
          <w:szCs w:val="20"/>
          <w:color w:val="auto"/>
        </w:rPr>
      </w:pPr>
    </w:p>
    <w:p>
      <w:pPr>
        <w:jc w:val="both"/>
        <w:ind w:firstLine="636"/>
        <w:spacing w:after="0" w:line="261"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the Company desires to award Grantee performance Restricted Stock Units (the “Award), which each represent a right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 one share of capital stock, $.0375 par value of the Company (a “Share” or “Shares”) as hereinafter provided (the “Performance Stock Units”), under the Company’s 2022 Long-Term Incentive Plan (the “Plan”) and this Agreement.</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by accepting this Award, the Grantee agrees to the terms of this Agreement.</w:t>
      </w:r>
    </w:p>
    <w:p>
      <w:pPr>
        <w:spacing w:after="0" w:line="245" w:lineRule="exact"/>
        <w:rPr>
          <w:sz w:val="20"/>
          <w:szCs w:val="20"/>
          <w:color w:val="auto"/>
        </w:rPr>
      </w:pPr>
    </w:p>
    <w:p>
      <w:pPr>
        <w:jc w:val="both"/>
        <w:ind w:firstLine="636"/>
        <w:spacing w:after="0" w:line="275" w:lineRule="auto"/>
        <w:rPr>
          <w:sz w:val="20"/>
          <w:szCs w:val="20"/>
          <w:color w:val="auto"/>
        </w:rPr>
      </w:pPr>
      <w:r>
        <w:rPr>
          <w:rFonts w:ascii="Times New Roman" w:cs="Times New Roman" w:eastAsia="Times New Roman" w:hAnsi="Times New Roman"/>
          <w:sz w:val="19"/>
          <w:szCs w:val="19"/>
          <w:b w:val="1"/>
          <w:bCs w:val="1"/>
          <w:color w:val="auto"/>
        </w:rPr>
        <w:t>NOW, THEREFORE</w:t>
      </w:r>
      <w:r>
        <w:rPr>
          <w:rFonts w:ascii="Times New Roman" w:cs="Times New Roman" w:eastAsia="Times New Roman" w:hAnsi="Times New Roman"/>
          <w:sz w:val="19"/>
          <w:szCs w:val="19"/>
          <w:color w:val="auto"/>
        </w:rPr>
        <w:t>, in consideration of valuable consideration the legal sufficiency of which is hereby acknowledged,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and Grantee, each intending to be legally bound hereby, agree as follows:</w:t>
      </w:r>
    </w:p>
    <w:p>
      <w:pPr>
        <w:spacing w:after="0" w:line="162" w:lineRule="exact"/>
        <w:rPr>
          <w:sz w:val="20"/>
          <w:szCs w:val="20"/>
          <w:color w:val="auto"/>
        </w:rPr>
      </w:pPr>
    </w:p>
    <w:p>
      <w:pPr>
        <w:jc w:val="both"/>
        <w:ind w:firstLine="642"/>
        <w:spacing w:after="0" w:line="256" w:lineRule="auto"/>
        <w:tabs>
          <w:tab w:leader="none" w:pos="843" w:val="left"/>
        </w:tabs>
        <w:numPr>
          <w:ilvl w:val="0"/>
          <w:numId w:val="6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Form of Award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hereby grants to Grantee on the Grant Date [#Granted - TSR] Relative Total Shareholder Return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(“TSR”) Performance Stock Units. The Performance Stock Units are in all respects limited and conditioned as hereinafter provided, and are subject in all respects to the Plan’s terms and conditions, as amended.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the Award shall consist of stock units but any portion of the Award that ultimately vests will be delivered in Shares.</w:t>
      </w:r>
    </w:p>
    <w:p>
      <w:pPr>
        <w:spacing w:after="0" w:line="185"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9"/>
          <w:szCs w:val="19"/>
          <w:color w:val="auto"/>
        </w:rPr>
        <w:t xml:space="preserve">The number of Shares that will vest and be delivered, if any, may range from 0-200% of the [#Granted - TSR] Performance Stock Units granted. Any accumulated dividend equivalents will be paid in cash pursuant to paragraph 3 below. Shares will vest and be delivered only after approval by the Compensation and Organization Committee of the Company’s Board of Directors (the “Committee”) of the achievement of Company performance criteria previously established and approved by the Committee for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(each a “Vesting Date” and as defined in the applicable LTI Brochure).</w:t>
      </w:r>
    </w:p>
    <w:p>
      <w:pPr>
        <w:spacing w:after="0" w:line="192" w:lineRule="exact"/>
        <w:rPr>
          <w:sz w:val="20"/>
          <w:szCs w:val="20"/>
          <w:color w:val="auto"/>
        </w:rPr>
      </w:pPr>
    </w:p>
    <w:p>
      <w:pPr>
        <w:jc w:val="both"/>
        <w:ind w:firstLine="636"/>
        <w:spacing w:after="0" w:line="257" w:lineRule="auto"/>
        <w:rPr>
          <w:sz w:val="20"/>
          <w:szCs w:val="20"/>
          <w:color w:val="auto"/>
        </w:rPr>
      </w:pPr>
      <w:r>
        <w:rPr>
          <w:rFonts w:ascii="Times New Roman" w:cs="Times New Roman" w:eastAsia="Times New Roman" w:hAnsi="Times New Roman"/>
          <w:sz w:val="19"/>
          <w:szCs w:val="19"/>
          <w:color w:val="auto"/>
        </w:rPr>
        <w:t>In the event an adjustment pursuant to Section 11.2 of the Plan is required, the number of Shares that may ultimately vest under the Award, if any, shall be adjusted in accordance with Section 11.2 of the Plan. All Shares that may ultimately vest under the Award, if any, after such adjustment shall be subject to the same restrictions applicable to any Shares that may have vested under this Agreement before the adjustment.</w:t>
      </w:r>
    </w:p>
    <w:p>
      <w:pPr>
        <w:spacing w:after="0" w:line="200" w:lineRule="exact"/>
        <w:rPr>
          <w:sz w:val="20"/>
          <w:szCs w:val="20"/>
          <w:color w:val="auto"/>
        </w:rPr>
      </w:pPr>
    </w:p>
    <w:p>
      <w:pPr>
        <w:spacing w:after="0" w:line="207" w:lineRule="exact"/>
        <w:rPr>
          <w:sz w:val="20"/>
          <w:szCs w:val="20"/>
          <w:color w:val="auto"/>
        </w:rPr>
      </w:pPr>
    </w:p>
    <w:p>
      <w:pPr>
        <w:jc w:val="both"/>
        <w:ind w:firstLine="642"/>
        <w:spacing w:after="0" w:line="261" w:lineRule="auto"/>
        <w:tabs>
          <w:tab w:leader="none" w:pos="830" w:val="left"/>
        </w:tabs>
        <w:numPr>
          <w:ilvl w:val="0"/>
          <w:numId w:val="6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Full or Pro-Rata Awards upon Certain Events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to Section 12.3 of the Plan, the Award shall terminate and become null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void if and when the Grantee ceases to be an employee of the Company or its subsidiaries prior to the Vesting Date due to termination for Cause, voluntary resignation, Retirement or Full Retirement, except as provided below:</w:t>
      </w:r>
    </w:p>
    <w:p>
      <w:pPr>
        <w:spacing w:after="0" w:line="179" w:lineRule="exact"/>
        <w:rPr>
          <w:sz w:val="20"/>
          <w:szCs w:val="20"/>
          <w:color w:val="auto"/>
        </w:rPr>
      </w:pPr>
    </w:p>
    <w:p>
      <w:pPr>
        <w:jc w:val="both"/>
        <w:ind w:firstLine="642"/>
        <w:spacing w:after="0" w:line="240" w:lineRule="exact"/>
        <w:tabs>
          <w:tab w:leader="none" w:pos="1262"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Grantee’s employment is terminated at least six (6) months following the Grant Date by the Company other than for Cause or as a result of Retirement, Total Disability, or death, the Grantee (or his or her legal representative, as applicable) shall be eligible to receive a Pro</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Rata Vesting of the Award determined as of the date of termination.</w:t>
      </w:r>
    </w:p>
    <w:p>
      <w:pPr>
        <w:sectPr>
          <w:pgSz w:w="11900" w:h="16838" w:orient="portrait"/>
          <w:cols w:equalWidth="0" w:num="1">
            <w:col w:w="11240"/>
          </w:cols>
          <w:pgMar w:left="320" w:top="358" w:right="339" w:bottom="1440" w:gutter="0" w:footer="0" w:header="0"/>
        </w:sectPr>
      </w:pPr>
    </w:p>
    <w:bookmarkStart w:id="59" w:name="page60"/>
    <w:bookmarkEnd w:id="59"/>
    <w:p>
      <w:pPr>
        <w:jc w:val="both"/>
        <w:ind w:firstLine="642"/>
        <w:spacing w:after="0" w:line="250" w:lineRule="auto"/>
        <w:tabs>
          <w:tab w:leader="none" w:pos="1260"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Grantee’s employment is terminated at least six (6) months following the Grant Date as a result of Full Retirement, the Performance Stock Units shall continue to vest through each Vesting Date, and the Company will deliver to Grantee, or his or her legal representative, one Share for each Performance Stock Unit vested on that date multiplied by a factor based on the Company’s attainment of performance criteria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as set forth in paragraph 1 above.</w:t>
      </w:r>
    </w:p>
    <w:p>
      <w:pPr>
        <w:spacing w:after="0" w:line="202" w:lineRule="exact"/>
        <w:rPr>
          <w:rFonts w:ascii="Times New Roman" w:cs="Times New Roman" w:eastAsia="Times New Roman" w:hAnsi="Times New Roman"/>
          <w:sz w:val="19"/>
          <w:szCs w:val="19"/>
          <w:color w:val="auto"/>
        </w:rPr>
      </w:pPr>
    </w:p>
    <w:p>
      <w:pPr>
        <w:jc w:val="both"/>
        <w:ind w:firstLine="642"/>
        <w:spacing w:after="0" w:line="259" w:lineRule="auto"/>
        <w:tabs>
          <w:tab w:leader="none" w:pos="1262"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Any Termination Prior to Six-Month Anniversary of Grant Date</w:t>
      </w:r>
      <w:r>
        <w:rPr>
          <w:rFonts w:ascii="Times New Roman" w:cs="Times New Roman" w:eastAsia="Times New Roman" w:hAnsi="Times New Roman"/>
          <w:sz w:val="19"/>
          <w:szCs w:val="19"/>
          <w:color w:val="auto"/>
        </w:rPr>
        <w:t>. If Grantee ceases to be an employee of the Company for any reason before six (6) months have elapsed from the Grant Date, the Award shall be cancelled by the Company and Grantee shall forfeit the entire Award.</w:t>
      </w:r>
    </w:p>
    <w:p>
      <w:pPr>
        <w:spacing w:after="0" w:line="180" w:lineRule="exact"/>
        <w:rPr>
          <w:rFonts w:ascii="Times New Roman" w:cs="Times New Roman" w:eastAsia="Times New Roman" w:hAnsi="Times New Roman"/>
          <w:sz w:val="19"/>
          <w:szCs w:val="19"/>
          <w:color w:val="auto"/>
        </w:rPr>
      </w:pPr>
    </w:p>
    <w:p>
      <w:pPr>
        <w:ind w:left="1260" w:hanging="618"/>
        <w:spacing w:after="0"/>
        <w:tabs>
          <w:tab w:leader="none" w:pos="1260" w:val="left"/>
        </w:tabs>
        <w:numPr>
          <w:ilvl w:val="1"/>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Cancellation</w:t>
      </w:r>
      <w:r>
        <w:rPr>
          <w:rFonts w:ascii="Times New Roman" w:cs="Times New Roman" w:eastAsia="Times New Roman" w:hAnsi="Times New Roman"/>
          <w:sz w:val="19"/>
          <w:szCs w:val="19"/>
          <w:color w:val="auto"/>
        </w:rPr>
        <w:t>. Notwithstanding the forgoing paragraph 2(a) and 2(b) above, if Grantee’s employment is terminated at least six</w:t>
      </w:r>
    </w:p>
    <w:p>
      <w:pPr>
        <w:spacing w:after="0" w:line="15" w:lineRule="exact"/>
        <w:rPr>
          <w:rFonts w:ascii="Times New Roman" w:cs="Times New Roman" w:eastAsia="Times New Roman" w:hAnsi="Times New Roman"/>
          <w:sz w:val="19"/>
          <w:szCs w:val="19"/>
          <w:color w:val="auto"/>
        </w:rPr>
      </w:pPr>
    </w:p>
    <w:p>
      <w:pPr>
        <w:ind w:left="300" w:hanging="294"/>
        <w:spacing w:after="0"/>
        <w:tabs>
          <w:tab w:leader="none" w:pos="30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months following the Grant Date by the Company other than for Cause or as a result of Retirement, Full Retirement, Total Disability, or</w:t>
      </w:r>
    </w:p>
    <w:p>
      <w:pPr>
        <w:spacing w:after="0" w:line="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9"/>
          <w:szCs w:val="19"/>
          <w:color w:val="auto"/>
        </w:rPr>
        <w:t xml:space="preserve">death, and the terms of the Non-Competition and Restrictive Covenants Agreement (“RCA”)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 xml:space="preserve"> are subsequently violated, the Committee or its delegate, in its sole direction, may cancel the unvested portions of the Award, including any Pro-Rata Vesting of the Award. The Grantee represents, warrants, and agrees that any such cancellation of an Award or a part thereof shall not constitute an adequate remedy of law in connection with any efforts by the Company to enforce the terms of the RCA and shall not prevent the Company from obtaining other relief, including injunctive relief, to enforce the provisions of the RCA.</w:t>
      </w:r>
    </w:p>
    <w:p>
      <w:pPr>
        <w:spacing w:after="0" w:line="215" w:lineRule="exact"/>
        <w:rPr>
          <w:sz w:val="20"/>
          <w:szCs w:val="20"/>
          <w:color w:val="auto"/>
        </w:rPr>
      </w:pPr>
    </w:p>
    <w:p>
      <w:pPr>
        <w:jc w:val="both"/>
        <w:ind w:firstLine="642"/>
        <w:spacing w:after="0" w:line="259" w:lineRule="auto"/>
        <w:tabs>
          <w:tab w:leader="none" w:pos="1262"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Integration with Severance Benefits</w:t>
      </w:r>
      <w:r>
        <w:rPr>
          <w:rFonts w:ascii="Times New Roman" w:cs="Times New Roman" w:eastAsia="Times New Roman" w:hAnsi="Times New Roman"/>
          <w:sz w:val="19"/>
          <w:szCs w:val="19"/>
          <w:color w:val="auto"/>
        </w:rPr>
        <w:t>. For U.S. participants, notwithstanding paragraphs 2(a)-(c) above, if severance is offered, eligibility for a prorated Award is contingent upon the Company receiving your signed Severance Agreement &amp; General Release. Without a signed release, all unvested Performance Stock Units are forfeited.</w:t>
      </w:r>
    </w:p>
    <w:p>
      <w:pPr>
        <w:spacing w:after="0" w:line="180" w:lineRule="exact"/>
        <w:rPr>
          <w:rFonts w:ascii="Times New Roman" w:cs="Times New Roman" w:eastAsia="Times New Roman" w:hAnsi="Times New Roman"/>
          <w:sz w:val="19"/>
          <w:szCs w:val="19"/>
          <w:color w:val="auto"/>
        </w:rPr>
      </w:pPr>
    </w:p>
    <w:p>
      <w:pPr>
        <w:ind w:left="1280" w:hanging="638"/>
        <w:spacing w:after="0"/>
        <w:tabs>
          <w:tab w:leader="none" w:pos="128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For purposes of this Agreement, the following terms shall have the meanings set forth below:</w:t>
      </w:r>
    </w:p>
    <w:p>
      <w:pPr>
        <w:spacing w:after="0" w:line="245" w:lineRule="exact"/>
        <w:rPr>
          <w:rFonts w:ascii="Times New Roman" w:cs="Times New Roman" w:eastAsia="Times New Roman" w:hAnsi="Times New Roman"/>
          <w:sz w:val="19"/>
          <w:szCs w:val="19"/>
          <w:color w:val="auto"/>
        </w:rPr>
      </w:pPr>
    </w:p>
    <w:p>
      <w:pPr>
        <w:ind w:firstLine="1596"/>
        <w:spacing w:after="0" w:line="270" w:lineRule="auto"/>
        <w:tabs>
          <w:tab w:leader="none" w:pos="190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“Retirement” or “Retirement Eligible” means Grantee terminates, or is eligible to terminate, employment with the Company or its subsidiaries after attaining 55 years of age with at least 5 years of continuous service on or prior to the date of termination.</w:t>
      </w:r>
    </w:p>
    <w:p>
      <w:pPr>
        <w:spacing w:after="0" w:line="170" w:lineRule="exact"/>
        <w:rPr>
          <w:rFonts w:ascii="Times New Roman" w:cs="Times New Roman" w:eastAsia="Times New Roman" w:hAnsi="Times New Roman"/>
          <w:sz w:val="19"/>
          <w:szCs w:val="19"/>
          <w:color w:val="auto"/>
        </w:rPr>
      </w:pPr>
    </w:p>
    <w:p>
      <w:pPr>
        <w:jc w:val="both"/>
        <w:ind w:firstLine="1596"/>
        <w:spacing w:after="0" w:line="259" w:lineRule="auto"/>
        <w:tabs>
          <w:tab w:leader="none" w:pos="190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“Full Retirement” or “Full Retirement Eligible” means Grantee (i) is Retirement Eligible (as defined above) and (ii) terminates, or is eligible to terminate, employment with the Company or its subsidiaries after his or her (x) years of age and (y) years of continuous service equal or exceed a total of 65 when added together prior to the date of termination.</w:t>
      </w:r>
    </w:p>
    <w:p>
      <w:pPr>
        <w:spacing w:after="0" w:line="193" w:lineRule="exact"/>
        <w:rPr>
          <w:rFonts w:ascii="Times New Roman" w:cs="Times New Roman" w:eastAsia="Times New Roman" w:hAnsi="Times New Roman"/>
          <w:sz w:val="19"/>
          <w:szCs w:val="19"/>
          <w:color w:val="auto"/>
        </w:rPr>
      </w:pPr>
    </w:p>
    <w:p>
      <w:pPr>
        <w:jc w:val="both"/>
        <w:ind w:firstLine="1596"/>
        <w:spacing w:after="0" w:line="265" w:lineRule="auto"/>
        <w:tabs>
          <w:tab w:leader="none" w:pos="190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“Total Disability” means “Total Disability” or “Totally Disabled” as that term is defined under a Company-sponsored long-term disability plan from which Grantee is receiving disability benefits and which is in effect from time to time on and after the Grant Date.</w:t>
      </w:r>
    </w:p>
    <w:p>
      <w:pPr>
        <w:spacing w:after="0" w:line="200" w:lineRule="exact"/>
        <w:rPr>
          <w:rFonts w:ascii="Times New Roman" w:cs="Times New Roman" w:eastAsia="Times New Roman" w:hAnsi="Times New Roman"/>
          <w:sz w:val="19"/>
          <w:szCs w:val="19"/>
          <w:color w:val="auto"/>
        </w:rPr>
      </w:pPr>
    </w:p>
    <w:p>
      <w:pPr>
        <w:spacing w:after="0" w:line="205" w:lineRule="exact"/>
        <w:rPr>
          <w:rFonts w:ascii="Times New Roman" w:cs="Times New Roman" w:eastAsia="Times New Roman" w:hAnsi="Times New Roman"/>
          <w:sz w:val="19"/>
          <w:szCs w:val="19"/>
          <w:color w:val="auto"/>
        </w:rPr>
      </w:pPr>
    </w:p>
    <w:p>
      <w:pPr>
        <w:jc w:val="both"/>
        <w:ind w:firstLine="1596"/>
        <w:spacing w:after="0" w:line="250" w:lineRule="auto"/>
        <w:tabs>
          <w:tab w:leader="none" w:pos="190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“Pro-Rata Vesting” means a number of Shares deliverable upon a pro-rata vesting event. This shall be calculated by multiplying this Award by the number of months worked from Grant Date to termination date divided by 36, which will then be multiplied by a factor based on the Company’s attainment of performance criteria during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 xml:space="preserve"> as set forth in paragraph 1 above. Thereafter, the number of Shares deliverable shall be rounded down to the nearest whole Share.</w:t>
      </w:r>
    </w:p>
    <w:p>
      <w:pPr>
        <w:spacing w:after="0" w:line="202" w:lineRule="exact"/>
        <w:rPr>
          <w:rFonts w:ascii="Times New Roman" w:cs="Times New Roman" w:eastAsia="Times New Roman" w:hAnsi="Times New Roman"/>
          <w:sz w:val="19"/>
          <w:szCs w:val="19"/>
          <w:color w:val="auto"/>
        </w:rPr>
      </w:pPr>
    </w:p>
    <w:p>
      <w:pPr>
        <w:jc w:val="both"/>
        <w:ind w:firstLine="1596"/>
        <w:spacing w:after="0" w:line="259" w:lineRule="auto"/>
        <w:tabs>
          <w:tab w:leader="none" w:pos="1908" w:val="left"/>
        </w:tabs>
        <w:numPr>
          <w:ilvl w:val="1"/>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“Termination of employment,” “separation from service,” and similar references mean a separation from service within the meaning of Section 409A of the Internal Revenue Code of 1986, as amended (the “Code”) with the Company and/or any of its subsidiaries or affiliates, which</w:t>
      </w:r>
    </w:p>
    <w:p>
      <w:pPr>
        <w:sectPr>
          <w:pgSz w:w="11900" w:h="16838" w:orient="portrait"/>
          <w:cols w:equalWidth="0" w:num="1">
            <w:col w:w="11240"/>
          </w:cols>
          <w:pgMar w:left="320" w:top="1389" w:right="339" w:bottom="1440" w:gutter="0" w:footer="0" w:header="0"/>
        </w:sectPr>
      </w:pPr>
    </w:p>
    <w:bookmarkStart w:id="60" w:name="page61"/>
    <w:bookmarkEnd w:id="60"/>
    <w:p>
      <w:pPr>
        <w:jc w:val="both"/>
        <w:spacing w:after="0" w:line="255" w:lineRule="auto"/>
        <w:rPr>
          <w:sz w:val="20"/>
          <w:szCs w:val="20"/>
          <w:color w:val="auto"/>
        </w:rPr>
      </w:pPr>
      <w:r>
        <w:rPr>
          <w:rFonts w:ascii="Times New Roman" w:cs="Times New Roman" w:eastAsia="Times New Roman" w:hAnsi="Times New Roman"/>
          <w:sz w:val="19"/>
          <w:szCs w:val="19"/>
          <w:color w:val="auto"/>
        </w:rPr>
        <w:t>includes circumstances in which Grantee is reasonably anticipated not to perform further services with the Company or its affiliates or subsidiaries.</w:t>
      </w:r>
    </w:p>
    <w:p>
      <w:pPr>
        <w:spacing w:after="0" w:line="200" w:lineRule="exact"/>
        <w:rPr>
          <w:sz w:val="20"/>
          <w:szCs w:val="20"/>
          <w:color w:val="auto"/>
        </w:rPr>
      </w:pPr>
    </w:p>
    <w:p>
      <w:pPr>
        <w:spacing w:after="0" w:line="244" w:lineRule="exact"/>
        <w:rPr>
          <w:sz w:val="20"/>
          <w:szCs w:val="20"/>
          <w:color w:val="auto"/>
        </w:rPr>
      </w:pPr>
    </w:p>
    <w:p>
      <w:pPr>
        <w:jc w:val="both"/>
        <w:ind w:firstLine="636"/>
        <w:spacing w:after="0" w:line="270" w:lineRule="auto"/>
        <w:rPr>
          <w:sz w:val="20"/>
          <w:szCs w:val="20"/>
          <w:color w:val="auto"/>
        </w:rPr>
      </w:pPr>
      <w:r>
        <w:rPr>
          <w:rFonts w:ascii="Times New Roman" w:cs="Times New Roman" w:eastAsia="Times New Roman" w:hAnsi="Times New Roman"/>
          <w:sz w:val="19"/>
          <w:szCs w:val="19"/>
          <w:color w:val="auto"/>
        </w:rPr>
        <w:t xml:space="preserve">Any Shares deliverable under this Paragraph 2 shall be delivered at the same time long-term incentive awards are normally paid and/or delivered after the end of the </w:t>
      </w:r>
      <w:r>
        <w:rPr>
          <w:rFonts w:ascii="Times New Roman" w:cs="Times New Roman" w:eastAsia="Times New Roman" w:hAnsi="Times New Roman"/>
          <w:sz w:val="19"/>
          <w:szCs w:val="19"/>
          <w:b w:val="1"/>
          <w:bCs w:val="1"/>
          <w:color w:val="auto"/>
        </w:rPr>
        <w:t>performance cycle</w:t>
      </w:r>
      <w:r>
        <w:rPr>
          <w:rFonts w:ascii="Times New Roman" w:cs="Times New Roman" w:eastAsia="Times New Roman" w:hAnsi="Times New Roman"/>
          <w:sz w:val="19"/>
          <w:szCs w:val="19"/>
          <w:color w:val="auto"/>
        </w:rPr>
        <w:t>.</w:t>
      </w:r>
    </w:p>
    <w:p>
      <w:pPr>
        <w:spacing w:after="0" w:line="184" w:lineRule="exact"/>
        <w:rPr>
          <w:sz w:val="20"/>
          <w:szCs w:val="20"/>
          <w:color w:val="auto"/>
        </w:rPr>
      </w:pPr>
    </w:p>
    <w:p>
      <w:pPr>
        <w:jc w:val="both"/>
        <w:ind w:firstLine="636"/>
        <w:spacing w:after="0" w:line="246" w:lineRule="auto"/>
        <w:rPr>
          <w:sz w:val="20"/>
          <w:szCs w:val="20"/>
          <w:color w:val="auto"/>
        </w:rPr>
      </w:pPr>
      <w:r>
        <w:rPr>
          <w:rFonts w:ascii="Times New Roman" w:cs="Times New Roman" w:eastAsia="Times New Roman" w:hAnsi="Times New Roman"/>
          <w:sz w:val="19"/>
          <w:szCs w:val="19"/>
          <w:color w:val="auto"/>
        </w:rPr>
        <w:t>Notwithstanding anything in this paragraph 2 to the contrary, in the case of a Key Employee (defined below), a distribution upon the Key Employee’s termination of employment shall be made on the first day of the month following six (6) months after the date on which the Key Employee separates from service or, if earlier, the date of death. A “Key Employee” means an employee who, as of his termination of employment from the Company or its affiliates or subsidiaries, is treated as a “specified employee” under Code Section 409A(a)(2)(B)(i) (i.e., a key employee as defined in Code Section 416(i) without regard to paragraph (5) thereof). Key Employees shall be determined in accordance with Code Section 409A. Currently, the Company classifies all employees in Salary Grade Levels A and B as Key Employees.</w:t>
      </w:r>
    </w:p>
    <w:p>
      <w:pPr>
        <w:spacing w:after="0" w:line="189" w:lineRule="exact"/>
        <w:rPr>
          <w:sz w:val="20"/>
          <w:szCs w:val="20"/>
          <w:color w:val="auto"/>
        </w:rPr>
      </w:pPr>
    </w:p>
    <w:p>
      <w:pPr>
        <w:jc w:val="both"/>
        <w:ind w:firstLine="642"/>
        <w:spacing w:after="0" w:line="250" w:lineRule="auto"/>
        <w:tabs>
          <w:tab w:leader="none" w:pos="857" w:val="left"/>
        </w:tabs>
        <w:numPr>
          <w:ilvl w:val="0"/>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Dividend Equivalent 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After a Vesting Date, Grantee shall be paid in cash the accumulated amount equivalent to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dividends which would have been paid on such Shares underlying the Performance Stock Units to the extent the Company’s Board of Directors had approved and declared a dividend on its capital stock. Such dividend equivalent amount shall be paid during that month following that Vesting Date. Subject to paragraph 2 above, the dividend equivalent payment shall be forfeited for any Performance Stock Units that do not vest or are terminated in accordance with paragraph 2.</w:t>
      </w:r>
    </w:p>
    <w:p>
      <w:pPr>
        <w:spacing w:after="0" w:line="187" w:lineRule="exact"/>
        <w:rPr>
          <w:rFonts w:ascii="Times New Roman" w:cs="Times New Roman" w:eastAsia="Times New Roman" w:hAnsi="Times New Roman"/>
          <w:sz w:val="19"/>
          <w:szCs w:val="19"/>
          <w:b w:val="1"/>
          <w:bCs w:val="1"/>
          <w:color w:val="auto"/>
        </w:rPr>
      </w:pPr>
    </w:p>
    <w:p>
      <w:pPr>
        <w:jc w:val="both"/>
        <w:ind w:firstLine="642"/>
        <w:spacing w:after="0" w:line="247" w:lineRule="auto"/>
        <w:tabs>
          <w:tab w:leader="none" w:pos="830" w:val="left"/>
        </w:tabs>
        <w:numPr>
          <w:ilvl w:val="0"/>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Incorporation of Plan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Award is subject to the terms and conditions of the Plan. Such terms and conditions of the Plan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are incorporated into and made a part of this Agreement by reference. In the event of any conflicts between the provisions of this Agreement and the terms of the Plan, the terms of the Plan will control. The Committee shall have the right to resolve all questions which may arise in connection with the Award or this Agreement, including whether a Grantee is no longer actively employed and any interpretation, determination or other action made or taken by the Committee regarding the Plan or this Agreement shall be final, binding and conclusive. Capitalized terms used but not defined in this Agreement shall have the meanings set forth in the Plan unless the context clearly requires an alternative meaning.</w:t>
      </w:r>
    </w:p>
    <w:p>
      <w:pPr>
        <w:spacing w:after="0" w:line="201" w:lineRule="exact"/>
        <w:rPr>
          <w:rFonts w:ascii="Times New Roman" w:cs="Times New Roman" w:eastAsia="Times New Roman" w:hAnsi="Times New Roman"/>
          <w:sz w:val="19"/>
          <w:szCs w:val="19"/>
          <w:b w:val="1"/>
          <w:bCs w:val="1"/>
          <w:color w:val="auto"/>
        </w:rPr>
      </w:pPr>
    </w:p>
    <w:p>
      <w:pPr>
        <w:ind w:left="840" w:hanging="198"/>
        <w:spacing w:after="0"/>
        <w:tabs>
          <w:tab w:leader="none" w:pos="840" w:val="left"/>
        </w:tabs>
        <w:numPr>
          <w:ilvl w:val="0"/>
          <w:numId w:val="7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Cancellation</w:t>
      </w:r>
      <w:r>
        <w:rPr>
          <w:rFonts w:ascii="Times New Roman" w:cs="Times New Roman" w:eastAsia="Times New Roman" w:hAnsi="Times New Roman"/>
          <w:sz w:val="19"/>
          <w:szCs w:val="19"/>
          <w:u w:val="single" w:color="auto"/>
          <w:color w:val="auto"/>
        </w:rPr>
        <w:t>/</w:t>
      </w:r>
      <w:r>
        <w:rPr>
          <w:rFonts w:ascii="Times New Roman" w:cs="Times New Roman" w:eastAsia="Times New Roman" w:hAnsi="Times New Roman"/>
          <w:sz w:val="19"/>
          <w:szCs w:val="19"/>
          <w:b w:val="1"/>
          <w:bCs w:val="1"/>
          <w:u w:val="single" w:color="auto"/>
          <w:color w:val="auto"/>
        </w:rPr>
        <w:t>Rescission of Award after Vesting or Distribution</w:t>
      </w:r>
      <w:r>
        <w:rPr>
          <w:rFonts w:ascii="Times New Roman" w:cs="Times New Roman" w:eastAsia="Times New Roman" w:hAnsi="Times New Roman"/>
          <w:sz w:val="19"/>
          <w:szCs w:val="19"/>
          <w:b w:val="1"/>
          <w:bCs w:val="1"/>
          <w:color w:val="auto"/>
        </w:rPr>
        <w:t>.</w:t>
      </w:r>
    </w:p>
    <w:p>
      <w:pPr>
        <w:spacing w:after="0" w:line="236" w:lineRule="exact"/>
        <w:rPr>
          <w:sz w:val="20"/>
          <w:szCs w:val="20"/>
          <w:color w:val="auto"/>
        </w:rPr>
      </w:pPr>
    </w:p>
    <w:p>
      <w:pPr>
        <w:jc w:val="both"/>
        <w:ind w:firstLine="642"/>
        <w:spacing w:after="0" w:line="259" w:lineRule="auto"/>
        <w:tabs>
          <w:tab w:leader="none" w:pos="1262"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while Grantee is an employee of the Company (or one of its subsidiaries) or after Grantee ceases to be such an employee, the Committee or its delegate determines that Grantee breached his or her duty of loyalty to the Company, any Shares distributed in settlement of this Award during the three (3) year period prior to such deemed breach shall be rescinded.</w:t>
      </w:r>
    </w:p>
    <w:p>
      <w:pPr>
        <w:spacing w:after="0" w:line="193" w:lineRule="exact"/>
        <w:rPr>
          <w:rFonts w:ascii="Times New Roman" w:cs="Times New Roman" w:eastAsia="Times New Roman" w:hAnsi="Times New Roman"/>
          <w:sz w:val="19"/>
          <w:szCs w:val="19"/>
          <w:color w:val="auto"/>
        </w:rPr>
      </w:pPr>
    </w:p>
    <w:p>
      <w:pPr>
        <w:ind w:firstLine="960"/>
        <w:spacing w:after="0" w:line="270" w:lineRule="auto"/>
        <w:tabs>
          <w:tab w:leader="none" w:pos="1272"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Company shall notify Grantee in writing of any such rescission not later than one-hundred and eighty (180) days after the Company obtains knowledge of Grantee’s breach of his or her duty of loyalty as described in Subparagraph 5(a) above.</w:t>
      </w:r>
    </w:p>
    <w:p>
      <w:pPr>
        <w:spacing w:after="0" w:line="170" w:lineRule="exact"/>
        <w:rPr>
          <w:rFonts w:ascii="Times New Roman" w:cs="Times New Roman" w:eastAsia="Times New Roman" w:hAnsi="Times New Roman"/>
          <w:sz w:val="19"/>
          <w:szCs w:val="19"/>
          <w:color w:val="auto"/>
        </w:rPr>
      </w:pPr>
    </w:p>
    <w:p>
      <w:pPr>
        <w:jc w:val="both"/>
        <w:ind w:firstLine="960"/>
        <w:spacing w:after="0" w:line="249" w:lineRule="auto"/>
        <w:tabs>
          <w:tab w:leader="none" w:pos="1272" w:val="left"/>
        </w:tabs>
        <w:numPr>
          <w:ilvl w:val="1"/>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Within ten (10) days after receiving a such notice from the Company: (i) Grantee must surrender to the Company the Shares acquired upon settlement of this Award; or (ii) if such Shares have been sold or transferred, (x) Grantee must make a payment to the Company of the proceeds from such sale or transfer, or (y) if there are no proceeds from such transfer, Grantee must make a payment to the Company equal to the Fair Market Value (as defined in the Plan) of such Shares on the date of such transfer. In all cases, Grantee shall pay to the Company the gross amount of any gain realized or payment received (not net of any withholding or other taxes paid by Grantee) as a result of the Shares.</w:t>
      </w:r>
    </w:p>
    <w:p>
      <w:pPr>
        <w:sectPr>
          <w:pgSz w:w="11900" w:h="16838" w:orient="portrait"/>
          <w:cols w:equalWidth="0" w:num="1">
            <w:col w:w="11240"/>
          </w:cols>
          <w:pgMar w:left="320" w:top="1389" w:right="339" w:bottom="1440" w:gutter="0" w:footer="0" w:header="0"/>
        </w:sectPr>
      </w:pPr>
    </w:p>
    <w:bookmarkStart w:id="61" w:name="page62"/>
    <w:bookmarkEnd w:id="61"/>
    <w:p>
      <w:pPr>
        <w:jc w:val="both"/>
        <w:ind w:firstLine="642"/>
        <w:spacing w:after="0" w:line="250" w:lineRule="auto"/>
        <w:tabs>
          <w:tab w:leader="none" w:pos="126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If while Grantee is an employee of the Company (or one of its subsidiaries) or after Grantee ceases to be such an employee, the Committee or its delegate determines that Grantee breached his or her duty of loyalty to the Company before any Performance Stock Units vest pursuant to the achievement of Company performance criteria previously established and approved by the Committee for the </w:t>
      </w:r>
      <w:r>
        <w:rPr>
          <w:rFonts w:ascii="Times New Roman" w:cs="Times New Roman" w:eastAsia="Times New Roman" w:hAnsi="Times New Roman"/>
          <w:sz w:val="19"/>
          <w:szCs w:val="19"/>
          <w:b w:val="1"/>
          <w:bCs w:val="1"/>
          <w:color w:val="auto"/>
        </w:rPr>
        <w:t>performance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cycle </w:t>
      </w:r>
      <w:r>
        <w:rPr>
          <w:rFonts w:ascii="Times New Roman" w:cs="Times New Roman" w:eastAsia="Times New Roman" w:hAnsi="Times New Roman"/>
          <w:sz w:val="19"/>
          <w:szCs w:val="19"/>
          <w:color w:val="auto"/>
        </w:rPr>
        <w:t>(as defined in the applicable LTI Brochure), this Award shall be cancelled without further action by the Committee or its delegate.</w:t>
      </w:r>
    </w:p>
    <w:p>
      <w:pPr>
        <w:spacing w:after="0" w:line="203" w:lineRule="exact"/>
        <w:rPr>
          <w:sz w:val="20"/>
          <w:szCs w:val="20"/>
          <w:color w:val="auto"/>
        </w:rPr>
      </w:pPr>
    </w:p>
    <w:p>
      <w:pPr>
        <w:jc w:val="both"/>
        <w:ind w:firstLine="636"/>
        <w:spacing w:after="0" w:line="259" w:lineRule="auto"/>
        <w:rPr>
          <w:sz w:val="20"/>
          <w:szCs w:val="20"/>
          <w:color w:val="auto"/>
        </w:rPr>
      </w:pPr>
      <w:r>
        <w:rPr>
          <w:rFonts w:ascii="Times New Roman" w:cs="Times New Roman" w:eastAsia="Times New Roman" w:hAnsi="Times New Roman"/>
          <w:sz w:val="19"/>
          <w:szCs w:val="19"/>
          <w:color w:val="auto"/>
        </w:rPr>
        <w:t>For purposes of this Agreement and avoidance of doubt, “duty of loyalty” to the Company means that Grantee cannot act contrary to the Company’s interest, such as competing with the Company while employed or using the Company’s proprietary and confidential information to compete with the Company, or as otherwise as determined by a court of law.</w:t>
      </w:r>
    </w:p>
    <w:p>
      <w:pPr>
        <w:spacing w:after="0" w:line="176" w:lineRule="exact"/>
        <w:rPr>
          <w:sz w:val="20"/>
          <w:szCs w:val="20"/>
          <w:color w:val="auto"/>
        </w:rPr>
      </w:pPr>
    </w:p>
    <w:p>
      <w:pPr>
        <w:jc w:val="both"/>
        <w:ind w:firstLine="642"/>
        <w:spacing w:after="0" w:line="250" w:lineRule="auto"/>
        <w:tabs>
          <w:tab w:leader="none" w:pos="830"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Withholding of Taxes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will require Grantee to remit an amount equal to any tax withholding required under federal,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state or local law on the value of the Shares deliverable under this Agreement at such time as the Company is required to withhold such amounts. In accordance with any procedures established by the Committee, Grantee may satisfy any required tax withholding payments in cash or Shares (including the surrender of Shares held by the Grantee or those that would otherwise be issued in settlement of this Award). Any surrendered or withheld Shares will constitute satisfaction of any required tax withholding to the extent of their Fair Market Value.</w:t>
      </w:r>
    </w:p>
    <w:p>
      <w:pPr>
        <w:spacing w:after="0" w:line="187"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843"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Limits on Transferability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Grantee’s right in the Performance Stock Units awarded under this Agreement and any interest therein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may not be sold, pledged, assigned, hypothecated, transferred, or disposed of in any manner, other than by will or by the laws of descent or distribution. The Award shall not be subject to execution, attachment or other process.</w:t>
      </w:r>
    </w:p>
    <w:p>
      <w:pPr>
        <w:spacing w:after="0" w:line="174"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843"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Compliance with Securities Laws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shall not be issued with respect to this Award unless the issuance and delivery of such</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Shares shall comply with all relevant provisions of state and federal laws, rules and regulations, and, in the discretion of the Company, shall be further subject to the approval of counsel for the Company with respect to that compliance.</w:t>
      </w:r>
    </w:p>
    <w:p>
      <w:pPr>
        <w:spacing w:after="0" w:line="188" w:lineRule="exact"/>
        <w:rPr>
          <w:rFonts w:ascii="Times New Roman" w:cs="Times New Roman" w:eastAsia="Times New Roman" w:hAnsi="Times New Roman"/>
          <w:sz w:val="19"/>
          <w:szCs w:val="19"/>
          <w:b w:val="1"/>
          <w:bCs w:val="1"/>
          <w:color w:val="auto"/>
        </w:rPr>
      </w:pPr>
    </w:p>
    <w:p>
      <w:pPr>
        <w:jc w:val="both"/>
        <w:ind w:firstLine="642"/>
        <w:spacing w:after="0" w:line="251" w:lineRule="auto"/>
        <w:tabs>
          <w:tab w:leader="none" w:pos="830"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Employment or Voting Rights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Nothing contained in the Plan or this Agreement shall give any employee the right to be retained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employment of the Company or its subsidiaries or affiliates, or their successors or assigns, whether existing now or in the future (collectively “Campbell Companies”), or affect the right of any of the Campbell Companies to terminate any employee. Grantee shall have no voting rights with respect to the Performance Stock Units.</w:t>
      </w:r>
    </w:p>
    <w:p>
      <w:pPr>
        <w:spacing w:after="0" w:line="185" w:lineRule="exact"/>
        <w:rPr>
          <w:rFonts w:ascii="Times New Roman" w:cs="Times New Roman" w:eastAsia="Times New Roman" w:hAnsi="Times New Roman"/>
          <w:sz w:val="19"/>
          <w:szCs w:val="19"/>
          <w:b w:val="1"/>
          <w:bCs w:val="1"/>
          <w:color w:val="auto"/>
        </w:rPr>
      </w:pPr>
    </w:p>
    <w:p>
      <w:pPr>
        <w:jc w:val="both"/>
        <w:ind w:firstLine="642"/>
        <w:spacing w:after="0" w:line="256" w:lineRule="auto"/>
        <w:tabs>
          <w:tab w:leader="none" w:pos="941"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Internal Revenue Code Section 409A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interpreted, operated, and administered in a manner so as not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subject Grantee to the assessment of additional taxes or interest under Code section 409A to the extent such Grantee or any payment under this Agreement is subject to U.S. tax laws, and this Agreement shall be amended as the Company, in its sole discretion, determines is necessary and appropriate to avoid the application of any such taxes or interest.</w:t>
      </w:r>
    </w:p>
    <w:p>
      <w:pPr>
        <w:spacing w:after="0" w:line="180" w:lineRule="exact"/>
        <w:rPr>
          <w:rFonts w:ascii="Times New Roman" w:cs="Times New Roman" w:eastAsia="Times New Roman" w:hAnsi="Times New Roman"/>
          <w:sz w:val="19"/>
          <w:szCs w:val="19"/>
          <w:b w:val="1"/>
          <w:bCs w:val="1"/>
          <w:color w:val="auto"/>
        </w:rPr>
      </w:pPr>
    </w:p>
    <w:p>
      <w:pPr>
        <w:jc w:val="both"/>
        <w:ind w:firstLine="642"/>
        <w:spacing w:after="0" w:line="251" w:lineRule="auto"/>
        <w:tabs>
          <w:tab w:leader="none" w:pos="917"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Electronic Delivery and Acceptance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Company may, in its sole discretion, decide to deliver any documents related to current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or future participation in the Plan by electronic means or to request the Grantee’s consent to participate in the Plan by electronic means. The Grantee hereby consents to receive such documents by electronic delivery and, if requested, agrees to participate in the Plan through an on-line or electronic system established and maintained by the Company or a third party designated by the Company.</w:t>
      </w:r>
    </w:p>
    <w:p>
      <w:pPr>
        <w:spacing w:after="0" w:line="199" w:lineRule="exact"/>
        <w:rPr>
          <w:rFonts w:ascii="Times New Roman" w:cs="Times New Roman" w:eastAsia="Times New Roman" w:hAnsi="Times New Roman"/>
          <w:sz w:val="19"/>
          <w:szCs w:val="19"/>
          <w:b w:val="1"/>
          <w:bCs w:val="1"/>
          <w:color w:val="auto"/>
        </w:rPr>
      </w:pPr>
    </w:p>
    <w:p>
      <w:pPr>
        <w:ind w:firstLine="642"/>
        <w:spacing w:after="0" w:line="275" w:lineRule="auto"/>
        <w:tabs>
          <w:tab w:leader="none" w:pos="941" w:val="left"/>
        </w:tabs>
        <w:numPr>
          <w:ilvl w:val="0"/>
          <w:numId w:val="7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terms of the Plan and this Agreement when accepted by the Grantee will constitute the 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with respect to the subject matter hereof. This Agreement</w:t>
      </w:r>
    </w:p>
    <w:p>
      <w:pPr>
        <w:sectPr>
          <w:pgSz w:w="11900" w:h="16838" w:orient="portrait"/>
          <w:cols w:equalWidth="0" w:num="1">
            <w:col w:w="11240"/>
          </w:cols>
          <w:pgMar w:left="320" w:top="1389"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9"/>
          <w:szCs w:val="19"/>
          <w:color w:val="auto"/>
        </w:rPr>
        <w:t>supersedes any prior agreements, representations or promises of the parties relating to the subject matter hereof.</w:t>
      </w:r>
    </w:p>
    <w:p>
      <w:pPr>
        <w:spacing w:after="0" w:line="228" w:lineRule="exact"/>
        <w:rPr>
          <w:sz w:val="20"/>
          <w:szCs w:val="20"/>
          <w:color w:val="auto"/>
        </w:rPr>
      </w:pPr>
    </w:p>
    <w:p>
      <w:pPr>
        <w:ind w:firstLine="642"/>
        <w:spacing w:after="0" w:line="289" w:lineRule="auto"/>
        <w:tabs>
          <w:tab w:leader="none" w:pos="927"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Non-Competition and Restrictive Covenants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As a condition of receiving the Award, Grantee must agree to the terms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of the RCA which is attached hereto as </w:t>
      </w:r>
      <w:r>
        <w:rPr>
          <w:rFonts w:ascii="Times New Roman" w:cs="Times New Roman" w:eastAsia="Times New Roman" w:hAnsi="Times New Roman"/>
          <w:sz w:val="19"/>
          <w:szCs w:val="19"/>
          <w:u w:val="single" w:color="auto"/>
          <w:color w:val="auto"/>
        </w:rPr>
        <w:t>Exhibit A</w:t>
      </w:r>
      <w:r>
        <w:rPr>
          <w:rFonts w:ascii="Times New Roman" w:cs="Times New Roman" w:eastAsia="Times New Roman" w:hAnsi="Times New Roman"/>
          <w:sz w:val="19"/>
          <w:szCs w:val="19"/>
          <w:color w:val="auto"/>
        </w:rPr>
        <w:t>.</w:t>
      </w:r>
    </w:p>
    <w:p>
      <w:pPr>
        <w:spacing w:after="0" w:line="149" w:lineRule="exact"/>
        <w:rPr>
          <w:rFonts w:ascii="Times New Roman" w:cs="Times New Roman" w:eastAsia="Times New Roman" w:hAnsi="Times New Roman"/>
          <w:sz w:val="19"/>
          <w:szCs w:val="19"/>
          <w:b w:val="1"/>
          <w:bCs w:val="1"/>
          <w:color w:val="auto"/>
        </w:rPr>
      </w:pPr>
    </w:p>
    <w:p>
      <w:pPr>
        <w:jc w:val="both"/>
        <w:ind w:firstLine="642"/>
        <w:spacing w:after="0" w:line="256" w:lineRule="auto"/>
        <w:tabs>
          <w:tab w:leader="none" w:pos="927"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Clawback</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and any Shares issued pursuant to this Agreement will be subject to reduction, cancellation, repayment,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forfeiture or recoupment in accordance with any clawback policy adopted by the Company. By accepting this Award, the Grantee is agreeing to be bound by any such clawback policy, as in effect or as may be adopted and/or modified from time to time by the Company in its discretion, and any or clawback requirements imposed under applicable laws, rules and regulations.</w:t>
      </w:r>
    </w:p>
    <w:p>
      <w:pPr>
        <w:spacing w:after="0" w:line="180" w:lineRule="exact"/>
        <w:rPr>
          <w:rFonts w:ascii="Times New Roman" w:cs="Times New Roman" w:eastAsia="Times New Roman" w:hAnsi="Times New Roman"/>
          <w:sz w:val="19"/>
          <w:szCs w:val="19"/>
          <w:b w:val="1"/>
          <w:bCs w:val="1"/>
          <w:color w:val="auto"/>
        </w:rPr>
      </w:pPr>
    </w:p>
    <w:p>
      <w:pPr>
        <w:jc w:val="both"/>
        <w:ind w:firstLine="642"/>
        <w:spacing w:after="0" w:line="250" w:lineRule="auto"/>
        <w:tabs>
          <w:tab w:leader="none" w:pos="927"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If one or more of the provisions of this Agreement shall be held invalid, illegal or unenforceable in any respect,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Agreement to be construed so as to foster the intent of this Agreement and the Plan.</w:t>
      </w:r>
    </w:p>
    <w:p>
      <w:pPr>
        <w:spacing w:after="0" w:line="187" w:lineRule="exact"/>
        <w:rPr>
          <w:rFonts w:ascii="Times New Roman" w:cs="Times New Roman" w:eastAsia="Times New Roman" w:hAnsi="Times New Roman"/>
          <w:sz w:val="19"/>
          <w:szCs w:val="19"/>
          <w:b w:val="1"/>
          <w:bCs w:val="1"/>
          <w:color w:val="auto"/>
        </w:rPr>
      </w:pPr>
    </w:p>
    <w:p>
      <w:pPr>
        <w:ind w:firstLine="642"/>
        <w:spacing w:after="0" w:line="275" w:lineRule="auto"/>
        <w:tabs>
          <w:tab w:leader="none" w:pos="927"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Successors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binding upon and inure to the benefit of any successor or successors of the Company and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person or persons who shall acquire any rights hereunder in accordance with this Agreement or the Plan.</w:t>
      </w:r>
    </w:p>
    <w:p>
      <w:pPr>
        <w:spacing w:after="0" w:line="175" w:lineRule="exact"/>
        <w:rPr>
          <w:rFonts w:ascii="Times New Roman" w:cs="Times New Roman" w:eastAsia="Times New Roman" w:hAnsi="Times New Roman"/>
          <w:sz w:val="19"/>
          <w:szCs w:val="19"/>
          <w:b w:val="1"/>
          <w:bCs w:val="1"/>
          <w:color w:val="auto"/>
        </w:rPr>
      </w:pPr>
    </w:p>
    <w:p>
      <w:pPr>
        <w:jc w:val="both"/>
        <w:ind w:firstLine="642"/>
        <w:spacing w:after="0" w:line="251" w:lineRule="auto"/>
        <w:tabs>
          <w:tab w:leader="none" w:pos="941" w:val="left"/>
        </w:tabs>
        <w:numPr>
          <w:ilvl w:val="0"/>
          <w:numId w:val="76"/>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Governing Law; Jurisdiction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Agreement shall be construed in accordance with, and its interpretation shall otherwise be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governed by, New Jersey law. Each party irrevocably agrees that any legal proceeding arising out of, or relating to the subject matter of, this Agreement shall be brought in the Superior Court of New Jersey in Camden County or the United States District Court for the District of New Jersey located in Camden, New Jersey. Each party irrevocably consents to such jurisdiction and venue.</w:t>
      </w: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IN WITNESS WHEREOF, the Company has caused this Agreement to be executed by a duly authorized executive all as of the Grant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Diane Johnson May</w:t>
      </w:r>
    </w:p>
    <w:p>
      <w:pPr>
        <w:spacing w:after="0"/>
        <w:rPr>
          <w:sz w:val="20"/>
          <w:szCs w:val="20"/>
          <w:color w:val="auto"/>
        </w:rPr>
      </w:pPr>
      <w:r>
        <w:rPr>
          <w:rFonts w:ascii="Times New Roman" w:cs="Times New Roman" w:eastAsia="Times New Roman" w:hAnsi="Times New Roman"/>
          <w:sz w:val="19"/>
          <w:szCs w:val="19"/>
          <w:color w:val="auto"/>
        </w:rPr>
        <w:t>Executive Vice President &amp; Chief People and Culture</w:t>
      </w:r>
    </w:p>
    <w:p>
      <w:pPr>
        <w:spacing w:after="0"/>
        <w:rPr>
          <w:sz w:val="20"/>
          <w:szCs w:val="20"/>
          <w:color w:val="auto"/>
        </w:rPr>
      </w:pPr>
      <w:r>
        <w:rPr>
          <w:rFonts w:ascii="Times New Roman" w:cs="Times New Roman" w:eastAsia="Times New Roman" w:hAnsi="Times New Roman"/>
          <w:sz w:val="19"/>
          <w:szCs w:val="19"/>
          <w:color w:val="auto"/>
        </w:rPr>
        <w:t>Officer</w:t>
      </w:r>
    </w:p>
    <w:p>
      <w:pPr>
        <w:sectPr>
          <w:pgSz w:w="11900" w:h="16838" w:orient="portrait"/>
          <w:cols w:equalWidth="0" w:num="1">
            <w:col w:w="11240"/>
          </w:cols>
          <w:pgMar w:left="320" w:top="1389"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auto"/>
        </w:rPr>
        <w:t>EXHIBIT A</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NON-COMPETITION AND RESTRICTIVE COVENANTS AGREEMENT</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(LONG-TERM INCENTIVE PROGRAM)</w:t>
      </w:r>
    </w:p>
    <w:p>
      <w:pPr>
        <w:spacing w:after="0" w:line="210"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This Non-Competition and Restrictive Covenants Agreement (“RCA”) is made by and between Campbell Soup Company (“Campbell”) and [Employee Full Legal Name] (“Employee”).</w:t>
      </w:r>
    </w:p>
    <w:p>
      <w:pPr>
        <w:spacing w:after="0" w:line="157" w:lineRule="exact"/>
        <w:rPr>
          <w:sz w:val="20"/>
          <w:szCs w:val="20"/>
          <w:color w:val="auto"/>
        </w:rPr>
      </w:pPr>
    </w:p>
    <w:p>
      <w:pPr>
        <w:jc w:val="both"/>
        <w:ind w:firstLine="636"/>
        <w:spacing w:after="0" w:line="249" w:lineRule="auto"/>
        <w:rPr>
          <w:sz w:val="20"/>
          <w:szCs w:val="20"/>
          <w:color w:val="auto"/>
        </w:rPr>
      </w:pPr>
      <w:r>
        <w:rPr>
          <w:rFonts w:ascii="Times New Roman" w:cs="Times New Roman" w:eastAsia="Times New Roman" w:hAnsi="Times New Roman"/>
          <w:sz w:val="19"/>
          <w:szCs w:val="19"/>
          <w:color w:val="auto"/>
        </w:rPr>
        <w:t>Employee has been selected to receive a Long-Term Incentive (“LTI”) award under the Campbell Soup Company 2022 Long-Term Incentive Plan (“Plan”). Employee understands and agrees that in consideration of the LTI award and as a precondition of accepting the LTI award, Employee must read and accept the terms and conditions of this RCA. Employee understands and agrees that if Employee does not accept and refuses to agree to this RCA within 90 days of being notified of the LTI award, the Compensation and Organization Committee of Campbell’s Board of Directors (“Committee”) shall, in its sole discretion, cancel the grant.</w:t>
      </w:r>
    </w:p>
    <w:p>
      <w:pPr>
        <w:spacing w:after="0" w:line="192" w:lineRule="exact"/>
        <w:rPr>
          <w:sz w:val="20"/>
          <w:szCs w:val="20"/>
          <w:color w:val="auto"/>
        </w:rPr>
      </w:pPr>
    </w:p>
    <w:p>
      <w:pPr>
        <w:jc w:val="both"/>
        <w:ind w:firstLine="636"/>
        <w:spacing w:after="0" w:line="285" w:lineRule="auto"/>
        <w:rPr>
          <w:sz w:val="20"/>
          <w:szCs w:val="20"/>
          <w:color w:val="auto"/>
        </w:rPr>
      </w:pPr>
      <w:r>
        <w:rPr>
          <w:rFonts w:ascii="Times New Roman" w:cs="Times New Roman" w:eastAsia="Times New Roman" w:hAnsi="Times New Roman"/>
          <w:sz w:val="19"/>
          <w:szCs w:val="19"/>
          <w:color w:val="auto"/>
        </w:rPr>
        <w:t>In consideration of the respective agreements of the parties contained in this RCA, intending to be legally bound and subject to the terms and conditions stated in this RCA, it is agreed as follows:</w:t>
      </w:r>
    </w:p>
    <w:p>
      <w:pPr>
        <w:spacing w:after="0" w:line="153" w:lineRule="exact"/>
        <w:rPr>
          <w:sz w:val="20"/>
          <w:szCs w:val="20"/>
          <w:color w:val="auto"/>
        </w:rPr>
      </w:pPr>
    </w:p>
    <w:p>
      <w:pPr>
        <w:ind w:left="840" w:hanging="198"/>
        <w:spacing w:after="0"/>
        <w:tabs>
          <w:tab w:leader="none" w:pos="840"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Confidential Information</w:t>
      </w:r>
      <w:r>
        <w:rPr>
          <w:rFonts w:ascii="Times New Roman" w:cs="Times New Roman" w:eastAsia="Times New Roman" w:hAnsi="Times New Roman"/>
          <w:sz w:val="19"/>
          <w:szCs w:val="19"/>
          <w:color w:val="auto"/>
        </w:rPr>
        <w:t>.</w:t>
      </w:r>
    </w:p>
    <w:p>
      <w:pPr>
        <w:spacing w:after="0" w:line="236" w:lineRule="exact"/>
        <w:rPr>
          <w:rFonts w:ascii="Times New Roman" w:cs="Times New Roman" w:eastAsia="Times New Roman" w:hAnsi="Times New Roman"/>
          <w:sz w:val="19"/>
          <w:szCs w:val="19"/>
          <w:b w:val="1"/>
          <w:bCs w:val="1"/>
          <w:color w:val="auto"/>
        </w:rPr>
      </w:pPr>
    </w:p>
    <w:p>
      <w:pPr>
        <w:jc w:val="both"/>
        <w:ind w:firstLine="1278"/>
        <w:spacing w:after="0" w:line="249" w:lineRule="auto"/>
        <w:tabs>
          <w:tab w:leader="none" w:pos="161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Employee’s employment with Campbell or its subsidiaries or affiliates, or their successors or assigns, whether existing now or in the future (collectively “Campbell Companies”), Employee will receive and have access to confidential proprietary information about Campbell Companies (“Information”) and its business, including but not limited to information about costs, profits, sales, marketing or business plans, existing or prospective customers, suppliers, possible acquisitions or divestitures, potential new products or markets, personnel, know-how, formulae, recipes, processes, equipment, discoveries, inventions, research, technical or scientific information, and other data not available to the public, none of which is part of the general knowledge of the industry.</w:t>
      </w:r>
    </w:p>
    <w:p>
      <w:pPr>
        <w:spacing w:after="0" w:line="190" w:lineRule="exact"/>
        <w:rPr>
          <w:rFonts w:ascii="Times New Roman" w:cs="Times New Roman" w:eastAsia="Times New Roman" w:hAnsi="Times New Roman"/>
          <w:sz w:val="19"/>
          <w:szCs w:val="19"/>
          <w:color w:val="auto"/>
        </w:rPr>
      </w:pPr>
    </w:p>
    <w:p>
      <w:pPr>
        <w:jc w:val="both"/>
        <w:ind w:firstLine="1278"/>
        <w:spacing w:after="0" w:line="250" w:lineRule="auto"/>
        <w:tabs>
          <w:tab w:leader="none" w:pos="1606"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and after Employee’s employment with Campbell Companies (“Employee’s employment”), Employee will not disclose, use, or appropriate Information for his/her own use or for the use of others, directly or indirectly, except as required in the performance of Employee’s duties to Campbell Companies. Employee recognizes that any unauthorized disclosure, use, or appropriation of Information would be highly prejudicial to Campbell Companies.</w:t>
      </w:r>
    </w:p>
    <w:p>
      <w:pPr>
        <w:spacing w:after="0" w:line="202" w:lineRule="exact"/>
        <w:rPr>
          <w:rFonts w:ascii="Times New Roman" w:cs="Times New Roman" w:eastAsia="Times New Roman" w:hAnsi="Times New Roman"/>
          <w:sz w:val="19"/>
          <w:szCs w:val="19"/>
          <w:color w:val="auto"/>
        </w:rPr>
      </w:pPr>
    </w:p>
    <w:p>
      <w:pPr>
        <w:jc w:val="both"/>
        <w:ind w:firstLine="1278"/>
        <w:spacing w:after="0" w:line="250" w:lineRule="auto"/>
        <w:tabs>
          <w:tab w:leader="none" w:pos="1579"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Employee’s employment terminates for any reason, Employee shall deliver to Campbell Companies, upon request or before Employee’s last day of employment, all originals and copies of files, writings, reports, memoranda, diaries, notebooks, notes of meetings or presentations, data, electronic files and data, drawings, charts, photographs, slides, patents, or any other form of record which contains Information created or produced for, at the direction of or by Campbell Companies, or its employees or agents.</w:t>
      </w:r>
    </w:p>
    <w:p>
      <w:pPr>
        <w:spacing w:after="0" w:line="189" w:lineRule="exact"/>
        <w:rPr>
          <w:rFonts w:ascii="Times New Roman" w:cs="Times New Roman" w:eastAsia="Times New Roman" w:hAnsi="Times New Roman"/>
          <w:sz w:val="19"/>
          <w:szCs w:val="19"/>
          <w:color w:val="auto"/>
        </w:rPr>
      </w:pPr>
    </w:p>
    <w:p>
      <w:pPr>
        <w:jc w:val="both"/>
        <w:ind w:firstLine="1278"/>
        <w:spacing w:after="0" w:line="249" w:lineRule="auto"/>
        <w:tabs>
          <w:tab w:leader="none" w:pos="1643" w:val="left"/>
        </w:tabs>
        <w:numPr>
          <w:ilvl w:val="1"/>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Nothing in this RCA prohibits Employee from reporting possible violations of federal law or regulation to any governmental agency or entity, including but not limited to the Department of Justice, the Securities and Exchange Commission, the Congress, and any agency Inspector General, or making other disclosures that are protected under the whistleblower provisions of state or federal law or regulation. Employees does not need the prior authorization of Campbell to make any such reports or disclosures and employee is am not required to notify Campbell that Employee has made such reports or disclosures.</w:t>
      </w:r>
    </w:p>
    <w:p>
      <w:pPr>
        <w:spacing w:after="0" w:line="200" w:lineRule="exact"/>
        <w:rPr>
          <w:rFonts w:ascii="Times New Roman" w:cs="Times New Roman" w:eastAsia="Times New Roman" w:hAnsi="Times New Roman"/>
          <w:sz w:val="19"/>
          <w:szCs w:val="19"/>
          <w:color w:val="auto"/>
        </w:rPr>
      </w:pPr>
    </w:p>
    <w:p>
      <w:pPr>
        <w:ind w:firstLine="642"/>
        <w:spacing w:after="0" w:line="275" w:lineRule="auto"/>
        <w:tabs>
          <w:tab w:leader="none" w:pos="857" w:val="left"/>
        </w:tabs>
        <w:numPr>
          <w:ilvl w:val="0"/>
          <w:numId w:val="77"/>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Business Diversion</w:t>
      </w:r>
      <w:r>
        <w:rPr>
          <w:rFonts w:ascii="Times New Roman" w:cs="Times New Roman" w:eastAsia="Times New Roman" w:hAnsi="Times New Roman"/>
          <w:sz w:val="19"/>
          <w:szCs w:val="19"/>
          <w:color w:val="auto"/>
        </w:rPr>
        <w:t>. During Employee’s employment, and for a period of 12 months thereafter following the termination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employment (for any reason), Employee will not,</w:t>
      </w:r>
    </w:p>
    <w:p>
      <w:pPr>
        <w:sectPr>
          <w:pgSz w:w="11900" w:h="16838" w:orient="portrait"/>
          <w:cols w:equalWidth="0" w:num="1">
            <w:col w:w="11240"/>
          </w:cols>
          <w:pgMar w:left="320" w:top="1385" w:right="339" w:bottom="1440" w:gutter="0" w:footer="0" w:header="0"/>
        </w:sectPr>
      </w:pPr>
    </w:p>
    <w:bookmarkStart w:id="64" w:name="page65"/>
    <w:bookmarkEnd w:id="64"/>
    <w:p>
      <w:pPr>
        <w:jc w:val="both"/>
        <w:spacing w:after="0" w:line="259" w:lineRule="auto"/>
        <w:rPr>
          <w:sz w:val="20"/>
          <w:szCs w:val="20"/>
          <w:color w:val="auto"/>
        </w:rPr>
      </w:pPr>
      <w:r>
        <w:rPr>
          <w:rFonts w:ascii="Times New Roman" w:cs="Times New Roman" w:eastAsia="Times New Roman" w:hAnsi="Times New Roman"/>
          <w:sz w:val="19"/>
          <w:szCs w:val="19"/>
          <w:color w:val="auto"/>
        </w:rPr>
        <w:t>without the written consent of Campbell’s General Counsel, directly or indirectly, solicit, divert or take away, or attempt to solicit, divert or take away, any customers, business or suppliers of Campbell Companies whom Employee serviced, called upon, or solicited during Employee’s employment, or with whom Employee became acquainted as a result of Employee’s employment.</w:t>
      </w:r>
    </w:p>
    <w:p>
      <w:pPr>
        <w:spacing w:after="0" w:line="176" w:lineRule="exact"/>
        <w:rPr>
          <w:sz w:val="20"/>
          <w:szCs w:val="20"/>
          <w:color w:val="auto"/>
        </w:rPr>
      </w:pPr>
    </w:p>
    <w:p>
      <w:pPr>
        <w:jc w:val="both"/>
        <w:ind w:firstLine="642"/>
        <w:spacing w:after="0" w:line="250" w:lineRule="auto"/>
        <w:tabs>
          <w:tab w:leader="none" w:pos="843" w:val="left"/>
        </w:tabs>
        <w:numPr>
          <w:ilvl w:val="0"/>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Employee Solicitation</w:t>
      </w:r>
      <w:r>
        <w:rPr>
          <w:rFonts w:ascii="Times New Roman" w:cs="Times New Roman" w:eastAsia="Times New Roman" w:hAnsi="Times New Roman"/>
          <w:sz w:val="19"/>
          <w:szCs w:val="19"/>
          <w:color w:val="auto"/>
        </w:rPr>
        <w:t>. During Employee’s employment, and for a period of 12 months thereafter following the termination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employment (for any reason), Employee will not, without the written consent of Campbell’s General Counsel, directly or indirectly, solicit, hire, interfere with, attempt to entice away from Campbell Companies, or recommend for employment outside Campbell Companies, any individual who is employed by Campbell Companies at the time of such solicitation, hiring, interference, or enticement or who voluntarily terminated his/her employment by Campbell Companies within six months of such solicitation, hiring, interference, or enticement.</w:t>
      </w:r>
    </w:p>
    <w:p>
      <w:pPr>
        <w:spacing w:after="0" w:line="187" w:lineRule="exact"/>
        <w:rPr>
          <w:rFonts w:ascii="Times New Roman" w:cs="Times New Roman" w:eastAsia="Times New Roman" w:hAnsi="Times New Roman"/>
          <w:sz w:val="19"/>
          <w:szCs w:val="19"/>
          <w:b w:val="1"/>
          <w:bCs w:val="1"/>
          <w:color w:val="auto"/>
        </w:rPr>
      </w:pPr>
    </w:p>
    <w:p>
      <w:pPr>
        <w:ind w:left="840" w:hanging="198"/>
        <w:spacing w:after="0"/>
        <w:tabs>
          <w:tab w:leader="none" w:pos="840" w:val="left"/>
        </w:tabs>
        <w:numPr>
          <w:ilvl w:val="0"/>
          <w:numId w:val="7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Non-Competition</w:t>
      </w:r>
      <w:r>
        <w:rPr>
          <w:rFonts w:ascii="Times New Roman" w:cs="Times New Roman" w:eastAsia="Times New Roman" w:hAnsi="Times New Roman"/>
          <w:sz w:val="19"/>
          <w:szCs w:val="19"/>
          <w:color w:val="auto"/>
        </w:rPr>
        <w:t>.*</w:t>
      </w:r>
    </w:p>
    <w:p>
      <w:pPr>
        <w:spacing w:after="0" w:line="249" w:lineRule="exact"/>
        <w:rPr>
          <w:rFonts w:ascii="Times New Roman" w:cs="Times New Roman" w:eastAsia="Times New Roman" w:hAnsi="Times New Roman"/>
          <w:sz w:val="19"/>
          <w:szCs w:val="19"/>
          <w:b w:val="1"/>
          <w:bCs w:val="1"/>
          <w:color w:val="auto"/>
        </w:rPr>
      </w:pPr>
    </w:p>
    <w:p>
      <w:pPr>
        <w:jc w:val="both"/>
        <w:ind w:firstLine="1278"/>
        <w:spacing w:after="0" w:line="246" w:lineRule="auto"/>
        <w:tabs>
          <w:tab w:leader="none" w:pos="163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During Employee’s employment, and for a period of 12 months thereafter following the termination of Employee’s employment (for any reason), Employee will not, without the written consent of Campbell’s General Counsel, directly or indirectly, own, advise, manage, operate, join, control, receive compensation or benefits from, or participate in the ownership, management, operation, or control of, or be employed or be otherwise connected in any manner with, any business which directly or indirectly competes (as defined in sub-paragraph 4(b)) with, in any part of the world, the business of Campbell Companies, as conducted or planned by Campbell Companies during Employee’s employment (the “Non-Compete Period”).</w:t>
      </w:r>
    </w:p>
    <w:p>
      <w:pPr>
        <w:spacing w:after="0" w:line="193" w:lineRule="exact"/>
        <w:rPr>
          <w:rFonts w:ascii="Times New Roman" w:cs="Times New Roman" w:eastAsia="Times New Roman" w:hAnsi="Times New Roman"/>
          <w:sz w:val="19"/>
          <w:szCs w:val="19"/>
          <w:color w:val="auto"/>
        </w:rPr>
      </w:pPr>
    </w:p>
    <w:p>
      <w:pPr>
        <w:jc w:val="both"/>
        <w:ind w:firstLine="1278"/>
        <w:spacing w:after="0" w:line="255" w:lineRule="auto"/>
        <w:tabs>
          <w:tab w:leader="none" w:pos="160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“Competes” as used in this RCA means engages in, or plans to engage in, the development, production, manufacture, marketing, or selling of any product or service of any person, business or organization, other than Campbell Companies, which resemble or compete with a product or service of Campbell Companies (or a product or service which, to Employee’s knowledge, was under development by Campbell Companies) during Employee’s employment.</w:t>
      </w:r>
    </w:p>
    <w:p>
      <w:pPr>
        <w:spacing w:after="0" w:line="184" w:lineRule="exact"/>
        <w:rPr>
          <w:rFonts w:ascii="Times New Roman" w:cs="Times New Roman" w:eastAsia="Times New Roman" w:hAnsi="Times New Roman"/>
          <w:sz w:val="19"/>
          <w:szCs w:val="19"/>
          <w:color w:val="auto"/>
        </w:rPr>
      </w:pPr>
    </w:p>
    <w:p>
      <w:pPr>
        <w:jc w:val="both"/>
        <w:ind w:firstLine="1278"/>
        <w:spacing w:after="0" w:line="259" w:lineRule="auto"/>
        <w:tabs>
          <w:tab w:leader="none" w:pos="1606"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prohibited in paragraph 4(A), this RCA will not preclude Employee from ownership of less than 1% of the outstanding shares of any class of shares of any corporations listed on the New York Stock Exchange or the American Stock Exchange or quoted on NASDAQ.</w:t>
      </w:r>
    </w:p>
    <w:p>
      <w:pPr>
        <w:spacing w:after="0" w:line="180" w:lineRule="exact"/>
        <w:rPr>
          <w:rFonts w:ascii="Times New Roman" w:cs="Times New Roman" w:eastAsia="Times New Roman" w:hAnsi="Times New Roman"/>
          <w:sz w:val="19"/>
          <w:szCs w:val="19"/>
          <w:color w:val="auto"/>
        </w:rPr>
      </w:pPr>
    </w:p>
    <w:p>
      <w:pPr>
        <w:ind w:firstLine="1278"/>
        <w:spacing w:after="0" w:line="285" w:lineRule="auto"/>
        <w:tabs>
          <w:tab w:leader="none" w:pos="1590"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acknowledges that any employment or relationship in violation of this RCA would necessarily require Employee to use or rely on Information to which Employee became privy during the course of Employee’s employment with Campbell Companies.</w:t>
      </w:r>
    </w:p>
    <w:p>
      <w:pPr>
        <w:spacing w:after="0" w:line="156" w:lineRule="exact"/>
        <w:rPr>
          <w:rFonts w:ascii="Times New Roman" w:cs="Times New Roman" w:eastAsia="Times New Roman" w:hAnsi="Times New Roman"/>
          <w:sz w:val="19"/>
          <w:szCs w:val="19"/>
          <w:color w:val="auto"/>
        </w:rPr>
      </w:pPr>
    </w:p>
    <w:p>
      <w:pPr>
        <w:jc w:val="both"/>
        <w:ind w:firstLine="1278"/>
        <w:spacing w:after="0" w:line="244" w:lineRule="auto"/>
        <w:tabs>
          <w:tab w:leader="none" w:pos="1568" w:val="left"/>
        </w:tabs>
        <w:numPr>
          <w:ilvl w:val="1"/>
          <w:numId w:val="7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where Employee’s employment is terminated by Campbell Companies “for cause” as defined in the Plan, or where Employee voluntarily terminates Employee’s employment by Campbell Companies, when Employee, despite his/her best efforts, is unable within ninety (90) days after the termination of Employee’s employment to secure other employment not violative of Employee’s obligations under this RCA, Employee will notify Campbell’s General Counsel by registered mail. Unless Campbell Companies notifies Employee in writing that it elects not to enforce paragraph 4 of this RCA, beginning ninety (90) days after termination of Employee’s employment, Campbell Companies shall provide to Employee payments during the Non-Compete Period equal to 100% of Employee’s base salary (exclusive of commissions, bonuses, benefits, allowances, and any other form of compensation) which Employee had been receiving at the termination of Employee’s employment (the “Non-Compete Payments”). The Non-Compete Payments shall continue for as long as Campbell Companies elects to continue to enforce paragraph 4 of this RCA or until such time as Employee finds employment consistent with this RCA.</w:t>
      </w:r>
    </w:p>
    <w:p>
      <w:pPr>
        <w:sectPr>
          <w:pgSz w:w="11900" w:h="16838" w:orient="portrait"/>
          <w:cols w:equalWidth="0" w:num="1">
            <w:col w:w="11240"/>
          </w:cols>
          <w:pgMar w:left="320" w:top="1389" w:right="339" w:bottom="1440" w:gutter="0" w:footer="0" w:header="0"/>
        </w:sectPr>
      </w:pPr>
    </w:p>
    <w:bookmarkStart w:id="65" w:name="page66"/>
    <w:bookmarkEnd w:id="65"/>
    <w:p>
      <w:pPr>
        <w:jc w:val="both"/>
        <w:ind w:left="-642" w:firstLine="1278"/>
        <w:spacing w:after="0" w:line="249" w:lineRule="auto"/>
        <w:tabs>
          <w:tab w:leader="none" w:pos="916"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condition of receiving the Non-Compete Payments, Employee will conscientiously seek employment and will inform Campbell Companies on a monthly basis, in a detailed written account, of all such efforts. Employee understands and agrees that Campbell Companies, in its sole discretion, may elect not to pay Employee for any month for which Employee does not provide an appropriate written account of efforts to secure employment. Additionally, upon obtaining employment consistent with this RCA, Employee will immediately notify Campbell Companies by registered mail, and the Non-Compete Payments shall cease.</w:t>
      </w:r>
    </w:p>
    <w:p>
      <w:pPr>
        <w:spacing w:after="0" w:line="191" w:lineRule="exact"/>
        <w:rPr>
          <w:rFonts w:ascii="Times New Roman" w:cs="Times New Roman" w:eastAsia="Times New Roman" w:hAnsi="Times New Roman"/>
          <w:sz w:val="19"/>
          <w:szCs w:val="19"/>
          <w:color w:val="auto"/>
        </w:rPr>
      </w:pPr>
    </w:p>
    <w:p>
      <w:pPr>
        <w:jc w:val="both"/>
        <w:ind w:left="-642" w:firstLine="1278"/>
        <w:spacing w:after="0" w:line="250" w:lineRule="auto"/>
        <w:tabs>
          <w:tab w:leader="none" w:pos="961"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the forgoing provisions, Campbell Companies, in its sole and absolute discretion, may discontinue the Non-Compete Payments at any time during the Non-Compete Period by releasing Employee of his/her obligations to Campbell Companies under this paragraph 4. The discontinuance by Campbell Companies of Non-Compete Payments shall have no impact on Employee’s other contractual obligations set forth in this RCA including, but not limited to, the post-employment obligations set forth in paragraphs 1-3.</w:t>
      </w:r>
    </w:p>
    <w:p>
      <w:pPr>
        <w:spacing w:after="0" w:line="202" w:lineRule="exact"/>
        <w:rPr>
          <w:rFonts w:ascii="Times New Roman" w:cs="Times New Roman" w:eastAsia="Times New Roman" w:hAnsi="Times New Roman"/>
          <w:sz w:val="19"/>
          <w:szCs w:val="19"/>
          <w:color w:val="auto"/>
        </w:rPr>
      </w:pPr>
    </w:p>
    <w:p>
      <w:pPr>
        <w:jc w:val="both"/>
        <w:ind w:left="-642" w:firstLine="1278"/>
        <w:spacing w:after="0" w:line="265" w:lineRule="auto"/>
        <w:tabs>
          <w:tab w:leader="none" w:pos="974" w:val="left"/>
        </w:tabs>
        <w:numPr>
          <w:ilvl w:val="1"/>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that Employee’s employment is voluntarily terminated or terminated “for cause” as defined in the Plan, Employee shall be required to abide by all of the terms of this RCA including, but not limited to paragraphs 1- 4, without receiving Non-Compete Payments.</w:t>
      </w:r>
    </w:p>
    <w:p>
      <w:pPr>
        <w:spacing w:after="0" w:line="200" w:lineRule="exact"/>
        <w:rPr>
          <w:rFonts w:ascii="Times New Roman" w:cs="Times New Roman" w:eastAsia="Times New Roman" w:hAnsi="Times New Roman"/>
          <w:sz w:val="19"/>
          <w:szCs w:val="19"/>
          <w:color w:val="auto"/>
        </w:rPr>
      </w:pPr>
    </w:p>
    <w:p>
      <w:pPr>
        <w:spacing w:after="0" w:line="201" w:lineRule="exact"/>
        <w:rPr>
          <w:rFonts w:ascii="Times New Roman" w:cs="Times New Roman" w:eastAsia="Times New Roman" w:hAnsi="Times New Roman"/>
          <w:sz w:val="19"/>
          <w:szCs w:val="19"/>
          <w:color w:val="auto"/>
        </w:rPr>
      </w:pPr>
    </w:p>
    <w:p>
      <w:pPr>
        <w:jc w:val="both"/>
        <w:ind w:left="-642" w:firstLine="642"/>
        <w:spacing w:after="0" w:line="247" w:lineRule="auto"/>
        <w:tabs>
          <w:tab w:leader="none" w:pos="201"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Integration of Severance Pay</w:t>
      </w:r>
      <w:r>
        <w:rPr>
          <w:rFonts w:ascii="Times New Roman" w:cs="Times New Roman" w:eastAsia="Times New Roman" w:hAnsi="Times New Roman"/>
          <w:sz w:val="19"/>
          <w:szCs w:val="19"/>
          <w:color w:val="auto"/>
        </w:rPr>
        <w:t>. If Employee receives severance pay from Campbell Companies at the time of the termination of</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Employee’s employment or at any time during the Non-Compete Period, whether under the terms of a severance pay policy or otherwise, the Non-Compete Payments, if any, otherwise payable to Employee under paragraph 4 of this RCA will be integrated with and offset by the severance pay. For the time during which Employee receives any amount of severance pay from Campbell Companies, the Non-Compete Payments, if any, otherwise payable under paragraph 4 of this RCA will be reduced, on a dollar-for-dollar basis (to an amount not less than zero), by the amount of severance pay paid to Employee during that time.</w:t>
      </w:r>
    </w:p>
    <w:p>
      <w:pPr>
        <w:spacing w:after="0" w:line="201" w:lineRule="exact"/>
        <w:rPr>
          <w:rFonts w:ascii="Times New Roman" w:cs="Times New Roman" w:eastAsia="Times New Roman" w:hAnsi="Times New Roman"/>
          <w:sz w:val="19"/>
          <w:szCs w:val="19"/>
          <w:b w:val="1"/>
          <w:bCs w:val="1"/>
          <w:color w:val="auto"/>
        </w:rPr>
      </w:pPr>
    </w:p>
    <w:p>
      <w:pPr>
        <w:ind w:left="198" w:hanging="198"/>
        <w:spacing w:after="0"/>
        <w:tabs>
          <w:tab w:leader="none" w:pos="198"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Notice of Immunity Under the Defend Trade Secrets Act of 2016 (“DTSA”)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Notwithstanding any other provision of this RCA:</w:t>
      </w:r>
    </w:p>
    <w:p>
      <w:pPr>
        <w:spacing w:after="0" w:line="236" w:lineRule="exact"/>
        <w:rPr>
          <w:rFonts w:ascii="Times New Roman" w:cs="Times New Roman" w:eastAsia="Times New Roman" w:hAnsi="Times New Roman"/>
          <w:sz w:val="19"/>
          <w:szCs w:val="19"/>
          <w:b w:val="1"/>
          <w:bCs w:val="1"/>
          <w:color w:val="auto"/>
        </w:rPr>
      </w:pPr>
    </w:p>
    <w:p>
      <w:pPr>
        <w:jc w:val="both"/>
        <w:ind w:left="-642" w:firstLine="1278"/>
        <w:spacing w:after="0" w:line="250" w:lineRule="auto"/>
        <w:tabs>
          <w:tab w:leader="none" w:pos="948"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will not be held criminally or civilly liable under any federal or state trade secret law for any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that is filed under seal in a lawsuit or other proceeding.</w:t>
      </w:r>
    </w:p>
    <w:p>
      <w:pPr>
        <w:spacing w:after="0" w:line="202" w:lineRule="exact"/>
        <w:rPr>
          <w:rFonts w:ascii="Times New Roman" w:cs="Times New Roman" w:eastAsia="Times New Roman" w:hAnsi="Times New Roman"/>
          <w:sz w:val="19"/>
          <w:szCs w:val="19"/>
          <w:color w:val="auto"/>
        </w:rPr>
      </w:pPr>
    </w:p>
    <w:p>
      <w:pPr>
        <w:jc w:val="both"/>
        <w:ind w:left="-642" w:firstLine="1278"/>
        <w:spacing w:after="0" w:line="251" w:lineRule="auto"/>
        <w:tabs>
          <w:tab w:leader="none" w:pos="950"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Employee files a lawsuit for retaliation by Campbell Companies for reporting a suspected violation of law, Employee may disclose Campbell Companies’ trade secrets to Employee’s attorney and use the trade secret information in the court proceeding if Employee: (i) files any document containing the trade secret under seal; and (ii) does not disclose the trade secret, except pursuant to court order.</w:t>
      </w:r>
    </w:p>
    <w:p>
      <w:pPr>
        <w:spacing w:after="0" w:line="200" w:lineRule="exact"/>
        <w:rPr>
          <w:rFonts w:ascii="Times New Roman" w:cs="Times New Roman" w:eastAsia="Times New Roman" w:hAnsi="Times New Roman"/>
          <w:sz w:val="19"/>
          <w:szCs w:val="19"/>
          <w:color w:val="auto"/>
        </w:rPr>
      </w:pPr>
    </w:p>
    <w:p>
      <w:pPr>
        <w:spacing w:after="0" w:line="210" w:lineRule="exact"/>
        <w:rPr>
          <w:rFonts w:ascii="Times New Roman" w:cs="Times New Roman" w:eastAsia="Times New Roman" w:hAnsi="Times New Roman"/>
          <w:sz w:val="19"/>
          <w:szCs w:val="19"/>
          <w:color w:val="auto"/>
        </w:rPr>
      </w:pPr>
    </w:p>
    <w:p>
      <w:pPr>
        <w:ind w:left="198" w:hanging="198"/>
        <w:spacing w:after="0"/>
        <w:tabs>
          <w:tab w:leader="none" w:pos="198" w:val="left"/>
        </w:tabs>
        <w:numPr>
          <w:ilvl w:val="0"/>
          <w:numId w:val="80"/>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Enforcement of RCA</w:t>
      </w:r>
      <w:r>
        <w:rPr>
          <w:rFonts w:ascii="Times New Roman" w:cs="Times New Roman" w:eastAsia="Times New Roman" w:hAnsi="Times New Roman"/>
          <w:sz w:val="19"/>
          <w:szCs w:val="19"/>
          <w:b w:val="1"/>
          <w:bCs w:val="1"/>
          <w:color w:val="auto"/>
        </w:rPr>
        <w:t>.</w:t>
      </w:r>
    </w:p>
    <w:p>
      <w:pPr>
        <w:spacing w:after="0" w:line="249" w:lineRule="exact"/>
        <w:rPr>
          <w:rFonts w:ascii="Times New Roman" w:cs="Times New Roman" w:eastAsia="Times New Roman" w:hAnsi="Times New Roman"/>
          <w:sz w:val="19"/>
          <w:szCs w:val="19"/>
          <w:b w:val="1"/>
          <w:bCs w:val="1"/>
          <w:color w:val="auto"/>
        </w:rPr>
      </w:pPr>
    </w:p>
    <w:p>
      <w:pPr>
        <w:jc w:val="both"/>
        <w:ind w:left="-642" w:firstLine="1278"/>
        <w:spacing w:after="0" w:line="246" w:lineRule="auto"/>
        <w:tabs>
          <w:tab w:leader="none" w:pos="948" w:val="left"/>
        </w:tabs>
        <w:numPr>
          <w:ilvl w:val="1"/>
          <w:numId w:val="8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Employee agrees that the restrictions in this RCA are necessary to protect the legitimate interests of Campbell Companies, and impose no undue hardship on Employee. Employee further agrees that the breach or threatened breach of any provision of this RCA will result in irreparable injury to Campbell Companies, for which there is no adequate remedy at law. Employee consents to the issuance of any restraining or preliminary restraining order or injunction which arises from, directly or indirectly, any use, disclosure, or conduct by Employee in violation of this RCA without the need for the posting of a bond. Employee agrees that, if Campbell Companies prevail in any suit or proceeding under</w:t>
      </w:r>
    </w:p>
    <w:p>
      <w:pPr>
        <w:sectPr>
          <w:pgSz w:w="11900" w:h="16838" w:orient="portrait"/>
          <w:cols w:equalWidth="0" w:num="1">
            <w:col w:w="10598"/>
          </w:cols>
          <w:pgMar w:left="962" w:top="1389" w:right="339" w:bottom="1440" w:gutter="0" w:footer="0" w:header="0"/>
        </w:sectPr>
      </w:pPr>
    </w:p>
    <w:bookmarkStart w:id="66" w:name="page67"/>
    <w:bookmarkEnd w:id="66"/>
    <w:p>
      <w:pPr>
        <w:jc w:val="both"/>
        <w:spacing w:after="0" w:line="259" w:lineRule="auto"/>
        <w:rPr>
          <w:sz w:val="20"/>
          <w:szCs w:val="20"/>
          <w:color w:val="auto"/>
        </w:rPr>
      </w:pPr>
      <w:r>
        <w:rPr>
          <w:rFonts w:ascii="Times New Roman" w:cs="Times New Roman" w:eastAsia="Times New Roman" w:hAnsi="Times New Roman"/>
          <w:sz w:val="19"/>
          <w:szCs w:val="19"/>
          <w:color w:val="auto"/>
        </w:rPr>
        <w:t>this RCA, Employee will pay Campbell Companies all of Campbell Companies’ attorney fees, costs, and expenses incurred in connection with such suit or proceeding or the enforcement of Campbell Companies’ rights under this RCA, regardless of whether the scope of the no-compete is reformed by the court.</w:t>
      </w:r>
    </w:p>
    <w:p>
      <w:pPr>
        <w:spacing w:after="0" w:line="180" w:lineRule="exact"/>
        <w:rPr>
          <w:sz w:val="20"/>
          <w:szCs w:val="20"/>
          <w:color w:val="auto"/>
        </w:rPr>
      </w:pPr>
    </w:p>
    <w:p>
      <w:pPr>
        <w:jc w:val="both"/>
        <w:ind w:firstLine="1278"/>
        <w:spacing w:after="0" w:line="255" w:lineRule="auto"/>
        <w:tabs>
          <w:tab w:leader="none" w:pos="1592" w:val="left"/>
        </w:tabs>
        <w:numPr>
          <w:ilvl w:val="1"/>
          <w:numId w:val="8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RCA and all terms of Employee’s employment shall be governed by, construed and enforced in accordance with the laws of the State of New Jersey, without giving effect to conflict of law principles. Each party irrevocably agrees that any legal proceeding arising out of, or relating to the subject matter of, this RCA shall be brought in the Superior Court of New Jersey in Camden County or the United States District Court of New Jersey, Camden Vicinage. Each party irrevocably consents to such jurisdiction and venue.</w:t>
      </w:r>
    </w:p>
    <w:p>
      <w:pPr>
        <w:spacing w:after="0" w:line="180" w:lineRule="exact"/>
        <w:rPr>
          <w:rFonts w:ascii="Times New Roman" w:cs="Times New Roman" w:eastAsia="Times New Roman" w:hAnsi="Times New Roman"/>
          <w:sz w:val="19"/>
          <w:szCs w:val="19"/>
          <w:color w:val="auto"/>
        </w:rPr>
      </w:pPr>
    </w:p>
    <w:p>
      <w:pPr>
        <w:ind w:left="840" w:hanging="198"/>
        <w:spacing w:after="0"/>
        <w:tabs>
          <w:tab w:leader="none" w:pos="840"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Survival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RCA shall survive the termination of Employee’s employment for any reason.</w:t>
      </w:r>
    </w:p>
    <w:p>
      <w:pPr>
        <w:spacing w:after="0" w:line="232" w:lineRule="exact"/>
        <w:rPr>
          <w:rFonts w:ascii="Times New Roman" w:cs="Times New Roman" w:eastAsia="Times New Roman" w:hAnsi="Times New Roman"/>
          <w:sz w:val="19"/>
          <w:szCs w:val="19"/>
          <w:b w:val="1"/>
          <w:bCs w:val="1"/>
          <w:color w:val="auto"/>
        </w:rPr>
      </w:pPr>
    </w:p>
    <w:p>
      <w:pPr>
        <w:ind w:firstLine="642"/>
        <w:spacing w:after="0" w:line="289" w:lineRule="auto"/>
        <w:tabs>
          <w:tab w:leader="none" w:pos="870"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No Contract of Employment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RCA is not a contract of employment, nor does it impose on Campbell Companies 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 to retain Employee in its employ. To the contrary, Employee is an employee-at-will.</w:t>
      </w:r>
    </w:p>
    <w:p>
      <w:pPr>
        <w:spacing w:after="0" w:line="149"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941"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Reform of RCA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No provision of this RCA may be amended or waived unless agreed to in writing and signed by the General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Counsel of Campbell. The failure to exercise, or delay in exercising, any right, power, or remedy under this RCA shall not waive any right, power, or remedy which Campbell has under this RCA.</w:t>
      </w:r>
    </w:p>
    <w:p>
      <w:pPr>
        <w:spacing w:after="0" w:line="174" w:lineRule="exact"/>
        <w:rPr>
          <w:rFonts w:ascii="Times New Roman" w:cs="Times New Roman" w:eastAsia="Times New Roman" w:hAnsi="Times New Roman"/>
          <w:sz w:val="19"/>
          <w:szCs w:val="19"/>
          <w:b w:val="1"/>
          <w:bCs w:val="1"/>
          <w:color w:val="auto"/>
        </w:rPr>
      </w:pPr>
    </w:p>
    <w:p>
      <w:pPr>
        <w:jc w:val="both"/>
        <w:ind w:firstLine="642"/>
        <w:spacing w:after="0" w:line="256" w:lineRule="auto"/>
        <w:tabs>
          <w:tab w:leader="none" w:pos="917"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Severability or Reform by Court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In the event that any provision of this RCA is deemed by a court to be broader than permitted by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applicable law, then such provision shall be reformed so that it is enforceable to the fullest extent permitted by applicable law. If any provision of this RCA shall be declared by a court to be invalid or unenforceable to any extent, the validity or enforceability of the remaining provisions of this RCA shall not be affected.</w:t>
      </w:r>
    </w:p>
    <w:p>
      <w:pPr>
        <w:spacing w:after="0" w:line="180" w:lineRule="exact"/>
        <w:rPr>
          <w:rFonts w:ascii="Times New Roman" w:cs="Times New Roman" w:eastAsia="Times New Roman" w:hAnsi="Times New Roman"/>
          <w:sz w:val="19"/>
          <w:szCs w:val="19"/>
          <w:b w:val="1"/>
          <w:bCs w:val="1"/>
          <w:color w:val="auto"/>
        </w:rPr>
      </w:pPr>
    </w:p>
    <w:p>
      <w:pPr>
        <w:jc w:val="both"/>
        <w:ind w:firstLine="642"/>
        <w:spacing w:after="0" w:line="261" w:lineRule="auto"/>
        <w:tabs>
          <w:tab w:leader="none" w:pos="941" w:val="left"/>
        </w:tabs>
        <w:numPr>
          <w:ilvl w:val="0"/>
          <w:numId w:val="82"/>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u w:val="single" w:color="auto"/>
          <w:color w:val="auto"/>
        </w:rPr>
        <w:t>Entire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This RCA constitutes the entire understanding between the parties to this RCA with respect to Employee’s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obligations in connection with the receipt and acceptance of the LTI award. Unless specified, this RCA does not supersede any prior agreements, understandings and arrangements, oral or written, between the parties.</w:t>
      </w:r>
    </w:p>
    <w:p>
      <w:pPr>
        <w:spacing w:after="0" w:line="175"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9"/>
          <w:szCs w:val="19"/>
          <w:b w:val="1"/>
          <w:bCs w:val="1"/>
          <w:color w:val="auto"/>
        </w:rPr>
        <w:t>EMPLOYEE ACKNOWLEDGES THAT HE/SHE HAS READ THE ABOVE RCA AND HAS BEEN GIVEN ADEQUATE TIME TO CONSULT WITH AN ATTORNEY OR OTHER ADVISOR OF HIS/HER CHOICE.</w:t>
      </w:r>
    </w:p>
    <w:p>
      <w:pPr>
        <w:spacing w:after="0" w:line="167" w:lineRule="exact"/>
        <w:rPr>
          <w:sz w:val="20"/>
          <w:szCs w:val="20"/>
          <w:color w:val="auto"/>
        </w:rPr>
      </w:pPr>
    </w:p>
    <w:p>
      <w:pPr>
        <w:ind w:right="560" w:firstLine="6"/>
        <w:spacing w:after="0" w:line="285" w:lineRule="auto"/>
        <w:tabs>
          <w:tab w:leader="none" w:pos="146" w:val="left"/>
        </w:tabs>
        <w:numPr>
          <w:ilvl w:val="0"/>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accordance with New Jersey law, this paragraph 4 shall not apply to employees of the Company who are employed in the capacity of attorneys.</w:t>
      </w:r>
    </w:p>
    <w:p>
      <w:pPr>
        <w:sectPr>
          <w:pgSz w:w="11900" w:h="16838" w:orient="portrait"/>
          <w:cols w:equalWidth="0" w:num="1">
            <w:col w:w="11240"/>
          </w:cols>
          <w:pgMar w:left="320" w:top="1389"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b w:val="1"/>
          <w:bCs w:val="1"/>
          <w:color w:val="auto"/>
        </w:rPr>
        <w:t>CAMPBELL SOUP COMPANY</w:t>
      </w:r>
    </w:p>
    <w:p>
      <w:pPr>
        <w:spacing w:after="0" w:line="200" w:lineRule="exact"/>
        <w:rPr>
          <w:sz w:val="20"/>
          <w:szCs w:val="20"/>
          <w:color w:val="auto"/>
        </w:rPr>
      </w:pPr>
    </w:p>
    <w:p>
      <w:pPr>
        <w:spacing w:after="0" w:line="28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21"/>
          <w:szCs w:val="21"/>
          <w:b w:val="1"/>
          <w:bCs w:val="1"/>
          <w:color w:val="auto"/>
        </w:rPr>
        <w:t>Supplemental Retirement Plan</w:t>
      </w:r>
    </w:p>
    <w:p>
      <w:pPr>
        <w:spacing w:after="0" w:line="240"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21"/>
          <w:szCs w:val="21"/>
          <w:color w:val="auto"/>
        </w:rPr>
        <w:t>As Amended and Restated Effective as of October 1, 2024</w:t>
      </w:r>
    </w:p>
    <w:p>
      <w:pPr>
        <w:sectPr>
          <w:pgSz w:w="11900" w:h="16838" w:orient="portrait"/>
          <w:cols w:equalWidth="0" w:num="1">
            <w:col w:w="10120"/>
          </w:cols>
          <w:pgMar w:left="1440" w:top="358" w:right="339" w:bottom="1440" w:gutter="0" w:footer="0" w:header="0"/>
        </w:sectPr>
      </w:pPr>
    </w:p>
    <w:bookmarkStart w:id="68" w:name="page69"/>
    <w:bookmarkEnd w:id="68"/>
    <w:p>
      <w:pPr>
        <w:jc w:val="center"/>
        <w:spacing w:after="0"/>
        <w:rPr>
          <w:sz w:val="20"/>
          <w:szCs w:val="20"/>
          <w:color w:val="auto"/>
        </w:rPr>
      </w:pPr>
      <w:r>
        <w:rPr>
          <w:rFonts w:ascii="Times New Roman" w:cs="Times New Roman" w:eastAsia="Times New Roman" w:hAnsi="Times New Roman"/>
          <w:sz w:val="21"/>
          <w:szCs w:val="21"/>
          <w:b w:val="1"/>
          <w:bCs w:val="1"/>
          <w:color w:val="auto"/>
        </w:rPr>
        <w:t>CAMPBELL SOUP COMPANY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SUPPLEMENTAL RETIREMENT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As Amended and Restated Effective as of October 1, 2024</w:t>
      </w:r>
    </w:p>
    <w:p>
      <w:pPr>
        <w:spacing w:after="0" w:line="262" w:lineRule="exact"/>
        <w:rPr>
          <w:sz w:val="20"/>
          <w:szCs w:val="20"/>
          <w:color w:val="auto"/>
        </w:rPr>
      </w:pPr>
    </w:p>
    <w:p>
      <w:pPr>
        <w:ind w:right="60" w:firstLine="636"/>
        <w:spacing w:after="0" w:line="258" w:lineRule="auto"/>
        <w:rPr>
          <w:sz w:val="20"/>
          <w:szCs w:val="20"/>
          <w:color w:val="auto"/>
        </w:rPr>
      </w:pPr>
      <w:r>
        <w:rPr>
          <w:rFonts w:ascii="Times New Roman" w:cs="Times New Roman" w:eastAsia="Times New Roman" w:hAnsi="Times New Roman"/>
          <w:sz w:val="21"/>
          <w:szCs w:val="21"/>
          <w:color w:val="auto"/>
        </w:rPr>
        <w:t>The Campbell Soup Company Supplemental Retirement Plan (the “Plan”) is designed for Eligible Executives of Campbell Soup Company to provide an additional method of planning for retirement and other significant saving needs with respect to amounts deferred or vested after 2004. The Plan is intended to (1) comply with section 409A of the Internal Revenue Code (the “Code”) and official guidance issued thereunder, and (2) with respect to Eligible Executives who are employed by the Company, be an “unfunded” plan maintained for the purpose of providing deferred compensation to a select group of management or highly compensated employees for purposes of Title I of the Employee Retirement Income Security Act of 1974. Notwithstanding any other provision of this Plan, this Plan shall be interpreted, operated, and administered in a manner consistent with these intentions.</w:t>
      </w:r>
    </w:p>
    <w:p>
      <w:pPr>
        <w:spacing w:after="0" w:line="197" w:lineRule="exact"/>
        <w:rPr>
          <w:sz w:val="20"/>
          <w:szCs w:val="20"/>
          <w:color w:val="auto"/>
        </w:rPr>
      </w:pPr>
    </w:p>
    <w:p>
      <w:pPr>
        <w:ind w:firstLine="636"/>
        <w:spacing w:after="0" w:line="257" w:lineRule="auto"/>
        <w:rPr>
          <w:sz w:val="20"/>
          <w:szCs w:val="20"/>
          <w:color w:val="auto"/>
        </w:rPr>
      </w:pPr>
      <w:r>
        <w:rPr>
          <w:rFonts w:ascii="Times New Roman" w:cs="Times New Roman" w:eastAsia="Times New Roman" w:hAnsi="Times New Roman"/>
          <w:sz w:val="21"/>
          <w:szCs w:val="21"/>
          <w:color w:val="auto"/>
        </w:rPr>
        <w:t>The Plan was originally effective as of January 1, 2009 (and known as the Campbell Soup Company Deferred Compensation Plan II) and was established based on the terms and conditions of the Campbell Soup Company Deferred Compensation Plan effective November 18, 1999 (the “Prior Plan”). The terms and conditions of the Prior Plan, to the extent such terms and conditions were applied in reasonably good faith compliance with Code section 409A, governed the determination, deferral and distribution of benefits payable to Participants (and their Beneficiaries) under the Prior Plan during the transition period under Code section 409A. Any amounts (including earnings) that were earned or vested after 2004 under the Prior Plan and that remained unpaid on January 1, 2009 shall be subject to the terms and conditions of this Plan. Amounts that were earned and vested under the Prior Plan as of December 31, 2004, including earnings thereon, shall be considered Grandfathered Amounts, and thereby, exempt from the requirements under Code section 409A. These Grandfathered Amounts shall remain subject to the terms and conditions of the Prior Plan in effect on October 3, 2004.</w:t>
      </w:r>
    </w:p>
    <w:p>
      <w:pPr>
        <w:sectPr>
          <w:pgSz w:w="11900" w:h="16838" w:orient="portrait"/>
          <w:cols w:equalWidth="0" w:num="1">
            <w:col w:w="11240"/>
          </w:cols>
          <w:pgMar w:left="320" w:top="1393" w:right="339" w:bottom="1440" w:gutter="0" w:footer="0" w:header="0"/>
        </w:sectPr>
      </w:pPr>
    </w:p>
    <w:bookmarkStart w:id="69" w:name="page70"/>
    <w:bookmarkEnd w:id="69"/>
    <w:p>
      <w:pPr>
        <w:ind w:left="5400"/>
        <w:spacing w:after="0"/>
        <w:rPr>
          <w:sz w:val="20"/>
          <w:szCs w:val="20"/>
          <w:color w:val="auto"/>
        </w:rPr>
      </w:pPr>
      <w:r>
        <w:rPr>
          <w:rFonts w:ascii="Times New Roman" w:cs="Times New Roman" w:eastAsia="Times New Roman" w:hAnsi="Times New Roman"/>
          <w:sz w:val="21"/>
          <w:szCs w:val="21"/>
          <w:b w:val="1"/>
          <w:bCs w:val="1"/>
          <w:color w:val="auto"/>
        </w:rPr>
        <w:t>ARTICLE I</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DEFINITIONS</w:t>
      </w:r>
    </w:p>
    <w:p>
      <w:pPr>
        <w:spacing w:after="0" w:line="25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Unless the context otherwise requires, the following words and phrases as used herein shall have the following meanings:</w:t>
      </w:r>
    </w:p>
    <w:p>
      <w:pPr>
        <w:spacing w:after="0" w:line="25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§1.1 “</w:t>
      </w:r>
      <w:r>
        <w:rPr>
          <w:rFonts w:ascii="Times New Roman" w:cs="Times New Roman" w:eastAsia="Times New Roman" w:hAnsi="Times New Roman"/>
          <w:sz w:val="21"/>
          <w:szCs w:val="21"/>
          <w:b w:val="1"/>
          <w:bCs w:val="1"/>
          <w:color w:val="auto"/>
        </w:rPr>
        <w:t>401(k) Plan</w:t>
      </w:r>
      <w:r>
        <w:rPr>
          <w:rFonts w:ascii="Times New Roman" w:cs="Times New Roman" w:eastAsia="Times New Roman" w:hAnsi="Times New Roman"/>
          <w:sz w:val="21"/>
          <w:szCs w:val="21"/>
          <w:color w:val="auto"/>
        </w:rPr>
        <w:t>” means the Campbell Soup Company 401(k) Retirement Plan or a successor plan.</w:t>
      </w:r>
    </w:p>
    <w:p>
      <w:pPr>
        <w:spacing w:after="0" w:line="249" w:lineRule="exact"/>
        <w:rPr>
          <w:sz w:val="20"/>
          <w:szCs w:val="20"/>
          <w:color w:val="auto"/>
        </w:rPr>
      </w:pPr>
    </w:p>
    <w:p>
      <w:pPr>
        <w:ind w:firstLine="636"/>
        <w:spacing w:after="0" w:line="269" w:lineRule="auto"/>
        <w:rPr>
          <w:sz w:val="20"/>
          <w:szCs w:val="20"/>
          <w:color w:val="auto"/>
        </w:rPr>
      </w:pPr>
      <w:r>
        <w:rPr>
          <w:rFonts w:ascii="Times New Roman" w:cs="Times New Roman" w:eastAsia="Times New Roman" w:hAnsi="Times New Roman"/>
          <w:sz w:val="21"/>
          <w:szCs w:val="21"/>
          <w:color w:val="auto"/>
        </w:rPr>
        <w:t>§1.2 “</w:t>
      </w:r>
      <w:r>
        <w:rPr>
          <w:rFonts w:ascii="Times New Roman" w:cs="Times New Roman" w:eastAsia="Times New Roman" w:hAnsi="Times New Roman"/>
          <w:sz w:val="21"/>
          <w:szCs w:val="21"/>
          <w:b w:val="1"/>
          <w:bCs w:val="1"/>
          <w:color w:val="auto"/>
        </w:rPr>
        <w:t>Account Balance</w:t>
      </w:r>
      <w:r>
        <w:rPr>
          <w:rFonts w:ascii="Times New Roman" w:cs="Times New Roman" w:eastAsia="Times New Roman" w:hAnsi="Times New Roman"/>
          <w:sz w:val="21"/>
          <w:szCs w:val="21"/>
          <w:color w:val="auto"/>
        </w:rPr>
        <w:t>” means the total amount credited to the bookkeeping Investment Accounts in which Contributions are maintained for a Participant, including earnings thereon. The Account Balance shall include any amounts earned or vested under the Prior Plan after December 31, 2004, including earnings thereon.</w:t>
      </w:r>
    </w:p>
    <w:p>
      <w:pPr>
        <w:spacing w:after="0" w:line="182" w:lineRule="exact"/>
        <w:rPr>
          <w:sz w:val="20"/>
          <w:szCs w:val="20"/>
          <w:color w:val="auto"/>
        </w:rPr>
      </w:pPr>
    </w:p>
    <w:p>
      <w:pPr>
        <w:ind w:right="120" w:firstLine="636"/>
        <w:spacing w:after="0" w:line="302" w:lineRule="auto"/>
        <w:rPr>
          <w:sz w:val="20"/>
          <w:szCs w:val="20"/>
          <w:color w:val="auto"/>
        </w:rPr>
      </w:pPr>
      <w:r>
        <w:rPr>
          <w:rFonts w:ascii="Times New Roman" w:cs="Times New Roman" w:eastAsia="Times New Roman" w:hAnsi="Times New Roman"/>
          <w:sz w:val="21"/>
          <w:szCs w:val="21"/>
          <w:color w:val="auto"/>
        </w:rPr>
        <w:t>§1.3 “</w:t>
      </w:r>
      <w:r>
        <w:rPr>
          <w:rFonts w:ascii="Times New Roman" w:cs="Times New Roman" w:eastAsia="Times New Roman" w:hAnsi="Times New Roman"/>
          <w:sz w:val="21"/>
          <w:szCs w:val="21"/>
          <w:b w:val="1"/>
          <w:bCs w:val="1"/>
          <w:color w:val="auto"/>
        </w:rPr>
        <w:t>Annual Incentive Compensation</w:t>
      </w:r>
      <w:r>
        <w:rPr>
          <w:rFonts w:ascii="Times New Roman" w:cs="Times New Roman" w:eastAsia="Times New Roman" w:hAnsi="Times New Roman"/>
          <w:sz w:val="21"/>
          <w:szCs w:val="21"/>
          <w:color w:val="auto"/>
        </w:rPr>
        <w:t>” means any Employer annual incentive program or sales incentive program which the Plan Administrator has approved for deferral under the Plan, including the Campbell Soup Company Annual Incentive Plan.</w:t>
      </w:r>
    </w:p>
    <w:p>
      <w:pPr>
        <w:spacing w:after="0" w:line="148" w:lineRule="exact"/>
        <w:rPr>
          <w:sz w:val="20"/>
          <w:szCs w:val="20"/>
          <w:color w:val="auto"/>
        </w:rPr>
      </w:pPr>
    </w:p>
    <w:p>
      <w:pPr>
        <w:ind w:right="180" w:firstLine="636"/>
        <w:spacing w:after="0" w:line="263" w:lineRule="auto"/>
        <w:rPr>
          <w:sz w:val="20"/>
          <w:szCs w:val="20"/>
          <w:color w:val="auto"/>
        </w:rPr>
      </w:pPr>
      <w:r>
        <w:rPr>
          <w:rFonts w:ascii="Times New Roman" w:cs="Times New Roman" w:eastAsia="Times New Roman" w:hAnsi="Times New Roman"/>
          <w:sz w:val="21"/>
          <w:szCs w:val="21"/>
          <w:color w:val="auto"/>
        </w:rPr>
        <w:t>§1.4 “</w:t>
      </w:r>
      <w:r>
        <w:rPr>
          <w:rFonts w:ascii="Times New Roman" w:cs="Times New Roman" w:eastAsia="Times New Roman" w:hAnsi="Times New Roman"/>
          <w:sz w:val="21"/>
          <w:szCs w:val="21"/>
          <w:b w:val="1"/>
          <w:bCs w:val="1"/>
          <w:color w:val="auto"/>
        </w:rPr>
        <w:t>Beneficiary</w:t>
      </w:r>
      <w:r>
        <w:rPr>
          <w:rFonts w:ascii="Times New Roman" w:cs="Times New Roman" w:eastAsia="Times New Roman" w:hAnsi="Times New Roman"/>
          <w:sz w:val="21"/>
          <w:szCs w:val="21"/>
          <w:color w:val="auto"/>
        </w:rPr>
        <w:t>” means the person that the Participant designates to receive any unpaid portion of the Participant's Account Balance should the Participant's death occur before the Participant receives the entire Account Balance. If the Participant does not designate a beneficiary, the Participant's Beneficiary shall be his or her spouse if the Participant is married at the time of death, or the Participant's estate if he or she is unmarried at the time of death.</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§1.5 “</w:t>
      </w:r>
      <w:r>
        <w:rPr>
          <w:rFonts w:ascii="Times New Roman" w:cs="Times New Roman" w:eastAsia="Times New Roman" w:hAnsi="Times New Roman"/>
          <w:sz w:val="21"/>
          <w:szCs w:val="21"/>
          <w:b w:val="1"/>
          <w:bCs w:val="1"/>
          <w:color w:val="auto"/>
        </w:rPr>
        <w:t>Board of Directors</w:t>
      </w:r>
      <w:r>
        <w:rPr>
          <w:rFonts w:ascii="Times New Roman" w:cs="Times New Roman" w:eastAsia="Times New Roman" w:hAnsi="Times New Roman"/>
          <w:sz w:val="21"/>
          <w:szCs w:val="21"/>
          <w:color w:val="auto"/>
        </w:rPr>
        <w:t>” means the board of directors of Campbell Soup Company.</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§1.6 “</w:t>
      </w:r>
      <w:r>
        <w:rPr>
          <w:rFonts w:ascii="Times New Roman" w:cs="Times New Roman" w:eastAsia="Times New Roman" w:hAnsi="Times New Roman"/>
          <w:sz w:val="21"/>
          <w:szCs w:val="21"/>
          <w:b w:val="1"/>
          <w:bCs w:val="1"/>
          <w:color w:val="auto"/>
        </w:rPr>
        <w:t>Campbell Stock</w:t>
      </w:r>
      <w:r>
        <w:rPr>
          <w:rFonts w:ascii="Times New Roman" w:cs="Times New Roman" w:eastAsia="Times New Roman" w:hAnsi="Times New Roman"/>
          <w:sz w:val="21"/>
          <w:szCs w:val="21"/>
          <w:color w:val="auto"/>
        </w:rPr>
        <w:t>” means capital stock of Campbell Soup Company.</w:t>
      </w:r>
    </w:p>
    <w:p>
      <w:pPr>
        <w:spacing w:after="0" w:line="249" w:lineRule="exact"/>
        <w:rPr>
          <w:sz w:val="20"/>
          <w:szCs w:val="20"/>
          <w:color w:val="auto"/>
        </w:rPr>
      </w:pPr>
    </w:p>
    <w:p>
      <w:pPr>
        <w:ind w:right="40" w:firstLine="636"/>
        <w:spacing w:after="0" w:line="289" w:lineRule="auto"/>
        <w:rPr>
          <w:sz w:val="20"/>
          <w:szCs w:val="20"/>
          <w:color w:val="auto"/>
        </w:rPr>
      </w:pPr>
      <w:r>
        <w:rPr>
          <w:rFonts w:ascii="Times New Roman" w:cs="Times New Roman" w:eastAsia="Times New Roman" w:hAnsi="Times New Roman"/>
          <w:sz w:val="21"/>
          <w:szCs w:val="21"/>
          <w:color w:val="auto"/>
        </w:rPr>
        <w:t>§1.7 “</w:t>
      </w:r>
      <w:r>
        <w:rPr>
          <w:rFonts w:ascii="Times New Roman" w:cs="Times New Roman" w:eastAsia="Times New Roman" w:hAnsi="Times New Roman"/>
          <w:sz w:val="21"/>
          <w:szCs w:val="21"/>
          <w:b w:val="1"/>
          <w:bCs w:val="1"/>
          <w:color w:val="auto"/>
        </w:rPr>
        <w:t>Campbell Stock Account</w:t>
      </w:r>
      <w:r>
        <w:rPr>
          <w:rFonts w:ascii="Times New Roman" w:cs="Times New Roman" w:eastAsia="Times New Roman" w:hAnsi="Times New Roman"/>
          <w:sz w:val="21"/>
          <w:szCs w:val="21"/>
          <w:color w:val="auto"/>
        </w:rPr>
        <w:t>” means an account in which deferred amounts are valued as if they were invested in a fund that tracks Campbell Stock.</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§1.8 “</w:t>
      </w:r>
      <w:r>
        <w:rPr>
          <w:rFonts w:ascii="Times New Roman" w:cs="Times New Roman" w:eastAsia="Times New Roman" w:hAnsi="Times New Roman"/>
          <w:sz w:val="21"/>
          <w:szCs w:val="21"/>
          <w:b w:val="1"/>
          <w:b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249" w:lineRule="exact"/>
        <w:rPr>
          <w:sz w:val="20"/>
          <w:szCs w:val="20"/>
          <w:color w:val="auto"/>
        </w:rPr>
      </w:pPr>
    </w:p>
    <w:p>
      <w:pPr>
        <w:ind w:right="260" w:firstLine="636"/>
        <w:spacing w:after="0" w:line="276" w:lineRule="auto"/>
        <w:rPr>
          <w:sz w:val="20"/>
          <w:szCs w:val="20"/>
          <w:color w:val="auto"/>
        </w:rPr>
      </w:pPr>
      <w:r>
        <w:rPr>
          <w:rFonts w:ascii="Times New Roman" w:cs="Times New Roman" w:eastAsia="Times New Roman" w:hAnsi="Times New Roman"/>
          <w:sz w:val="21"/>
          <w:szCs w:val="21"/>
          <w:color w:val="auto"/>
        </w:rPr>
        <w:t>§1.9 “</w:t>
      </w:r>
      <w:r>
        <w:rPr>
          <w:rFonts w:ascii="Times New Roman" w:cs="Times New Roman" w:eastAsia="Times New Roman" w:hAnsi="Times New Roman"/>
          <w:sz w:val="21"/>
          <w:szCs w:val="21"/>
          <w:b w:val="1"/>
          <w:bCs w:val="1"/>
          <w:color w:val="auto"/>
        </w:rPr>
        <w:t>Committee</w:t>
      </w:r>
      <w:r>
        <w:rPr>
          <w:rFonts w:ascii="Times New Roman" w:cs="Times New Roman" w:eastAsia="Times New Roman" w:hAnsi="Times New Roman"/>
          <w:sz w:val="21"/>
          <w:szCs w:val="21"/>
          <w:color w:val="auto"/>
        </w:rPr>
        <w:t>” means the Compensation and Organization Committee of the Board or a subcommittee thereof. All members of the Committee shall be “Non-Employee Directors” within the meaning of Rule 16b-3 under the Securities Exchange Act of 1934 (the “1934 Act”).</w:t>
      </w:r>
    </w:p>
    <w:p>
      <w:pPr>
        <w:spacing w:after="0" w:line="17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§1.10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means Campbell Soup Company or any successor corporation thereto.</w:t>
      </w:r>
    </w:p>
    <w:p>
      <w:pPr>
        <w:spacing w:after="0" w:line="249" w:lineRule="exact"/>
        <w:rPr>
          <w:sz w:val="20"/>
          <w:szCs w:val="20"/>
          <w:color w:val="auto"/>
        </w:rPr>
      </w:pPr>
    </w:p>
    <w:p>
      <w:pPr>
        <w:ind w:right="460" w:firstLine="636"/>
        <w:spacing w:after="0" w:line="289" w:lineRule="auto"/>
        <w:rPr>
          <w:sz w:val="20"/>
          <w:szCs w:val="20"/>
          <w:color w:val="auto"/>
        </w:rPr>
      </w:pPr>
      <w:r>
        <w:rPr>
          <w:rFonts w:ascii="Times New Roman" w:cs="Times New Roman" w:eastAsia="Times New Roman" w:hAnsi="Times New Roman"/>
          <w:sz w:val="21"/>
          <w:szCs w:val="21"/>
          <w:color w:val="auto"/>
        </w:rPr>
        <w:t>§1.11 “</w:t>
      </w:r>
      <w:r>
        <w:rPr>
          <w:rFonts w:ascii="Times New Roman" w:cs="Times New Roman" w:eastAsia="Times New Roman" w:hAnsi="Times New Roman"/>
          <w:sz w:val="21"/>
          <w:szCs w:val="21"/>
          <w:b w:val="1"/>
          <w:bCs w:val="1"/>
          <w:color w:val="auto"/>
        </w:rPr>
        <w:t>Compensation</w:t>
      </w:r>
      <w:r>
        <w:rPr>
          <w:rFonts w:ascii="Times New Roman" w:cs="Times New Roman" w:eastAsia="Times New Roman" w:hAnsi="Times New Roman"/>
          <w:sz w:val="21"/>
          <w:szCs w:val="21"/>
          <w:color w:val="auto"/>
        </w:rPr>
        <w:t>” means, for purposes of the Plan, an Eligible Executive’s Salary, LTIP Award, Annual Incentive Compensation and Director’s Fees.</w:t>
      </w:r>
    </w:p>
    <w:p>
      <w:pPr>
        <w:sectPr>
          <w:pgSz w:w="11900" w:h="16838" w:orient="portrait"/>
          <w:cols w:equalWidth="0" w:num="1">
            <w:col w:w="11220"/>
          </w:cols>
          <w:pgMar w:left="320" w:top="1393" w:right="359" w:bottom="1440" w:gutter="0" w:footer="0" w:header="0"/>
        </w:sectPr>
      </w:pPr>
    </w:p>
    <w:bookmarkStart w:id="70" w:name="page71"/>
    <w:bookmarkEnd w:id="70"/>
    <w:p>
      <w:pPr>
        <w:ind w:firstLine="636"/>
        <w:spacing w:after="0" w:line="269" w:lineRule="auto"/>
        <w:rPr>
          <w:sz w:val="20"/>
          <w:szCs w:val="20"/>
          <w:color w:val="auto"/>
        </w:rPr>
      </w:pPr>
      <w:r>
        <w:rPr>
          <w:rFonts w:ascii="Times New Roman" w:cs="Times New Roman" w:eastAsia="Times New Roman" w:hAnsi="Times New Roman"/>
          <w:sz w:val="21"/>
          <w:szCs w:val="21"/>
          <w:color w:val="auto"/>
        </w:rPr>
        <w:t>§1.12 “</w:t>
      </w:r>
      <w:r>
        <w:rPr>
          <w:rFonts w:ascii="Times New Roman" w:cs="Times New Roman" w:eastAsia="Times New Roman" w:hAnsi="Times New Roman"/>
          <w:sz w:val="21"/>
          <w:szCs w:val="21"/>
          <w:b w:val="1"/>
          <w:bCs w:val="1"/>
          <w:color w:val="auto"/>
        </w:rPr>
        <w:t>Contributions</w:t>
      </w:r>
      <w:r>
        <w:rPr>
          <w:rFonts w:ascii="Times New Roman" w:cs="Times New Roman" w:eastAsia="Times New Roman" w:hAnsi="Times New Roman"/>
          <w:sz w:val="21"/>
          <w:szCs w:val="21"/>
          <w:color w:val="auto"/>
        </w:rPr>
        <w:t>” mean amounts deferred under the Plan pursuant to Article III (including Elective Contributions and Non-Elective Contributions) and allocated to a Participant’s Account Balance. No money or other assets will actually be contributed to such Account Balance.</w:t>
      </w:r>
    </w:p>
    <w:p>
      <w:pPr>
        <w:spacing w:after="0" w:line="195" w:lineRule="exact"/>
        <w:rPr>
          <w:sz w:val="20"/>
          <w:szCs w:val="20"/>
          <w:color w:val="auto"/>
        </w:rPr>
      </w:pPr>
    </w:p>
    <w:p>
      <w:pPr>
        <w:ind w:right="280" w:firstLine="636"/>
        <w:spacing w:after="0" w:line="289" w:lineRule="auto"/>
        <w:rPr>
          <w:sz w:val="20"/>
          <w:szCs w:val="20"/>
          <w:color w:val="auto"/>
        </w:rPr>
      </w:pPr>
      <w:r>
        <w:rPr>
          <w:rFonts w:ascii="Times New Roman" w:cs="Times New Roman" w:eastAsia="Times New Roman" w:hAnsi="Times New Roman"/>
          <w:sz w:val="21"/>
          <w:szCs w:val="21"/>
          <w:color w:val="auto"/>
        </w:rPr>
        <w:t>§1.13 “</w:t>
      </w:r>
      <w:r>
        <w:rPr>
          <w:rFonts w:ascii="Times New Roman" w:cs="Times New Roman" w:eastAsia="Times New Roman" w:hAnsi="Times New Roman"/>
          <w:sz w:val="21"/>
          <w:szCs w:val="21"/>
          <w:b w:val="1"/>
          <w:bCs w:val="1"/>
          <w:color w:val="auto"/>
        </w:rPr>
        <w:t>Default Distribution Schedule</w:t>
      </w:r>
      <w:r>
        <w:rPr>
          <w:rFonts w:ascii="Times New Roman" w:cs="Times New Roman" w:eastAsia="Times New Roman" w:hAnsi="Times New Roman"/>
          <w:sz w:val="21"/>
          <w:szCs w:val="21"/>
          <w:color w:val="auto"/>
        </w:rPr>
        <w:t>” means the payment schedule described in Section 5.7 based on the total Account Balance on the later of (a) the Payment Date; or (b) the date selected pursuant to a Subsequent Deferral Election, if applicable.</w:t>
      </w:r>
    </w:p>
    <w:p>
      <w:pPr>
        <w:spacing w:after="0" w:line="160" w:lineRule="exact"/>
        <w:rPr>
          <w:sz w:val="20"/>
          <w:szCs w:val="20"/>
          <w:color w:val="auto"/>
        </w:rPr>
      </w:pPr>
    </w:p>
    <w:p>
      <w:pPr>
        <w:ind w:right="520" w:firstLine="636"/>
        <w:spacing w:after="0" w:line="289" w:lineRule="auto"/>
        <w:rPr>
          <w:sz w:val="20"/>
          <w:szCs w:val="20"/>
          <w:color w:val="auto"/>
        </w:rPr>
      </w:pPr>
      <w:r>
        <w:rPr>
          <w:rFonts w:ascii="Times New Roman" w:cs="Times New Roman" w:eastAsia="Times New Roman" w:hAnsi="Times New Roman"/>
          <w:sz w:val="21"/>
          <w:szCs w:val="21"/>
          <w:color w:val="auto"/>
        </w:rPr>
        <w:t>§1.14 “</w:t>
      </w:r>
      <w:r>
        <w:rPr>
          <w:rFonts w:ascii="Times New Roman" w:cs="Times New Roman" w:eastAsia="Times New Roman" w:hAnsi="Times New Roman"/>
          <w:sz w:val="21"/>
          <w:szCs w:val="21"/>
          <w:b w:val="1"/>
          <w:bCs w:val="1"/>
          <w:color w:val="auto"/>
        </w:rPr>
        <w:t>Deferral Form</w:t>
      </w:r>
      <w:r>
        <w:rPr>
          <w:rFonts w:ascii="Times New Roman" w:cs="Times New Roman" w:eastAsia="Times New Roman" w:hAnsi="Times New Roman"/>
          <w:sz w:val="21"/>
          <w:szCs w:val="21"/>
          <w:color w:val="auto"/>
        </w:rPr>
        <w:t>” means a form, written or electronic, provided by the Committee pursuant to which an Eligible Executive may elect to defer amounts under the Plan.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§1.15 “</w:t>
      </w:r>
      <w:r>
        <w:rPr>
          <w:rFonts w:ascii="Times New Roman" w:cs="Times New Roman" w:eastAsia="Times New Roman" w:hAnsi="Times New Roman"/>
          <w:sz w:val="21"/>
          <w:szCs w:val="21"/>
          <w:b w:val="1"/>
          <w:bCs w:val="1"/>
          <w:color w:val="auto"/>
        </w:rPr>
        <w:t>Director</w:t>
      </w:r>
      <w:r>
        <w:rPr>
          <w:rFonts w:ascii="Times New Roman" w:cs="Times New Roman" w:eastAsia="Times New Roman" w:hAnsi="Times New Roman"/>
          <w:sz w:val="21"/>
          <w:szCs w:val="21"/>
          <w:color w:val="auto"/>
        </w:rPr>
        <w:t>” means a non-Employee member of the Board of Directors.</w:t>
      </w:r>
    </w:p>
    <w:p>
      <w:pPr>
        <w:spacing w:after="0" w:line="262" w:lineRule="exact"/>
        <w:rPr>
          <w:sz w:val="20"/>
          <w:szCs w:val="20"/>
          <w:color w:val="auto"/>
        </w:rPr>
      </w:pPr>
    </w:p>
    <w:p>
      <w:pPr>
        <w:ind w:right="40" w:firstLine="636"/>
        <w:spacing w:after="0" w:line="289" w:lineRule="auto"/>
        <w:rPr>
          <w:sz w:val="20"/>
          <w:szCs w:val="20"/>
          <w:color w:val="auto"/>
        </w:rPr>
      </w:pPr>
      <w:r>
        <w:rPr>
          <w:rFonts w:ascii="Times New Roman" w:cs="Times New Roman" w:eastAsia="Times New Roman" w:hAnsi="Times New Roman"/>
          <w:sz w:val="21"/>
          <w:szCs w:val="21"/>
          <w:color w:val="auto"/>
        </w:rPr>
        <w:t>§1.16 “</w:t>
      </w:r>
      <w:r>
        <w:rPr>
          <w:rFonts w:ascii="Times New Roman" w:cs="Times New Roman" w:eastAsia="Times New Roman" w:hAnsi="Times New Roman"/>
          <w:sz w:val="21"/>
          <w:szCs w:val="21"/>
          <w:b w:val="1"/>
          <w:bCs w:val="1"/>
          <w:color w:val="auto"/>
        </w:rPr>
        <w:t>Director’s Fees</w:t>
      </w:r>
      <w:r>
        <w:rPr>
          <w:rFonts w:ascii="Times New Roman" w:cs="Times New Roman" w:eastAsia="Times New Roman" w:hAnsi="Times New Roman"/>
          <w:sz w:val="21"/>
          <w:szCs w:val="21"/>
          <w:color w:val="auto"/>
        </w:rPr>
        <w:t>” means retainers, meeting attendance fees and any other renumeration received by a Director for his or her services on the Board of Directors, including LTIP Awards.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§1.17 “</w:t>
      </w:r>
      <w:r>
        <w:rPr>
          <w:rFonts w:ascii="Times New Roman" w:cs="Times New Roman" w:eastAsia="Times New Roman" w:hAnsi="Times New Roman"/>
          <w:sz w:val="21"/>
          <w:szCs w:val="21"/>
          <w:b w:val="1"/>
          <w:bCs w:val="1"/>
          <w:color w:val="auto"/>
        </w:rPr>
        <w:t>Elective Contributions</w:t>
      </w:r>
      <w:r>
        <w:rPr>
          <w:rFonts w:ascii="Times New Roman" w:cs="Times New Roman" w:eastAsia="Times New Roman" w:hAnsi="Times New Roman"/>
          <w:sz w:val="21"/>
          <w:szCs w:val="21"/>
          <w:color w:val="auto"/>
        </w:rPr>
        <w:t>” mean the contributions described in Section 3.1.</w:t>
      </w:r>
    </w:p>
    <w:p>
      <w:pPr>
        <w:spacing w:after="0" w:line="249" w:lineRule="exact"/>
        <w:rPr>
          <w:sz w:val="20"/>
          <w:szCs w:val="20"/>
          <w:color w:val="auto"/>
        </w:rPr>
      </w:pPr>
    </w:p>
    <w:p>
      <w:pPr>
        <w:ind w:firstLine="636"/>
        <w:spacing w:after="0" w:line="289" w:lineRule="auto"/>
        <w:rPr>
          <w:sz w:val="20"/>
          <w:szCs w:val="20"/>
          <w:color w:val="auto"/>
        </w:rPr>
      </w:pPr>
      <w:r>
        <w:rPr>
          <w:rFonts w:ascii="Times New Roman" w:cs="Times New Roman" w:eastAsia="Times New Roman" w:hAnsi="Times New Roman"/>
          <w:sz w:val="21"/>
          <w:szCs w:val="21"/>
          <w:color w:val="auto"/>
        </w:rPr>
        <w:t>§1.18 “</w:t>
      </w:r>
      <w:r>
        <w:rPr>
          <w:rFonts w:ascii="Times New Roman" w:cs="Times New Roman" w:eastAsia="Times New Roman" w:hAnsi="Times New Roman"/>
          <w:sz w:val="21"/>
          <w:szCs w:val="21"/>
          <w:b w:val="1"/>
          <w:bCs w:val="1"/>
          <w:color w:val="auto"/>
        </w:rPr>
        <w:t>Eligible Executive</w:t>
      </w:r>
      <w:r>
        <w:rPr>
          <w:rFonts w:ascii="Times New Roman" w:cs="Times New Roman" w:eastAsia="Times New Roman" w:hAnsi="Times New Roman"/>
          <w:sz w:val="21"/>
          <w:szCs w:val="21"/>
          <w:color w:val="auto"/>
        </w:rPr>
        <w:t>” means a full-time salaried Employee who is classified as exempt under the Fair Labor Standards Act of 1938, as amended (an “exempt Employee”). Eligible Executive also means a Director.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§1.19 “</w:t>
      </w:r>
      <w:r>
        <w:rPr>
          <w:rFonts w:ascii="Times New Roman" w:cs="Times New Roman" w:eastAsia="Times New Roman" w:hAnsi="Times New Roman"/>
          <w:sz w:val="21"/>
          <w:szCs w:val="21"/>
          <w:b w:val="1"/>
          <w:bCs w:val="1"/>
          <w:color w:val="auto"/>
        </w:rPr>
        <w:t>Employee</w:t>
      </w:r>
      <w:r>
        <w:rPr>
          <w:rFonts w:ascii="Times New Roman" w:cs="Times New Roman" w:eastAsia="Times New Roman" w:hAnsi="Times New Roman"/>
          <w:sz w:val="21"/>
          <w:szCs w:val="21"/>
          <w:color w:val="auto"/>
        </w:rPr>
        <w:t>” means an individual who is employed by the Employer.</w:t>
      </w:r>
    </w:p>
    <w:p>
      <w:pPr>
        <w:spacing w:after="0" w:line="262" w:lineRule="exact"/>
        <w:rPr>
          <w:sz w:val="20"/>
          <w:szCs w:val="20"/>
          <w:color w:val="auto"/>
        </w:rPr>
      </w:pPr>
    </w:p>
    <w:p>
      <w:pPr>
        <w:ind w:right="800" w:firstLine="636"/>
        <w:spacing w:after="0" w:line="289" w:lineRule="auto"/>
        <w:rPr>
          <w:sz w:val="20"/>
          <w:szCs w:val="20"/>
          <w:color w:val="auto"/>
        </w:rPr>
      </w:pPr>
      <w:r>
        <w:rPr>
          <w:rFonts w:ascii="Times New Roman" w:cs="Times New Roman" w:eastAsia="Times New Roman" w:hAnsi="Times New Roman"/>
          <w:sz w:val="21"/>
          <w:szCs w:val="21"/>
          <w:color w:val="auto"/>
        </w:rPr>
        <w:t>§1.20 “</w:t>
      </w:r>
      <w:r>
        <w:rPr>
          <w:rFonts w:ascii="Times New Roman" w:cs="Times New Roman" w:eastAsia="Times New Roman" w:hAnsi="Times New Roman"/>
          <w:sz w:val="21"/>
          <w:szCs w:val="21"/>
          <w:b w:val="1"/>
          <w:bCs w:val="1"/>
          <w:color w:val="auto"/>
        </w:rPr>
        <w:t>Employer</w:t>
      </w:r>
      <w:r>
        <w:rPr>
          <w:rFonts w:ascii="Times New Roman" w:cs="Times New Roman" w:eastAsia="Times New Roman" w:hAnsi="Times New Roman"/>
          <w:sz w:val="21"/>
          <w:szCs w:val="21"/>
          <w:color w:val="auto"/>
        </w:rPr>
        <w:t xml:space="preserve">” means the Company and any subsidiary designated by the corporate officer in charge of Human Resources of the Company, as set forth in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§1.21 “</w:t>
      </w:r>
      <w:r>
        <w:rPr>
          <w:rFonts w:ascii="Times New Roman" w:cs="Times New Roman" w:eastAsia="Times New Roman" w:hAnsi="Times New Roman"/>
          <w:sz w:val="21"/>
          <w:szCs w:val="21"/>
          <w:b w:val="1"/>
          <w:bCs w:val="1"/>
          <w:color w:val="auto"/>
        </w:rPr>
        <w:t>Executive Retirement Contribution</w:t>
      </w:r>
      <w:r>
        <w:rPr>
          <w:rFonts w:ascii="Times New Roman" w:cs="Times New Roman" w:eastAsia="Times New Roman" w:hAnsi="Times New Roman"/>
          <w:sz w:val="21"/>
          <w:szCs w:val="21"/>
          <w:color w:val="auto"/>
        </w:rPr>
        <w:t>” means the benefit described in Section 3.2(c).</w:t>
      </w:r>
    </w:p>
    <w:p>
      <w:pPr>
        <w:spacing w:after="0" w:line="249" w:lineRule="exact"/>
        <w:rPr>
          <w:sz w:val="20"/>
          <w:szCs w:val="20"/>
          <w:color w:val="auto"/>
        </w:rPr>
      </w:pPr>
    </w:p>
    <w:p>
      <w:pPr>
        <w:ind w:right="140" w:firstLine="636"/>
        <w:spacing w:after="0" w:line="289" w:lineRule="auto"/>
        <w:rPr>
          <w:sz w:val="20"/>
          <w:szCs w:val="20"/>
          <w:color w:val="auto"/>
        </w:rPr>
      </w:pPr>
      <w:r>
        <w:rPr>
          <w:rFonts w:ascii="Times New Roman" w:cs="Times New Roman" w:eastAsia="Times New Roman" w:hAnsi="Times New Roman"/>
          <w:sz w:val="21"/>
          <w:szCs w:val="21"/>
          <w:color w:val="auto"/>
        </w:rPr>
        <w:t>§1.22 “</w:t>
      </w:r>
      <w:r>
        <w:rPr>
          <w:rFonts w:ascii="Times New Roman" w:cs="Times New Roman" w:eastAsia="Times New Roman" w:hAnsi="Times New Roman"/>
          <w:sz w:val="21"/>
          <w:szCs w:val="21"/>
          <w:b w:val="1"/>
          <w:bCs w:val="1"/>
          <w:color w:val="auto"/>
        </w:rPr>
        <w:t>Grandfathered Amounts</w:t>
      </w:r>
      <w:r>
        <w:rPr>
          <w:rFonts w:ascii="Times New Roman" w:cs="Times New Roman" w:eastAsia="Times New Roman" w:hAnsi="Times New Roman"/>
          <w:sz w:val="21"/>
          <w:szCs w:val="21"/>
          <w:color w:val="auto"/>
        </w:rPr>
        <w:t>” means amounts that were deferred under the Prior Plan and earned and vested as of December 31, 2004. Grandfathered Amounts are subject to the distribution rules under the Prior Plan in effect on October 3, 2004.</w:t>
      </w:r>
    </w:p>
    <w:p>
      <w:pPr>
        <w:spacing w:after="0" w:line="174" w:lineRule="exact"/>
        <w:rPr>
          <w:sz w:val="20"/>
          <w:szCs w:val="20"/>
          <w:color w:val="auto"/>
        </w:rPr>
      </w:pPr>
    </w:p>
    <w:p>
      <w:pPr>
        <w:ind w:right="300" w:firstLine="636"/>
        <w:spacing w:after="0" w:line="263" w:lineRule="auto"/>
        <w:rPr>
          <w:sz w:val="20"/>
          <w:szCs w:val="20"/>
          <w:color w:val="auto"/>
        </w:rPr>
      </w:pPr>
      <w:r>
        <w:rPr>
          <w:rFonts w:ascii="Times New Roman" w:cs="Times New Roman" w:eastAsia="Times New Roman" w:hAnsi="Times New Roman"/>
          <w:sz w:val="21"/>
          <w:szCs w:val="21"/>
          <w:color w:val="auto"/>
        </w:rPr>
        <w:t>§1.23 “</w:t>
      </w:r>
      <w:r>
        <w:rPr>
          <w:rFonts w:ascii="Times New Roman" w:cs="Times New Roman" w:eastAsia="Times New Roman" w:hAnsi="Times New Roman"/>
          <w:sz w:val="21"/>
          <w:szCs w:val="21"/>
          <w:b w:val="1"/>
          <w:bCs w:val="1"/>
          <w:color w:val="auto"/>
        </w:rPr>
        <w:t>Initial Distribution Election</w:t>
      </w:r>
      <w:r>
        <w:rPr>
          <w:rFonts w:ascii="Times New Roman" w:cs="Times New Roman" w:eastAsia="Times New Roman" w:hAnsi="Times New Roman"/>
          <w:sz w:val="21"/>
          <w:szCs w:val="21"/>
          <w:color w:val="auto"/>
        </w:rPr>
        <w:t>” means upon an Eligible Executive’s first election to defer Compensation under the Plan made pursuant to an irrevocable Deferral Form and in accordance with the time requirements set forth in Section 5.2, the Participant may elect the time or form of payment for the portion of his or her Account Balance attributable to Elective Contributions (and earnings thereon).</w:t>
      </w:r>
    </w:p>
    <w:p>
      <w:pPr>
        <w:spacing w:after="0" w:line="187" w:lineRule="exact"/>
        <w:rPr>
          <w:sz w:val="20"/>
          <w:szCs w:val="20"/>
          <w:color w:val="auto"/>
        </w:rPr>
      </w:pPr>
    </w:p>
    <w:p>
      <w:pPr>
        <w:ind w:right="220" w:firstLine="636"/>
        <w:spacing w:after="0" w:line="276" w:lineRule="auto"/>
        <w:rPr>
          <w:sz w:val="20"/>
          <w:szCs w:val="20"/>
          <w:color w:val="auto"/>
        </w:rPr>
      </w:pPr>
      <w:r>
        <w:rPr>
          <w:rFonts w:ascii="Times New Roman" w:cs="Times New Roman" w:eastAsia="Times New Roman" w:hAnsi="Times New Roman"/>
          <w:sz w:val="21"/>
          <w:szCs w:val="21"/>
          <w:color w:val="auto"/>
        </w:rPr>
        <w:t>§1.24 “</w:t>
      </w:r>
      <w:r>
        <w:rPr>
          <w:rFonts w:ascii="Times New Roman" w:cs="Times New Roman" w:eastAsia="Times New Roman" w:hAnsi="Times New Roman"/>
          <w:sz w:val="21"/>
          <w:szCs w:val="21"/>
          <w:b w:val="1"/>
          <w:bCs w:val="1"/>
          <w:color w:val="auto"/>
        </w:rPr>
        <w:t>Investment Account</w:t>
      </w:r>
      <w:r>
        <w:rPr>
          <w:rFonts w:ascii="Times New Roman" w:cs="Times New Roman" w:eastAsia="Times New Roman" w:hAnsi="Times New Roman"/>
          <w:sz w:val="21"/>
          <w:szCs w:val="21"/>
          <w:color w:val="auto"/>
        </w:rPr>
        <w:t>” means an accounting record, maintained for each Participant, valued in accordance with the performance of the investment choice in which the deferred amounts are allocated. No funds are actually contributed to an Investment Account. The</w:t>
      </w:r>
    </w:p>
    <w:p>
      <w:pPr>
        <w:sectPr>
          <w:pgSz w:w="11900" w:h="16838" w:orient="portrait"/>
          <w:cols w:equalWidth="0" w:num="1">
            <w:col w:w="11220"/>
          </w:cols>
          <w:pgMar w:left="320" w:top="1393" w:right="3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21"/>
          <w:szCs w:val="21"/>
          <w:color w:val="auto"/>
        </w:rPr>
        <w:t>Plan Administrator shall determine which Investment Accounts (including the Campbell Stock Account) are offered.</w:t>
      </w:r>
    </w:p>
    <w:p>
      <w:pPr>
        <w:spacing w:after="0" w:line="245" w:lineRule="exact"/>
        <w:rPr>
          <w:sz w:val="20"/>
          <w:szCs w:val="20"/>
          <w:color w:val="auto"/>
        </w:rPr>
      </w:pPr>
    </w:p>
    <w:p>
      <w:pPr>
        <w:ind w:firstLine="636"/>
        <w:spacing w:after="0" w:line="260" w:lineRule="auto"/>
        <w:rPr>
          <w:sz w:val="20"/>
          <w:szCs w:val="20"/>
          <w:color w:val="auto"/>
        </w:rPr>
      </w:pPr>
      <w:r>
        <w:rPr>
          <w:rFonts w:ascii="Times New Roman" w:cs="Times New Roman" w:eastAsia="Times New Roman" w:hAnsi="Times New Roman"/>
          <w:sz w:val="21"/>
          <w:szCs w:val="21"/>
          <w:color w:val="auto"/>
        </w:rPr>
        <w:t>§1.25 “</w:t>
      </w:r>
      <w:r>
        <w:rPr>
          <w:rFonts w:ascii="Times New Roman" w:cs="Times New Roman" w:eastAsia="Times New Roman" w:hAnsi="Times New Roman"/>
          <w:sz w:val="21"/>
          <w:szCs w:val="21"/>
          <w:b w:val="1"/>
          <w:bCs w:val="1"/>
          <w:color w:val="auto"/>
        </w:rPr>
        <w:t>Key Employee</w:t>
      </w:r>
      <w:r>
        <w:rPr>
          <w:rFonts w:ascii="Times New Roman" w:cs="Times New Roman" w:eastAsia="Times New Roman" w:hAnsi="Times New Roman"/>
          <w:sz w:val="21"/>
          <w:szCs w:val="21"/>
          <w:color w:val="auto"/>
        </w:rPr>
        <w:t>” means an individual treated as a “specified employee” as of his Separation from Service under Code section 409A(a)(2)(B)(i) (i.e., a key employee, as defined in Code section 416(i) without regard to paragraph (5) thereof) of the Company or its affiliates if the Company's or its affiliate’s stock is publicly traded on an established securities market or otherwise. Key Employees shall be determined in accordance with Code section 409A using a December 31 identification date. A listing of Key Employees as of an identification date shall be effective for the 12-month period beginning on the April 1 following the identification date.</w:t>
      </w:r>
    </w:p>
    <w:p>
      <w:pPr>
        <w:spacing w:after="0" w:line="193" w:lineRule="exact"/>
        <w:rPr>
          <w:sz w:val="20"/>
          <w:szCs w:val="20"/>
          <w:color w:val="auto"/>
        </w:rPr>
      </w:pPr>
    </w:p>
    <w:p>
      <w:pPr>
        <w:ind w:right="440" w:firstLine="636"/>
        <w:spacing w:after="0" w:line="302" w:lineRule="auto"/>
        <w:rPr>
          <w:sz w:val="20"/>
          <w:szCs w:val="20"/>
          <w:color w:val="auto"/>
        </w:rPr>
      </w:pPr>
      <w:r>
        <w:rPr>
          <w:rFonts w:ascii="Times New Roman" w:cs="Times New Roman" w:eastAsia="Times New Roman" w:hAnsi="Times New Roman"/>
          <w:sz w:val="21"/>
          <w:szCs w:val="21"/>
          <w:color w:val="auto"/>
        </w:rPr>
        <w:t>§1.26 “</w:t>
      </w:r>
      <w:r>
        <w:rPr>
          <w:rFonts w:ascii="Times New Roman" w:cs="Times New Roman" w:eastAsia="Times New Roman" w:hAnsi="Times New Roman"/>
          <w:sz w:val="21"/>
          <w:szCs w:val="21"/>
          <w:b w:val="1"/>
          <w:bCs w:val="1"/>
          <w:color w:val="auto"/>
        </w:rPr>
        <w:t>LTIP</w:t>
      </w:r>
      <w:r>
        <w:rPr>
          <w:rFonts w:ascii="Times New Roman" w:cs="Times New Roman" w:eastAsia="Times New Roman" w:hAnsi="Times New Roman"/>
          <w:sz w:val="21"/>
          <w:szCs w:val="21"/>
          <w:color w:val="auto"/>
        </w:rPr>
        <w:t>” means any Employer long-term incentive plan, including but not limited to the Campbell Soup Company 2022 Long-Term Incentive Plan.</w:t>
      </w:r>
    </w:p>
    <w:p>
      <w:pPr>
        <w:spacing w:after="0" w:line="148"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21"/>
          <w:szCs w:val="21"/>
          <w:color w:val="auto"/>
        </w:rPr>
        <w:t>§1.27 “</w:t>
      </w:r>
      <w:r>
        <w:rPr>
          <w:rFonts w:ascii="Times New Roman" w:cs="Times New Roman" w:eastAsia="Times New Roman" w:hAnsi="Times New Roman"/>
          <w:sz w:val="21"/>
          <w:szCs w:val="21"/>
          <w:b w:val="1"/>
          <w:bCs w:val="1"/>
          <w:color w:val="auto"/>
        </w:rPr>
        <w:t>LTIP Award</w:t>
      </w:r>
      <w:r>
        <w:rPr>
          <w:rFonts w:ascii="Times New Roman" w:cs="Times New Roman" w:eastAsia="Times New Roman" w:hAnsi="Times New Roman"/>
          <w:sz w:val="21"/>
          <w:szCs w:val="21"/>
          <w:color w:val="auto"/>
        </w:rPr>
        <w:t>” means an equity award granted under an LTIP prior to the Company’s 2009 fiscal year and approved for deferral under the Plan by the Plan Administrator. To the extent the Committee approves an adjustment to any LTIP Awards deferred under the Plan as a result of any dividend or other distribution (whether in the form of cash, Campbell Stock or other securities), recapitalization, stock split, reverse stock split, reorganization, merger, consolidation, split-up, spin-off, combination, repurchase or exchange of Campbell Stock or other securities of the Company, issuance of warrants or other rights to purchase Campbell Stock or other securities of the Company, issuance of Campbell Stock pursuant to the anti-dilution provisions of Campbell Stock, or other similar corporate transaction or event that affects the Campbell Stock such that an adjustment is appropriate in order to prevent dilution or enlargement of the benefits or potential benefits intended to be made available under the Plan, the Company shall adjust equitably any or all of the LTIP Awards credited to a Participant's Account Balance. Notwithstanding the foregoing, on and after the Company’s 2009 fiscal year, Eligible Executives who are Directors shall continue to be permitted to defer LTIP Awards.</w:t>
      </w:r>
    </w:p>
    <w:p>
      <w:pPr>
        <w:spacing w:after="0" w:line="2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§1.28 “</w:t>
      </w:r>
      <w:r>
        <w:rPr>
          <w:rFonts w:ascii="Times New Roman" w:cs="Times New Roman" w:eastAsia="Times New Roman" w:hAnsi="Times New Roman"/>
          <w:sz w:val="21"/>
          <w:szCs w:val="21"/>
          <w:b w:val="1"/>
          <w:bCs w:val="1"/>
          <w:color w:val="auto"/>
        </w:rPr>
        <w:t>Mid-Career Plan</w:t>
      </w:r>
      <w:r>
        <w:rPr>
          <w:rFonts w:ascii="Times New Roman" w:cs="Times New Roman" w:eastAsia="Times New Roman" w:hAnsi="Times New Roman"/>
          <w:sz w:val="21"/>
          <w:szCs w:val="21"/>
          <w:color w:val="auto"/>
        </w:rPr>
        <w:t>” means the Campbell Soup Company Mid-Career Hire Pension Plan.</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§1.29 “</w:t>
      </w:r>
      <w:r>
        <w:rPr>
          <w:rFonts w:ascii="Times New Roman" w:cs="Times New Roman" w:eastAsia="Times New Roman" w:hAnsi="Times New Roman"/>
          <w:sz w:val="21"/>
          <w:szCs w:val="21"/>
          <w:b w:val="1"/>
          <w:bCs w:val="1"/>
          <w:color w:val="auto"/>
        </w:rPr>
        <w:t>Mid-Career Plan Benefit</w:t>
      </w:r>
      <w:r>
        <w:rPr>
          <w:rFonts w:ascii="Times New Roman" w:cs="Times New Roman" w:eastAsia="Times New Roman" w:hAnsi="Times New Roman"/>
          <w:sz w:val="21"/>
          <w:szCs w:val="21"/>
          <w:color w:val="auto"/>
        </w:rPr>
        <w:t>” means the benefit amount determined under the Mid-Career Plan as described in Section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3.2.</w:t>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§1.30 “</w:t>
      </w:r>
      <w:r>
        <w:rPr>
          <w:rFonts w:ascii="Times New Roman" w:cs="Times New Roman" w:eastAsia="Times New Roman" w:hAnsi="Times New Roman"/>
          <w:sz w:val="21"/>
          <w:szCs w:val="21"/>
          <w:b w:val="1"/>
          <w:bCs w:val="1"/>
          <w:color w:val="auto"/>
        </w:rPr>
        <w:t>Non-Elective Contributions</w:t>
      </w:r>
      <w:r>
        <w:rPr>
          <w:rFonts w:ascii="Times New Roman" w:cs="Times New Roman" w:eastAsia="Times New Roman" w:hAnsi="Times New Roman"/>
          <w:sz w:val="21"/>
          <w:szCs w:val="21"/>
          <w:color w:val="auto"/>
        </w:rPr>
        <w:t>” mean the contributions described in Section 3.2.</w:t>
      </w:r>
    </w:p>
    <w:p>
      <w:pPr>
        <w:spacing w:after="0" w:line="262" w:lineRule="exact"/>
        <w:rPr>
          <w:sz w:val="20"/>
          <w:szCs w:val="20"/>
          <w:color w:val="auto"/>
        </w:rPr>
      </w:pPr>
    </w:p>
    <w:p>
      <w:pPr>
        <w:ind w:right="440" w:firstLine="636"/>
        <w:spacing w:after="0" w:line="289" w:lineRule="auto"/>
        <w:rPr>
          <w:sz w:val="20"/>
          <w:szCs w:val="20"/>
          <w:color w:val="auto"/>
        </w:rPr>
      </w:pPr>
      <w:r>
        <w:rPr>
          <w:rFonts w:ascii="Times New Roman" w:cs="Times New Roman" w:eastAsia="Times New Roman" w:hAnsi="Times New Roman"/>
          <w:sz w:val="21"/>
          <w:szCs w:val="21"/>
          <w:color w:val="auto"/>
        </w:rPr>
        <w:t>§1.31 “</w:t>
      </w:r>
      <w:r>
        <w:rPr>
          <w:rFonts w:ascii="Times New Roman" w:cs="Times New Roman" w:eastAsia="Times New Roman" w:hAnsi="Times New Roman"/>
          <w:sz w:val="21"/>
          <w:szCs w:val="21"/>
          <w:b w:val="1"/>
          <w:bCs w:val="1"/>
          <w:color w:val="auto"/>
        </w:rPr>
        <w:t>Participant</w:t>
      </w:r>
      <w:r>
        <w:rPr>
          <w:rFonts w:ascii="Times New Roman" w:cs="Times New Roman" w:eastAsia="Times New Roman" w:hAnsi="Times New Roman"/>
          <w:sz w:val="21"/>
          <w:szCs w:val="21"/>
          <w:color w:val="auto"/>
        </w:rPr>
        <w:t>” means an Eligible Executive who elects to participate in the Plan or an Eligible Executive who has been credited with any Non-Elective Contributions.</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§1.32 “</w:t>
      </w:r>
      <w:r>
        <w:rPr>
          <w:rFonts w:ascii="Times New Roman" w:cs="Times New Roman" w:eastAsia="Times New Roman" w:hAnsi="Times New Roman"/>
          <w:sz w:val="21"/>
          <w:szCs w:val="21"/>
          <w:b w:val="1"/>
          <w:bCs w:val="1"/>
          <w:color w:val="auto"/>
        </w:rPr>
        <w:t>Payment Date</w:t>
      </w:r>
      <w:r>
        <w:rPr>
          <w:rFonts w:ascii="Times New Roman" w:cs="Times New Roman" w:eastAsia="Times New Roman" w:hAnsi="Times New Roman"/>
          <w:sz w:val="21"/>
          <w:szCs w:val="21"/>
          <w:color w:val="auto"/>
        </w:rPr>
        <w:t>” means a date in March of the year following a distributable event under the terms of the Plan.</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§1.33 “</w:t>
      </w:r>
      <w:r>
        <w:rPr>
          <w:rFonts w:ascii="Times New Roman" w:cs="Times New Roman" w:eastAsia="Times New Roman" w:hAnsi="Times New Roman"/>
          <w:sz w:val="21"/>
          <w:szCs w:val="21"/>
          <w:b w:val="1"/>
          <w:bCs w:val="1"/>
          <w:color w:val="auto"/>
        </w:rPr>
        <w:t>Plan</w:t>
      </w:r>
      <w:r>
        <w:rPr>
          <w:rFonts w:ascii="Times New Roman" w:cs="Times New Roman" w:eastAsia="Times New Roman" w:hAnsi="Times New Roman"/>
          <w:sz w:val="21"/>
          <w:szCs w:val="21"/>
          <w:color w:val="auto"/>
        </w:rPr>
        <w:t>” means the Campbell Soup Company Supplemental Retirement Plan, as amended from time to time.</w:t>
      </w:r>
    </w:p>
    <w:p>
      <w:pPr>
        <w:sectPr>
          <w:pgSz w:w="11900" w:h="16838" w:orient="portrait"/>
          <w:cols w:equalWidth="0" w:num="1">
            <w:col w:w="11240"/>
          </w:cols>
          <w:pgMar w:left="320" w:top="1397" w:right="339" w:bottom="1440" w:gutter="0" w:footer="0" w:header="0"/>
        </w:sectPr>
      </w:pPr>
    </w:p>
    <w:bookmarkStart w:id="72" w:name="page73"/>
    <w:bookmarkEnd w:id="72"/>
    <w:p>
      <w:pPr>
        <w:spacing w:after="0" w:line="192" w:lineRule="exact"/>
        <w:rPr>
          <w:sz w:val="20"/>
          <w:szCs w:val="20"/>
          <w:color w:val="auto"/>
        </w:rPr>
      </w:pPr>
    </w:p>
    <w:p>
      <w:pPr>
        <w:ind w:right="240" w:firstLine="636"/>
        <w:spacing w:after="0" w:line="289" w:lineRule="auto"/>
        <w:rPr>
          <w:sz w:val="20"/>
          <w:szCs w:val="20"/>
          <w:color w:val="auto"/>
        </w:rPr>
      </w:pPr>
      <w:r>
        <w:rPr>
          <w:rFonts w:ascii="Times New Roman" w:cs="Times New Roman" w:eastAsia="Times New Roman" w:hAnsi="Times New Roman"/>
          <w:sz w:val="21"/>
          <w:szCs w:val="21"/>
          <w:color w:val="auto"/>
        </w:rPr>
        <w:t>§1.34 “</w:t>
      </w:r>
      <w:r>
        <w:rPr>
          <w:rFonts w:ascii="Times New Roman" w:cs="Times New Roman" w:eastAsia="Times New Roman" w:hAnsi="Times New Roman"/>
          <w:sz w:val="21"/>
          <w:szCs w:val="21"/>
          <w:b w:val="1"/>
          <w:bCs w:val="1"/>
          <w:color w:val="auto"/>
        </w:rPr>
        <w:t>Plan Administrator</w:t>
      </w:r>
      <w:r>
        <w:rPr>
          <w:rFonts w:ascii="Times New Roman" w:cs="Times New Roman" w:eastAsia="Times New Roman" w:hAnsi="Times New Roman"/>
          <w:sz w:val="21"/>
          <w:szCs w:val="21"/>
          <w:color w:val="auto"/>
        </w:rPr>
        <w:t>” means the corporate officer in charge of Human Resources at the Company or any person or entity designated by such officer.</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§1.35 “</w:t>
      </w:r>
      <w:r>
        <w:rPr>
          <w:rFonts w:ascii="Times New Roman" w:cs="Times New Roman" w:eastAsia="Times New Roman" w:hAnsi="Times New Roman"/>
          <w:sz w:val="21"/>
          <w:szCs w:val="21"/>
          <w:b w:val="1"/>
          <w:bCs w:val="1"/>
          <w:color w:val="auto"/>
        </w:rPr>
        <w:t>Plan Year</w:t>
      </w:r>
      <w:r>
        <w:rPr>
          <w:rFonts w:ascii="Times New Roman" w:cs="Times New Roman" w:eastAsia="Times New Roman" w:hAnsi="Times New Roman"/>
          <w:sz w:val="21"/>
          <w:szCs w:val="21"/>
          <w:color w:val="auto"/>
        </w:rPr>
        <w:t>” means the 12-month period beginning January 1 and ending December 31.</w:t>
      </w:r>
    </w:p>
    <w:p>
      <w:pPr>
        <w:spacing w:after="0" w:line="2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§1.36 “</w:t>
      </w:r>
      <w:r>
        <w:rPr>
          <w:rFonts w:ascii="Times New Roman" w:cs="Times New Roman" w:eastAsia="Times New Roman" w:hAnsi="Times New Roman"/>
          <w:sz w:val="21"/>
          <w:szCs w:val="21"/>
          <w:b w:val="1"/>
          <w:bCs w:val="1"/>
          <w:color w:val="auto"/>
        </w:rPr>
        <w:t>Prior Plan</w:t>
      </w:r>
      <w:r>
        <w:rPr>
          <w:rFonts w:ascii="Times New Roman" w:cs="Times New Roman" w:eastAsia="Times New Roman" w:hAnsi="Times New Roman"/>
          <w:sz w:val="21"/>
          <w:szCs w:val="21"/>
          <w:color w:val="auto"/>
        </w:rPr>
        <w:t>” means the Campbell Soup Company Deferred Compensation Plan, effective November 18, 1999.</w:t>
      </w:r>
    </w:p>
    <w:p>
      <w:pPr>
        <w:spacing w:after="0" w:line="249" w:lineRule="exact"/>
        <w:rPr>
          <w:sz w:val="20"/>
          <w:szCs w:val="20"/>
          <w:color w:val="auto"/>
        </w:rPr>
      </w:pPr>
    </w:p>
    <w:p>
      <w:pPr>
        <w:ind w:right="940" w:firstLine="636"/>
        <w:spacing w:after="0" w:line="289" w:lineRule="auto"/>
        <w:rPr>
          <w:sz w:val="20"/>
          <w:szCs w:val="20"/>
          <w:color w:val="auto"/>
        </w:rPr>
      </w:pPr>
      <w:r>
        <w:rPr>
          <w:rFonts w:ascii="Times New Roman" w:cs="Times New Roman" w:eastAsia="Times New Roman" w:hAnsi="Times New Roman"/>
          <w:sz w:val="21"/>
          <w:szCs w:val="21"/>
          <w:color w:val="auto"/>
        </w:rPr>
        <w:t>§1.37 “</w:t>
      </w:r>
      <w:r>
        <w:rPr>
          <w:rFonts w:ascii="Times New Roman" w:cs="Times New Roman" w:eastAsia="Times New Roman" w:hAnsi="Times New Roman"/>
          <w:sz w:val="21"/>
          <w:szCs w:val="21"/>
          <w:b w:val="1"/>
          <w:bCs w:val="1"/>
          <w:color w:val="auto"/>
        </w:rPr>
        <w:t>Salary</w:t>
      </w:r>
      <w:r>
        <w:rPr>
          <w:rFonts w:ascii="Times New Roman" w:cs="Times New Roman" w:eastAsia="Times New Roman" w:hAnsi="Times New Roman"/>
          <w:sz w:val="21"/>
          <w:szCs w:val="21"/>
          <w:color w:val="auto"/>
        </w:rPr>
        <w:t>” means an Employee's base salary paid by the Employer, excluding commissions, annual incentive compensation awards or other bonuses, and any other additional compensation.</w:t>
      </w:r>
    </w:p>
    <w:p>
      <w:pPr>
        <w:spacing w:after="0" w:line="160" w:lineRule="exact"/>
        <w:rPr>
          <w:sz w:val="20"/>
          <w:szCs w:val="20"/>
          <w:color w:val="auto"/>
        </w:rPr>
      </w:pPr>
    </w:p>
    <w:p>
      <w:pPr>
        <w:ind w:right="80" w:firstLine="636"/>
        <w:spacing w:after="0" w:line="267" w:lineRule="auto"/>
        <w:rPr>
          <w:sz w:val="20"/>
          <w:szCs w:val="20"/>
          <w:color w:val="auto"/>
        </w:rPr>
      </w:pPr>
      <w:r>
        <w:rPr>
          <w:rFonts w:ascii="Times New Roman" w:cs="Times New Roman" w:eastAsia="Times New Roman" w:hAnsi="Times New Roman"/>
          <w:sz w:val="21"/>
          <w:szCs w:val="21"/>
          <w:color w:val="auto"/>
        </w:rPr>
        <w:t>§1.38 “</w:t>
      </w:r>
      <w:r>
        <w:rPr>
          <w:rFonts w:ascii="Times New Roman" w:cs="Times New Roman" w:eastAsia="Times New Roman" w:hAnsi="Times New Roman"/>
          <w:sz w:val="21"/>
          <w:szCs w:val="21"/>
          <w:b w:val="1"/>
          <w:bCs w:val="1"/>
          <w:color w:val="auto"/>
        </w:rPr>
        <w:t>Separation from Service</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Separates from Service</w:t>
      </w:r>
      <w:r>
        <w:rPr>
          <w:rFonts w:ascii="Times New Roman" w:cs="Times New Roman" w:eastAsia="Times New Roman" w:hAnsi="Times New Roman"/>
          <w:sz w:val="21"/>
          <w:szCs w:val="21"/>
          <w:color w:val="auto"/>
        </w:rPr>
        <w:t>” means a “separation from service” within the meaning of Code section 409A; provided that, in the event a Participant becomes Totally Disabled and is on an approved leave of absence from employment in connection therewith, a Separation from Service shall not occur for up to 12 months following the first day of such leave of absence, as permitted under a Company-sponsored disability program.</w:t>
      </w:r>
    </w:p>
    <w:p>
      <w:pPr>
        <w:spacing w:after="0" w:line="184" w:lineRule="exact"/>
        <w:rPr>
          <w:sz w:val="20"/>
          <w:szCs w:val="20"/>
          <w:color w:val="auto"/>
        </w:rPr>
      </w:pPr>
    </w:p>
    <w:p>
      <w:pPr>
        <w:ind w:right="260" w:firstLine="636"/>
        <w:spacing w:after="0" w:line="289" w:lineRule="auto"/>
        <w:rPr>
          <w:sz w:val="20"/>
          <w:szCs w:val="20"/>
          <w:color w:val="auto"/>
        </w:rPr>
      </w:pPr>
      <w:r>
        <w:rPr>
          <w:rFonts w:ascii="Times New Roman" w:cs="Times New Roman" w:eastAsia="Times New Roman" w:hAnsi="Times New Roman"/>
          <w:sz w:val="21"/>
          <w:szCs w:val="21"/>
          <w:color w:val="auto"/>
        </w:rPr>
        <w:t>§1.39 “</w:t>
      </w:r>
      <w:r>
        <w:rPr>
          <w:rFonts w:ascii="Times New Roman" w:cs="Times New Roman" w:eastAsia="Times New Roman" w:hAnsi="Times New Roman"/>
          <w:sz w:val="21"/>
          <w:szCs w:val="21"/>
          <w:b w:val="1"/>
          <w:bCs w:val="1"/>
          <w:color w:val="auto"/>
        </w:rPr>
        <w:t>SERP</w:t>
      </w:r>
      <w:r>
        <w:rPr>
          <w:rFonts w:ascii="Times New Roman" w:cs="Times New Roman" w:eastAsia="Times New Roman" w:hAnsi="Times New Roman"/>
          <w:sz w:val="21"/>
          <w:szCs w:val="21"/>
          <w:color w:val="auto"/>
        </w:rPr>
        <w:t>” means the Campbell Soup Company Supplemental Employees’ Retirement Plan, as amended from time to time, and any successor or replacement plan thereof.</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§1.40 “</w:t>
      </w:r>
      <w:r>
        <w:rPr>
          <w:rFonts w:ascii="Times New Roman" w:cs="Times New Roman" w:eastAsia="Times New Roman" w:hAnsi="Times New Roman"/>
          <w:sz w:val="21"/>
          <w:szCs w:val="21"/>
          <w:b w:val="1"/>
          <w:bCs w:val="1"/>
          <w:color w:val="auto"/>
        </w:rPr>
        <w:t>SERP Benefit</w:t>
      </w:r>
      <w:r>
        <w:rPr>
          <w:rFonts w:ascii="Times New Roman" w:cs="Times New Roman" w:eastAsia="Times New Roman" w:hAnsi="Times New Roman"/>
          <w:sz w:val="21"/>
          <w:szCs w:val="21"/>
          <w:color w:val="auto"/>
        </w:rPr>
        <w:t>” means the benefit amount determined under the SERP and credited to a Participant under the Plan.</w:t>
      </w:r>
    </w:p>
    <w:p>
      <w:pPr>
        <w:spacing w:after="0" w:line="249" w:lineRule="exact"/>
        <w:rPr>
          <w:sz w:val="20"/>
          <w:szCs w:val="20"/>
          <w:color w:val="auto"/>
        </w:rPr>
      </w:pPr>
    </w:p>
    <w:p>
      <w:pPr>
        <w:ind w:right="80" w:firstLine="636"/>
        <w:spacing w:after="0" w:line="302" w:lineRule="auto"/>
        <w:rPr>
          <w:sz w:val="20"/>
          <w:szCs w:val="20"/>
          <w:color w:val="auto"/>
        </w:rPr>
      </w:pPr>
      <w:r>
        <w:rPr>
          <w:rFonts w:ascii="Times New Roman" w:cs="Times New Roman" w:eastAsia="Times New Roman" w:hAnsi="Times New Roman"/>
          <w:sz w:val="21"/>
          <w:szCs w:val="21"/>
          <w:color w:val="auto"/>
        </w:rPr>
        <w:t>§1.41 “</w:t>
      </w:r>
      <w:r>
        <w:rPr>
          <w:rFonts w:ascii="Times New Roman" w:cs="Times New Roman" w:eastAsia="Times New Roman" w:hAnsi="Times New Roman"/>
          <w:sz w:val="21"/>
          <w:szCs w:val="21"/>
          <w:b w:val="1"/>
          <w:bCs w:val="1"/>
          <w:color w:val="auto"/>
        </w:rPr>
        <w:t>Subsequent Deferral Election</w:t>
      </w:r>
      <w:r>
        <w:rPr>
          <w:rFonts w:ascii="Times New Roman" w:cs="Times New Roman" w:eastAsia="Times New Roman" w:hAnsi="Times New Roman"/>
          <w:sz w:val="21"/>
          <w:szCs w:val="21"/>
          <w:color w:val="auto"/>
        </w:rPr>
        <w:t>” means a Participant’s election to change the time and form of his or her distribution in accordance with the requirements set forth in Section 5.6.</w:t>
      </w:r>
    </w:p>
    <w:p>
      <w:pPr>
        <w:spacing w:after="0" w:line="14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§1.42 “</w:t>
      </w:r>
      <w:r>
        <w:rPr>
          <w:rFonts w:ascii="Times New Roman" w:cs="Times New Roman" w:eastAsia="Times New Roman" w:hAnsi="Times New Roman"/>
          <w:sz w:val="21"/>
          <w:szCs w:val="21"/>
          <w:b w:val="1"/>
          <w:bCs w:val="1"/>
          <w:color w:val="auto"/>
        </w:rPr>
        <w:t>Supplemental Match</w:t>
      </w:r>
      <w:r>
        <w:rPr>
          <w:rFonts w:ascii="Times New Roman" w:cs="Times New Roman" w:eastAsia="Times New Roman" w:hAnsi="Times New Roman"/>
          <w:sz w:val="21"/>
          <w:szCs w:val="21"/>
          <w:color w:val="auto"/>
        </w:rPr>
        <w:t>” means the benefit described in Section 3.2(a).</w:t>
      </w:r>
    </w:p>
    <w:p>
      <w:pPr>
        <w:spacing w:after="0" w:line="2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§1.43 “</w:t>
      </w:r>
      <w:r>
        <w:rPr>
          <w:rFonts w:ascii="Times New Roman" w:cs="Times New Roman" w:eastAsia="Times New Roman" w:hAnsi="Times New Roman"/>
          <w:sz w:val="21"/>
          <w:szCs w:val="21"/>
          <w:b w:val="1"/>
          <w:bCs w:val="1"/>
          <w:color w:val="auto"/>
        </w:rPr>
        <w:t>Supplemental Retirement Contribution</w:t>
      </w:r>
      <w:r>
        <w:rPr>
          <w:rFonts w:ascii="Times New Roman" w:cs="Times New Roman" w:eastAsia="Times New Roman" w:hAnsi="Times New Roman"/>
          <w:sz w:val="21"/>
          <w:szCs w:val="21"/>
          <w:color w:val="auto"/>
        </w:rPr>
        <w:t>” means the benefit described in Section 3.2(b).</w:t>
      </w:r>
    </w:p>
    <w:p>
      <w:pPr>
        <w:spacing w:after="0" w:line="249" w:lineRule="exact"/>
        <w:rPr>
          <w:sz w:val="20"/>
          <w:szCs w:val="20"/>
          <w:color w:val="auto"/>
        </w:rPr>
      </w:pPr>
    </w:p>
    <w:p>
      <w:pPr>
        <w:ind w:right="600" w:firstLine="636"/>
        <w:spacing w:after="0" w:line="289" w:lineRule="auto"/>
        <w:rPr>
          <w:sz w:val="20"/>
          <w:szCs w:val="20"/>
          <w:color w:val="auto"/>
        </w:rPr>
      </w:pPr>
      <w:r>
        <w:rPr>
          <w:rFonts w:ascii="Times New Roman" w:cs="Times New Roman" w:eastAsia="Times New Roman" w:hAnsi="Times New Roman"/>
          <w:sz w:val="21"/>
          <w:szCs w:val="21"/>
          <w:color w:val="auto"/>
        </w:rPr>
        <w:t>§1.44 “</w:t>
      </w:r>
      <w:r>
        <w:rPr>
          <w:rFonts w:ascii="Times New Roman" w:cs="Times New Roman" w:eastAsia="Times New Roman" w:hAnsi="Times New Roman"/>
          <w:sz w:val="21"/>
          <w:szCs w:val="21"/>
          <w:b w:val="1"/>
          <w:bCs w:val="1"/>
          <w:color w:val="auto"/>
        </w:rPr>
        <w:t>Totally Disabled</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b w:val="1"/>
          <w:bCs w:val="1"/>
          <w:color w:val="auto"/>
        </w:rPr>
        <w:t>Total Disability</w:t>
      </w:r>
      <w:r>
        <w:rPr>
          <w:rFonts w:ascii="Times New Roman" w:cs="Times New Roman" w:eastAsia="Times New Roman" w:hAnsi="Times New Roman"/>
          <w:sz w:val="21"/>
          <w:szCs w:val="21"/>
          <w:color w:val="auto"/>
        </w:rPr>
        <w:t>” means “total disability” as that term is defined in the group long-term disability plan sponsored by the Company.</w:t>
      </w:r>
    </w:p>
    <w:p>
      <w:pPr>
        <w:spacing w:after="0" w:line="174" w:lineRule="exact"/>
        <w:rPr>
          <w:sz w:val="20"/>
          <w:szCs w:val="20"/>
          <w:color w:val="auto"/>
        </w:rPr>
      </w:pPr>
    </w:p>
    <w:p>
      <w:pPr>
        <w:ind w:firstLine="636"/>
        <w:spacing w:after="0" w:line="289" w:lineRule="auto"/>
        <w:rPr>
          <w:sz w:val="20"/>
          <w:szCs w:val="20"/>
          <w:color w:val="auto"/>
        </w:rPr>
      </w:pPr>
      <w:r>
        <w:rPr>
          <w:rFonts w:ascii="Times New Roman" w:cs="Times New Roman" w:eastAsia="Times New Roman" w:hAnsi="Times New Roman"/>
          <w:sz w:val="21"/>
          <w:szCs w:val="21"/>
          <w:color w:val="auto"/>
        </w:rPr>
        <w:t>§1.45 “</w:t>
      </w:r>
      <w:r>
        <w:rPr>
          <w:rFonts w:ascii="Times New Roman" w:cs="Times New Roman" w:eastAsia="Times New Roman" w:hAnsi="Times New Roman"/>
          <w:sz w:val="21"/>
          <w:szCs w:val="21"/>
          <w:b w:val="1"/>
          <w:bCs w:val="1"/>
          <w:color w:val="auto"/>
        </w:rPr>
        <w:t>Total Value</w:t>
      </w:r>
      <w:r>
        <w:rPr>
          <w:rFonts w:ascii="Times New Roman" w:cs="Times New Roman" w:eastAsia="Times New Roman" w:hAnsi="Times New Roman"/>
          <w:sz w:val="21"/>
          <w:szCs w:val="21"/>
          <w:color w:val="auto"/>
        </w:rPr>
        <w:t>” means the entire value of a Participant’s vested Account Balance, including both Elective Contributions and Non-Elective Contributions (and earnings thereon), regardless of the time or form of payment for such amounts.</w:t>
      </w:r>
    </w:p>
    <w:p>
      <w:pPr>
        <w:spacing w:after="0" w:line="160" w:lineRule="exact"/>
        <w:rPr>
          <w:sz w:val="20"/>
          <w:szCs w:val="20"/>
          <w:color w:val="auto"/>
        </w:rPr>
      </w:pPr>
    </w:p>
    <w:p>
      <w:pPr>
        <w:ind w:right="40" w:firstLine="636"/>
        <w:spacing w:after="0" w:line="289" w:lineRule="auto"/>
        <w:rPr>
          <w:sz w:val="20"/>
          <w:szCs w:val="20"/>
          <w:color w:val="auto"/>
        </w:rPr>
      </w:pPr>
      <w:r>
        <w:rPr>
          <w:rFonts w:ascii="Times New Roman" w:cs="Times New Roman" w:eastAsia="Times New Roman" w:hAnsi="Times New Roman"/>
          <w:sz w:val="21"/>
          <w:szCs w:val="21"/>
          <w:color w:val="auto"/>
        </w:rPr>
        <w:t>§1.46 “</w:t>
      </w:r>
      <w:r>
        <w:rPr>
          <w:rFonts w:ascii="Times New Roman" w:cs="Times New Roman" w:eastAsia="Times New Roman" w:hAnsi="Times New Roman"/>
          <w:sz w:val="21"/>
          <w:szCs w:val="21"/>
          <w:b w:val="1"/>
          <w:bCs w:val="1"/>
          <w:color w:val="auto"/>
        </w:rPr>
        <w:t>Years of Service</w:t>
      </w:r>
      <w:r>
        <w:rPr>
          <w:rFonts w:ascii="Times New Roman" w:cs="Times New Roman" w:eastAsia="Times New Roman" w:hAnsi="Times New Roman"/>
          <w:sz w:val="21"/>
          <w:szCs w:val="21"/>
          <w:color w:val="auto"/>
        </w:rPr>
        <w:t>” means the 12-month periods beginning on a Participant’s date of hire and each anniversary thereof in which the Participant remains employed by the</w:t>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1"/>
          <w:szCs w:val="21"/>
          <w:color w:val="auto"/>
        </w:rPr>
        <w:t>Company and all of the corporations in which the Company directly or indirectly owns the majority of the voting stock.</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ARTICLE II</w:t>
      </w: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ELIGIBILITY AND PARTICIPATION</w:t>
      </w:r>
    </w:p>
    <w:p>
      <w:pPr>
        <w:spacing w:after="0" w:line="262" w:lineRule="exact"/>
        <w:rPr>
          <w:sz w:val="20"/>
          <w:szCs w:val="20"/>
          <w:color w:val="auto"/>
        </w:rPr>
      </w:pPr>
    </w:p>
    <w:p>
      <w:pPr>
        <w:ind w:right="160" w:firstLine="636"/>
        <w:spacing w:after="0" w:line="269" w:lineRule="auto"/>
        <w:rPr>
          <w:sz w:val="20"/>
          <w:szCs w:val="20"/>
          <w:color w:val="auto"/>
        </w:rPr>
      </w:pPr>
      <w:r>
        <w:rPr>
          <w:rFonts w:ascii="Times New Roman" w:cs="Times New Roman" w:eastAsia="Times New Roman" w:hAnsi="Times New Roman"/>
          <w:sz w:val="21"/>
          <w:szCs w:val="21"/>
          <w:color w:val="auto"/>
        </w:rPr>
        <w:t xml:space="preserve">§2.1 </w:t>
      </w:r>
      <w:r>
        <w:rPr>
          <w:rFonts w:ascii="Times New Roman" w:cs="Times New Roman" w:eastAsia="Times New Roman" w:hAnsi="Times New Roman"/>
          <w:sz w:val="21"/>
          <w:szCs w:val="21"/>
          <w:b w:val="1"/>
          <w:bCs w:val="1"/>
          <w:color w:val="auto"/>
        </w:rPr>
        <w:t>Eligibility.</w:t>
      </w:r>
      <w:r>
        <w:rPr>
          <w:rFonts w:ascii="Times New Roman" w:cs="Times New Roman" w:eastAsia="Times New Roman" w:hAnsi="Times New Roman"/>
          <w:sz w:val="21"/>
          <w:szCs w:val="21"/>
          <w:color w:val="auto"/>
        </w:rPr>
        <w:t xml:space="preserve"> Each Eligible Executive with a salary level of A, B, or C may elect to defer his or her Compensation in accordance with the Plan. Each Director may elect to defer his or her Director’s Fees in accordance with the Plan. Rules regarding both Initial Distribution Elections and Subsequent Deferral Elections by Eligible Executives are provided in Article V.</w:t>
      </w:r>
    </w:p>
    <w:p>
      <w:pPr>
        <w:spacing w:after="0" w:line="186" w:lineRule="exact"/>
        <w:rPr>
          <w:sz w:val="20"/>
          <w:szCs w:val="20"/>
          <w:color w:val="auto"/>
        </w:rPr>
      </w:pPr>
    </w:p>
    <w:p>
      <w:pPr>
        <w:ind w:right="340" w:firstLine="636"/>
        <w:spacing w:after="0" w:line="285" w:lineRule="auto"/>
        <w:rPr>
          <w:sz w:val="20"/>
          <w:szCs w:val="20"/>
          <w:color w:val="auto"/>
        </w:rPr>
      </w:pPr>
      <w:r>
        <w:rPr>
          <w:rFonts w:ascii="Times New Roman" w:cs="Times New Roman" w:eastAsia="Times New Roman" w:hAnsi="Times New Roman"/>
          <w:sz w:val="21"/>
          <w:szCs w:val="21"/>
          <w:color w:val="auto"/>
        </w:rPr>
        <w:t>Each Eligible Executive whose annual base salary and annual incentive compensation award equal or exceed the amount required by the Plan Administrator shall be eligible for Supplemental Match contributions.</w:t>
      </w:r>
    </w:p>
    <w:p>
      <w:pPr>
        <w:spacing w:after="0" w:line="182" w:lineRule="exact"/>
        <w:rPr>
          <w:sz w:val="20"/>
          <w:szCs w:val="20"/>
          <w:color w:val="auto"/>
        </w:rPr>
      </w:pPr>
    </w:p>
    <w:p>
      <w:pPr>
        <w:ind w:firstLine="636"/>
        <w:spacing w:after="0" w:line="261" w:lineRule="auto"/>
        <w:rPr>
          <w:sz w:val="20"/>
          <w:szCs w:val="20"/>
          <w:color w:val="auto"/>
        </w:rPr>
      </w:pPr>
      <w:r>
        <w:rPr>
          <w:rFonts w:ascii="Times New Roman" w:cs="Times New Roman" w:eastAsia="Times New Roman" w:hAnsi="Times New Roman"/>
          <w:sz w:val="21"/>
          <w:szCs w:val="21"/>
          <w:color w:val="auto"/>
        </w:rPr>
        <w:t>Each Eligible Executive who commences employment with, or is rehired by, an Employer on or after January 1, 2011, and is not eligible to accrue benefits under the SERP, shall be eligible for Supplemental Retirement Contributions if the Eligible Executive's annual base salary and annual incentive compensation award equal or exceed the amount required by the Plan Administrator.</w:t>
      </w:r>
    </w:p>
    <w:p>
      <w:pPr>
        <w:spacing w:after="0" w:line="195" w:lineRule="exact"/>
        <w:rPr>
          <w:sz w:val="20"/>
          <w:szCs w:val="20"/>
          <w:color w:val="auto"/>
        </w:rPr>
      </w:pPr>
    </w:p>
    <w:p>
      <w:pPr>
        <w:ind w:right="140" w:firstLine="636"/>
        <w:spacing w:after="0" w:line="266" w:lineRule="auto"/>
        <w:rPr>
          <w:sz w:val="20"/>
          <w:szCs w:val="20"/>
          <w:color w:val="auto"/>
        </w:rPr>
      </w:pPr>
      <w:r>
        <w:rPr>
          <w:rFonts w:ascii="Times New Roman" w:cs="Times New Roman" w:eastAsia="Times New Roman" w:hAnsi="Times New Roman"/>
          <w:sz w:val="21"/>
          <w:szCs w:val="21"/>
          <w:color w:val="auto"/>
        </w:rPr>
        <w:t>Each Eligible Executive hired, rehired or promoted into a position with a salary level of A on or after August 1, 2015 and those Eligible Executives designated by the Chief Executive Officer to receive this benefit shall be eligible for Executive Retirement Contributions. Notwithstanding the foregoing, any Eligible Executive who is hired, rehired or promoted into a position with a salary level of A on and after October 1, 2024 shall not be eligible for Executive Retirement Contributions.</w:t>
      </w:r>
    </w:p>
    <w:p>
      <w:pPr>
        <w:spacing w:after="0" w:line="184" w:lineRule="exact"/>
        <w:rPr>
          <w:sz w:val="20"/>
          <w:szCs w:val="20"/>
          <w:color w:val="auto"/>
        </w:rPr>
      </w:pPr>
    </w:p>
    <w:p>
      <w:pPr>
        <w:jc w:val="both"/>
        <w:ind w:right="180" w:firstLine="636"/>
        <w:spacing w:after="0" w:line="269" w:lineRule="auto"/>
        <w:rPr>
          <w:sz w:val="20"/>
          <w:szCs w:val="20"/>
          <w:color w:val="auto"/>
        </w:rPr>
      </w:pPr>
      <w:r>
        <w:rPr>
          <w:rFonts w:ascii="Times New Roman" w:cs="Times New Roman" w:eastAsia="Times New Roman" w:hAnsi="Times New Roman"/>
          <w:sz w:val="21"/>
          <w:szCs w:val="21"/>
          <w:color w:val="auto"/>
        </w:rPr>
        <w:t xml:space="preserve">§2.2 </w:t>
      </w:r>
      <w:r>
        <w:rPr>
          <w:rFonts w:ascii="Times New Roman" w:cs="Times New Roman" w:eastAsia="Times New Roman" w:hAnsi="Times New Roman"/>
          <w:sz w:val="21"/>
          <w:szCs w:val="21"/>
          <w:b w:val="1"/>
          <w:bCs w:val="1"/>
          <w:color w:val="auto"/>
        </w:rPr>
        <w:t>Executives Outside the United States.</w:t>
      </w:r>
      <w:r>
        <w:rPr>
          <w:rFonts w:ascii="Times New Roman" w:cs="Times New Roman" w:eastAsia="Times New Roman" w:hAnsi="Times New Roman"/>
          <w:sz w:val="21"/>
          <w:szCs w:val="21"/>
          <w:color w:val="auto"/>
        </w:rPr>
        <w:t xml:space="preserve"> Notwithstanding any other provisions of the Plan to the contrary, an Eligible Executive who is subject to tax outside of the United States is not eligible to participate in any feature of the Plan unless his or her participation has been approved in advance by the Plan Administrator.</w:t>
      </w:r>
    </w:p>
    <w:p>
      <w:pPr>
        <w:spacing w:after="0" w:line="195" w:lineRule="exact"/>
        <w:rPr>
          <w:sz w:val="20"/>
          <w:szCs w:val="20"/>
          <w:color w:val="auto"/>
        </w:rPr>
      </w:pPr>
    </w:p>
    <w:p>
      <w:pPr>
        <w:ind w:right="40" w:firstLine="636"/>
        <w:spacing w:after="0" w:line="259" w:lineRule="auto"/>
        <w:rPr>
          <w:sz w:val="20"/>
          <w:szCs w:val="20"/>
          <w:color w:val="auto"/>
        </w:rPr>
      </w:pPr>
      <w:r>
        <w:rPr>
          <w:rFonts w:ascii="Times New Roman" w:cs="Times New Roman" w:eastAsia="Times New Roman" w:hAnsi="Times New Roman"/>
          <w:sz w:val="21"/>
          <w:szCs w:val="21"/>
          <w:color w:val="auto"/>
        </w:rPr>
        <w:t xml:space="preserve">§2.3 </w:t>
      </w:r>
      <w:r>
        <w:rPr>
          <w:rFonts w:ascii="Times New Roman" w:cs="Times New Roman" w:eastAsia="Times New Roman" w:hAnsi="Times New Roman"/>
          <w:sz w:val="21"/>
          <w:szCs w:val="21"/>
          <w:b w:val="1"/>
          <w:bCs w:val="1"/>
          <w:color w:val="auto"/>
        </w:rPr>
        <w:t>Participation.</w:t>
      </w:r>
      <w:r>
        <w:rPr>
          <w:rFonts w:ascii="Times New Roman" w:cs="Times New Roman" w:eastAsia="Times New Roman" w:hAnsi="Times New Roman"/>
          <w:sz w:val="21"/>
          <w:szCs w:val="21"/>
          <w:color w:val="auto"/>
        </w:rPr>
        <w:t xml:space="preserve"> The Plan Administrator shall notify any Eligible Executive of his status as an Eligible Executive at such time and in such manner as the Plan Administrator shall determine. Any Eligible Executive who elects to participate in the Plan or who is credited with any Non-Elective Contributions shall become a Participant in the Plan immediately upon enrolling as a Participant by the method required by the Plan Administrator. An individual shall remain a Participant under the Plan until all amounts credited to the Participant's Account Balance have been distributed to the Participant or the Participant's Beneficiary.</w:t>
      </w: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ARTICLE III</w:t>
      </w: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CONTRIBUTIONS AND ACCOUNTS</w:t>
      </w:r>
    </w:p>
    <w:p>
      <w:pPr>
        <w:sectPr>
          <w:pgSz w:w="11900" w:h="16838" w:orient="portrait"/>
          <w:cols w:equalWidth="0" w:num="1">
            <w:col w:w="11220"/>
          </w:cols>
          <w:pgMar w:left="320" w:top="1397" w:right="359" w:bottom="1440" w:gutter="0" w:footer="0" w:header="0"/>
        </w:sectPr>
      </w:pPr>
    </w:p>
    <w:bookmarkStart w:id="74" w:name="page75"/>
    <w:bookmarkEnd w:id="74"/>
    <w:p>
      <w:pPr>
        <w:spacing w:after="0" w:line="192" w:lineRule="exact"/>
        <w:rPr>
          <w:sz w:val="20"/>
          <w:szCs w:val="20"/>
          <w:color w:val="auto"/>
        </w:rPr>
      </w:pPr>
    </w:p>
    <w:p>
      <w:pPr>
        <w:ind w:right="680" w:firstLine="636"/>
        <w:spacing w:after="0" w:line="289" w:lineRule="auto"/>
        <w:rPr>
          <w:sz w:val="20"/>
          <w:szCs w:val="20"/>
          <w:color w:val="auto"/>
        </w:rPr>
      </w:pPr>
      <w:r>
        <w:rPr>
          <w:rFonts w:ascii="Times New Roman" w:cs="Times New Roman" w:eastAsia="Times New Roman" w:hAnsi="Times New Roman"/>
          <w:sz w:val="21"/>
          <w:szCs w:val="21"/>
          <w:color w:val="auto"/>
        </w:rPr>
        <w:t xml:space="preserve">§3.1 </w:t>
      </w:r>
      <w:r>
        <w:rPr>
          <w:rFonts w:ascii="Times New Roman" w:cs="Times New Roman" w:eastAsia="Times New Roman" w:hAnsi="Times New Roman"/>
          <w:sz w:val="21"/>
          <w:szCs w:val="21"/>
          <w:b w:val="1"/>
          <w:bCs w:val="1"/>
          <w:color w:val="auto"/>
        </w:rPr>
        <w:t>Elective Contributions.</w:t>
      </w:r>
      <w:r>
        <w:rPr>
          <w:rFonts w:ascii="Times New Roman" w:cs="Times New Roman" w:eastAsia="Times New Roman" w:hAnsi="Times New Roman"/>
          <w:sz w:val="21"/>
          <w:szCs w:val="21"/>
          <w:color w:val="auto"/>
        </w:rPr>
        <w:t xml:space="preserve"> A Participant eligible to make elective contributions to the Plan may elect to defer the following types of Compensation, which are the “Elective Contributions:”</w:t>
      </w:r>
    </w:p>
    <w:p>
      <w:pPr>
        <w:spacing w:after="0" w:line="160" w:lineRule="exact"/>
        <w:rPr>
          <w:sz w:val="20"/>
          <w:szCs w:val="20"/>
          <w:color w:val="auto"/>
        </w:rPr>
      </w:pPr>
    </w:p>
    <w:p>
      <w:pPr>
        <w:jc w:val="both"/>
        <w:ind w:right="400" w:firstLine="1278"/>
        <w:spacing w:after="0" w:line="276" w:lineRule="auto"/>
        <w:tabs>
          <w:tab w:leader="none" w:pos="15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Annual Incentive Compensation Deferral. </w:t>
      </w:r>
      <w:r>
        <w:rPr>
          <w:rFonts w:ascii="Times New Roman" w:cs="Times New Roman" w:eastAsia="Times New Roman" w:hAnsi="Times New Roman"/>
          <w:sz w:val="21"/>
          <w:szCs w:val="21"/>
          <w:color w:val="auto"/>
        </w:rPr>
        <w:t>On behalf of a Participant with a salary level of A, B or C who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participates in an Annual Incentive Compensation program, the Company shall credit to his or her Account Balance an amount equal to that portion of an Annual Incentive Compensation award that the Participant has elected to defer under the Plan.</w:t>
      </w:r>
    </w:p>
    <w:p>
      <w:pPr>
        <w:spacing w:after="0" w:line="173" w:lineRule="exact"/>
        <w:rPr>
          <w:rFonts w:ascii="Times New Roman" w:cs="Times New Roman" w:eastAsia="Times New Roman" w:hAnsi="Times New Roman"/>
          <w:sz w:val="21"/>
          <w:szCs w:val="21"/>
          <w:color w:val="auto"/>
        </w:rPr>
      </w:pPr>
    </w:p>
    <w:p>
      <w:pPr>
        <w:ind w:right="60" w:firstLine="1278"/>
        <w:spacing w:after="0" w:line="289" w:lineRule="auto"/>
        <w:tabs>
          <w:tab w:leader="none" w:pos="1572"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LTIP Deferral. </w:t>
      </w:r>
      <w:r>
        <w:rPr>
          <w:rFonts w:ascii="Times New Roman" w:cs="Times New Roman" w:eastAsia="Times New Roman" w:hAnsi="Times New Roman"/>
          <w:sz w:val="21"/>
          <w:szCs w:val="21"/>
          <w:color w:val="auto"/>
        </w:rPr>
        <w:t>On behalf of a Participant who participates in the LTIP, the Company shall credit to his or 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Account Balance an amount equal to that portion of an eligible LTIP Award that the Participant has elected to defer under the Plan.</w:t>
      </w:r>
    </w:p>
    <w:p>
      <w:pPr>
        <w:spacing w:after="0" w:line="160" w:lineRule="exact"/>
        <w:rPr>
          <w:rFonts w:ascii="Times New Roman" w:cs="Times New Roman" w:eastAsia="Times New Roman" w:hAnsi="Times New Roman"/>
          <w:sz w:val="21"/>
          <w:szCs w:val="21"/>
          <w:color w:val="auto"/>
        </w:rPr>
      </w:pPr>
    </w:p>
    <w:p>
      <w:pPr>
        <w:ind w:right="180" w:firstLine="1278"/>
        <w:spacing w:after="0" w:line="302" w:lineRule="auto"/>
        <w:tabs>
          <w:tab w:leader="none" w:pos="15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Director’s Fee Deferral. </w:t>
      </w:r>
      <w:r>
        <w:rPr>
          <w:rFonts w:ascii="Times New Roman" w:cs="Times New Roman" w:eastAsia="Times New Roman" w:hAnsi="Times New Roman"/>
          <w:sz w:val="21"/>
          <w:szCs w:val="21"/>
          <w:color w:val="auto"/>
        </w:rPr>
        <w:t>The Company shall credit to a Participant’s Account Balance an amount equal to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portion of his or her Director’s Fees that the Participant has elected to defer under the Plan.</w:t>
      </w:r>
    </w:p>
    <w:p>
      <w:pPr>
        <w:spacing w:after="0" w:line="152" w:lineRule="exact"/>
        <w:rPr>
          <w:sz w:val="20"/>
          <w:szCs w:val="20"/>
          <w:color w:val="auto"/>
        </w:rPr>
      </w:pPr>
    </w:p>
    <w:p>
      <w:pPr>
        <w:ind w:right="920"/>
        <w:spacing w:after="0" w:line="285" w:lineRule="auto"/>
        <w:rPr>
          <w:sz w:val="20"/>
          <w:szCs w:val="20"/>
          <w:color w:val="auto"/>
        </w:rPr>
      </w:pPr>
      <w:r>
        <w:rPr>
          <w:rFonts w:ascii="Times New Roman" w:cs="Times New Roman" w:eastAsia="Times New Roman" w:hAnsi="Times New Roman"/>
          <w:sz w:val="21"/>
          <w:szCs w:val="21"/>
          <w:color w:val="auto"/>
        </w:rPr>
        <w:t>Compensation deferred by a Participant under Article V shall be credited to the Participant’s Account Balance as soon as practicable after the amounts would have otherwise been paid to the Participant.</w:t>
      </w:r>
    </w:p>
    <w:p>
      <w:pPr>
        <w:spacing w:after="0" w:line="164" w:lineRule="exact"/>
        <w:rPr>
          <w:sz w:val="20"/>
          <w:szCs w:val="20"/>
          <w:color w:val="auto"/>
        </w:rPr>
      </w:pPr>
    </w:p>
    <w:p>
      <w:pPr>
        <w:ind w:right="60" w:firstLine="636"/>
        <w:spacing w:after="0" w:line="289" w:lineRule="auto"/>
        <w:rPr>
          <w:sz w:val="20"/>
          <w:szCs w:val="20"/>
          <w:color w:val="auto"/>
        </w:rPr>
      </w:pPr>
      <w:r>
        <w:rPr>
          <w:rFonts w:ascii="Times New Roman" w:cs="Times New Roman" w:eastAsia="Times New Roman" w:hAnsi="Times New Roman"/>
          <w:sz w:val="21"/>
          <w:szCs w:val="21"/>
          <w:color w:val="auto"/>
        </w:rPr>
        <w:t xml:space="preserve">§3.2 </w:t>
      </w:r>
      <w:r>
        <w:rPr>
          <w:rFonts w:ascii="Times New Roman" w:cs="Times New Roman" w:eastAsia="Times New Roman" w:hAnsi="Times New Roman"/>
          <w:sz w:val="21"/>
          <w:szCs w:val="21"/>
          <w:b w:val="1"/>
          <w:bCs w:val="1"/>
          <w:color w:val="auto"/>
        </w:rPr>
        <w:t>Non-Elective Contributions.</w:t>
      </w:r>
      <w:r>
        <w:rPr>
          <w:rFonts w:ascii="Times New Roman" w:cs="Times New Roman" w:eastAsia="Times New Roman" w:hAnsi="Times New Roman"/>
          <w:sz w:val="21"/>
          <w:szCs w:val="21"/>
          <w:color w:val="auto"/>
        </w:rPr>
        <w:t xml:space="preserve"> As applicable, the Company shall credit to an Eligible Executive’s Account Balance the following five types of benefits, which are the “Non-Elective Contributions:”</w:t>
      </w:r>
    </w:p>
    <w:p>
      <w:pPr>
        <w:spacing w:after="0" w:line="160" w:lineRule="exact"/>
        <w:rPr>
          <w:sz w:val="20"/>
          <w:szCs w:val="20"/>
          <w:color w:val="auto"/>
        </w:rPr>
      </w:pPr>
    </w:p>
    <w:p>
      <w:pPr>
        <w:ind w:right="300" w:firstLine="1278"/>
        <w:spacing w:after="0" w:line="276" w:lineRule="auto"/>
        <w:tabs>
          <w:tab w:leader="none" w:pos="1560"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Supplemental Match. </w:t>
      </w:r>
      <w:r>
        <w:rPr>
          <w:rFonts w:ascii="Times New Roman" w:cs="Times New Roman" w:eastAsia="Times New Roman" w:hAnsi="Times New Roman"/>
          <w:sz w:val="21"/>
          <w:szCs w:val="21"/>
          <w:color w:val="auto"/>
        </w:rPr>
        <w:t>On behalf of an Eligible Executive who meets the eligibility requirements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Supplemental Match contributions under Section 2.1, each Plan Year the Company shall credit to his or her Account Balance no later than January 31 of the following Plan Year an amount equal to:</w:t>
      </w:r>
    </w:p>
    <w:p>
      <w:pPr>
        <w:spacing w:after="0" w:line="177" w:lineRule="exact"/>
        <w:rPr>
          <w:rFonts w:ascii="Times New Roman" w:cs="Times New Roman" w:eastAsia="Times New Roman" w:hAnsi="Times New Roman"/>
          <w:sz w:val="21"/>
          <w:szCs w:val="21"/>
          <w:color w:val="auto"/>
        </w:rPr>
      </w:pPr>
    </w:p>
    <w:p>
      <w:pPr>
        <w:ind w:left="2160" w:hanging="246"/>
        <w:spacing w:after="0"/>
        <w:tabs>
          <w:tab w:leader="none" w:pos="216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of the Eligible Executive’s Elective Contributions for the Plan Year, plus</w:t>
      </w:r>
    </w:p>
    <w:p>
      <w:pPr>
        <w:spacing w:after="0" w:line="248" w:lineRule="exact"/>
        <w:rPr>
          <w:rFonts w:ascii="Times New Roman" w:cs="Times New Roman" w:eastAsia="Times New Roman" w:hAnsi="Times New Roman"/>
          <w:sz w:val="21"/>
          <w:szCs w:val="21"/>
          <w:color w:val="auto"/>
        </w:rPr>
      </w:pPr>
    </w:p>
    <w:p>
      <w:pPr>
        <w:ind w:right="320" w:firstLine="1914"/>
        <w:spacing w:after="0" w:line="274" w:lineRule="auto"/>
        <w:tabs>
          <w:tab w:leader="none" w:pos="222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 of the Eligible Executive’s Salary plus Annual Incentive Compensation for the Plan Year less (the Code section 401(a)(17) limit in effect for the Plan Year and the Eligible Executive’s Elective Contributions for the Plan Year, except that the subtrahend shall not be less than zero).</w:t>
      </w:r>
    </w:p>
    <w:p>
      <w:pPr>
        <w:spacing w:after="0" w:line="175" w:lineRule="exact"/>
        <w:rPr>
          <w:rFonts w:ascii="Times New Roman" w:cs="Times New Roman" w:eastAsia="Times New Roman" w:hAnsi="Times New Roman"/>
          <w:sz w:val="21"/>
          <w:szCs w:val="21"/>
          <w:color w:val="auto"/>
        </w:rPr>
      </w:pPr>
    </w:p>
    <w:p>
      <w:pPr>
        <w:ind w:firstLine="1278"/>
        <w:spacing w:after="0" w:line="263" w:lineRule="auto"/>
        <w:tabs>
          <w:tab w:leader="none" w:pos="1572"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Supplemental Retirement Contribution. </w:t>
      </w:r>
      <w:r>
        <w:rPr>
          <w:rFonts w:ascii="Times New Roman" w:cs="Times New Roman" w:eastAsia="Times New Roman" w:hAnsi="Times New Roman"/>
          <w:sz w:val="21"/>
          <w:szCs w:val="21"/>
          <w:color w:val="auto"/>
        </w:rPr>
        <w:t>On behalf of an Eligible Executive who meets the eligibility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for Supplemental Retirement Contributions under Section 2.1, each Plan Year the Company shall credit to the Eligible Executive’s Account Balance an amount equal to three percent (3%) of such Eligible Executive’s total Salary and Annual Incentive Compensation paid during the Plan Year in excess of the applicable annual dollar limit under Code section 401(a)(17) (as adjusted from time to time), without regard to any</w:t>
      </w:r>
    </w:p>
    <w:p>
      <w:pPr>
        <w:sectPr>
          <w:pgSz w:w="11900" w:h="16838" w:orient="portrait"/>
          <w:cols w:equalWidth="0" w:num="1">
            <w:col w:w="11180"/>
          </w:cols>
          <w:pgMar w:left="320" w:top="1440" w:right="399" w:bottom="1440" w:gutter="0" w:footer="0" w:header="0"/>
        </w:sectPr>
      </w:pPr>
    </w:p>
    <w:bookmarkStart w:id="75" w:name="page76"/>
    <w:bookmarkEnd w:id="75"/>
    <w:p>
      <w:pPr>
        <w:spacing w:after="0" w:line="285" w:lineRule="auto"/>
        <w:rPr>
          <w:sz w:val="20"/>
          <w:szCs w:val="20"/>
          <w:color w:val="auto"/>
        </w:rPr>
      </w:pPr>
      <w:r>
        <w:rPr>
          <w:rFonts w:ascii="Times New Roman" w:cs="Times New Roman" w:eastAsia="Times New Roman" w:hAnsi="Times New Roman"/>
          <w:sz w:val="21"/>
          <w:szCs w:val="21"/>
          <w:color w:val="auto"/>
        </w:rPr>
        <w:t>amounts deferred under this Plan. Once the Code section 401(a)(17) limit has been attained, this credit shall be made to the Eligible Executive's Account Balance each pay period, but in no event later than January 31 of the following Plan Year.</w:t>
      </w:r>
    </w:p>
    <w:p>
      <w:pPr>
        <w:spacing w:after="0" w:line="164" w:lineRule="exact"/>
        <w:rPr>
          <w:sz w:val="20"/>
          <w:szCs w:val="20"/>
          <w:color w:val="auto"/>
        </w:rPr>
      </w:pPr>
    </w:p>
    <w:p>
      <w:pPr>
        <w:ind w:firstLine="1278"/>
        <w:spacing w:after="0" w:line="258" w:lineRule="auto"/>
        <w:tabs>
          <w:tab w:leader="none" w:pos="1560"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Executive Retirement Contributions. </w:t>
      </w:r>
      <w:r>
        <w:rPr>
          <w:rFonts w:ascii="Times New Roman" w:cs="Times New Roman" w:eastAsia="Times New Roman" w:hAnsi="Times New Roman"/>
          <w:sz w:val="21"/>
          <w:szCs w:val="21"/>
          <w:color w:val="auto"/>
        </w:rPr>
        <w:t>On behalf of each Eligible Executive who meets the eligibility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requirements for Executive Retirement Contributions under Section 2.1, each Plan Year the Company shall credit to such Eligible Executive's Account Balance an amount equal to ten percent (10%) of such Eligible Executive’s total Salary and Annual Incentive Compensation paid during the Plan Year, without regard to any amounts deferred under this Plan, or such higher percentage as designated in writing by the Committee. This credit shall be made to the Eligible Executive’s Account Balance each pay period, but in no event later than January 31 of the following Plan Year, and shall be separately accounted for. Notwithstanding the foregoing, effective as of October 1, 2024, each Eligible Executive who meets the eligibility requirements for Executive Retirement Contributions under Section 2.1 shall only receive credits to their Account Balance pursuant to this Section 3.2(c) for five (5) years and those credits shall cease as of the last pay period before October 1, 2029.</w:t>
      </w:r>
    </w:p>
    <w:p>
      <w:pPr>
        <w:spacing w:after="0" w:line="194" w:lineRule="exact"/>
        <w:rPr>
          <w:rFonts w:ascii="Times New Roman" w:cs="Times New Roman" w:eastAsia="Times New Roman" w:hAnsi="Times New Roman"/>
          <w:sz w:val="21"/>
          <w:szCs w:val="21"/>
          <w:color w:val="auto"/>
        </w:rPr>
      </w:pPr>
    </w:p>
    <w:p>
      <w:pPr>
        <w:ind w:firstLine="1278"/>
        <w:spacing w:after="0" w:line="256" w:lineRule="auto"/>
        <w:tabs>
          <w:tab w:leader="none" w:pos="1572" w:val="left"/>
        </w:tabs>
        <w:numPr>
          <w:ilvl w:val="0"/>
          <w:numId w:val="8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SERP and Mid-Career Benefits. </w:t>
      </w:r>
      <w:r>
        <w:rPr>
          <w:rFonts w:ascii="Times New Roman" w:cs="Times New Roman" w:eastAsia="Times New Roman" w:hAnsi="Times New Roman"/>
          <w:sz w:val="21"/>
          <w:szCs w:val="21"/>
          <w:color w:val="auto"/>
        </w:rPr>
        <w:t>Subject to the terms and conditions of the SERP and to the extent that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Eligible Executive meets the SERP eligibility and vesting requirements, the Company shall determine the SERP Benefit as of the first day of the month following the Eligible Executive’s termination of employment for any reason (including, without limitation, his or her death, Total Disability or resignation). The Company shall credit to the Eligible Executive’s Account Balance an amount equal to the SERP Benefit as soon as practicable following such date. Notwithstanding anything to the contrary, prior to January 1, 2011, in the event a Participant becomes eligible to participate in the Mid-Career Plan after participating in the SERP, (i) the Participant’s right to receive the SERP Benefit shall be forfeited pursuant to Section 9(i) of the SERP, (ii) for purposes of determining the form of payment under the Default Distribution Schedule, the value of any vested benefit determined under the Mid-Career Plan as of the first day of the month following the Participant's termination of employment (the “Mid-Career Plan Benefit”) shall be included in the determination of Total Value, and (iii) subject to the terms and conditions of the Mid-Career Plan and to the extent the Eligible Executive meets the Mid-Career Plan eligibility and vesting requirements and was not permitted to elect a time and form of payment under the Mid-Career Plan, the Company shall credit to the Eligible Executive’s Account Balance an amount equal to the Eligible Executive’s Mid-Career Plan Benefit as soon as practicable following the Eligible Executive's termination of employment.</w:t>
      </w:r>
    </w:p>
    <w:p>
      <w:pPr>
        <w:spacing w:after="0" w:line="197" w:lineRule="exact"/>
        <w:rPr>
          <w:sz w:val="20"/>
          <w:szCs w:val="20"/>
          <w:color w:val="auto"/>
        </w:rPr>
      </w:pPr>
    </w:p>
    <w:p>
      <w:pPr>
        <w:ind w:right="140" w:firstLine="636"/>
        <w:spacing w:after="0" w:line="260" w:lineRule="auto"/>
        <w:rPr>
          <w:sz w:val="20"/>
          <w:szCs w:val="20"/>
          <w:color w:val="auto"/>
        </w:rPr>
      </w:pPr>
      <w:r>
        <w:rPr>
          <w:rFonts w:ascii="Times New Roman" w:cs="Times New Roman" w:eastAsia="Times New Roman" w:hAnsi="Times New Roman"/>
          <w:sz w:val="21"/>
          <w:szCs w:val="21"/>
          <w:color w:val="auto"/>
        </w:rPr>
        <w:t xml:space="preserve">§3.3 </w:t>
      </w:r>
      <w:r>
        <w:rPr>
          <w:rFonts w:ascii="Times New Roman" w:cs="Times New Roman" w:eastAsia="Times New Roman" w:hAnsi="Times New Roman"/>
          <w:sz w:val="21"/>
          <w:szCs w:val="21"/>
          <w:b w:val="1"/>
          <w:bCs w:val="1"/>
          <w:color w:val="auto"/>
        </w:rPr>
        <w:t>Account Balance and Earnings.</w:t>
      </w:r>
      <w:r>
        <w:rPr>
          <w:rFonts w:ascii="Times New Roman" w:cs="Times New Roman" w:eastAsia="Times New Roman" w:hAnsi="Times New Roman"/>
          <w:sz w:val="21"/>
          <w:szCs w:val="21"/>
          <w:color w:val="auto"/>
        </w:rPr>
        <w:t xml:space="preserve"> The Elective Contributions and Non-Elective Contributions set forth above shall be credited to a Participant’s Account Balance. Earnings shall be credited to a Participant’s Account Balance under this Section 3.3 based on the results that would have been achieved had amounts credited to the Account Balance been invested as soon as practicable after crediting into the Investment Accounts designated by the Plan Administrator or selected by the Participant. The Plan Administrator shall: (i) designate the Investment Accounts that will be available to Participants under the Plan; (ii) designate the default Investment Accounts into which new Non-Elective Contributions will be credited; (iii) determine how often</w:t>
      </w:r>
    </w:p>
    <w:p>
      <w:pPr>
        <w:sectPr>
          <w:pgSz w:w="11900" w:h="16838" w:orient="portrait"/>
          <w:cols w:equalWidth="0" w:num="1">
            <w:col w:w="11180"/>
          </w:cols>
          <w:pgMar w:left="320" w:top="1397" w:right="399" w:bottom="1440" w:gutter="0" w:footer="0" w:header="0"/>
        </w:sectPr>
      </w:pPr>
    </w:p>
    <w:bookmarkStart w:id="76" w:name="page77"/>
    <w:bookmarkEnd w:id="76"/>
    <w:p>
      <w:pPr>
        <w:spacing w:after="0" w:line="262" w:lineRule="auto"/>
        <w:rPr>
          <w:sz w:val="20"/>
          <w:szCs w:val="20"/>
          <w:color w:val="auto"/>
        </w:rPr>
      </w:pPr>
      <w:r>
        <w:rPr>
          <w:rFonts w:ascii="Times New Roman" w:cs="Times New Roman" w:eastAsia="Times New Roman" w:hAnsi="Times New Roman"/>
          <w:sz w:val="21"/>
          <w:szCs w:val="21"/>
          <w:color w:val="auto"/>
        </w:rPr>
        <w:t>the Participants may make elections as to the deemed investment of Elective Contributions newly credited to their Account Balance, as well as the deemed investment of amounts previously credited to their Account Balance; and (iv) establish procedures to permit Participants to make and change investment elections. Earnings shall include any dividend or dividend equivalents attributable to LTIP Awards deferred under the Plan. Nothing in this Section or otherwise in the Plan, however, will require the Company to actually invest any amounts or set aside funds in such investments or otherwise.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IV</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VESTING</w:t>
      </w:r>
    </w:p>
    <w:p>
      <w:pPr>
        <w:spacing w:after="0" w:line="249" w:lineRule="exact"/>
        <w:rPr>
          <w:sz w:val="20"/>
          <w:szCs w:val="20"/>
          <w:color w:val="auto"/>
        </w:rPr>
      </w:pPr>
    </w:p>
    <w:p>
      <w:pPr>
        <w:ind w:right="500" w:firstLine="636"/>
        <w:spacing w:after="0" w:line="302" w:lineRule="auto"/>
        <w:rPr>
          <w:sz w:val="20"/>
          <w:szCs w:val="20"/>
          <w:color w:val="auto"/>
        </w:rPr>
      </w:pPr>
      <w:r>
        <w:rPr>
          <w:rFonts w:ascii="Times New Roman" w:cs="Times New Roman" w:eastAsia="Times New Roman" w:hAnsi="Times New Roman"/>
          <w:sz w:val="21"/>
          <w:szCs w:val="21"/>
          <w:color w:val="auto"/>
        </w:rPr>
        <w:t xml:space="preserve">§4.1 </w:t>
      </w:r>
      <w:r>
        <w:rPr>
          <w:rFonts w:ascii="Times New Roman" w:cs="Times New Roman" w:eastAsia="Times New Roman" w:hAnsi="Times New Roman"/>
          <w:sz w:val="21"/>
          <w:szCs w:val="21"/>
          <w:b w:val="1"/>
          <w:bCs w:val="1"/>
          <w:color w:val="auto"/>
        </w:rPr>
        <w:t>Normal Vesting.</w:t>
      </w:r>
      <w:r>
        <w:rPr>
          <w:rFonts w:ascii="Times New Roman" w:cs="Times New Roman" w:eastAsia="Times New Roman" w:hAnsi="Times New Roman"/>
          <w:sz w:val="21"/>
          <w:szCs w:val="21"/>
          <w:color w:val="auto"/>
        </w:rPr>
        <w:t xml:space="preserve"> Except for any vesting requirements related to LTIP Awards or as set forth below in Section 4.2, Participants are fully vested in all amounts credited to their Account Balances at all times.</w:t>
      </w:r>
    </w:p>
    <w:p>
      <w:pPr>
        <w:spacing w:after="0" w:line="148" w:lineRule="exact"/>
        <w:rPr>
          <w:sz w:val="20"/>
          <w:szCs w:val="20"/>
          <w:color w:val="auto"/>
        </w:rPr>
      </w:pPr>
    </w:p>
    <w:p>
      <w:pPr>
        <w:ind w:right="220" w:firstLine="636"/>
        <w:spacing w:after="0" w:line="289" w:lineRule="auto"/>
        <w:rPr>
          <w:sz w:val="20"/>
          <w:szCs w:val="20"/>
          <w:color w:val="auto"/>
        </w:rPr>
      </w:pPr>
      <w:r>
        <w:rPr>
          <w:rFonts w:ascii="Times New Roman" w:cs="Times New Roman" w:eastAsia="Times New Roman" w:hAnsi="Times New Roman"/>
          <w:sz w:val="21"/>
          <w:szCs w:val="21"/>
          <w:color w:val="auto"/>
        </w:rPr>
        <w:t xml:space="preserve">§4.2 </w:t>
      </w:r>
      <w:r>
        <w:rPr>
          <w:rFonts w:ascii="Times New Roman" w:cs="Times New Roman" w:eastAsia="Times New Roman" w:hAnsi="Times New Roman"/>
          <w:sz w:val="21"/>
          <w:szCs w:val="21"/>
          <w:b w:val="1"/>
          <w:bCs w:val="1"/>
          <w:color w:val="auto"/>
        </w:rPr>
        <w:t>Special Vesting for Executive Retirement Contributions.</w:t>
      </w:r>
      <w:r>
        <w:rPr>
          <w:rFonts w:ascii="Times New Roman" w:cs="Times New Roman" w:eastAsia="Times New Roman" w:hAnsi="Times New Roman"/>
          <w:sz w:val="21"/>
          <w:szCs w:val="21"/>
          <w:color w:val="auto"/>
        </w:rPr>
        <w:t xml:space="preserve"> Notwithstanding the foregoing, a Participant’s Executive Retirement Contributions (and earnings thereon) shall vest as follows:</w:t>
      </w:r>
    </w:p>
    <w:p>
      <w:pPr>
        <w:spacing w:after="0" w:line="160" w:lineRule="exact"/>
        <w:rPr>
          <w:sz w:val="20"/>
          <w:szCs w:val="20"/>
          <w:color w:val="auto"/>
        </w:rPr>
      </w:pPr>
    </w:p>
    <w:p>
      <w:pPr>
        <w:ind w:right="40" w:firstLine="1278"/>
        <w:spacing w:after="0" w:line="267" w:lineRule="auto"/>
        <w:tabs>
          <w:tab w:leader="none" w:pos="1560" w:val="left"/>
        </w:tabs>
        <w:numPr>
          <w:ilvl w:val="0"/>
          <w:numId w:val="8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Normal Rule. </w:t>
      </w:r>
      <w:r>
        <w:rPr>
          <w:rFonts w:ascii="Times New Roman" w:cs="Times New Roman" w:eastAsia="Times New Roman" w:hAnsi="Times New Roman"/>
          <w:sz w:val="21"/>
          <w:szCs w:val="21"/>
          <w:color w:val="auto"/>
        </w:rPr>
        <w:t>Except as provided in Section 4.2(b) or (c), if a Participant’s employment terminates before he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she has attained age 55 and completed five Years of Service, the Participant’s Executive Retirement Contributions (and earnings thereon) shall be forfeited. If a Participant’s termination occurs on or after he or she has attained age 55 and completed five Years of Service, the Participant’s Executive Retirement Contributions (and earnings thereon) shall vest according to the following schedule:</w:t>
      </w:r>
    </w:p>
    <w:p>
      <w:pPr>
        <w:spacing w:after="0" w:line="209"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5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Age at Termination</w:t>
            </w:r>
          </w:p>
        </w:tc>
        <w:tc>
          <w:tcPr>
            <w:tcW w:w="52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Vesting Percentage</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55</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50%</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56</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60%</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57</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70%</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58</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80%</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59</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90%</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60 or older</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100%</w:t>
            </w:r>
          </w:p>
        </w:tc>
      </w:tr>
    </w:tbl>
    <w:p>
      <w:pPr>
        <w:spacing w:after="0" w:line="300" w:lineRule="exact"/>
        <w:rPr>
          <w:sz w:val="20"/>
          <w:szCs w:val="20"/>
          <w:color w:val="auto"/>
        </w:rPr>
      </w:pPr>
    </w:p>
    <w:p>
      <w:pPr>
        <w:ind w:right="40" w:firstLine="642"/>
        <w:spacing w:after="0" w:line="260" w:lineRule="auto"/>
        <w:tabs>
          <w:tab w:leader="none" w:pos="936" w:val="left"/>
        </w:tabs>
        <w:numPr>
          <w:ilvl w:val="0"/>
          <w:numId w:val="8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Involuntary Termination by the Company without Cause. </w:t>
      </w:r>
      <w:r>
        <w:rPr>
          <w:rFonts w:ascii="Times New Roman" w:cs="Times New Roman" w:eastAsia="Times New Roman" w:hAnsi="Times New Roman"/>
          <w:sz w:val="21"/>
          <w:szCs w:val="21"/>
          <w:color w:val="auto"/>
        </w:rPr>
        <w:t>If a Participant is terminated by the Company without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Cause and the Participant has completed at least five Years of Service but has not attained age 55, the Participant’s Executive Retirement Contributions (and earnings thereon) shall be 20% vested. For this purpose, “Cause” means (i) the definition of “Cause” as set forth in any individual employment agreement applicable to such Participant, or (ii) in the case of a Participant who does not have an individual employment agreement that defines Cause, then “Cause” means the termination of a Participant’s employment by reason of his or her (1) engaging in gross misconduct that is injurious to the Company and/or any of its</w:t>
      </w:r>
    </w:p>
    <w:p>
      <w:pPr>
        <w:sectPr>
          <w:pgSz w:w="11900" w:h="16838" w:orient="portrait"/>
          <w:cols w:equalWidth="0" w:num="1">
            <w:col w:w="11240"/>
          </w:cols>
          <w:pgMar w:left="320" w:top="1397" w:right="339" w:bottom="1440" w:gutter="0" w:footer="0" w:header="0"/>
        </w:sectPr>
      </w:pPr>
    </w:p>
    <w:bookmarkStart w:id="77" w:name="page78"/>
    <w:bookmarkEnd w:id="77"/>
    <w:p>
      <w:pPr>
        <w:spacing w:after="0" w:line="257" w:lineRule="auto"/>
        <w:rPr>
          <w:sz w:val="20"/>
          <w:szCs w:val="20"/>
          <w:color w:val="auto"/>
        </w:rPr>
      </w:pPr>
      <w:r>
        <w:rPr>
          <w:rFonts w:ascii="Times New Roman" w:cs="Times New Roman" w:eastAsia="Times New Roman" w:hAnsi="Times New Roman"/>
          <w:sz w:val="21"/>
          <w:szCs w:val="21"/>
          <w:color w:val="auto"/>
        </w:rPr>
        <w:t>subsidiaries the majority of the voting stock of which is owned directly or indirectly by the Company (hereinafter, the “Campbell Group”), monetarily or otherwise, (2) material breach by the Participant of the Company’s Code of Business Conduct and Ethics or the Company’s Code of Ethics for the Chief Executive Officer and Senior Financial Officers, as applicable, as such codes may be amended from time to time (or any successor policies thereto), (3) misappropriation of funds, (4) willful misrepresentation to the directors or officers of the Campbell Group, (5) gross negligence in the performance of the Participant’s duties having an adverse effect on the business, operations, assets, properties or financial condition of the Campbell Group, (6) conviction of a crime involving moral turpitude, or (7) material breach of any employment agreement between the Participant and a member of the Campbell Group or any confidentiality, intellectual property, non-solicitation, non-competition or similar restrictive covenant in any agreement between the Participant and a member of the Campbell Group. The determination of whether a Participant’s employment was terminated for Cause shall be made by the Plan Administrator in its sole discretion.</w:t>
      </w:r>
    </w:p>
    <w:p>
      <w:pPr>
        <w:spacing w:after="0" w:line="193" w:lineRule="exact"/>
        <w:rPr>
          <w:sz w:val="20"/>
          <w:szCs w:val="20"/>
          <w:color w:val="auto"/>
        </w:rPr>
      </w:pPr>
    </w:p>
    <w:p>
      <w:pPr>
        <w:ind w:right="300" w:firstLine="642"/>
        <w:spacing w:after="0" w:line="289" w:lineRule="auto"/>
        <w:tabs>
          <w:tab w:leader="none" w:pos="924"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Death or Total Disability. </w:t>
      </w:r>
      <w:r>
        <w:rPr>
          <w:rFonts w:ascii="Times New Roman" w:cs="Times New Roman" w:eastAsia="Times New Roman" w:hAnsi="Times New Roman"/>
          <w:sz w:val="21"/>
          <w:szCs w:val="21"/>
          <w:color w:val="auto"/>
        </w:rPr>
        <w:t>Upon a Participant’s death or Total Disability while employed, the Participant’s Executive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Retirement Contributions (and earnings thereon) shall immediately vest in full.</w:t>
      </w:r>
    </w:p>
    <w:p>
      <w:pPr>
        <w:spacing w:after="0" w:line="160" w:lineRule="exact"/>
        <w:rPr>
          <w:rFonts w:ascii="Times New Roman" w:cs="Times New Roman" w:eastAsia="Times New Roman" w:hAnsi="Times New Roman"/>
          <w:sz w:val="21"/>
          <w:szCs w:val="21"/>
          <w:color w:val="auto"/>
        </w:rPr>
      </w:pPr>
    </w:p>
    <w:p>
      <w:pPr>
        <w:ind w:right="160" w:firstLine="642"/>
        <w:spacing w:after="0" w:line="289" w:lineRule="auto"/>
        <w:tabs>
          <w:tab w:leader="none" w:pos="936" w:val="left"/>
        </w:tabs>
        <w:numPr>
          <w:ilvl w:val="0"/>
          <w:numId w:val="8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Rehires. </w:t>
      </w:r>
      <w:r>
        <w:rPr>
          <w:rFonts w:ascii="Times New Roman" w:cs="Times New Roman" w:eastAsia="Times New Roman" w:hAnsi="Times New Roman"/>
          <w:sz w:val="21"/>
          <w:szCs w:val="21"/>
          <w:color w:val="auto"/>
        </w:rPr>
        <w:t>Any amounts that are forfeited under this Article IV upon a Participant’s termination of employment shall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restored to the Participant’s Account Balance upon rehire.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ARTICLE V</w:t>
      </w:r>
    </w:p>
    <w:p>
      <w:pPr>
        <w:spacing w:after="0" w:line="2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DEFERRALS AND DISTRIBUTIONS</w:t>
      </w:r>
    </w:p>
    <w:p>
      <w:pPr>
        <w:spacing w:after="0" w:line="249" w:lineRule="exact"/>
        <w:rPr>
          <w:sz w:val="20"/>
          <w:szCs w:val="20"/>
          <w:color w:val="auto"/>
        </w:rPr>
      </w:pPr>
    </w:p>
    <w:p>
      <w:pPr>
        <w:ind w:right="220" w:firstLine="636"/>
        <w:spacing w:after="0" w:line="269"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b w:val="1"/>
          <w:bCs w:val="1"/>
          <w:color w:val="auto"/>
        </w:rPr>
        <w:t>Deferral Elections.</w:t>
      </w:r>
      <w:r>
        <w:rPr>
          <w:rFonts w:ascii="Times New Roman" w:cs="Times New Roman" w:eastAsia="Times New Roman" w:hAnsi="Times New Roman"/>
          <w:sz w:val="21"/>
          <w:szCs w:val="21"/>
          <w:color w:val="auto"/>
        </w:rPr>
        <w:t xml:space="preserve"> The Plan Administrator shall establish administrative rules and procedures for the making of irrevocable deferral elections by an Eligible Executive under the Plan in accordance with the requirements of Code section 409A. Subject to the timing rules in Section 5.2, deferrals may be made with respect to the following types of Compensation</w:t>
      </w:r>
      <w:r>
        <w:rPr>
          <w:rFonts w:ascii="Times New Roman" w:cs="Times New Roman" w:eastAsia="Times New Roman" w:hAnsi="Times New Roman"/>
          <w:sz w:val="21"/>
          <w:szCs w:val="21"/>
          <w:b w:val="1"/>
          <w:bCs w:val="1"/>
          <w:color w:val="auto"/>
        </w:rPr>
        <w:t>:</w:t>
      </w:r>
    </w:p>
    <w:p>
      <w:pPr>
        <w:spacing w:after="0" w:line="195" w:lineRule="exact"/>
        <w:rPr>
          <w:sz w:val="20"/>
          <w:szCs w:val="20"/>
          <w:color w:val="auto"/>
        </w:rPr>
      </w:pPr>
    </w:p>
    <w:p>
      <w:pPr>
        <w:ind w:right="80" w:firstLine="1278"/>
        <w:spacing w:after="0" w:line="289" w:lineRule="auto"/>
        <w:tabs>
          <w:tab w:leader="none" w:pos="15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Annual Incentive Compensation. </w:t>
      </w:r>
      <w:r>
        <w:rPr>
          <w:rFonts w:ascii="Times New Roman" w:cs="Times New Roman" w:eastAsia="Times New Roman" w:hAnsi="Times New Roman"/>
          <w:sz w:val="21"/>
          <w:szCs w:val="21"/>
          <w:color w:val="auto"/>
        </w:rPr>
        <w:t>An Eligible Executive with a salary level of A, B or C may elect to defer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portion of his or her Annual Incentive Compensation up to 90% (in 10% increments).</w:t>
      </w:r>
    </w:p>
    <w:p>
      <w:pPr>
        <w:spacing w:after="0" w:line="160" w:lineRule="exact"/>
        <w:rPr>
          <w:rFonts w:ascii="Times New Roman" w:cs="Times New Roman" w:eastAsia="Times New Roman" w:hAnsi="Times New Roman"/>
          <w:sz w:val="21"/>
          <w:szCs w:val="21"/>
          <w:color w:val="auto"/>
        </w:rPr>
      </w:pPr>
    </w:p>
    <w:p>
      <w:pPr>
        <w:ind w:right="200" w:firstLine="1278"/>
        <w:spacing w:after="0" w:line="289" w:lineRule="auto"/>
        <w:tabs>
          <w:tab w:leader="none" w:pos="1572"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LTIP Awards. </w:t>
      </w:r>
      <w:r>
        <w:rPr>
          <w:rFonts w:ascii="Times New Roman" w:cs="Times New Roman" w:eastAsia="Times New Roman" w:hAnsi="Times New Roman"/>
          <w:sz w:val="21"/>
          <w:szCs w:val="21"/>
          <w:color w:val="auto"/>
        </w:rPr>
        <w:t>An Eligible Executive who is a Director, may elect to defer any portion of an LTIP Award up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100% (in 10% increments).</w:t>
      </w:r>
    </w:p>
    <w:p>
      <w:pPr>
        <w:spacing w:after="0" w:line="160" w:lineRule="exact"/>
        <w:rPr>
          <w:rFonts w:ascii="Times New Roman" w:cs="Times New Roman" w:eastAsia="Times New Roman" w:hAnsi="Times New Roman"/>
          <w:sz w:val="21"/>
          <w:szCs w:val="21"/>
          <w:color w:val="auto"/>
        </w:rPr>
      </w:pPr>
    </w:p>
    <w:p>
      <w:pPr>
        <w:ind w:left="1560" w:hanging="282"/>
        <w:spacing w:after="0"/>
        <w:tabs>
          <w:tab w:leader="none" w:pos="1560" w:val="left"/>
        </w:tabs>
        <w:numPr>
          <w:ilvl w:val="0"/>
          <w:numId w:val="9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Director’s Fees. </w:t>
      </w:r>
      <w:r>
        <w:rPr>
          <w:rFonts w:ascii="Times New Roman" w:cs="Times New Roman" w:eastAsia="Times New Roman" w:hAnsi="Times New Roman"/>
          <w:sz w:val="21"/>
          <w:szCs w:val="21"/>
          <w:color w:val="auto"/>
        </w:rPr>
        <w:t>A Director may elect to defer any portion of his or her Director’s Fees up to 100% (in 10%</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increments).</w:t>
      </w:r>
    </w:p>
    <w:p>
      <w:pPr>
        <w:spacing w:after="0" w:line="233" w:lineRule="exact"/>
        <w:rPr>
          <w:sz w:val="20"/>
          <w:szCs w:val="20"/>
          <w:color w:val="auto"/>
        </w:rPr>
      </w:pPr>
    </w:p>
    <w:p>
      <w:pPr>
        <w:ind w:right="140" w:firstLine="636"/>
        <w:spacing w:after="0" w:line="289" w:lineRule="auto"/>
        <w:rPr>
          <w:sz w:val="20"/>
          <w:szCs w:val="20"/>
          <w:color w:val="auto"/>
        </w:rPr>
      </w:pPr>
      <w:r>
        <w:rPr>
          <w:rFonts w:ascii="Times New Roman" w:cs="Times New Roman" w:eastAsia="Times New Roman" w:hAnsi="Times New Roman"/>
          <w:sz w:val="21"/>
          <w:szCs w:val="21"/>
          <w:color w:val="auto"/>
        </w:rPr>
        <w:t xml:space="preserve">§5.2 </w:t>
      </w:r>
      <w:r>
        <w:rPr>
          <w:rFonts w:ascii="Times New Roman" w:cs="Times New Roman" w:eastAsia="Times New Roman" w:hAnsi="Times New Roman"/>
          <w:sz w:val="21"/>
          <w:szCs w:val="21"/>
          <w:b w:val="1"/>
          <w:bCs w:val="1"/>
          <w:color w:val="auto"/>
        </w:rPr>
        <w:t>Election Timing Requirements.</w:t>
      </w:r>
      <w:r>
        <w:rPr>
          <w:rFonts w:ascii="Times New Roman" w:cs="Times New Roman" w:eastAsia="Times New Roman" w:hAnsi="Times New Roman"/>
          <w:sz w:val="21"/>
          <w:szCs w:val="21"/>
          <w:color w:val="auto"/>
        </w:rPr>
        <w:t xml:space="preserve"> In order to elect to defer Compensation earned during a Plan Year or a fiscal year of the Company, an Eligible Executive shall file an</w:t>
      </w:r>
    </w:p>
    <w:p>
      <w:pPr>
        <w:sectPr>
          <w:pgSz w:w="11900" w:h="16838" w:orient="portrait"/>
          <w:cols w:equalWidth="0" w:num="1">
            <w:col w:w="11200"/>
          </w:cols>
          <w:pgMar w:left="320" w:top="1397" w:right="379" w:bottom="1440" w:gutter="0" w:footer="0" w:header="0"/>
        </w:sectPr>
      </w:pPr>
    </w:p>
    <w:bookmarkStart w:id="78" w:name="page79"/>
    <w:bookmarkEnd w:id="78"/>
    <w:p>
      <w:pPr>
        <w:ind w:right="180"/>
        <w:spacing w:after="0" w:line="257" w:lineRule="auto"/>
        <w:rPr>
          <w:sz w:val="20"/>
          <w:szCs w:val="20"/>
          <w:color w:val="auto"/>
        </w:rPr>
      </w:pPr>
      <w:r>
        <w:rPr>
          <w:rFonts w:ascii="Times New Roman" w:cs="Times New Roman" w:eastAsia="Times New Roman" w:hAnsi="Times New Roman"/>
          <w:sz w:val="21"/>
          <w:szCs w:val="21"/>
          <w:color w:val="auto"/>
        </w:rPr>
        <w:t>irrevocable Deferral Form with the Plan Administrator before the beginning of such Plan Year or fiscal year, as applicable. Notwithstanding the foregoing, if the Committee or the Plan Administrator determines that the Annual Incentive Compensation or LTIP Award qualifies as “performance-based compensation” under Code section 409A, an Eligible Executive may elect to defer such Compensation by filing a Deferral Form at such later time up until the date six months before the end of the performance period as permitted by the Committee or the Plan Administrator.</w:t>
      </w:r>
    </w:p>
    <w:p>
      <w:pPr>
        <w:spacing w:after="0" w:line="3" w:lineRule="exact"/>
        <w:rPr>
          <w:sz w:val="20"/>
          <w:szCs w:val="20"/>
          <w:color w:val="auto"/>
        </w:rPr>
      </w:pPr>
    </w:p>
    <w:p>
      <w:pPr>
        <w:ind w:right="120" w:firstLine="1272"/>
        <w:spacing w:after="0" w:line="255" w:lineRule="auto"/>
        <w:rPr>
          <w:sz w:val="20"/>
          <w:szCs w:val="20"/>
          <w:color w:val="auto"/>
        </w:rPr>
      </w:pPr>
      <w:r>
        <w:rPr>
          <w:rFonts w:ascii="Times New Roman" w:cs="Times New Roman" w:eastAsia="Times New Roman" w:hAnsi="Times New Roman"/>
          <w:sz w:val="21"/>
          <w:szCs w:val="21"/>
          <w:color w:val="auto"/>
        </w:rPr>
        <w:t>An Eligible Executive’s election to defer Compensation shall be cancelled, in accordance with the regulations under Code section 409A, if the Eligible Executive obtains a hardship distribution from a Code section 401(k) plan pursuant to Reg. §1.401(k)-1(d)(3) or any successor thereto.</w:t>
      </w:r>
    </w:p>
    <w:p>
      <w:pPr>
        <w:spacing w:after="0" w:line="209"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b w:val="1"/>
          <w:bCs w:val="1"/>
          <w:color w:val="auto"/>
        </w:rPr>
        <w:t>Distribution Upon Separation.</w:t>
      </w:r>
      <w:r>
        <w:rPr>
          <w:rFonts w:ascii="Times New Roman" w:cs="Times New Roman" w:eastAsia="Times New Roman" w:hAnsi="Times New Roman"/>
          <w:sz w:val="21"/>
          <w:szCs w:val="21"/>
          <w:color w:val="auto"/>
        </w:rPr>
        <w:t xml:space="preserve"> Unless otherwise elected under Section 5.4 or 5.5, a Participant's vested Account Balance shall be distributed in accordance with the Default Distribution Schedule on the Payment Date after such Participant’s Separation from Service. Notwithstanding the foregoing, distributions may not be made to a Key Employee upon a Separation from Service before the date which is six months after the date of the Key Employee’s Separation from Service (or, if earlier, the date of death of the Key Employee). Any payments that would otherwise be made during this period of delay shall be accumulated and paid in the seventh month following the Participant’s Separation from Service (or, if earlier, the month after the Participant's death). Each annual installment thereafter, if any, shall be paid on each successive anniversary of such Payment Date.</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§5.4 </w:t>
      </w:r>
      <w:r>
        <w:rPr>
          <w:rFonts w:ascii="Times New Roman" w:cs="Times New Roman" w:eastAsia="Times New Roman" w:hAnsi="Times New Roman"/>
          <w:sz w:val="21"/>
          <w:szCs w:val="21"/>
          <w:b w:val="1"/>
          <w:bCs w:val="1"/>
          <w:color w:val="auto"/>
        </w:rPr>
        <w:t>Distribution Elections.</w:t>
      </w:r>
    </w:p>
    <w:p>
      <w:pPr>
        <w:spacing w:after="0" w:line="249" w:lineRule="exact"/>
        <w:rPr>
          <w:sz w:val="20"/>
          <w:szCs w:val="20"/>
          <w:color w:val="auto"/>
        </w:rPr>
      </w:pPr>
    </w:p>
    <w:p>
      <w:pPr>
        <w:ind w:right="220" w:firstLine="1278"/>
        <w:spacing w:after="0" w:line="263" w:lineRule="auto"/>
        <w:tabs>
          <w:tab w:leader="none" w:pos="1560"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Initial Distribution Election for Elective Contributions. </w:t>
      </w:r>
      <w:r>
        <w:rPr>
          <w:rFonts w:ascii="Times New Roman" w:cs="Times New Roman" w:eastAsia="Times New Roman" w:hAnsi="Times New Roman"/>
          <w:sz w:val="21"/>
          <w:szCs w:val="21"/>
          <w:color w:val="auto"/>
        </w:rPr>
        <w:t>In the case of the first year in which an Eligible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Executive defers Compensation under the Plan, as determined by the Plan Administrator in its sole discretion, the Participant may make an Initial Distribution Election, in accordance with the requirements in Section 5.2 and the administrative rules and procedures established by the Plan Administrator, to receive that portion of his or her Account Balance attributable to Elective Contributions (and earnings thereon) in any permitted time or form of payment provided in Section 5.6.</w:t>
      </w:r>
    </w:p>
    <w:p>
      <w:pPr>
        <w:spacing w:after="0" w:line="187" w:lineRule="exact"/>
        <w:rPr>
          <w:rFonts w:ascii="Times New Roman" w:cs="Times New Roman" w:eastAsia="Times New Roman" w:hAnsi="Times New Roman"/>
          <w:sz w:val="21"/>
          <w:szCs w:val="21"/>
          <w:color w:val="auto"/>
        </w:rPr>
      </w:pPr>
    </w:p>
    <w:p>
      <w:pPr>
        <w:ind w:right="60" w:firstLine="1278"/>
        <w:spacing w:after="0" w:line="258" w:lineRule="auto"/>
        <w:tabs>
          <w:tab w:leader="none" w:pos="1572" w:val="left"/>
        </w:tabs>
        <w:numPr>
          <w:ilvl w:val="0"/>
          <w:numId w:val="9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Special Transition Period Election. </w:t>
      </w:r>
      <w:r>
        <w:rPr>
          <w:rFonts w:ascii="Times New Roman" w:cs="Times New Roman" w:eastAsia="Times New Roman" w:hAnsi="Times New Roman"/>
          <w:sz w:val="21"/>
          <w:szCs w:val="21"/>
          <w:color w:val="auto"/>
        </w:rPr>
        <w:t>Notwithstanding any prior elections or Plan provisions to the contrary,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the transition period under Code section 409A and applicable guidance issued thereunder, certain Participants, designated by the Plan Administrator, may have made (1) an election to receive the portion of his or her Account Balance attributable to the Elective Contributions and Non-Elective Contributions in any permitted time or form of payment provided in Section 5.6; or (2) an election to receive his or her Account Balance in a lump sum upon death. Any such election must have become irrevocable on or before December 31, 2008 and must have been made in accordance with procedures and distribution rules established by the Plan Administrator.</w:t>
      </w:r>
    </w:p>
    <w:p>
      <w:pPr>
        <w:spacing w:after="0" w:line="197" w:lineRule="exact"/>
        <w:rPr>
          <w:sz w:val="20"/>
          <w:szCs w:val="20"/>
          <w:color w:val="auto"/>
        </w:rPr>
      </w:pPr>
    </w:p>
    <w:p>
      <w:pPr>
        <w:ind w:right="400" w:firstLine="636"/>
        <w:spacing w:after="0" w:line="289" w:lineRule="auto"/>
        <w:rPr>
          <w:sz w:val="20"/>
          <w:szCs w:val="20"/>
          <w:color w:val="auto"/>
        </w:rPr>
      </w:pPr>
      <w:r>
        <w:rPr>
          <w:rFonts w:ascii="Times New Roman" w:cs="Times New Roman" w:eastAsia="Times New Roman" w:hAnsi="Times New Roman"/>
          <w:sz w:val="21"/>
          <w:szCs w:val="21"/>
          <w:color w:val="auto"/>
        </w:rPr>
        <w:t xml:space="preserve">§5.5 </w:t>
      </w:r>
      <w:r>
        <w:rPr>
          <w:rFonts w:ascii="Times New Roman" w:cs="Times New Roman" w:eastAsia="Times New Roman" w:hAnsi="Times New Roman"/>
          <w:sz w:val="21"/>
          <w:szCs w:val="21"/>
          <w:b w:val="1"/>
          <w:bCs w:val="1"/>
          <w:color w:val="auto"/>
        </w:rPr>
        <w:t>Subsequent Deferral Election.</w:t>
      </w:r>
      <w:r>
        <w:rPr>
          <w:rFonts w:ascii="Times New Roman" w:cs="Times New Roman" w:eastAsia="Times New Roman" w:hAnsi="Times New Roman"/>
          <w:sz w:val="21"/>
          <w:szCs w:val="21"/>
          <w:color w:val="auto"/>
        </w:rPr>
        <w:t xml:space="preserve"> In accordance with the administrative rules and procedures established by the Plan Administrator, a Participant may make up to three subsequent</w:t>
      </w:r>
    </w:p>
    <w:p>
      <w:pPr>
        <w:sectPr>
          <w:pgSz w:w="11900" w:h="16838" w:orient="portrait"/>
          <w:cols w:equalWidth="0" w:num="1">
            <w:col w:w="11240"/>
          </w:cols>
          <w:pgMar w:left="320" w:top="1397" w:right="339" w:bottom="1440" w:gutter="0" w:footer="0" w:header="0"/>
        </w:sectPr>
      </w:pPr>
    </w:p>
    <w:bookmarkStart w:id="79" w:name="page80"/>
    <w:bookmarkEnd w:id="79"/>
    <w:p>
      <w:pPr>
        <w:ind w:right="80"/>
        <w:spacing w:after="0" w:line="267" w:lineRule="auto"/>
        <w:rPr>
          <w:sz w:val="20"/>
          <w:szCs w:val="20"/>
          <w:color w:val="auto"/>
        </w:rPr>
      </w:pPr>
      <w:r>
        <w:rPr>
          <w:rFonts w:ascii="Times New Roman" w:cs="Times New Roman" w:eastAsia="Times New Roman" w:hAnsi="Times New Roman"/>
          <w:sz w:val="21"/>
          <w:szCs w:val="21"/>
          <w:color w:val="auto"/>
        </w:rPr>
        <w:t>elections to change the time or form of payment (from among those available under Section 5.6) for all or the portion of his or her vested Account Balance (each, a “Subsequent Deferral Election”) attributable to Elective Contributions or Non-Elective Contributions (and earnings thereon) in accordance with this Section 5.5, but only if the following conditions are satisfied:</w:t>
      </w:r>
    </w:p>
    <w:p>
      <w:pPr>
        <w:spacing w:after="0" w:line="201" w:lineRule="exact"/>
        <w:rPr>
          <w:sz w:val="20"/>
          <w:szCs w:val="20"/>
          <w:color w:val="auto"/>
        </w:rPr>
      </w:pPr>
    </w:p>
    <w:p>
      <w:pPr>
        <w:ind w:right="200" w:firstLine="1278"/>
        <w:spacing w:after="0" w:line="285" w:lineRule="auto"/>
        <w:tabs>
          <w:tab w:leader="none" w:pos="15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Subsequent Deferral Election may not take effect until at least twelve (12) months after the date on which such election is made;</w:t>
      </w:r>
    </w:p>
    <w:p>
      <w:pPr>
        <w:spacing w:after="0" w:line="168" w:lineRule="exact"/>
        <w:rPr>
          <w:rFonts w:ascii="Times New Roman" w:cs="Times New Roman" w:eastAsia="Times New Roman" w:hAnsi="Times New Roman"/>
          <w:sz w:val="21"/>
          <w:szCs w:val="21"/>
          <w:color w:val="auto"/>
        </w:rPr>
      </w:pPr>
    </w:p>
    <w:p>
      <w:pPr>
        <w:ind w:right="180" w:firstLine="1278"/>
        <w:spacing w:after="0" w:line="285" w:lineRule="auto"/>
        <w:tabs>
          <w:tab w:leader="none" w:pos="1572"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distribution may not be made earlier than at least five (5) years from the date the distribution would have otherwise been made; and</w:t>
      </w:r>
    </w:p>
    <w:p>
      <w:pPr>
        <w:spacing w:after="0" w:line="168" w:lineRule="exact"/>
        <w:rPr>
          <w:rFonts w:ascii="Times New Roman" w:cs="Times New Roman" w:eastAsia="Times New Roman" w:hAnsi="Times New Roman"/>
          <w:sz w:val="21"/>
          <w:szCs w:val="21"/>
          <w:color w:val="auto"/>
        </w:rPr>
      </w:pPr>
    </w:p>
    <w:p>
      <w:pPr>
        <w:ind w:right="140" w:firstLine="1278"/>
        <w:spacing w:after="0" w:line="298" w:lineRule="auto"/>
        <w:tabs>
          <w:tab w:leader="none" w:pos="156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Subsequent Deferral Election must be made at least twelve (12) months before the date of the Participant's Separation from Service.</w:t>
      </w:r>
    </w:p>
    <w:p>
      <w:pPr>
        <w:spacing w:after="0" w:line="156"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21"/>
          <w:szCs w:val="21"/>
          <w:color w:val="auto"/>
        </w:rPr>
        <w:t>Any election with respect to the time or form of payment under the Plan, after the Participant’s third Subsequent Deferral Election, shall be null and void and have no force or effect. For purposes of clarification, in no event shall any Subsequent Deferral Election (including any election by a Participant's Beneficiary) be made after the date that is twelve (12) months before the Participant's Separation from Service.</w:t>
      </w:r>
    </w:p>
    <w:p>
      <w:pPr>
        <w:spacing w:after="0" w:line="191" w:lineRule="exact"/>
        <w:rPr>
          <w:sz w:val="20"/>
          <w:szCs w:val="20"/>
          <w:color w:val="auto"/>
        </w:rPr>
      </w:pPr>
    </w:p>
    <w:p>
      <w:pPr>
        <w:ind w:right="60" w:firstLine="636"/>
        <w:spacing w:after="0" w:line="302" w:lineRule="auto"/>
        <w:rPr>
          <w:sz w:val="20"/>
          <w:szCs w:val="20"/>
          <w:color w:val="auto"/>
        </w:rPr>
      </w:pPr>
      <w:r>
        <w:rPr>
          <w:rFonts w:ascii="Times New Roman" w:cs="Times New Roman" w:eastAsia="Times New Roman" w:hAnsi="Times New Roman"/>
          <w:sz w:val="21"/>
          <w:szCs w:val="21"/>
          <w:color w:val="auto"/>
        </w:rPr>
        <w:t xml:space="preserve">§5.6 </w:t>
      </w:r>
      <w:r>
        <w:rPr>
          <w:rFonts w:ascii="Times New Roman" w:cs="Times New Roman" w:eastAsia="Times New Roman" w:hAnsi="Times New Roman"/>
          <w:sz w:val="21"/>
          <w:szCs w:val="21"/>
          <w:b w:val="1"/>
          <w:bCs w:val="1"/>
          <w:color w:val="auto"/>
        </w:rPr>
        <w:t>Permitted Time and Form of Payment Options.</w:t>
      </w:r>
      <w:r>
        <w:rPr>
          <w:rFonts w:ascii="Times New Roman" w:cs="Times New Roman" w:eastAsia="Times New Roman" w:hAnsi="Times New Roman"/>
          <w:sz w:val="21"/>
          <w:szCs w:val="21"/>
          <w:color w:val="auto"/>
        </w:rPr>
        <w:t xml:space="preserve"> Subject to the requirements of Sections 5.4 and 5.5, the Participant may elect from the following options:</w:t>
      </w:r>
    </w:p>
    <w:p>
      <w:pPr>
        <w:spacing w:after="0" w:line="148" w:lineRule="exact"/>
        <w:rPr>
          <w:sz w:val="20"/>
          <w:szCs w:val="20"/>
          <w:color w:val="auto"/>
        </w:rPr>
      </w:pPr>
    </w:p>
    <w:p>
      <w:pPr>
        <w:jc w:val="both"/>
        <w:ind w:right="180" w:firstLine="1278"/>
        <w:spacing w:after="0" w:line="269" w:lineRule="auto"/>
        <w:tabs>
          <w:tab w:leader="none" w:pos="1560"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Time of Payment. </w:t>
      </w:r>
      <w:r>
        <w:rPr>
          <w:rFonts w:ascii="Times New Roman" w:cs="Times New Roman" w:eastAsia="Times New Roman" w:hAnsi="Times New Roman"/>
          <w:sz w:val="21"/>
          <w:szCs w:val="21"/>
          <w:color w:val="auto"/>
        </w:rPr>
        <w:t>A Participant may elect to be paid, or begin receiving payments, on any anniversary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Payment Date after his or her Separation from Service; provided that such anniversary date is within 15 years of the Participant’s Separation from Service.</w:t>
      </w:r>
    </w:p>
    <w:p>
      <w:pPr>
        <w:spacing w:after="0" w:line="181" w:lineRule="exact"/>
        <w:rPr>
          <w:rFonts w:ascii="Times New Roman" w:cs="Times New Roman" w:eastAsia="Times New Roman" w:hAnsi="Times New Roman"/>
          <w:sz w:val="21"/>
          <w:szCs w:val="21"/>
          <w:color w:val="auto"/>
        </w:rPr>
      </w:pPr>
    </w:p>
    <w:p>
      <w:pPr>
        <w:ind w:firstLine="1278"/>
        <w:spacing w:after="0" w:line="276" w:lineRule="auto"/>
        <w:tabs>
          <w:tab w:leader="none" w:pos="1572" w:val="left"/>
        </w:tabs>
        <w:numPr>
          <w:ilvl w:val="0"/>
          <w:numId w:val="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Form of Payment. </w:t>
      </w:r>
      <w:r>
        <w:rPr>
          <w:rFonts w:ascii="Times New Roman" w:cs="Times New Roman" w:eastAsia="Times New Roman" w:hAnsi="Times New Roman"/>
          <w:sz w:val="21"/>
          <w:szCs w:val="21"/>
          <w:color w:val="auto"/>
        </w:rPr>
        <w:t>A Participant may elect the form of payment from among the following options: (i) lump</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sum; (ii) 5 annual installments; (iii) 10 annual installments; (iv) 15 annual installments; or (v) 20 annual installments. Each form of payment shall be treated as one payment for purposes of Code section 409A.</w:t>
      </w:r>
    </w:p>
    <w:p>
      <w:pPr>
        <w:spacing w:after="0" w:line="174" w:lineRule="exact"/>
        <w:rPr>
          <w:sz w:val="20"/>
          <w:szCs w:val="20"/>
          <w:color w:val="auto"/>
        </w:rPr>
      </w:pPr>
    </w:p>
    <w:p>
      <w:pPr>
        <w:ind w:right="120" w:firstLine="636"/>
        <w:spacing w:after="0" w:line="269" w:lineRule="auto"/>
        <w:rPr>
          <w:sz w:val="20"/>
          <w:szCs w:val="20"/>
          <w:color w:val="auto"/>
        </w:rPr>
      </w:pPr>
      <w:r>
        <w:rPr>
          <w:rFonts w:ascii="Times New Roman" w:cs="Times New Roman" w:eastAsia="Times New Roman" w:hAnsi="Times New Roman"/>
          <w:sz w:val="21"/>
          <w:szCs w:val="21"/>
          <w:color w:val="auto"/>
        </w:rPr>
        <w:t xml:space="preserve">§5.7 </w:t>
      </w:r>
      <w:r>
        <w:rPr>
          <w:rFonts w:ascii="Times New Roman" w:cs="Times New Roman" w:eastAsia="Times New Roman" w:hAnsi="Times New Roman"/>
          <w:sz w:val="21"/>
          <w:szCs w:val="21"/>
          <w:b w:val="1"/>
          <w:bCs w:val="1"/>
          <w:color w:val="auto"/>
        </w:rPr>
        <w:t>Default Distribution Schedule.</w:t>
      </w:r>
      <w:r>
        <w:rPr>
          <w:rFonts w:ascii="Times New Roman" w:cs="Times New Roman" w:eastAsia="Times New Roman" w:hAnsi="Times New Roman"/>
          <w:sz w:val="21"/>
          <w:szCs w:val="21"/>
          <w:color w:val="auto"/>
        </w:rPr>
        <w:t xml:space="preserve"> Unless otherwise elected under Section 5.4 or 5.5, a Participant's vested Account Balance shall be paid in the form set forth below (the “Default Distribution Schedule”) based on the Total Value of a Participant’s vested Account Balance on the date of the first scheduled distribution, as follows: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5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Vested Total Value</w:t>
            </w:r>
          </w:p>
        </w:tc>
        <w:tc>
          <w:tcPr>
            <w:tcW w:w="52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Form of Payment</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$1 to $25,000.99</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Lump Sum Payment</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$25,001 to $50,000.99</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2 Annual Installments</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$50,001 to $100,000.99</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3 Annual Installments</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$100,001 to $200,000.99</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4 Annual Installments</w:t>
            </w:r>
          </w:p>
        </w:tc>
      </w:tr>
    </w:tbl>
    <w:p>
      <w:pPr>
        <w:sectPr>
          <w:pgSz w:w="11900" w:h="16838" w:orient="portrait"/>
          <w:cols w:equalWidth="0" w:num="1">
            <w:col w:w="11120"/>
          </w:cols>
          <w:pgMar w:left="320" w:top="1397" w:right="459" w:bottom="1440" w:gutter="0" w:footer="0" w:header="0"/>
        </w:sectPr>
      </w:pPr>
    </w:p>
    <w:bookmarkStart w:id="80" w:name="page81"/>
    <w:bookmarkEnd w:id="8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98"/>
        </w:trPr>
        <w:tc>
          <w:tcPr>
            <w:tcW w:w="530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$200,001 to $500,000.99</w:t>
            </w:r>
          </w:p>
        </w:tc>
        <w:tc>
          <w:tcPr>
            <w:tcW w:w="52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5 Annual Installments</w:t>
            </w:r>
          </w:p>
        </w:tc>
      </w:tr>
      <w:tr>
        <w:trPr>
          <w:trHeight w:val="285"/>
        </w:trPr>
        <w:tc>
          <w:tcPr>
            <w:tcW w:w="53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1"/>
                <w:szCs w:val="21"/>
                <w:color w:val="auto"/>
              </w:rPr>
              <w:t>$500,001 and above</w:t>
            </w:r>
          </w:p>
        </w:tc>
        <w:tc>
          <w:tcPr>
            <w:tcW w:w="5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1"/>
                <w:szCs w:val="21"/>
                <w:color w:val="auto"/>
              </w:rPr>
              <w:t>10 Annual Installment</w:t>
            </w:r>
          </w:p>
        </w:tc>
      </w:tr>
    </w:tbl>
    <w:p>
      <w:pPr>
        <w:spacing w:after="0" w:line="313" w:lineRule="exact"/>
        <w:rPr>
          <w:sz w:val="20"/>
          <w:szCs w:val="20"/>
          <w:color w:val="auto"/>
        </w:rPr>
      </w:pPr>
    </w:p>
    <w:p>
      <w:pPr>
        <w:ind w:firstLine="636"/>
        <w:spacing w:after="0" w:line="260" w:lineRule="auto"/>
        <w:rPr>
          <w:sz w:val="20"/>
          <w:szCs w:val="20"/>
          <w:color w:val="auto"/>
        </w:rPr>
      </w:pPr>
      <w:r>
        <w:rPr>
          <w:rFonts w:ascii="Times New Roman" w:cs="Times New Roman" w:eastAsia="Times New Roman" w:hAnsi="Times New Roman"/>
          <w:sz w:val="21"/>
          <w:szCs w:val="21"/>
          <w:color w:val="auto"/>
        </w:rPr>
        <w:t xml:space="preserve">§5.8 </w:t>
      </w:r>
      <w:r>
        <w:rPr>
          <w:rFonts w:ascii="Times New Roman" w:cs="Times New Roman" w:eastAsia="Times New Roman" w:hAnsi="Times New Roman"/>
          <w:sz w:val="21"/>
          <w:szCs w:val="21"/>
          <w:b w:val="1"/>
          <w:bCs w:val="1"/>
          <w:color w:val="auto"/>
        </w:rPr>
        <w:t>Death Benefits.</w:t>
      </w:r>
      <w:r>
        <w:rPr>
          <w:rFonts w:ascii="Times New Roman" w:cs="Times New Roman" w:eastAsia="Times New Roman" w:hAnsi="Times New Roman"/>
          <w:sz w:val="21"/>
          <w:szCs w:val="21"/>
          <w:color w:val="auto"/>
        </w:rPr>
        <w:t xml:space="preserve"> Unless otherwise elected under Section 5.4(b), if a Participant dies before his or her Separation from Service, the Participant’s Beneficiary shall receive the entire vested Account Balance in accordance with the time and form of payment elected by the Participant or established under this Article V, as if the Participant had Separated from Service on the date of the Participant's death. In the event of the Participant's death after his or her Separation from Service, all or any remaining portion of the vested Account Balance shall continue to be paid to the Beneficiary in accordance with the time and form of payment elected by the Participant or established under this Article V, as applicable.</w:t>
      </w:r>
    </w:p>
    <w:p>
      <w:pPr>
        <w:spacing w:after="0" w:line="193" w:lineRule="exact"/>
        <w:rPr>
          <w:sz w:val="20"/>
          <w:szCs w:val="20"/>
          <w:color w:val="auto"/>
        </w:rPr>
      </w:pPr>
    </w:p>
    <w:p>
      <w:pPr>
        <w:ind w:right="40" w:firstLine="636"/>
        <w:spacing w:after="0" w:line="263" w:lineRule="auto"/>
        <w:rPr>
          <w:sz w:val="20"/>
          <w:szCs w:val="20"/>
          <w:color w:val="auto"/>
        </w:rPr>
      </w:pPr>
      <w:r>
        <w:rPr>
          <w:rFonts w:ascii="Times New Roman" w:cs="Times New Roman" w:eastAsia="Times New Roman" w:hAnsi="Times New Roman"/>
          <w:sz w:val="21"/>
          <w:szCs w:val="21"/>
          <w:color w:val="auto"/>
        </w:rPr>
        <w:t xml:space="preserve">§5.9 </w:t>
      </w:r>
      <w:r>
        <w:rPr>
          <w:rFonts w:ascii="Times New Roman" w:cs="Times New Roman" w:eastAsia="Times New Roman" w:hAnsi="Times New Roman"/>
          <w:sz w:val="21"/>
          <w:szCs w:val="21"/>
          <w:b w:val="1"/>
          <w:bCs w:val="1"/>
          <w:color w:val="auto"/>
        </w:rPr>
        <w:t>Valuation.</w:t>
      </w:r>
      <w:r>
        <w:rPr>
          <w:rFonts w:ascii="Times New Roman" w:cs="Times New Roman" w:eastAsia="Times New Roman" w:hAnsi="Times New Roman"/>
          <w:sz w:val="21"/>
          <w:szCs w:val="21"/>
          <w:color w:val="auto"/>
        </w:rPr>
        <w:t xml:space="preserve"> All payments to be made under the Plan shall be valued on the last business day of the January immediately preceding the March in which payment is to be made. Notwithstanding the foregoing, if, pursuant to the Plan terms, payment is made on a date other than in March of a given Plan Year, then such payment shall be valued on the last business day of the month immediately preceding the month in which payment is actually made.</w:t>
      </w:r>
    </w:p>
    <w:p>
      <w:pPr>
        <w:spacing w:after="0" w:line="200" w:lineRule="exact"/>
        <w:rPr>
          <w:sz w:val="20"/>
          <w:szCs w:val="20"/>
          <w:color w:val="auto"/>
        </w:rPr>
      </w:pPr>
    </w:p>
    <w:p>
      <w:pPr>
        <w:ind w:right="520" w:firstLine="636"/>
        <w:spacing w:after="0" w:line="289" w:lineRule="auto"/>
        <w:rPr>
          <w:sz w:val="20"/>
          <w:szCs w:val="20"/>
          <w:color w:val="auto"/>
        </w:rPr>
      </w:pPr>
      <w:r>
        <w:rPr>
          <w:rFonts w:ascii="Times New Roman" w:cs="Times New Roman" w:eastAsia="Times New Roman" w:hAnsi="Times New Roman"/>
          <w:sz w:val="21"/>
          <w:szCs w:val="21"/>
          <w:color w:val="auto"/>
        </w:rPr>
        <w:t xml:space="preserve">§5.10 </w:t>
      </w:r>
      <w:r>
        <w:rPr>
          <w:rFonts w:ascii="Times New Roman" w:cs="Times New Roman" w:eastAsia="Times New Roman" w:hAnsi="Times New Roman"/>
          <w:sz w:val="21"/>
          <w:szCs w:val="21"/>
          <w:b w:val="1"/>
          <w:bCs w:val="1"/>
          <w:color w:val="auto"/>
        </w:rPr>
        <w:t>Effect of Taxation.</w:t>
      </w:r>
      <w:r>
        <w:rPr>
          <w:rFonts w:ascii="Times New Roman" w:cs="Times New Roman" w:eastAsia="Times New Roman" w:hAnsi="Times New Roman"/>
          <w:sz w:val="21"/>
          <w:szCs w:val="21"/>
          <w:color w:val="auto"/>
        </w:rPr>
        <w:t xml:space="preserve"> If the Participant’s benefits under the Plan are includible in income pursuant to Code section 409A, such benefits shall be distributed immediately to the Participant.</w:t>
      </w:r>
    </w:p>
    <w:p>
      <w:pPr>
        <w:spacing w:after="0" w:line="160" w:lineRule="exact"/>
        <w:rPr>
          <w:sz w:val="20"/>
          <w:szCs w:val="20"/>
          <w:color w:val="auto"/>
        </w:rPr>
      </w:pPr>
    </w:p>
    <w:p>
      <w:pPr>
        <w:ind w:right="40" w:firstLine="636"/>
        <w:spacing w:after="0" w:line="263" w:lineRule="auto"/>
        <w:rPr>
          <w:sz w:val="20"/>
          <w:szCs w:val="20"/>
          <w:color w:val="auto"/>
        </w:rPr>
      </w:pPr>
      <w:r>
        <w:rPr>
          <w:rFonts w:ascii="Times New Roman" w:cs="Times New Roman" w:eastAsia="Times New Roman" w:hAnsi="Times New Roman"/>
          <w:sz w:val="21"/>
          <w:szCs w:val="21"/>
          <w:color w:val="auto"/>
        </w:rPr>
        <w:t xml:space="preserve">§5.11 </w:t>
      </w:r>
      <w:r>
        <w:rPr>
          <w:rFonts w:ascii="Times New Roman" w:cs="Times New Roman" w:eastAsia="Times New Roman" w:hAnsi="Times New Roman"/>
          <w:sz w:val="21"/>
          <w:szCs w:val="21"/>
          <w:b w:val="1"/>
          <w:bCs w:val="1"/>
          <w:color w:val="auto"/>
        </w:rPr>
        <w:t>Permitted Delays.</w:t>
      </w:r>
      <w:r>
        <w:rPr>
          <w:rFonts w:ascii="Times New Roman" w:cs="Times New Roman" w:eastAsia="Times New Roman" w:hAnsi="Times New Roman"/>
          <w:sz w:val="21"/>
          <w:szCs w:val="21"/>
          <w:color w:val="auto"/>
        </w:rPr>
        <w:t xml:space="preserve"> Notwithstanding the foregoing, any payment to a Participant under the Plan shall be delayed upon the Committee’s reasonable anticipation that making the payment would violate Federal securities laws or other applicable law; provided, that any payment delayed pursuant to this Section 5.11 shall be paid in accordance with Code section 409A on the earliest date in which the Company reasonably anticipates that the making of the payment will not cause a violation of Federal securities laws or other applicable law:</w:t>
      </w:r>
    </w:p>
    <w:p>
      <w:pPr>
        <w:spacing w:after="0" w:line="191"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(a) The Company's deduction with respect to such payment would be eliminated by application of Code section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162(m); or</w:t>
      </w:r>
    </w:p>
    <w:p>
      <w:pPr>
        <w:spacing w:after="0" w:line="225"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1"/>
          <w:szCs w:val="21"/>
          <w:color w:val="auto"/>
        </w:rPr>
        <w:t>(b) The making of the payment would violate Federal securities laws or other applicable law;</w:t>
      </w:r>
    </w:p>
    <w:p>
      <w:pPr>
        <w:spacing w:after="0" w:line="24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21"/>
          <w:szCs w:val="21"/>
          <w:color w:val="auto"/>
        </w:rPr>
        <w:t>provided, that any payment delayed pursuant to this Section 5.11 shall be paid in accordance with Code section 409A on the earliest date in which the Company reasonably anticipates that: (i) the deduction of such payment will not be barred by the application of Code section 162(m); and (ii) the making of the payment will not cause a violation of Federal securities laws or other applicable law.</w:t>
      </w:r>
    </w:p>
    <w:p>
      <w:pPr>
        <w:sectPr>
          <w:pgSz w:w="11900" w:h="16838" w:orient="portrait"/>
          <w:cols w:equalWidth="0" w:num="1">
            <w:col w:w="11240"/>
          </w:cols>
          <w:pgMar w:left="320" w:top="1418"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1"/>
          <w:szCs w:val="21"/>
          <w:b w:val="1"/>
          <w:bCs w:val="1"/>
          <w:color w:val="auto"/>
        </w:rPr>
        <w:t>ARTICLE VI</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ADMINISTRATIVE PROCEDURES</w:t>
      </w:r>
    </w:p>
    <w:p>
      <w:pPr>
        <w:spacing w:after="0" w:line="249"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21"/>
          <w:szCs w:val="21"/>
          <w:color w:val="auto"/>
        </w:rPr>
        <w:t xml:space="preserve">§6.1 </w:t>
      </w:r>
      <w:r>
        <w:rPr>
          <w:rFonts w:ascii="Times New Roman" w:cs="Times New Roman" w:eastAsia="Times New Roman" w:hAnsi="Times New Roman"/>
          <w:sz w:val="21"/>
          <w:szCs w:val="21"/>
          <w:b w:val="1"/>
          <w:bCs w:val="1"/>
          <w:color w:val="auto"/>
        </w:rPr>
        <w:t>General.</w:t>
      </w:r>
      <w:r>
        <w:rPr>
          <w:rFonts w:ascii="Times New Roman" w:cs="Times New Roman" w:eastAsia="Times New Roman" w:hAnsi="Times New Roman"/>
          <w:sz w:val="21"/>
          <w:szCs w:val="21"/>
          <w:color w:val="auto"/>
        </w:rPr>
        <w:t xml:space="preserve"> The Plan shall be administered by the Plan Administrator. Consistent with the terms of the Plan, the Plan Administrator shall establish administrative rules and procedures regarding the timing of deferral elections, the time period for deferral, the forms of distribution, the maximum number of annual installment payments, the Investment Accounts for valuing Account Balances, reallocation of Account Balances among Investment Accounts, statements of Account Balances, the time and manner of payment of Account Balances, and other administrative items for this Plan. The Plan Administrator shall have the full authority and discretion to make, amend, interpret, and enforce all appropriate rules and procedures for the administration of this Plan and decide or resolve any and all questions, including interpretations of this Plan, as may arise in connection with this Plan. Any such action taken by the Plan Administrator shall be final and conclusive on any party. To the extent the Plan Administrator has been granted discretionary authority under the Plan, the Plan Administrator's prior exercise of such authority shall not obligate it to exercise its authority in a like fashion thereafter. The Plan Administrator may, from time to time, employ agents and delegate to such agents, including Employees, such administrative or other duties as it sees fit.</w:t>
      </w:r>
    </w:p>
    <w:p>
      <w:pPr>
        <w:spacing w:after="0" w:line="201" w:lineRule="exact"/>
        <w:rPr>
          <w:sz w:val="20"/>
          <w:szCs w:val="20"/>
          <w:color w:val="auto"/>
        </w:rPr>
      </w:pPr>
    </w:p>
    <w:p>
      <w:pPr>
        <w:ind w:firstLine="636"/>
        <w:spacing w:after="0" w:line="263" w:lineRule="auto"/>
        <w:rPr>
          <w:sz w:val="20"/>
          <w:szCs w:val="20"/>
          <w:color w:val="auto"/>
        </w:rPr>
      </w:pPr>
      <w:r>
        <w:rPr>
          <w:rFonts w:ascii="Times New Roman" w:cs="Times New Roman" w:eastAsia="Times New Roman" w:hAnsi="Times New Roman"/>
          <w:sz w:val="21"/>
          <w:szCs w:val="21"/>
          <w:color w:val="auto"/>
        </w:rPr>
        <w:t xml:space="preserve">§6.2 </w:t>
      </w:r>
      <w:r>
        <w:rPr>
          <w:rFonts w:ascii="Times New Roman" w:cs="Times New Roman" w:eastAsia="Times New Roman" w:hAnsi="Times New Roman"/>
          <w:sz w:val="21"/>
          <w:szCs w:val="21"/>
          <w:b w:val="1"/>
          <w:bCs w:val="1"/>
          <w:color w:val="auto"/>
        </w:rPr>
        <w:t>Plan Interpretation.</w:t>
      </w:r>
      <w:r>
        <w:rPr>
          <w:rFonts w:ascii="Times New Roman" w:cs="Times New Roman" w:eastAsia="Times New Roman" w:hAnsi="Times New Roman"/>
          <w:sz w:val="21"/>
          <w:szCs w:val="21"/>
          <w:color w:val="auto"/>
        </w:rPr>
        <w:t xml:space="preserve"> The Plan Administrator shall have the authority and responsibility to interpret and construe the Plan and to decide all questions arising thereunder, including without limitation, questions of eligibility for participation, eligibility for Contributions, the amount of Account Balances, and the timing of the distribution thereof, and shall have the authority to deviate from the literal terms of the Plan to the extent the Plan Administrator shall determine to be necessary or appropriate to operate the Plan in compliance with the provisions of applicable law.</w:t>
      </w:r>
    </w:p>
    <w:p>
      <w:pPr>
        <w:spacing w:after="0" w:line="187" w:lineRule="exact"/>
        <w:rPr>
          <w:sz w:val="20"/>
          <w:szCs w:val="20"/>
          <w:color w:val="auto"/>
        </w:rPr>
      </w:pPr>
    </w:p>
    <w:p>
      <w:pPr>
        <w:ind w:right="380" w:firstLine="636"/>
        <w:spacing w:after="0" w:line="267" w:lineRule="auto"/>
        <w:rPr>
          <w:sz w:val="20"/>
          <w:szCs w:val="20"/>
          <w:color w:val="auto"/>
        </w:rPr>
      </w:pPr>
      <w:r>
        <w:rPr>
          <w:rFonts w:ascii="Times New Roman" w:cs="Times New Roman" w:eastAsia="Times New Roman" w:hAnsi="Times New Roman"/>
          <w:sz w:val="21"/>
          <w:szCs w:val="21"/>
          <w:color w:val="auto"/>
        </w:rPr>
        <w:t xml:space="preserve">§6.3 </w:t>
      </w:r>
      <w:r>
        <w:rPr>
          <w:rFonts w:ascii="Times New Roman" w:cs="Times New Roman" w:eastAsia="Times New Roman" w:hAnsi="Times New Roman"/>
          <w:sz w:val="21"/>
          <w:szCs w:val="21"/>
          <w:b w:val="1"/>
          <w:bCs w:val="1"/>
          <w:color w:val="auto"/>
        </w:rPr>
        <w:t>Responsibilities and Reports.</w:t>
      </w:r>
      <w:r>
        <w:rPr>
          <w:rFonts w:ascii="Times New Roman" w:cs="Times New Roman" w:eastAsia="Times New Roman" w:hAnsi="Times New Roman"/>
          <w:sz w:val="21"/>
          <w:szCs w:val="21"/>
          <w:color w:val="auto"/>
        </w:rPr>
        <w:t xml:space="preserve"> The Plan Administrator may pursuant to a written instruction name other persons to carry out specific responsibilities. The Plan Administrator shall be entitled to rely conclusively upon all tables, valuations, certificates, opinions and reports that are furnished by any accountant, controller, counsel, or other person who is employed or engaged for such purposes.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ARTICLE VII</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CLAIMS PROCEDURE</w:t>
      </w:r>
    </w:p>
    <w:p>
      <w:pPr>
        <w:spacing w:after="0" w:line="262" w:lineRule="exact"/>
        <w:rPr>
          <w:sz w:val="20"/>
          <w:szCs w:val="20"/>
          <w:color w:val="auto"/>
        </w:rPr>
      </w:pPr>
    </w:p>
    <w:p>
      <w:pPr>
        <w:ind w:right="40" w:firstLine="636"/>
        <w:spacing w:after="0" w:line="263" w:lineRule="auto"/>
        <w:rPr>
          <w:sz w:val="20"/>
          <w:szCs w:val="20"/>
          <w:color w:val="auto"/>
        </w:rPr>
      </w:pPr>
      <w:r>
        <w:rPr>
          <w:rFonts w:ascii="Times New Roman" w:cs="Times New Roman" w:eastAsia="Times New Roman" w:hAnsi="Times New Roman"/>
          <w:sz w:val="21"/>
          <w:szCs w:val="21"/>
          <w:color w:val="auto"/>
        </w:rPr>
        <w:t xml:space="preserve">§7.1 </w:t>
      </w:r>
      <w:r>
        <w:rPr>
          <w:rFonts w:ascii="Times New Roman" w:cs="Times New Roman" w:eastAsia="Times New Roman" w:hAnsi="Times New Roman"/>
          <w:sz w:val="21"/>
          <w:szCs w:val="21"/>
          <w:b w:val="1"/>
          <w:bCs w:val="1"/>
          <w:color w:val="auto"/>
        </w:rPr>
        <w:t>Filing a Claim.</w:t>
      </w:r>
      <w:r>
        <w:rPr>
          <w:rFonts w:ascii="Times New Roman" w:cs="Times New Roman" w:eastAsia="Times New Roman" w:hAnsi="Times New Roman"/>
          <w:sz w:val="21"/>
          <w:szCs w:val="21"/>
          <w:color w:val="auto"/>
        </w:rPr>
        <w:t xml:space="preserve"> A Participant or his authorized representative may file a claim for benefits under the Plan. Any claim must be in writing and submitted to the Plan Administrator at such address as may be specified from time to time. Claimants will be notified in writing of approved claims, which will be processed as claimed. A claim is considered approved only if its approval is communicated in writing to a claimant.</w:t>
      </w:r>
    </w:p>
    <w:p>
      <w:pPr>
        <w:sectPr>
          <w:pgSz w:w="11900" w:h="16838" w:orient="portrait"/>
          <w:cols w:equalWidth="0" w:num="1">
            <w:col w:w="11240"/>
          </w:cols>
          <w:pgMar w:left="320" w:top="1393" w:right="339" w:bottom="1440" w:gutter="0" w:footer="0" w:header="0"/>
        </w:sectPr>
      </w:pPr>
    </w:p>
    <w:bookmarkStart w:id="82" w:name="page83"/>
    <w:bookmarkEnd w:id="82"/>
    <w:p>
      <w:pPr>
        <w:jc w:val="both"/>
        <w:ind w:firstLine="636"/>
        <w:spacing w:after="0" w:line="263" w:lineRule="auto"/>
        <w:rPr>
          <w:sz w:val="20"/>
          <w:szCs w:val="20"/>
          <w:color w:val="auto"/>
        </w:rPr>
      </w:pPr>
      <w:r>
        <w:rPr>
          <w:rFonts w:ascii="Times New Roman" w:cs="Times New Roman" w:eastAsia="Times New Roman" w:hAnsi="Times New Roman"/>
          <w:sz w:val="21"/>
          <w:szCs w:val="21"/>
          <w:color w:val="auto"/>
        </w:rPr>
        <w:t xml:space="preserve">§7.2 </w:t>
      </w:r>
      <w:r>
        <w:rPr>
          <w:rFonts w:ascii="Times New Roman" w:cs="Times New Roman" w:eastAsia="Times New Roman" w:hAnsi="Times New Roman"/>
          <w:sz w:val="21"/>
          <w:szCs w:val="21"/>
          <w:b w:val="1"/>
          <w:bCs w:val="1"/>
          <w:color w:val="auto"/>
        </w:rPr>
        <w:t>Denial of Claim.</w:t>
      </w:r>
      <w:r>
        <w:rPr>
          <w:rFonts w:ascii="Times New Roman" w:cs="Times New Roman" w:eastAsia="Times New Roman" w:hAnsi="Times New Roman"/>
          <w:sz w:val="21"/>
          <w:szCs w:val="21"/>
          <w:color w:val="auto"/>
        </w:rPr>
        <w:t xml:space="preserve"> In the case of the denial of a claim respecting benefits paid or payable with respect to a Participant, a written notice will be furnished to the claimant within 90 days of the date on which the claim is received by the Plan Administrator. If special circumstances require a longer period, the claimant will be notified in writing, prior to the expiration of the 90-day period, of the reasons for an extension of time; provided, however, that no extensions will be permitted beyond 90 days after the expiration of the initial 90-day period.</w:t>
      </w:r>
    </w:p>
    <w:p>
      <w:pPr>
        <w:spacing w:after="0" w:line="18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§7.3 </w:t>
      </w:r>
      <w:r>
        <w:rPr>
          <w:rFonts w:ascii="Times New Roman" w:cs="Times New Roman" w:eastAsia="Times New Roman" w:hAnsi="Times New Roman"/>
          <w:sz w:val="21"/>
          <w:szCs w:val="21"/>
          <w:b w:val="1"/>
          <w:bCs w:val="1"/>
          <w:color w:val="auto"/>
        </w:rPr>
        <w:t>Reasons for Denial.</w:t>
      </w:r>
      <w:r>
        <w:rPr>
          <w:rFonts w:ascii="Times New Roman" w:cs="Times New Roman" w:eastAsia="Times New Roman" w:hAnsi="Times New Roman"/>
          <w:sz w:val="21"/>
          <w:szCs w:val="21"/>
          <w:color w:val="auto"/>
        </w:rPr>
        <w:t xml:space="preserve"> A denial or partial denial of a claim will be dated and will clearly set forth:</w:t>
      </w:r>
    </w:p>
    <w:p>
      <w:pPr>
        <w:spacing w:after="0" w:line="253" w:lineRule="exact"/>
        <w:rPr>
          <w:sz w:val="20"/>
          <w:szCs w:val="20"/>
          <w:color w:val="auto"/>
        </w:rPr>
      </w:pPr>
    </w:p>
    <w:p>
      <w:pPr>
        <w:ind w:left="1920" w:hanging="642"/>
        <w:spacing w:after="0"/>
        <w:tabs>
          <w:tab w:leader="none" w:pos="192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specific reason or reasons for the denial;</w:t>
      </w:r>
    </w:p>
    <w:p>
      <w:pPr>
        <w:spacing w:after="0" w:line="24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specific reference to pertinent Plan provisions on which the denial is based;</w:t>
      </w:r>
    </w:p>
    <w:p>
      <w:pPr>
        <w:spacing w:after="0" w:line="262" w:lineRule="exact"/>
        <w:rPr>
          <w:rFonts w:ascii="Times New Roman" w:cs="Times New Roman" w:eastAsia="Times New Roman" w:hAnsi="Times New Roman"/>
          <w:sz w:val="21"/>
          <w:szCs w:val="21"/>
          <w:color w:val="auto"/>
        </w:rPr>
      </w:pPr>
    </w:p>
    <w:p>
      <w:pPr>
        <w:ind w:right="440" w:firstLine="1278"/>
        <w:spacing w:after="0" w:line="285" w:lineRule="auto"/>
        <w:tabs>
          <w:tab w:leader="none" w:pos="1560"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additional material or information necessary for the claimant to perfect the claim and an explanation of why such material or information is necessary; and</w:t>
      </w:r>
    </w:p>
    <w:p>
      <w:pPr>
        <w:spacing w:after="0" w:line="168" w:lineRule="exact"/>
        <w:rPr>
          <w:rFonts w:ascii="Times New Roman" w:cs="Times New Roman" w:eastAsia="Times New Roman" w:hAnsi="Times New Roman"/>
          <w:sz w:val="21"/>
          <w:szCs w:val="21"/>
          <w:color w:val="auto"/>
        </w:rPr>
      </w:pPr>
    </w:p>
    <w:p>
      <w:pPr>
        <w:ind w:right="180" w:firstLine="1278"/>
        <w:spacing w:after="0" w:line="285" w:lineRule="auto"/>
        <w:tabs>
          <w:tab w:leader="none" w:pos="1572" w:val="left"/>
        </w:tabs>
        <w:numPr>
          <w:ilvl w:val="0"/>
          <w:numId w:val="9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 explanation of the procedure for review of the denied or partially denied claim set forth below, including the claimant's right to bring a civil action under ERISA section 502(a) following an adverse benefit determination on review.</w:t>
      </w:r>
    </w:p>
    <w:p>
      <w:pPr>
        <w:spacing w:after="0" w:line="164" w:lineRule="exact"/>
        <w:rPr>
          <w:sz w:val="20"/>
          <w:szCs w:val="20"/>
          <w:color w:val="auto"/>
        </w:rPr>
      </w:pPr>
    </w:p>
    <w:p>
      <w:pPr>
        <w:ind w:right="120" w:firstLine="636"/>
        <w:spacing w:after="0" w:line="259" w:lineRule="auto"/>
        <w:rPr>
          <w:sz w:val="20"/>
          <w:szCs w:val="20"/>
          <w:color w:val="auto"/>
        </w:rPr>
      </w:pPr>
      <w:r>
        <w:rPr>
          <w:rFonts w:ascii="Times New Roman" w:cs="Times New Roman" w:eastAsia="Times New Roman" w:hAnsi="Times New Roman"/>
          <w:sz w:val="21"/>
          <w:szCs w:val="21"/>
          <w:color w:val="auto"/>
        </w:rPr>
        <w:t xml:space="preserve">§7.4 </w:t>
      </w:r>
      <w:r>
        <w:rPr>
          <w:rFonts w:ascii="Times New Roman" w:cs="Times New Roman" w:eastAsia="Times New Roman" w:hAnsi="Times New Roman"/>
          <w:sz w:val="21"/>
          <w:szCs w:val="21"/>
          <w:b w:val="1"/>
          <w:bCs w:val="1"/>
          <w:color w:val="auto"/>
        </w:rPr>
        <w:t>Review of Denial.</w:t>
      </w:r>
      <w:r>
        <w:rPr>
          <w:rFonts w:ascii="Times New Roman" w:cs="Times New Roman" w:eastAsia="Times New Roman" w:hAnsi="Times New Roman"/>
          <w:sz w:val="21"/>
          <w:szCs w:val="21"/>
          <w:color w:val="auto"/>
        </w:rPr>
        <w:t xml:space="preserve"> Upon denial of a claim, in whole or in part, a claimant or his duly authorized representative will have the right to submit a written request to the Plan Administrator for a full and fair review of the denied claim by filing a written notice of appeal with the Plan Administrator within 60 days of the receipt by the claimant of written notice of the denial of the claim. A claimant or the claimant's authorized representative will have, upon request and free of charge, reasonable access to, and copies of, all documents, records, and other information relevant to the claimant’s claim for benefits and may submit issues and comments in writing. The review will take into account all comments, documents, records, and other information submitted by the claimant relating to the claim, without regard to whether such information was submitted or considered in the initial benefit determination.</w:t>
      </w:r>
    </w:p>
    <w:p>
      <w:pPr>
        <w:spacing w:after="0" w:line="198" w:lineRule="exact"/>
        <w:rPr>
          <w:sz w:val="20"/>
          <w:szCs w:val="20"/>
          <w:color w:val="auto"/>
        </w:rPr>
      </w:pPr>
    </w:p>
    <w:p>
      <w:pPr>
        <w:ind w:right="160" w:firstLine="636"/>
        <w:spacing w:after="0" w:line="261" w:lineRule="auto"/>
        <w:rPr>
          <w:sz w:val="20"/>
          <w:szCs w:val="20"/>
          <w:color w:val="auto"/>
        </w:rPr>
      </w:pPr>
      <w:r>
        <w:rPr>
          <w:rFonts w:ascii="Times New Roman" w:cs="Times New Roman" w:eastAsia="Times New Roman" w:hAnsi="Times New Roman"/>
          <w:sz w:val="21"/>
          <w:szCs w:val="21"/>
          <w:color w:val="auto"/>
        </w:rPr>
        <w:t>If the claimant fails to file a request for review within 60 days of the denial notification, the claim will be deemed abandoned and the claimant precluded from reasserting it. If the claimant does file a request for review, his request must include a description of the issues and evidence he deems relevant. Failure to raise issues or present evidence on review will preclude those issues or evidence from being presented in any subsequent proceeding or judicial review of the claim.</w:t>
      </w:r>
    </w:p>
    <w:p>
      <w:pPr>
        <w:spacing w:after="0" w:line="204" w:lineRule="exact"/>
        <w:rPr>
          <w:sz w:val="20"/>
          <w:szCs w:val="20"/>
          <w:color w:val="auto"/>
        </w:rPr>
      </w:pPr>
    </w:p>
    <w:p>
      <w:pPr>
        <w:ind w:right="540" w:firstLine="636"/>
        <w:spacing w:after="0" w:line="289" w:lineRule="auto"/>
        <w:rPr>
          <w:sz w:val="20"/>
          <w:szCs w:val="20"/>
          <w:color w:val="auto"/>
        </w:rPr>
      </w:pPr>
      <w:r>
        <w:rPr>
          <w:rFonts w:ascii="Times New Roman" w:cs="Times New Roman" w:eastAsia="Times New Roman" w:hAnsi="Times New Roman"/>
          <w:sz w:val="21"/>
          <w:szCs w:val="21"/>
          <w:color w:val="auto"/>
        </w:rPr>
        <w:t xml:space="preserve">§7.5 </w:t>
      </w:r>
      <w:r>
        <w:rPr>
          <w:rFonts w:ascii="Times New Roman" w:cs="Times New Roman" w:eastAsia="Times New Roman" w:hAnsi="Times New Roman"/>
          <w:sz w:val="21"/>
          <w:szCs w:val="21"/>
          <w:b w:val="1"/>
          <w:bCs w:val="1"/>
          <w:color w:val="auto"/>
        </w:rPr>
        <w:t>Decision Upon Review.</w:t>
      </w:r>
      <w:r>
        <w:rPr>
          <w:rFonts w:ascii="Times New Roman" w:cs="Times New Roman" w:eastAsia="Times New Roman" w:hAnsi="Times New Roman"/>
          <w:sz w:val="21"/>
          <w:szCs w:val="21"/>
          <w:color w:val="auto"/>
        </w:rPr>
        <w:t xml:space="preserve"> The Plan Administrator will provide a prompt written decision on review. If the claim is denied on review, the decision shall set forth:</w:t>
      </w:r>
    </w:p>
    <w:p>
      <w:pPr>
        <w:spacing w:after="0" w:line="164" w:lineRule="exact"/>
        <w:rPr>
          <w:sz w:val="20"/>
          <w:szCs w:val="20"/>
          <w:color w:val="auto"/>
        </w:rPr>
      </w:pPr>
    </w:p>
    <w:p>
      <w:pPr>
        <w:ind w:left="1920" w:hanging="642"/>
        <w:spacing w:after="0"/>
        <w:tabs>
          <w:tab w:leader="none" w:pos="1920"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specific reason or reasons for the adverse determination;</w:t>
      </w:r>
    </w:p>
    <w:p>
      <w:pPr>
        <w:sectPr>
          <w:pgSz w:w="11900" w:h="16838" w:orient="portrait"/>
          <w:cols w:equalWidth="0" w:num="1">
            <w:col w:w="11200"/>
          </w:cols>
          <w:pgMar w:left="320" w:top="1393" w:right="379" w:bottom="1440" w:gutter="0" w:footer="0" w:header="0"/>
        </w:sectPr>
      </w:pPr>
    </w:p>
    <w:bookmarkStart w:id="83" w:name="page84"/>
    <w:bookmarkEnd w:id="83"/>
    <w:p>
      <w:pPr>
        <w:spacing w:after="0" w:line="196" w:lineRule="exact"/>
        <w:rPr>
          <w:sz w:val="20"/>
          <w:szCs w:val="20"/>
          <w:color w:val="auto"/>
        </w:rPr>
      </w:pPr>
    </w:p>
    <w:p>
      <w:pPr>
        <w:ind w:left="1900" w:hanging="622"/>
        <w:spacing w:after="0"/>
        <w:tabs>
          <w:tab w:leader="none" w:pos="1900"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specific reference to pertinent Plan provisions on which the adverse determination is based;</w:t>
      </w:r>
    </w:p>
    <w:p>
      <w:pPr>
        <w:spacing w:after="0" w:line="248" w:lineRule="exact"/>
        <w:rPr>
          <w:rFonts w:ascii="Times New Roman" w:cs="Times New Roman" w:eastAsia="Times New Roman" w:hAnsi="Times New Roman"/>
          <w:sz w:val="21"/>
          <w:szCs w:val="21"/>
          <w:color w:val="auto"/>
        </w:rPr>
      </w:pPr>
    </w:p>
    <w:p>
      <w:pPr>
        <w:ind w:right="120" w:firstLine="1278"/>
        <w:spacing w:after="0" w:line="285" w:lineRule="auto"/>
        <w:tabs>
          <w:tab w:leader="none" w:pos="1905"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that the claimant is entitled to receive, upon request and free of charge, reasonable access to, and copies of, all documents, records, and other information relevant to the claimant's claim for benefits; and</w:t>
      </w:r>
    </w:p>
    <w:p>
      <w:pPr>
        <w:spacing w:after="0" w:line="181" w:lineRule="exact"/>
        <w:rPr>
          <w:rFonts w:ascii="Times New Roman" w:cs="Times New Roman" w:eastAsia="Times New Roman" w:hAnsi="Times New Roman"/>
          <w:sz w:val="21"/>
          <w:szCs w:val="21"/>
          <w:color w:val="auto"/>
        </w:rPr>
      </w:pPr>
    </w:p>
    <w:p>
      <w:pPr>
        <w:ind w:right="140" w:firstLine="1278"/>
        <w:spacing w:after="0" w:line="285" w:lineRule="auto"/>
        <w:tabs>
          <w:tab w:leader="none" w:pos="1572"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statement describing any voluntary appeal procedures offered by the Plan and the claimant's right to obtain the information about such procedures, as well as a statement of the claimant's right to bring an action under ERISA section 502(a).</w:t>
      </w:r>
    </w:p>
    <w:p>
      <w:pPr>
        <w:spacing w:after="0" w:line="168" w:lineRule="exact"/>
        <w:rPr>
          <w:sz w:val="20"/>
          <w:szCs w:val="20"/>
          <w:color w:val="auto"/>
        </w:rPr>
      </w:pPr>
    </w:p>
    <w:p>
      <w:pPr>
        <w:ind w:right="20" w:firstLine="636"/>
        <w:spacing w:after="0" w:line="266" w:lineRule="auto"/>
        <w:rPr>
          <w:sz w:val="20"/>
          <w:szCs w:val="20"/>
          <w:color w:val="auto"/>
        </w:rPr>
      </w:pPr>
      <w:r>
        <w:rPr>
          <w:rFonts w:ascii="Times New Roman" w:cs="Times New Roman" w:eastAsia="Times New Roman" w:hAnsi="Times New Roman"/>
          <w:sz w:val="21"/>
          <w:szCs w:val="21"/>
          <w:color w:val="auto"/>
        </w:rPr>
        <w:t>A decision will be rendered no more than 60 days after the Plan Administrator’s receipt of the request for review, except that such period may be extended for an additional 60 days if the Plan Administrator determines that special circumstances require such extension. If an extension of time is required, written notice of the extension will be furnished to the claimant before the end of the initial 60-day period.</w:t>
      </w:r>
    </w:p>
    <w:p>
      <w:pPr>
        <w:spacing w:after="0" w:line="184" w:lineRule="exact"/>
        <w:rPr>
          <w:sz w:val="20"/>
          <w:szCs w:val="20"/>
          <w:color w:val="auto"/>
        </w:rPr>
      </w:pPr>
    </w:p>
    <w:p>
      <w:pPr>
        <w:ind w:firstLine="636"/>
        <w:spacing w:after="0" w:line="258" w:lineRule="auto"/>
        <w:rPr>
          <w:sz w:val="20"/>
          <w:szCs w:val="20"/>
          <w:color w:val="auto"/>
        </w:rPr>
      </w:pPr>
      <w:r>
        <w:rPr>
          <w:rFonts w:ascii="Times New Roman" w:cs="Times New Roman" w:eastAsia="Times New Roman" w:hAnsi="Times New Roman"/>
          <w:sz w:val="21"/>
          <w:szCs w:val="21"/>
          <w:color w:val="auto"/>
        </w:rPr>
        <w:t xml:space="preserve">§7.6 </w:t>
      </w:r>
      <w:r>
        <w:rPr>
          <w:rFonts w:ascii="Times New Roman" w:cs="Times New Roman" w:eastAsia="Times New Roman" w:hAnsi="Times New Roman"/>
          <w:sz w:val="21"/>
          <w:szCs w:val="21"/>
          <w:b w:val="1"/>
          <w:bCs w:val="1"/>
          <w:color w:val="auto"/>
        </w:rPr>
        <w:t>Finality of Determinations; Exhaustion of Remedies.</w:t>
      </w:r>
      <w:r>
        <w:rPr>
          <w:rFonts w:ascii="Times New Roman" w:cs="Times New Roman" w:eastAsia="Times New Roman" w:hAnsi="Times New Roman"/>
          <w:sz w:val="21"/>
          <w:szCs w:val="21"/>
          <w:color w:val="auto"/>
        </w:rPr>
        <w:t xml:space="preserve"> To the extent permitted by law, decisions reached under the claims procedures set forth in this Section shall be final and binding on all parties. No legal action for benefits under the Plan shall be brought unless and until the claimant has exhausted his remedies under this Section. In any such legal action, the claimant may only present evidence and theories which the claimant presented during the claims procedure. Any claims which the claimant does not in good faith pursue through the review stage of the procedure shall be treated as having been irrevocably waived. Judicial review of a claimant’s denied claim shall be limited to a determination of whether the denial was an abuse of discretion based on the evidence and theories the claimant presented during the claims procedure.</w:t>
      </w:r>
    </w:p>
    <w:p>
      <w:pPr>
        <w:spacing w:after="0" w:line="197" w:lineRule="exact"/>
        <w:rPr>
          <w:sz w:val="20"/>
          <w:szCs w:val="20"/>
          <w:color w:val="auto"/>
        </w:rPr>
      </w:pPr>
    </w:p>
    <w:p>
      <w:pPr>
        <w:ind w:right="100" w:firstLine="636"/>
        <w:spacing w:after="0" w:line="269" w:lineRule="auto"/>
        <w:rPr>
          <w:sz w:val="20"/>
          <w:szCs w:val="20"/>
          <w:color w:val="auto"/>
        </w:rPr>
      </w:pPr>
      <w:r>
        <w:rPr>
          <w:rFonts w:ascii="Times New Roman" w:cs="Times New Roman" w:eastAsia="Times New Roman" w:hAnsi="Times New Roman"/>
          <w:sz w:val="21"/>
          <w:szCs w:val="21"/>
          <w:color w:val="auto"/>
        </w:rPr>
        <w:t xml:space="preserve">§7.7 </w:t>
      </w:r>
      <w:r>
        <w:rPr>
          <w:rFonts w:ascii="Times New Roman" w:cs="Times New Roman" w:eastAsia="Times New Roman" w:hAnsi="Times New Roman"/>
          <w:sz w:val="21"/>
          <w:szCs w:val="21"/>
          <w:b w:val="1"/>
          <w:bCs w:val="1"/>
          <w:color w:val="auto"/>
        </w:rPr>
        <w:t>Limitations Period.</w:t>
      </w:r>
      <w:r>
        <w:rPr>
          <w:rFonts w:ascii="Times New Roman" w:cs="Times New Roman" w:eastAsia="Times New Roman" w:hAnsi="Times New Roman"/>
          <w:sz w:val="21"/>
          <w:szCs w:val="21"/>
          <w:color w:val="auto"/>
        </w:rPr>
        <w:t xml:space="preserve"> Any suit or legal action initiated by a claimant under the Plan must be brought by the claimant no later than one year following a final decision on the claim for benefits by the Plan Administrator. The one-year limitation on suits for benefits will apply in any forum where a claimant initiates such suit or legal action.</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VIII</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FUNDING</w:t>
      </w:r>
    </w:p>
    <w:p>
      <w:pPr>
        <w:spacing w:after="0" w:line="249" w:lineRule="exact"/>
        <w:rPr>
          <w:sz w:val="20"/>
          <w:szCs w:val="20"/>
          <w:color w:val="auto"/>
        </w:rPr>
      </w:pPr>
    </w:p>
    <w:p>
      <w:pPr>
        <w:ind w:right="400" w:firstLine="636"/>
        <w:spacing w:after="0" w:line="269" w:lineRule="auto"/>
        <w:rPr>
          <w:sz w:val="20"/>
          <w:szCs w:val="20"/>
          <w:color w:val="auto"/>
        </w:rPr>
      </w:pPr>
      <w:r>
        <w:rPr>
          <w:rFonts w:ascii="Times New Roman" w:cs="Times New Roman" w:eastAsia="Times New Roman" w:hAnsi="Times New Roman"/>
          <w:sz w:val="21"/>
          <w:szCs w:val="21"/>
          <w:color w:val="auto"/>
        </w:rPr>
        <w:t xml:space="preserve">§8.1 </w:t>
      </w:r>
      <w:r>
        <w:rPr>
          <w:rFonts w:ascii="Times New Roman" w:cs="Times New Roman" w:eastAsia="Times New Roman" w:hAnsi="Times New Roman"/>
          <w:sz w:val="21"/>
          <w:szCs w:val="21"/>
          <w:b w:val="1"/>
          <w:bCs w:val="1"/>
          <w:color w:val="auto"/>
        </w:rPr>
        <w:t>Funding.</w:t>
      </w:r>
      <w:r>
        <w:rPr>
          <w:rFonts w:ascii="Times New Roman" w:cs="Times New Roman" w:eastAsia="Times New Roman" w:hAnsi="Times New Roman"/>
          <w:sz w:val="21"/>
          <w:szCs w:val="21"/>
          <w:color w:val="auto"/>
        </w:rPr>
        <w:t xml:space="preserve"> The Company shall not segregate or hold separately from its general assets any amounts credited to the Account Balances for Participants, and shall be under no obligation whatsoever to fund in advance any amounts under the Plan, including Contributions and earnings thereon.</w:t>
      </w:r>
    </w:p>
    <w:p>
      <w:pPr>
        <w:sectPr>
          <w:pgSz w:w="11900" w:h="16838" w:orient="portrait"/>
          <w:cols w:equalWidth="0" w:num="1">
            <w:col w:w="11240"/>
          </w:cols>
          <w:pgMar w:left="320" w:top="1440" w:right="339" w:bottom="1440" w:gutter="0" w:footer="0" w:header="0"/>
        </w:sectPr>
      </w:pPr>
    </w:p>
    <w:bookmarkStart w:id="84" w:name="page85"/>
    <w:bookmarkEnd w:id="84"/>
    <w:p>
      <w:pPr>
        <w:ind w:right="420" w:firstLine="636"/>
        <w:spacing w:after="0" w:line="289" w:lineRule="auto"/>
        <w:rPr>
          <w:sz w:val="20"/>
          <w:szCs w:val="20"/>
          <w:color w:val="auto"/>
        </w:rPr>
      </w:pPr>
      <w:r>
        <w:rPr>
          <w:rFonts w:ascii="Times New Roman" w:cs="Times New Roman" w:eastAsia="Times New Roman" w:hAnsi="Times New Roman"/>
          <w:sz w:val="21"/>
          <w:szCs w:val="21"/>
          <w:color w:val="auto"/>
        </w:rPr>
        <w:t xml:space="preserve">§8.2 </w:t>
      </w:r>
      <w:r>
        <w:rPr>
          <w:rFonts w:ascii="Times New Roman" w:cs="Times New Roman" w:eastAsia="Times New Roman" w:hAnsi="Times New Roman"/>
          <w:sz w:val="21"/>
          <w:szCs w:val="21"/>
          <w:b w:val="1"/>
          <w:bCs w:val="1"/>
          <w:color w:val="auto"/>
        </w:rPr>
        <w:t>Insolvency.</w:t>
      </w:r>
      <w:r>
        <w:rPr>
          <w:rFonts w:ascii="Times New Roman" w:cs="Times New Roman" w:eastAsia="Times New Roman" w:hAnsi="Times New Roman"/>
          <w:sz w:val="21"/>
          <w:szCs w:val="21"/>
          <w:color w:val="auto"/>
        </w:rPr>
        <w:t xml:space="preserve"> In the event that the Company becomes insolvent, all Participants and Beneficiaries shall be treated as general, unsecured creditors of the Company with respect to any amounts credited to the Account Balances.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ARTICLE IX</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AMENDMENT AND TERMINATION</w:t>
      </w:r>
    </w:p>
    <w:p>
      <w:pPr>
        <w:spacing w:after="0" w:line="253" w:lineRule="exact"/>
        <w:rPr>
          <w:sz w:val="20"/>
          <w:szCs w:val="20"/>
          <w:color w:val="auto"/>
        </w:rPr>
      </w:pPr>
    </w:p>
    <w:p>
      <w:pPr>
        <w:ind w:firstLine="636"/>
        <w:spacing w:after="0" w:line="256" w:lineRule="auto"/>
        <w:rPr>
          <w:sz w:val="20"/>
          <w:szCs w:val="20"/>
          <w:color w:val="auto"/>
        </w:rPr>
      </w:pPr>
      <w:r>
        <w:rPr>
          <w:rFonts w:ascii="Times New Roman" w:cs="Times New Roman" w:eastAsia="Times New Roman" w:hAnsi="Times New Roman"/>
          <w:sz w:val="21"/>
          <w:szCs w:val="21"/>
          <w:color w:val="auto"/>
        </w:rPr>
        <w:t>The Company reserves the right to amend or terminate the Plan at any time by action of the corporate officer in charge of Human Resources of the Company. Notwithstanding the foregoing, no such amendment or termination shall reduce any Participant’s Account Balance as of the date of such amendment or termination; provided however, an amendment may freeze or limit future accruals of benefits under the Plan on and after the date of such amendment. Upon a complete termination of the Plan, all vested amounts credited to Participants’ Account Balances shall be distributed to Participants and Beneficiaries in the manner and at the time described in Article V, unless the Company determines in its sole discretion that all vested amounts credited to Participants' Account Balances shall be distributed upon termination in accordance with the requirements under Code section 409A. Upon termination of the Plan, no further deferrals shall be permitted; however, earnings, gains and losses shall continue to be credited to Account Balances in accordance with Article III until the Account Balances are fully distributed.</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ARTICLE X</w:t>
      </w: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CHANGE IN CONTROL</w:t>
      </w:r>
    </w:p>
    <w:p>
      <w:pPr>
        <w:spacing w:after="0" w:line="249" w:lineRule="exact"/>
        <w:rPr>
          <w:sz w:val="20"/>
          <w:szCs w:val="20"/>
          <w:color w:val="auto"/>
        </w:rPr>
      </w:pPr>
    </w:p>
    <w:p>
      <w:pPr>
        <w:ind w:right="480" w:firstLine="636"/>
        <w:spacing w:after="0" w:line="289" w:lineRule="auto"/>
        <w:rPr>
          <w:sz w:val="20"/>
          <w:szCs w:val="20"/>
          <w:color w:val="auto"/>
        </w:rPr>
      </w:pPr>
      <w:r>
        <w:rPr>
          <w:rFonts w:ascii="Times New Roman" w:cs="Times New Roman" w:eastAsia="Times New Roman" w:hAnsi="Times New Roman"/>
          <w:sz w:val="21"/>
          <w:szCs w:val="21"/>
          <w:color w:val="auto"/>
        </w:rPr>
        <w:t xml:space="preserve">§10.1 </w:t>
      </w:r>
      <w:r>
        <w:rPr>
          <w:rFonts w:ascii="Times New Roman" w:cs="Times New Roman" w:eastAsia="Times New Roman" w:hAnsi="Times New Roman"/>
          <w:sz w:val="21"/>
          <w:szCs w:val="21"/>
          <w:b w:val="1"/>
          <w:bCs w:val="1"/>
          <w:color w:val="auto"/>
        </w:rPr>
        <w:t>Provisions.</w:t>
      </w:r>
      <w:r>
        <w:rPr>
          <w:rFonts w:ascii="Times New Roman" w:cs="Times New Roman" w:eastAsia="Times New Roman" w:hAnsi="Times New Roman"/>
          <w:sz w:val="21"/>
          <w:szCs w:val="21"/>
          <w:color w:val="auto"/>
        </w:rPr>
        <w:t xml:space="preserve"> Notwithstanding anything contained in the Plan to the contrary, the provisions of this Article X shall govern and supersede any inconsistent terms or provisions of the Plan.</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b w:val="1"/>
          <w:bCs w:val="1"/>
          <w:color w:val="auto"/>
        </w:rPr>
        <w:t>Definition of Change in Control.</w:t>
      </w:r>
      <w:r>
        <w:rPr>
          <w:rFonts w:ascii="Times New Roman" w:cs="Times New Roman" w:eastAsia="Times New Roman" w:hAnsi="Times New Roman"/>
          <w:sz w:val="21"/>
          <w:szCs w:val="21"/>
          <w:color w:val="auto"/>
        </w:rPr>
        <w:t xml:space="preserve"> For purposes of the Plan “Change in Control” shall mean any of the following</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events:</w:t>
      </w:r>
    </w:p>
    <w:p>
      <w:pPr>
        <w:spacing w:after="0" w:line="238" w:lineRule="exact"/>
        <w:rPr>
          <w:sz w:val="20"/>
          <w:szCs w:val="20"/>
          <w:color w:val="auto"/>
        </w:rPr>
      </w:pPr>
    </w:p>
    <w:p>
      <w:pPr>
        <w:ind w:right="20" w:firstLine="1278"/>
        <w:spacing w:after="0" w:line="258" w:lineRule="auto"/>
        <w:tabs>
          <w:tab w:leader="none" w:pos="1715" w:val="left"/>
        </w:tabs>
        <w:numPr>
          <w:ilvl w:val="0"/>
          <w:numId w:val="9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acquisition in one or more transactions by any “Person” (as the term person is used for purposes of Section 13(d) or 14(d) of the Securities Exchange Act of 1934, as amended (the “1934 Act”)) of “Beneficial Ownership” (within the meaning of Rule 13d-3 promulgated under the Exchange Act) of twenty-five percent (25%) or more of the combined voting power of the Company’s then outstanding voting securities (the “Voting Securities”), provided, however, that for purposes of this Section 10.2(a), the Voting Securities acquired directly from the Company by any Person shall be excluded from the determination of such Person’s Beneficial Ownership of Voting Securities (but such Voting Securities shall be included in the calculation of the total number of Voting Securities then outstanding); or</w:t>
      </w:r>
    </w:p>
    <w:p>
      <w:pPr>
        <w:sectPr>
          <w:pgSz w:w="11900" w:h="16838" w:orient="portrait"/>
          <w:cols w:equalWidth="0" w:num="1">
            <w:col w:w="11200"/>
          </w:cols>
          <w:pgMar w:left="320" w:top="1393" w:right="379" w:bottom="1440" w:gutter="0" w:footer="0" w:header="0"/>
        </w:sectPr>
      </w:pPr>
    </w:p>
    <w:bookmarkStart w:id="85" w:name="page86"/>
    <w:bookmarkEnd w:id="85"/>
    <w:p>
      <w:pPr>
        <w:ind w:right="160" w:firstLine="1278"/>
        <w:spacing w:after="0" w:line="258" w:lineRule="auto"/>
        <w:tabs>
          <w:tab w:leader="none" w:pos="172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individuals who, as of November 30, 2022, are members of the Board (the “Incumbent Board”), cease for any reason to constitute more than fifty percent of the Board; provided, however, that if the election, or nomination for election by the Company’s holders of shares of Campbell Stock (hereinafter, the “Shareholders”), of any new director was approved by a vote of at least two-thirds of the Incumbent Board, such new director shall, for purposes of the Plan, be considered 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96" w:lineRule="exact"/>
        <w:rPr>
          <w:rFonts w:ascii="Times New Roman" w:cs="Times New Roman" w:eastAsia="Times New Roman" w:hAnsi="Times New Roman"/>
          <w:sz w:val="21"/>
          <w:szCs w:val="21"/>
          <w:color w:val="auto"/>
        </w:rPr>
      </w:pPr>
    </w:p>
    <w:p>
      <w:pPr>
        <w:ind w:right="180" w:firstLine="1278"/>
        <w:spacing w:after="0" w:line="262" w:lineRule="auto"/>
        <w:tabs>
          <w:tab w:leader="none" w:pos="171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merger or consolidation involving the Company if the Shareholders of the Company, immediately before such merger or consolidation, do not own, directly or indirectly immediately following such merger or consolidation, more than fifty percent (50%) of the combined voting power of the outstanding Voting Securities of the corporation resulting from such merger or consolidation in substantially the same proportion as their ownership of the Voting Securities immediately before such merger or consolidation; or</w:t>
      </w:r>
    </w:p>
    <w:p>
      <w:pPr>
        <w:spacing w:after="0" w:line="192" w:lineRule="exact"/>
        <w:rPr>
          <w:rFonts w:ascii="Times New Roman" w:cs="Times New Roman" w:eastAsia="Times New Roman" w:hAnsi="Times New Roman"/>
          <w:sz w:val="21"/>
          <w:szCs w:val="21"/>
          <w:color w:val="auto"/>
        </w:rPr>
      </w:pPr>
    </w:p>
    <w:p>
      <w:pPr>
        <w:ind w:right="180" w:firstLine="1278"/>
        <w:spacing w:after="0" w:line="274" w:lineRule="auto"/>
        <w:tabs>
          <w:tab w:leader="none" w:pos="171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Approval by Shareholders of the Company of a complete liquidation or dissolution of the Company or the consummation of a sale or other disposition (in one transaction or a series of related transactions) of more than fifty percent (50%) of the assets of the Company.</w:t>
      </w:r>
    </w:p>
    <w:p>
      <w:pPr>
        <w:spacing w:after="0" w:line="179" w:lineRule="exact"/>
        <w:rPr>
          <w:rFonts w:ascii="Times New Roman" w:cs="Times New Roman" w:eastAsia="Times New Roman" w:hAnsi="Times New Roman"/>
          <w:sz w:val="21"/>
          <w:szCs w:val="21"/>
          <w:color w:val="auto"/>
        </w:rPr>
      </w:pPr>
    </w:p>
    <w:p>
      <w:pPr>
        <w:ind w:right="80" w:firstLine="1278"/>
        <w:spacing w:after="0" w:line="261" w:lineRule="auto"/>
        <w:tabs>
          <w:tab w:leader="none" w:pos="1715"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consummation of a share exchange transaction whereby the Shareholders of the Company, immediately before such transaction, do not own, directly or indirectly immediately following such transaction, more than fifty percent (50%) of the combined voting power of the outstanding Voting Securities of the corporation resulting from such transaction in substantially the same proportion as their ownership of the Voting Securities outstanding immediately before such transaction.</w:t>
      </w:r>
    </w:p>
    <w:p>
      <w:pPr>
        <w:spacing w:after="0" w:line="208" w:lineRule="exact"/>
        <w:rPr>
          <w:sz w:val="20"/>
          <w:szCs w:val="20"/>
          <w:color w:val="auto"/>
        </w:rPr>
      </w:pPr>
    </w:p>
    <w:p>
      <w:pPr>
        <w:ind w:firstLine="1272"/>
        <w:spacing w:after="0" w:line="255" w:lineRule="auto"/>
        <w:rPr>
          <w:sz w:val="20"/>
          <w:szCs w:val="20"/>
          <w:color w:val="auto"/>
        </w:rPr>
      </w:pPr>
      <w:r>
        <w:rPr>
          <w:rFonts w:ascii="Times New Roman" w:cs="Times New Roman" w:eastAsia="Times New Roman" w:hAnsi="Times New Roman"/>
          <w:sz w:val="21"/>
          <w:szCs w:val="21"/>
          <w:color w:val="auto"/>
        </w:rPr>
        <w:t>Notwithstanding the foregoing, a Change in Control shall not be deemed to occur solely because twenty-five percent (25%) or more of the then outstanding Voting Securities is acquired by (i) a trustee or other fiduciary holding securities under one or more employee benefit plans maintained by the Company or any of its subsidiaries, (ii) any corporation which, immediately prior to such acquisition, is owned directly or indirectly by the Shareholders of the Company in the same proportion as their ownership of stock in the Company immediately prior to such acquisition, (iii) any “Grandfathered Dorrance Family Shareholder” (as hereinafter defined) or (iv) any Person who has acquired such Voting Securities directly from any Grandfathered Dorrance Family Shareholder but only if such Person has executed an agreement which is approved by two-thirds of the Board and pursuant to which such Person has agreed that he (or they) will not increase his (or their) Beneficial Ownership (directly or indirectly) to 30% or more of the outstanding Voting Securities (the “Standstill Agreement”) and only for the period during which the Standstill Agreement is effective and fully honored by such Person. For purposes of this Section 10.2, “Grandfathered Dorrance Family Shareholder” shall mean at any time a “Dorrance Family Shareholder” (as hereinafter defined) who or which is at the time in question the Beneficial Owner solely of (v) Voting Securities Beneficially Owned by such</w:t>
      </w:r>
    </w:p>
    <w:p>
      <w:pPr>
        <w:sectPr>
          <w:pgSz w:w="11900" w:h="16838" w:orient="portrait"/>
          <w:cols w:equalWidth="0" w:num="1">
            <w:col w:w="11240"/>
          </w:cols>
          <w:pgMar w:left="320" w:top="1397" w:right="339" w:bottom="1440" w:gutter="0" w:footer="0" w:header="0"/>
        </w:sectPr>
      </w:pPr>
    </w:p>
    <w:bookmarkStart w:id="86" w:name="page87"/>
    <w:bookmarkEnd w:id="86"/>
    <w:p>
      <w:pPr>
        <w:spacing w:after="0" w:line="255" w:lineRule="auto"/>
        <w:rPr>
          <w:sz w:val="20"/>
          <w:szCs w:val="20"/>
          <w:color w:val="auto"/>
        </w:rPr>
      </w:pPr>
      <w:r>
        <w:rPr>
          <w:rFonts w:ascii="Times New Roman" w:cs="Times New Roman" w:eastAsia="Times New Roman" w:hAnsi="Times New Roman"/>
          <w:sz w:val="21"/>
          <w:szCs w:val="21"/>
          <w:color w:val="auto"/>
        </w:rPr>
        <w:t>individual on January 25, 1990, (w) Voting Securities acquired directly from the Company, (x) Voting Securities acquired directly from another Grandfathered Dorrance Family Shareholder, (y) Voting Securities which are also Beneficially Owned by other Grandfathered Dorrance Family Shareholders at the time in question, and (z) Voting Securities acquired after January 25, 1990 other than directly from the Company or from another Grandfathered Dorrance Family Shareholder by any “Dorrance Grandchild” (as hereinafter defined) provided that the aggregate amount of Voting Securities so acquired by each such Dorrance Grandchild shall not exceed five percent (5%) of the Voting Securities outstanding at the time of such acquisition. A “Dorrance Family Shareholder” who or which is at the time in question the Beneficial Owner of Voting Securities which are not specified in clauses (v), (w), (x), (y) and (z) of the immediately preceding sentence shall not be a Grandfathered Dorrance Family Shareholder at the time in question. For purposes of this Section 10.2, “Dorrance Family Shareholders” shall mean individuals who are descendants of the late Dr. John T. Dorrance, Sr. and/or the spouses, fiduciaries and foundations of such descendants. A “Dorrance Grandchild” means as to each particular grandchild of the late Dr. John T. Dorrance, Sr., all of the following taken collectively: such grandchild, such grandchild’s descendants and/or the spouses, fiduciaries and foundations of such grandchild and such grandchild’s descendants.</w:t>
      </w:r>
    </w:p>
    <w:p>
      <w:pPr>
        <w:spacing w:after="0" w:line="200" w:lineRule="exact"/>
        <w:rPr>
          <w:sz w:val="20"/>
          <w:szCs w:val="20"/>
          <w:color w:val="auto"/>
        </w:rPr>
      </w:pPr>
    </w:p>
    <w:p>
      <w:pPr>
        <w:spacing w:after="0" w:line="259" w:lineRule="exact"/>
        <w:rPr>
          <w:sz w:val="20"/>
          <w:szCs w:val="20"/>
          <w:color w:val="auto"/>
        </w:rPr>
      </w:pPr>
    </w:p>
    <w:p>
      <w:pPr>
        <w:ind w:right="60" w:firstLine="1272"/>
        <w:spacing w:after="0" w:line="258" w:lineRule="auto"/>
        <w:rPr>
          <w:sz w:val="20"/>
          <w:szCs w:val="20"/>
          <w:color w:val="auto"/>
        </w:rPr>
      </w:pPr>
      <w:r>
        <w:rPr>
          <w:rFonts w:ascii="Times New Roman" w:cs="Times New Roman" w:eastAsia="Times New Roman" w:hAnsi="Times New Roman"/>
          <w:sz w:val="21"/>
          <w:szCs w:val="21"/>
          <w:color w:val="auto"/>
        </w:rPr>
        <w:t>Moreover, notwithstanding the foregoing, a Change in Control shall not be deemed to occur solely because any Person (the “Subject Person”) acquired Beneficial Ownership of more than the permitted amount of the outstanding Voting Securities as a result of the acquisition of Voting Securities by the Company which, by reducing the number of Voting Securities outstanding, increases the proportional number of shares Beneficially Owned by the Subject Person, provided that if a Change in Control would occur (but for the operation of this sentence) as a result of the acquisition of Voting Securities by the Company, and after such share acquisition by the Company, the Subject Person becomes the Beneficial Owner of any additional Voting Securities which increases the percentage of the then outstanding Voting Securities Beneficially Owned by the Subject Person, then a Change in Control shall occur.</w:t>
      </w:r>
    </w:p>
    <w:p>
      <w:pPr>
        <w:spacing w:after="0" w:line="202" w:lineRule="exact"/>
        <w:rPr>
          <w:sz w:val="20"/>
          <w:szCs w:val="20"/>
          <w:color w:val="auto"/>
        </w:rPr>
      </w:pPr>
    </w:p>
    <w:p>
      <w:pPr>
        <w:ind w:right="100" w:firstLine="1272"/>
        <w:spacing w:after="0" w:line="258" w:lineRule="auto"/>
        <w:rPr>
          <w:sz w:val="20"/>
          <w:szCs w:val="20"/>
          <w:color w:val="auto"/>
        </w:rPr>
      </w:pPr>
      <w:r>
        <w:rPr>
          <w:rFonts w:ascii="Times New Roman" w:cs="Times New Roman" w:eastAsia="Times New Roman" w:hAnsi="Times New Roman"/>
          <w:sz w:val="21"/>
          <w:szCs w:val="21"/>
          <w:color w:val="auto"/>
        </w:rPr>
        <w:t>Notwithstanding anything contained in this Plan to the contrary, with respect to any portion of the Participant’s Account Balance that is subject to Section 409A of the Code and any payments or settlement of Account Balance that will accelerate upon a Change in Control, no event set forth in this Plan or other agreement applicable to a Participant or in clauses (a)-</w:t>
      </w:r>
    </w:p>
    <w:p>
      <w:pPr>
        <w:spacing w:after="0" w:line="2" w:lineRule="exact"/>
        <w:rPr>
          <w:sz w:val="20"/>
          <w:szCs w:val="20"/>
          <w:color w:val="auto"/>
        </w:rPr>
      </w:pPr>
    </w:p>
    <w:p>
      <w:pPr>
        <w:jc w:val="both"/>
        <w:ind w:right="60" w:firstLine="6"/>
        <w:spacing w:after="0" w:line="261" w:lineRule="auto"/>
        <w:tabs>
          <w:tab w:leader="none" w:pos="288" w:val="left"/>
        </w:tabs>
        <w:numPr>
          <w:ilvl w:val="0"/>
          <w:numId w:val="9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of this Section 10.2 shall constitute a Change in Control for purposes of the Plan unless such event also constitutes a “change in ownership”, “change in effective control” or “change in the ownership of a substantial portion of the company’s assets” as defined under Section 409A of the Code and the regulations and guidance promulgated thereunder.</w:t>
      </w:r>
    </w:p>
    <w:p>
      <w:pPr>
        <w:spacing w:after="0" w:line="194" w:lineRule="exact"/>
        <w:rPr>
          <w:sz w:val="20"/>
          <w:szCs w:val="20"/>
          <w:color w:val="auto"/>
        </w:rPr>
      </w:pPr>
    </w:p>
    <w:p>
      <w:pPr>
        <w:ind w:right="200" w:firstLine="1272"/>
        <w:spacing w:after="0" w:line="262" w:lineRule="auto"/>
        <w:rPr>
          <w:sz w:val="20"/>
          <w:szCs w:val="20"/>
          <w:color w:val="auto"/>
        </w:rPr>
      </w:pPr>
      <w:r>
        <w:rPr>
          <w:rFonts w:ascii="Times New Roman" w:cs="Times New Roman" w:eastAsia="Times New Roman" w:hAnsi="Times New Roman"/>
          <w:sz w:val="21"/>
          <w:szCs w:val="21"/>
          <w:color w:val="auto"/>
        </w:rPr>
        <w:t>Notwithstanding anything contained in this Plan to the contrary, if a Participant’s employment is terminated by the Company without Cause within one year prior to a Change in Control and such termination (i) was at the request of a third party who effectuates a Change in Control or (ii) otherwise occurred in connection with or in anticipation of, a Change in Control, then for purposes of this Article X only, the date of a Change in Control shall mean the date immediately prior to the date of such Participant’s termination of employment.</w:t>
      </w:r>
    </w:p>
    <w:p>
      <w:pPr>
        <w:sectPr>
          <w:pgSz w:w="11900" w:h="16838" w:orient="portrait"/>
          <w:cols w:equalWidth="0" w:num="1">
            <w:col w:w="11180"/>
          </w:cols>
          <w:pgMar w:left="320" w:top="1397" w:right="399" w:bottom="1440" w:gutter="0" w:footer="0" w:header="0"/>
        </w:sectPr>
      </w:pPr>
    </w:p>
    <w:bookmarkStart w:id="87" w:name="page88"/>
    <w:bookmarkEnd w:id="87"/>
    <w:p>
      <w:pPr>
        <w:ind w:firstLine="1272"/>
        <w:spacing w:after="0" w:line="258" w:lineRule="auto"/>
        <w:rPr>
          <w:sz w:val="20"/>
          <w:szCs w:val="20"/>
          <w:color w:val="auto"/>
        </w:rPr>
      </w:pPr>
      <w:r>
        <w:rPr>
          <w:rFonts w:ascii="Times New Roman" w:cs="Times New Roman" w:eastAsia="Times New Roman" w:hAnsi="Times New Roman"/>
          <w:sz w:val="21"/>
          <w:szCs w:val="21"/>
          <w:color w:val="auto"/>
        </w:rPr>
        <w:t>For purposes of this Article X only, with respect to any Participant, (i) “Cause” shall be defined as set forth in any individual agreement applicable to a Participant, or (ii) in the case of a Participant who does not have an individual agreement that defines Cause, then Cause shall mean the termination of a Participant’s employment by reason of his or her (A) conviction of a felony or (B) engaging in conduct which constitutes willful gross misconduct which is demonstrably and materially injurious to the Campbell Group, monetarily or otherwise. No act, nor failure to act, on the Participant’s part, shall be considered “willful” unless he or she has acted, or failed to act, with an absence of good faith and without a reasonable belief that his or her action or failure to act was in the best interest of the Campbell Group.</w:t>
      </w:r>
    </w:p>
    <w:p>
      <w:pPr>
        <w:spacing w:after="0" w:line="19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b w:val="1"/>
          <w:bCs w:val="1"/>
          <w:color w:val="auto"/>
        </w:rPr>
        <w:t>Definition of “Termination Following a Change in Control.”</w:t>
      </w:r>
      <w:r>
        <w:rPr>
          <w:rFonts w:ascii="Times New Roman" w:cs="Times New Roman" w:eastAsia="Times New Roman" w:hAnsi="Times New Roman"/>
          <w:sz w:val="21"/>
          <w:szCs w:val="21"/>
          <w:color w:val="auto"/>
        </w:rPr>
        <w:t xml:space="preserve"> For purposes of the Plan, “Termination Following 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Change in Control” means a termination of employment:</w:t>
      </w:r>
    </w:p>
    <w:p>
      <w:pPr>
        <w:spacing w:after="0" w:line="237" w:lineRule="exact"/>
        <w:rPr>
          <w:sz w:val="20"/>
          <w:szCs w:val="20"/>
          <w:color w:val="auto"/>
        </w:rPr>
      </w:pPr>
    </w:p>
    <w:p>
      <w:pPr>
        <w:ind w:left="1920" w:hanging="642"/>
        <w:spacing w:after="0"/>
        <w:tabs>
          <w:tab w:leader="none" w:pos="192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initiated by the employer of the Participant,</w:t>
      </w:r>
    </w:p>
    <w:p>
      <w:pPr>
        <w:spacing w:after="0" w:line="248" w:lineRule="exact"/>
        <w:rPr>
          <w:rFonts w:ascii="Times New Roman" w:cs="Times New Roman" w:eastAsia="Times New Roman" w:hAnsi="Times New Roman"/>
          <w:sz w:val="21"/>
          <w:szCs w:val="21"/>
          <w:color w:val="auto"/>
        </w:rPr>
      </w:pPr>
    </w:p>
    <w:p>
      <w:pPr>
        <w:ind w:left="1900" w:hanging="622"/>
        <w:spacing w:after="0"/>
        <w:tabs>
          <w:tab w:leader="none" w:pos="190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initiated by the Participant for “Good Reason” as defined as set forth in any individual agreement applicable</w:t>
      </w:r>
    </w:p>
    <w:p>
      <w:pPr>
        <w:spacing w:after="0" w:line="34"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the Participant; or</w:t>
      </w:r>
    </w:p>
    <w:p>
      <w:pPr>
        <w:spacing w:after="0" w:line="224" w:lineRule="exact"/>
        <w:rPr>
          <w:rFonts w:ascii="Times New Roman" w:cs="Times New Roman" w:eastAsia="Times New Roman" w:hAnsi="Times New Roman"/>
          <w:sz w:val="21"/>
          <w:szCs w:val="21"/>
          <w:color w:val="auto"/>
        </w:rPr>
      </w:pPr>
    </w:p>
    <w:p>
      <w:pPr>
        <w:ind w:right="200" w:firstLine="1278"/>
        <w:spacing w:after="0" w:line="285" w:lineRule="auto"/>
        <w:tabs>
          <w:tab w:leader="none" w:pos="1560"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case of a Participant who does not have an individual agreement that defines “Good Reason,” initiated by the Participant following one or more of the following events:</w:t>
      </w:r>
    </w:p>
    <w:p>
      <w:pPr>
        <w:spacing w:after="0" w:line="182" w:lineRule="exact"/>
        <w:rPr>
          <w:sz w:val="20"/>
          <w:szCs w:val="20"/>
          <w:color w:val="auto"/>
        </w:rPr>
      </w:pPr>
    </w:p>
    <w:p>
      <w:pPr>
        <w:ind w:left="640" w:right="240" w:firstLine="1669"/>
        <w:spacing w:after="0" w:line="285" w:lineRule="auto"/>
        <w:rPr>
          <w:sz w:val="20"/>
          <w:szCs w:val="20"/>
          <w:color w:val="auto"/>
        </w:rPr>
      </w:pPr>
      <w:r>
        <w:rPr>
          <w:rFonts w:ascii="Times New Roman" w:cs="Times New Roman" w:eastAsia="Times New Roman" w:hAnsi="Times New Roman"/>
          <w:sz w:val="21"/>
          <w:szCs w:val="21"/>
          <w:color w:val="auto"/>
        </w:rPr>
        <w:t>(i)a reduction in the Participant’s base salary or any failure to pay the Participant any compensation or benefits to which he or she is entitled within thirty (30) days of the date due;</w:t>
      </w:r>
    </w:p>
    <w:p>
      <w:pPr>
        <w:spacing w:after="0" w:line="168" w:lineRule="exact"/>
        <w:rPr>
          <w:sz w:val="20"/>
          <w:szCs w:val="20"/>
          <w:color w:val="auto"/>
        </w:rPr>
      </w:pPr>
    </w:p>
    <w:p>
      <w:pPr>
        <w:ind w:left="640" w:right="480" w:firstLine="1671"/>
        <w:spacing w:after="0" w:line="267" w:lineRule="auto"/>
        <w:tabs>
          <w:tab w:leader="none" w:pos="3178"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Campbell Group’s requiring the Participant to be based at any place outside a 50-mile radius from his or her site of employment prior to the Change in Control, except for reasonably required travel on the Campbell Group’s business which is not greater than such travel requirements prior to the Change in Control;</w:t>
      </w:r>
    </w:p>
    <w:p>
      <w:pPr>
        <w:spacing w:after="0" w:line="201" w:lineRule="exact"/>
        <w:rPr>
          <w:rFonts w:ascii="Times New Roman" w:cs="Times New Roman" w:eastAsia="Times New Roman" w:hAnsi="Times New Roman"/>
          <w:sz w:val="21"/>
          <w:szCs w:val="21"/>
          <w:color w:val="auto"/>
        </w:rPr>
      </w:pPr>
    </w:p>
    <w:p>
      <w:pPr>
        <w:ind w:left="640" w:right="60" w:firstLine="1671"/>
        <w:spacing w:after="0" w:line="261" w:lineRule="auto"/>
        <w:tabs>
          <w:tab w:leader="none" w:pos="3184"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by the Campbell Group to provide the Participant with compensation and benefits, in the aggregate, substantially equivalent (in terms of benefit levels and/or reward opportunities) to those provided for under compensation or employee benefit plans, programs and practices as in effect immediately prior to the Change in Control (or as in effect following the Change in Control, if greater);</w:t>
      </w:r>
    </w:p>
    <w:p>
      <w:pPr>
        <w:spacing w:after="0" w:line="195" w:lineRule="exact"/>
        <w:rPr>
          <w:rFonts w:ascii="Times New Roman" w:cs="Times New Roman" w:eastAsia="Times New Roman" w:hAnsi="Times New Roman"/>
          <w:sz w:val="21"/>
          <w:szCs w:val="21"/>
          <w:color w:val="auto"/>
        </w:rPr>
      </w:pPr>
    </w:p>
    <w:p>
      <w:pPr>
        <w:ind w:left="640" w:right="180" w:firstLine="1671"/>
        <w:spacing w:after="0" w:line="298" w:lineRule="auto"/>
        <w:tabs>
          <w:tab w:leader="none" w:pos="3172"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purported termination of the Participant’s employment for Cause which does not comply with the requirements of the definition of “Cause” as set forth in Section 10.2; or</w:t>
      </w:r>
    </w:p>
    <w:p>
      <w:pPr>
        <w:spacing w:after="0" w:line="155" w:lineRule="exact"/>
        <w:rPr>
          <w:rFonts w:ascii="Times New Roman" w:cs="Times New Roman" w:eastAsia="Times New Roman" w:hAnsi="Times New Roman"/>
          <w:sz w:val="21"/>
          <w:szCs w:val="21"/>
          <w:color w:val="auto"/>
        </w:rPr>
      </w:pPr>
    </w:p>
    <w:p>
      <w:pPr>
        <w:ind w:left="640" w:right="740" w:firstLine="1671"/>
        <w:spacing w:after="0" w:line="285" w:lineRule="auto"/>
        <w:tabs>
          <w:tab w:leader="none" w:pos="3179" w:val="left"/>
        </w:tabs>
        <w:numPr>
          <w:ilvl w:val="0"/>
          <w:numId w:val="10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failure of the Company to obtain an agreement from any successor or assign of the Company to assume and agree to perform the Plan.</w:t>
      </w:r>
    </w:p>
    <w:p>
      <w:pPr>
        <w:sectPr>
          <w:pgSz w:w="11900" w:h="16838" w:orient="portrait"/>
          <w:cols w:equalWidth="0" w:num="1">
            <w:col w:w="11240"/>
          </w:cols>
          <w:pgMar w:left="320" w:top="1397" w:right="339" w:bottom="1440" w:gutter="0" w:footer="0" w:header="0"/>
        </w:sectPr>
      </w:pPr>
    </w:p>
    <w:bookmarkStart w:id="88" w:name="page89"/>
    <w:bookmarkEnd w:id="88"/>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§10.4 </w:t>
      </w:r>
      <w:r>
        <w:rPr>
          <w:rFonts w:ascii="Times New Roman" w:cs="Times New Roman" w:eastAsia="Times New Roman" w:hAnsi="Times New Roman"/>
          <w:sz w:val="21"/>
          <w:szCs w:val="21"/>
          <w:b w:val="1"/>
          <w:bCs w:val="1"/>
          <w:color w:val="auto"/>
        </w:rPr>
        <w:t>Accrued Benefit.</w:t>
      </w:r>
    </w:p>
    <w:p>
      <w:pPr>
        <w:spacing w:after="0" w:line="253" w:lineRule="exact"/>
        <w:rPr>
          <w:sz w:val="20"/>
          <w:szCs w:val="20"/>
          <w:color w:val="auto"/>
        </w:rPr>
      </w:pPr>
    </w:p>
    <w:p>
      <w:pPr>
        <w:ind w:left="-640" w:right="140" w:firstLine="1278"/>
        <w:spacing w:after="0" w:line="262" w:lineRule="auto"/>
        <w:tabs>
          <w:tab w:leader="none" w:pos="9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Change in Control, a Participant's Campbell Stock Account shall be converted into cash in an amount equal to the greater of (1) the highest price per share of the Campbell Stock (a “Share”) paid to holders of the Shares in any transaction (or series of transactions) constituting or resulting in a Change in Control or (2) the highest fair market value per Share during the ninety (90) day period ending on the date of a Change in Control multiplied by the number of shares of Campbell Stock deemed credited to the Participant's Account Balance under the Plan.</w:t>
      </w:r>
    </w:p>
    <w:p>
      <w:pPr>
        <w:spacing w:after="0" w:line="192" w:lineRule="exact"/>
        <w:rPr>
          <w:rFonts w:ascii="Times New Roman" w:cs="Times New Roman" w:eastAsia="Times New Roman" w:hAnsi="Times New Roman"/>
          <w:sz w:val="21"/>
          <w:szCs w:val="21"/>
          <w:color w:val="auto"/>
        </w:rPr>
      </w:pPr>
    </w:p>
    <w:p>
      <w:pPr>
        <w:ind w:left="-640" w:right="40" w:firstLine="1278"/>
        <w:spacing w:after="0" w:line="257" w:lineRule="auto"/>
        <w:tabs>
          <w:tab w:leader="none" w:pos="932"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Participant’s Termination Following a Change in Control (other than Directors) within two (2) years after a Change in Control, the Participant shall fully vest in his or her Account Balance (including the SERP Benefit and the Mid-Career Plan Benefit). In the event the Change in Control in connection with such Termination Following a Change in Control satisfies the requirements of a “Change in Control Event,” as described in Code section 409A and the applicable regulations thereunder, the Company shall pay to the Participant, subject to the delay in payment required for Key Employees pursuant to Section 5.3, a lump sum cash payment equal to the Participant’s vested Account Balance sixty (60) days after his or her Separation from Service regardless of the Participant's previous distribution election(s). In the event such Change in Control does not result in a Change in Control Event as described under Code section 409A, payments described in this Section 10.4(b) shall be credited and vested to the Participant's Account Balance and made pursuant to the provisions under Article V of the Plan.</w:t>
      </w:r>
    </w:p>
    <w:p>
      <w:pPr>
        <w:spacing w:after="0" w:line="203" w:lineRule="exact"/>
        <w:rPr>
          <w:rFonts w:ascii="Times New Roman" w:cs="Times New Roman" w:eastAsia="Times New Roman" w:hAnsi="Times New Roman"/>
          <w:sz w:val="21"/>
          <w:szCs w:val="21"/>
          <w:color w:val="auto"/>
        </w:rPr>
      </w:pPr>
    </w:p>
    <w:p>
      <w:pPr>
        <w:ind w:left="-640" w:firstLine="1278"/>
        <w:spacing w:after="0" w:line="256" w:lineRule="auto"/>
        <w:tabs>
          <w:tab w:leader="none" w:pos="920"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a Director’s Separation from Service (i.e., ceasing to provide services to the Company as a member of the Board or otherwise) within two (2) years after a Change in Control, the Director shall fully vest in his or her Account Balance. In the event the Change in Control in connection with such Separation from Service satisfies the requirements of a “Change in Control Event,” as described in Code section 409A and the applicable regulations thereunder, the Company shall pay to the Director, subject to the delay in payment required for Key Employees pursuant to Section 5.3, a lump sum cash payment equal to his or her vested Account Balance sixty (60) days after his or her Separation from Service regardless of the Director's previous distribution election. In the event such Change in Control does not result in a Change in Control Event as described under Code section 409A, payments described in this Section 10.4(c) shall be credited and vested to the Participant's Account Balance and made pursuant to the provisions under Article V of the Plan.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xml:space="preserve">§10.5 </w:t>
      </w:r>
      <w:r>
        <w:rPr>
          <w:rFonts w:ascii="Times New Roman" w:cs="Times New Roman" w:eastAsia="Times New Roman" w:hAnsi="Times New Roman"/>
          <w:sz w:val="21"/>
          <w:szCs w:val="21"/>
          <w:b w:val="1"/>
          <w:bCs w:val="1"/>
          <w:color w:val="auto"/>
        </w:rPr>
        <w:t>Amendment or Termination.</w:t>
      </w:r>
    </w:p>
    <w:p>
      <w:pPr>
        <w:spacing w:after="0" w:line="253" w:lineRule="exact"/>
        <w:rPr>
          <w:sz w:val="20"/>
          <w:szCs w:val="20"/>
          <w:color w:val="auto"/>
        </w:rPr>
      </w:pPr>
    </w:p>
    <w:p>
      <w:pPr>
        <w:ind w:left="-640" w:right="520" w:firstLine="1278"/>
        <w:spacing w:after="0" w:line="285" w:lineRule="auto"/>
        <w:tabs>
          <w:tab w:leader="none" w:pos="920"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This Article X shall not be amended or terminated at any time if any such amendment or termination would adversely affect the rights of any Participants under the Plan.</w:t>
      </w:r>
    </w:p>
    <w:p>
      <w:pPr>
        <w:spacing w:after="0" w:line="168" w:lineRule="exact"/>
        <w:rPr>
          <w:rFonts w:ascii="Times New Roman" w:cs="Times New Roman" w:eastAsia="Times New Roman" w:hAnsi="Times New Roman"/>
          <w:sz w:val="21"/>
          <w:szCs w:val="21"/>
          <w:color w:val="auto"/>
        </w:rPr>
      </w:pPr>
    </w:p>
    <w:p>
      <w:pPr>
        <w:jc w:val="both"/>
        <w:ind w:left="-640" w:right="120" w:firstLine="1278"/>
        <w:spacing w:after="0" w:line="267" w:lineRule="auto"/>
        <w:tabs>
          <w:tab w:leader="none" w:pos="932"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two (2) years following a Change in Control, the Plan shall not be terminated or amended in any way that would adversely affect the rights of the Participants, nor shall the manner in which the Plan is administered be changed in a way that adversely affects</w:t>
      </w:r>
    </w:p>
    <w:p>
      <w:pPr>
        <w:sectPr>
          <w:pgSz w:w="11900" w:h="16838" w:orient="portrait"/>
          <w:cols w:equalWidth="0" w:num="1">
            <w:col w:w="10580"/>
          </w:cols>
          <w:pgMar w:left="960" w:top="1440" w:right="359" w:bottom="1440" w:gutter="0" w:footer="0" w:header="0"/>
        </w:sectPr>
      </w:pPr>
    </w:p>
    <w:bookmarkStart w:id="89" w:name="page90"/>
    <w:bookmarkEnd w:id="89"/>
    <w:p>
      <w:pPr>
        <w:ind w:right="280"/>
        <w:spacing w:after="0" w:line="285" w:lineRule="auto"/>
        <w:rPr>
          <w:sz w:val="20"/>
          <w:szCs w:val="20"/>
          <w:color w:val="auto"/>
        </w:rPr>
      </w:pPr>
      <w:r>
        <w:rPr>
          <w:rFonts w:ascii="Times New Roman" w:cs="Times New Roman" w:eastAsia="Times New Roman" w:hAnsi="Times New Roman"/>
          <w:sz w:val="21"/>
          <w:szCs w:val="21"/>
          <w:color w:val="auto"/>
        </w:rPr>
        <w:t>the Eligible Executives’ right to existing or future Company provided benefits or contributions provided hereunder. Furthermore, the Plan may not be merged or consolidated with any other program during said two-year period.</w:t>
      </w:r>
    </w:p>
    <w:p>
      <w:pPr>
        <w:spacing w:after="0" w:line="168" w:lineRule="exact"/>
        <w:rPr>
          <w:sz w:val="20"/>
          <w:szCs w:val="20"/>
          <w:color w:val="auto"/>
        </w:rPr>
      </w:pPr>
    </w:p>
    <w:p>
      <w:pPr>
        <w:ind w:right="180" w:firstLine="1278"/>
        <w:spacing w:after="0" w:line="274" w:lineRule="auto"/>
        <w:tabs>
          <w:tab w:leader="none" w:pos="1560" w:val="left"/>
        </w:tabs>
        <w:numPr>
          <w:ilvl w:val="0"/>
          <w:numId w:val="10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amendment or termination of the Plan prior to a Change in Control and which (1) was at the request of a third party who has indicated an intention or taken steps reasonably calculated to effect a Change in Control or (2) otherwise arose in connection with or in anticipation of a Change in Control, shall be null and void and shall have no effect whatsoever.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ARTICLE XI</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MISCELLANEOUS</w:t>
      </w:r>
    </w:p>
    <w:p>
      <w:pPr>
        <w:spacing w:after="0" w:line="249" w:lineRule="exact"/>
        <w:rPr>
          <w:sz w:val="20"/>
          <w:szCs w:val="20"/>
          <w:color w:val="auto"/>
        </w:rPr>
      </w:pPr>
    </w:p>
    <w:p>
      <w:pPr>
        <w:jc w:val="both"/>
        <w:ind w:right="140" w:firstLine="636"/>
        <w:spacing w:after="0" w:line="276" w:lineRule="auto"/>
        <w:rPr>
          <w:sz w:val="20"/>
          <w:szCs w:val="20"/>
          <w:color w:val="auto"/>
        </w:rPr>
      </w:pPr>
      <w:r>
        <w:rPr>
          <w:rFonts w:ascii="Times New Roman" w:cs="Times New Roman" w:eastAsia="Times New Roman" w:hAnsi="Times New Roman"/>
          <w:sz w:val="21"/>
          <w:szCs w:val="21"/>
          <w:color w:val="auto"/>
        </w:rPr>
        <w:t xml:space="preserve">§11.1 </w:t>
      </w:r>
      <w:r>
        <w:rPr>
          <w:rFonts w:ascii="Times New Roman" w:cs="Times New Roman" w:eastAsia="Times New Roman" w:hAnsi="Times New Roman"/>
          <w:sz w:val="21"/>
          <w:szCs w:val="21"/>
          <w:b w:val="1"/>
          <w:bCs w:val="1"/>
          <w:color w:val="auto"/>
        </w:rPr>
        <w:t>No Employment Contract.</w:t>
      </w:r>
      <w:r>
        <w:rPr>
          <w:rFonts w:ascii="Times New Roman" w:cs="Times New Roman" w:eastAsia="Times New Roman" w:hAnsi="Times New Roman"/>
          <w:sz w:val="21"/>
          <w:szCs w:val="21"/>
          <w:color w:val="auto"/>
        </w:rPr>
        <w:t xml:space="preserve"> The establishment or existence of the Plan shall not confer upon any individual the right to be continued as an employee or Director. The Employer expressly reserves the right to discharge any employee whenever in its judgment its best interests so require.</w:t>
      </w:r>
    </w:p>
    <w:p>
      <w:pPr>
        <w:spacing w:after="0" w:line="174" w:lineRule="exact"/>
        <w:rPr>
          <w:sz w:val="20"/>
          <w:szCs w:val="20"/>
          <w:color w:val="auto"/>
        </w:rPr>
      </w:pPr>
    </w:p>
    <w:p>
      <w:pPr>
        <w:ind w:right="40" w:firstLine="636"/>
        <w:spacing w:after="0" w:line="263" w:lineRule="auto"/>
        <w:rPr>
          <w:sz w:val="20"/>
          <w:szCs w:val="20"/>
          <w:color w:val="auto"/>
        </w:rPr>
      </w:pPr>
      <w:r>
        <w:rPr>
          <w:rFonts w:ascii="Times New Roman" w:cs="Times New Roman" w:eastAsia="Times New Roman" w:hAnsi="Times New Roman"/>
          <w:sz w:val="21"/>
          <w:szCs w:val="21"/>
          <w:color w:val="auto"/>
        </w:rPr>
        <w:t xml:space="preserve">§11.2 </w:t>
      </w:r>
      <w:r>
        <w:rPr>
          <w:rFonts w:ascii="Times New Roman" w:cs="Times New Roman" w:eastAsia="Times New Roman" w:hAnsi="Times New Roman"/>
          <w:sz w:val="21"/>
          <w:szCs w:val="21"/>
          <w:b w:val="1"/>
          <w:bCs w:val="1"/>
          <w:color w:val="auto"/>
        </w:rPr>
        <w:t>Non-Alienation.</w:t>
      </w:r>
      <w:r>
        <w:rPr>
          <w:rFonts w:ascii="Times New Roman" w:cs="Times New Roman" w:eastAsia="Times New Roman" w:hAnsi="Times New Roman"/>
          <w:sz w:val="21"/>
          <w:szCs w:val="21"/>
          <w:color w:val="auto"/>
        </w:rPr>
        <w:t xml:space="preserve"> No interest of any person in, or right to receive a distribution under, the Plan shall be subject in any manner to sale, transfer, assignment, pledge, attachment, garnishment, or other alienation or encumbrance of any kind; nor may such interest or right to receive a distribution be taken, either voluntarily or involuntarily for the satisfaction of the debts of, or other obligations or claims against, such person.</w:t>
      </w:r>
    </w:p>
    <w:p>
      <w:pPr>
        <w:spacing w:after="0" w:line="200" w:lineRule="exact"/>
        <w:rPr>
          <w:sz w:val="20"/>
          <w:szCs w:val="20"/>
          <w:color w:val="auto"/>
        </w:rPr>
      </w:pPr>
    </w:p>
    <w:p>
      <w:pPr>
        <w:ind w:right="60" w:firstLine="636"/>
        <w:spacing w:after="0" w:line="289" w:lineRule="auto"/>
        <w:rPr>
          <w:sz w:val="20"/>
          <w:szCs w:val="20"/>
          <w:color w:val="auto"/>
        </w:rPr>
      </w:pPr>
      <w:r>
        <w:rPr>
          <w:rFonts w:ascii="Times New Roman" w:cs="Times New Roman" w:eastAsia="Times New Roman" w:hAnsi="Times New Roman"/>
          <w:sz w:val="21"/>
          <w:szCs w:val="21"/>
          <w:color w:val="auto"/>
        </w:rPr>
        <w:t xml:space="preserve">§11.3 </w:t>
      </w:r>
      <w:r>
        <w:rPr>
          <w:rFonts w:ascii="Times New Roman" w:cs="Times New Roman" w:eastAsia="Times New Roman" w:hAnsi="Times New Roman"/>
          <w:sz w:val="21"/>
          <w:szCs w:val="21"/>
          <w:b w:val="1"/>
          <w:bCs w:val="1"/>
          <w:color w:val="auto"/>
        </w:rPr>
        <w:t>Governing Law.</w:t>
      </w:r>
      <w:r>
        <w:rPr>
          <w:rFonts w:ascii="Times New Roman" w:cs="Times New Roman" w:eastAsia="Times New Roman" w:hAnsi="Times New Roman"/>
          <w:sz w:val="21"/>
          <w:szCs w:val="21"/>
          <w:color w:val="auto"/>
        </w:rPr>
        <w:t xml:space="preserve"> The Plan shall be governed by and construed in accordance with the laws of the State of New Jersey to the extent not preempted by federal law.</w:t>
      </w:r>
    </w:p>
    <w:p>
      <w:pPr>
        <w:spacing w:after="0" w:line="160" w:lineRule="exact"/>
        <w:rPr>
          <w:sz w:val="20"/>
          <w:szCs w:val="20"/>
          <w:color w:val="auto"/>
        </w:rPr>
      </w:pPr>
    </w:p>
    <w:p>
      <w:pPr>
        <w:ind w:right="380" w:firstLine="636"/>
        <w:spacing w:after="0" w:line="260" w:lineRule="auto"/>
        <w:rPr>
          <w:sz w:val="20"/>
          <w:szCs w:val="20"/>
          <w:color w:val="auto"/>
        </w:rPr>
      </w:pPr>
      <w:r>
        <w:rPr>
          <w:rFonts w:ascii="Times New Roman" w:cs="Times New Roman" w:eastAsia="Times New Roman" w:hAnsi="Times New Roman"/>
          <w:sz w:val="21"/>
          <w:szCs w:val="21"/>
          <w:color w:val="auto"/>
        </w:rPr>
        <w:t xml:space="preserve">§11.4 </w:t>
      </w:r>
      <w:r>
        <w:rPr>
          <w:rFonts w:ascii="Times New Roman" w:cs="Times New Roman" w:eastAsia="Times New Roman" w:hAnsi="Times New Roman"/>
          <w:sz w:val="21"/>
          <w:szCs w:val="21"/>
          <w:b w:val="1"/>
          <w:bCs w:val="1"/>
          <w:color w:val="auto"/>
        </w:rPr>
        <w:t>Taxes and Withholding.</w:t>
      </w:r>
      <w:r>
        <w:rPr>
          <w:rFonts w:ascii="Times New Roman" w:cs="Times New Roman" w:eastAsia="Times New Roman" w:hAnsi="Times New Roman"/>
          <w:sz w:val="21"/>
          <w:szCs w:val="21"/>
          <w:color w:val="auto"/>
        </w:rPr>
        <w:t xml:space="preserve"> The Company or other payor may withhold from a benefit payment under the Plan or a Participant's wages in order to meet any federal, state, or local tax withholding obligations with respect to Plan benefits. The Company may also accelerate and pay a portion of a Participant's benefits in a lump sum equal to the Federal Insurance Contributions Act (“FICA”) tax imposed and the income tax withholding related to such FICA amounts. The Company or other payor shall report Plan payments and other Plan-related information to the appropriate governmental agencies as required under applicable laws.</w:t>
      </w:r>
    </w:p>
    <w:p>
      <w:pPr>
        <w:spacing w:after="0" w:line="193" w:lineRule="exact"/>
        <w:rPr>
          <w:sz w:val="20"/>
          <w:szCs w:val="20"/>
          <w:color w:val="auto"/>
        </w:rPr>
      </w:pPr>
    </w:p>
    <w:p>
      <w:pPr>
        <w:ind w:firstLine="636"/>
        <w:spacing w:after="0" w:line="263" w:lineRule="auto"/>
        <w:rPr>
          <w:sz w:val="20"/>
          <w:szCs w:val="20"/>
          <w:color w:val="auto"/>
        </w:rPr>
      </w:pPr>
      <w:r>
        <w:rPr>
          <w:rFonts w:ascii="Times New Roman" w:cs="Times New Roman" w:eastAsia="Times New Roman" w:hAnsi="Times New Roman"/>
          <w:sz w:val="21"/>
          <w:szCs w:val="21"/>
          <w:color w:val="auto"/>
        </w:rPr>
        <w:t xml:space="preserve">§11.5 </w:t>
      </w:r>
      <w:r>
        <w:rPr>
          <w:rFonts w:ascii="Times New Roman" w:cs="Times New Roman" w:eastAsia="Times New Roman" w:hAnsi="Times New Roman"/>
          <w:sz w:val="21"/>
          <w:szCs w:val="21"/>
          <w:b w:val="1"/>
          <w:bCs w:val="1"/>
          <w:color w:val="auto"/>
        </w:rPr>
        <w:t>Incapacity.</w:t>
      </w:r>
      <w:r>
        <w:rPr>
          <w:rFonts w:ascii="Times New Roman" w:cs="Times New Roman" w:eastAsia="Times New Roman" w:hAnsi="Times New Roman"/>
          <w:sz w:val="21"/>
          <w:szCs w:val="21"/>
          <w:color w:val="auto"/>
        </w:rPr>
        <w:t xml:space="preserve"> If the Plan Administrator, in its sole discretion, deems a Participant or Beneficiary who is eligible to receive any payment hereunder to be incompetent to receive the same by reason of illness or any infirmity or incapacity of any kind, the Plan Administrator may direct the Company to apply such payment directly for the benefit of such person, or to make payment to any person selected by the Plan Administrator to disburse the same for the benefit of the Participant or Beneficiary. Payments made pursuant to this Section shall operate as a</w:t>
      </w:r>
    </w:p>
    <w:p>
      <w:pPr>
        <w:sectPr>
          <w:pgSz w:w="11900" w:h="16838" w:orient="portrait"/>
          <w:cols w:equalWidth="0" w:num="1">
            <w:col w:w="11240"/>
          </w:cols>
          <w:pgMar w:left="320" w:top="1397" w:right="339" w:bottom="1440" w:gutter="0" w:footer="0" w:header="0"/>
        </w:sectPr>
      </w:pPr>
    </w:p>
    <w:bookmarkStart w:id="90" w:name="page91"/>
    <w:bookmarkEnd w:id="90"/>
    <w:p>
      <w:pPr>
        <w:spacing w:after="0" w:line="285" w:lineRule="auto"/>
        <w:rPr>
          <w:sz w:val="20"/>
          <w:szCs w:val="20"/>
          <w:color w:val="auto"/>
        </w:rPr>
      </w:pPr>
      <w:r>
        <w:rPr>
          <w:rFonts w:ascii="Times New Roman" w:cs="Times New Roman" w:eastAsia="Times New Roman" w:hAnsi="Times New Roman"/>
          <w:sz w:val="21"/>
          <w:szCs w:val="21"/>
          <w:color w:val="auto"/>
        </w:rPr>
        <w:t>discharge, to the extent thereof, of all liabilities of the Company, the Plan Administrator and the Plan to the person for whose benefit the payments are made.</w:t>
      </w:r>
    </w:p>
    <w:p>
      <w:pPr>
        <w:spacing w:after="0" w:line="164" w:lineRule="exact"/>
        <w:rPr>
          <w:sz w:val="20"/>
          <w:szCs w:val="20"/>
          <w:color w:val="auto"/>
        </w:rPr>
      </w:pPr>
    </w:p>
    <w:p>
      <w:pPr>
        <w:ind w:right="40" w:firstLine="636"/>
        <w:spacing w:after="0" w:line="276" w:lineRule="auto"/>
        <w:rPr>
          <w:sz w:val="20"/>
          <w:szCs w:val="20"/>
          <w:color w:val="auto"/>
        </w:rPr>
      </w:pPr>
      <w:r>
        <w:rPr>
          <w:rFonts w:ascii="Times New Roman" w:cs="Times New Roman" w:eastAsia="Times New Roman" w:hAnsi="Times New Roman"/>
          <w:sz w:val="21"/>
          <w:szCs w:val="21"/>
          <w:color w:val="auto"/>
        </w:rPr>
        <w:t xml:space="preserve">§11.6 </w:t>
      </w:r>
      <w:r>
        <w:rPr>
          <w:rFonts w:ascii="Times New Roman" w:cs="Times New Roman" w:eastAsia="Times New Roman" w:hAnsi="Times New Roman"/>
          <w:sz w:val="21"/>
          <w:szCs w:val="21"/>
          <w:b w:val="1"/>
          <w:bCs w:val="1"/>
          <w:color w:val="auto"/>
        </w:rPr>
        <w:t>Unclaimed Benefits.</w:t>
      </w:r>
      <w:r>
        <w:rPr>
          <w:rFonts w:ascii="Times New Roman" w:cs="Times New Roman" w:eastAsia="Times New Roman" w:hAnsi="Times New Roman"/>
          <w:sz w:val="21"/>
          <w:szCs w:val="21"/>
          <w:color w:val="auto"/>
        </w:rPr>
        <w:t xml:space="preserve"> Each Participant shall keep the Plan Administrator informed of his or her current address and the current address of his or her designated Beneficiary. The Plan Administrator shall not be obligated to search for the whereabouts of any person if the location of a person is not made known to the Plan Administrator.</w:t>
      </w:r>
    </w:p>
    <w:p>
      <w:pPr>
        <w:spacing w:after="0" w:line="174" w:lineRule="exact"/>
        <w:rPr>
          <w:sz w:val="20"/>
          <w:szCs w:val="20"/>
          <w:color w:val="auto"/>
        </w:rPr>
      </w:pPr>
    </w:p>
    <w:p>
      <w:pPr>
        <w:jc w:val="both"/>
        <w:ind w:right="420" w:firstLine="636"/>
        <w:spacing w:after="0" w:line="269" w:lineRule="auto"/>
        <w:rPr>
          <w:sz w:val="20"/>
          <w:szCs w:val="20"/>
          <w:color w:val="auto"/>
        </w:rPr>
      </w:pPr>
      <w:r>
        <w:rPr>
          <w:rFonts w:ascii="Times New Roman" w:cs="Times New Roman" w:eastAsia="Times New Roman" w:hAnsi="Times New Roman"/>
          <w:sz w:val="21"/>
          <w:szCs w:val="21"/>
          <w:color w:val="auto"/>
        </w:rPr>
        <w:t xml:space="preserve">§11.7 </w:t>
      </w:r>
      <w:r>
        <w:rPr>
          <w:rFonts w:ascii="Times New Roman" w:cs="Times New Roman" w:eastAsia="Times New Roman" w:hAnsi="Times New Roman"/>
          <w:sz w:val="21"/>
          <w:szCs w:val="21"/>
          <w:b w:val="1"/>
          <w:bCs w:val="1"/>
          <w:color w:val="auto"/>
        </w:rPr>
        <w:t>Severability.</w:t>
      </w:r>
      <w:r>
        <w:rPr>
          <w:rFonts w:ascii="Times New Roman" w:cs="Times New Roman" w:eastAsia="Times New Roman" w:hAnsi="Times New Roman"/>
          <w:sz w:val="21"/>
          <w:szCs w:val="21"/>
          <w:color w:val="auto"/>
        </w:rPr>
        <w:t xml:space="preserve"> In the event any provision of the Plan shall be held invalid or illegal for any reason, any illegality or invalidity shall not affect the remaining parts of the Plan, but the Plan shall be construed and enforced as if the illegal or invalid provision had never been inserted.</w:t>
      </w:r>
    </w:p>
    <w:p>
      <w:pPr>
        <w:spacing w:after="0" w:line="195" w:lineRule="exact"/>
        <w:rPr>
          <w:sz w:val="20"/>
          <w:szCs w:val="20"/>
          <w:color w:val="auto"/>
        </w:rPr>
      </w:pPr>
    </w:p>
    <w:p>
      <w:pPr>
        <w:ind w:right="80" w:firstLine="636"/>
        <w:spacing w:after="0" w:line="269" w:lineRule="auto"/>
        <w:rPr>
          <w:sz w:val="20"/>
          <w:szCs w:val="20"/>
          <w:color w:val="auto"/>
        </w:rPr>
      </w:pPr>
      <w:r>
        <w:rPr>
          <w:rFonts w:ascii="Times New Roman" w:cs="Times New Roman" w:eastAsia="Times New Roman" w:hAnsi="Times New Roman"/>
          <w:sz w:val="21"/>
          <w:szCs w:val="21"/>
          <w:color w:val="auto"/>
        </w:rPr>
        <w:t xml:space="preserve">§11.8 </w:t>
      </w:r>
      <w:r>
        <w:rPr>
          <w:rFonts w:ascii="Times New Roman" w:cs="Times New Roman" w:eastAsia="Times New Roman" w:hAnsi="Times New Roman"/>
          <w:sz w:val="21"/>
          <w:szCs w:val="21"/>
          <w:b w:val="1"/>
          <w:bCs w:val="1"/>
          <w:color w:val="auto"/>
        </w:rPr>
        <w:t>Words and Headings.</w:t>
      </w:r>
      <w:r>
        <w:rPr>
          <w:rFonts w:ascii="Times New Roman" w:cs="Times New Roman" w:eastAsia="Times New Roman" w:hAnsi="Times New Roman"/>
          <w:sz w:val="21"/>
          <w:szCs w:val="21"/>
          <w:color w:val="auto"/>
        </w:rPr>
        <w:t xml:space="preserve"> Words in the masculine gender shall include the feminine and the singular shall include the plural, and vice versa, unless qualified by the context. Any headings used herein are included for ease of reference only, and are not to be construed so as to alter the terms hereof.</w:t>
      </w:r>
    </w:p>
    <w:p>
      <w:pPr>
        <w:spacing w:after="0" w:line="182" w:lineRule="exact"/>
        <w:rPr>
          <w:sz w:val="20"/>
          <w:szCs w:val="20"/>
          <w:color w:val="auto"/>
        </w:rPr>
      </w:pPr>
    </w:p>
    <w:p>
      <w:pPr>
        <w:ind w:right="160" w:firstLine="636"/>
        <w:spacing w:after="0" w:line="289" w:lineRule="auto"/>
        <w:rPr>
          <w:sz w:val="20"/>
          <w:szCs w:val="20"/>
          <w:color w:val="auto"/>
        </w:rPr>
      </w:pPr>
      <w:r>
        <w:rPr>
          <w:rFonts w:ascii="Times New Roman" w:cs="Times New Roman" w:eastAsia="Times New Roman" w:hAnsi="Times New Roman"/>
          <w:sz w:val="21"/>
          <w:szCs w:val="21"/>
          <w:color w:val="auto"/>
        </w:rPr>
        <w:t xml:space="preserve">§11.9 </w:t>
      </w:r>
      <w:r>
        <w:rPr>
          <w:rFonts w:ascii="Times New Roman" w:cs="Times New Roman" w:eastAsia="Times New Roman" w:hAnsi="Times New Roman"/>
          <w:sz w:val="21"/>
          <w:szCs w:val="21"/>
          <w:b w:val="1"/>
          <w:bCs w:val="1"/>
          <w:color w:val="auto"/>
        </w:rPr>
        <w:t>Binding Upon Successors.</w:t>
      </w:r>
      <w:r>
        <w:rPr>
          <w:rFonts w:ascii="Times New Roman" w:cs="Times New Roman" w:eastAsia="Times New Roman" w:hAnsi="Times New Roman"/>
          <w:sz w:val="21"/>
          <w:szCs w:val="21"/>
          <w:color w:val="auto"/>
        </w:rPr>
        <w:t xml:space="preserve"> The liabilities under the Plan shall be binding upon any successor, assign or purchaser of the Company or any purchaser of substantially all of the assets of the Company.</w:t>
      </w:r>
    </w:p>
    <w:p>
      <w:pPr>
        <w:spacing w:after="0" w:line="160" w:lineRule="exact"/>
        <w:rPr>
          <w:sz w:val="20"/>
          <w:szCs w:val="20"/>
          <w:color w:val="auto"/>
        </w:rPr>
      </w:pPr>
    </w:p>
    <w:p>
      <w:pPr>
        <w:ind w:right="120" w:firstLine="636"/>
        <w:spacing w:after="0" w:line="263" w:lineRule="auto"/>
        <w:rPr>
          <w:sz w:val="20"/>
          <w:szCs w:val="20"/>
          <w:color w:val="auto"/>
        </w:rPr>
      </w:pPr>
      <w:r>
        <w:rPr>
          <w:rFonts w:ascii="Times New Roman" w:cs="Times New Roman" w:eastAsia="Times New Roman" w:hAnsi="Times New Roman"/>
          <w:sz w:val="21"/>
          <w:szCs w:val="21"/>
          <w:color w:val="auto"/>
        </w:rPr>
        <w:t xml:space="preserve">§11.10 </w:t>
      </w:r>
      <w:r>
        <w:rPr>
          <w:rFonts w:ascii="Times New Roman" w:cs="Times New Roman" w:eastAsia="Times New Roman" w:hAnsi="Times New Roman"/>
          <w:sz w:val="21"/>
          <w:szCs w:val="21"/>
          <w:b w:val="1"/>
          <w:bCs w:val="1"/>
          <w:color w:val="auto"/>
        </w:rPr>
        <w:t>Trust Arrangement.</w:t>
      </w:r>
      <w:r>
        <w:rPr>
          <w:rFonts w:ascii="Times New Roman" w:cs="Times New Roman" w:eastAsia="Times New Roman" w:hAnsi="Times New Roman"/>
          <w:sz w:val="21"/>
          <w:szCs w:val="21"/>
          <w:color w:val="auto"/>
        </w:rPr>
        <w:t xml:space="preserve"> All benefits under the Plan represent an unsecured promise to pay by the Company. The Plan shall be unfunded and the benefits hereunder shall be paid only from the general assets of the Company resulting in the Eligible Executives having no greater rights than the Company's other general creditors. Nothing herein shall prevent or prohibit the Company from establishing a trust or other arrangement for the purpose of providing for the payment of the benefits payable under the Plan.</w:t>
      </w: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IN WITNESS WHEREOF</w:t>
      </w:r>
      <w:r>
        <w:rPr>
          <w:rFonts w:ascii="Times New Roman" w:cs="Times New Roman" w:eastAsia="Times New Roman" w:hAnsi="Times New Roman"/>
          <w:sz w:val="21"/>
          <w:szCs w:val="21"/>
          <w:color w:val="auto"/>
        </w:rPr>
        <w:t>, this instrument has been executed on September 25, 2024.</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b w:val="1"/>
          <w:bCs w:val="1"/>
          <w:color w:val="auto"/>
        </w:rPr>
        <w:t>Campbell Soup Company</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By: /s/ Diane Johnson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2251075</wp:posOffset>
            </wp:positionH>
            <wp:positionV relativeFrom="paragraph">
              <wp:posOffset>-8890</wp:posOffset>
            </wp:positionV>
            <wp:extent cx="16414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1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1"/>
          <w:szCs w:val="21"/>
          <w:color w:val="auto"/>
        </w:rPr>
        <w:t>Diane Johnson May</w:t>
      </w:r>
    </w:p>
    <w:p>
      <w:pPr>
        <w:spacing w:after="0" w:line="10"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EVP, Chief People and Culture Officer</w:t>
      </w:r>
    </w:p>
    <w:p>
      <w:pPr>
        <w:sectPr>
          <w:pgSz w:w="11900" w:h="16838" w:orient="portrait"/>
          <w:cols w:equalWidth="0" w:num="1">
            <w:col w:w="11240"/>
          </w:cols>
          <w:pgMar w:left="320" w:top="1397" w:right="339" w:bottom="1440" w:gutter="0" w:footer="0" w:header="0"/>
        </w:sectPr>
      </w:pPr>
    </w:p>
    <w:bookmarkStart w:id="91" w:name="page92"/>
    <w:bookmarkEnd w:id="91"/>
    <w:p>
      <w:pPr>
        <w:jc w:val="center"/>
        <w:ind w:right="-1100"/>
        <w:spacing w:after="0"/>
        <w:rPr>
          <w:sz w:val="20"/>
          <w:szCs w:val="20"/>
          <w:color w:val="auto"/>
        </w:rPr>
      </w:pPr>
      <w:r>
        <w:rPr>
          <w:rFonts w:ascii="Times New Roman" w:cs="Times New Roman" w:eastAsia="Times New Roman" w:hAnsi="Times New Roman"/>
          <w:sz w:val="21"/>
          <w:szCs w:val="21"/>
          <w:b w:val="1"/>
          <w:bCs w:val="1"/>
          <w:u w:val="single" w:color="auto"/>
          <w:color w:val="auto"/>
        </w:rPr>
        <w:t>Exhibit A</w:t>
      </w:r>
    </w:p>
    <w:p>
      <w:pPr>
        <w:spacing w:after="0" w:line="3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Designated Subsidiaries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January 1, 2011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Investment Company</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Finance Corp.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Food Service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Sales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Soup Supply Company LLC</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Campbell Urban Renewal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CSC Brands LP</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CSC Insights,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CSC Standards,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Joseph Campbell Company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Pepperidge Farm, Incorporated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August 1, 2018</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Snyder’s-Lance,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January 1, 2019</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Pacific Foods of Oregon,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u w:val="single" w:color="auto"/>
          <w:color w:val="auto"/>
        </w:rPr>
        <w:t>October 1,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Bottom Line Food Processors, Inc. (d/b/a Michael Angelo’s Gourmet Foods)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Noosa Yoghurt, LLC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Rao’s Specialty Foods, Inc.</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Sovos Brands Intermediate, Inc.</w:t>
      </w:r>
    </w:p>
    <w:p>
      <w:pPr>
        <w:sectPr>
          <w:pgSz w:w="11900" w:h="16838" w:orient="portrait"/>
          <w:cols w:equalWidth="0" w:num="1">
            <w:col w:w="10139"/>
          </w:cols>
          <w:pgMar w:left="320" w:top="1393" w:right="1440"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CAMPBELL’S COMPANY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(“Company”)</w:t>
      </w:r>
    </w:p>
    <w:p>
      <w:pPr>
        <w:spacing w:after="0" w:line="221"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1"/>
          <w:szCs w:val="21"/>
          <w:b w:val="1"/>
          <w:bCs w:val="1"/>
          <w:color w:val="auto"/>
        </w:rPr>
        <w:t>Non-Employee Director Compensation for Calendar 2025</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Board and Committee Retainer for Calendar 2025</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$119,000 shall be paid in cash</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$167,000 shall be paid in shares of Company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u w:val="single" w:color="auto"/>
          <w:color w:val="auto"/>
        </w:rPr>
        <w:t>Additional Retainers for Board Chair, Committee Chairs and Audit Committee Members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In addition to the above Board and Committee retainer, the following amounts shall be paid 50% in cash and 50% in shares of</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Company stock:</w:t>
      </w:r>
    </w:p>
    <w:p>
      <w:pPr>
        <w:spacing w:after="0" w:line="22"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1"/>
          <w:szCs w:val="21"/>
          <w:color w:val="auto"/>
        </w:rPr>
        <w:t>$350,000</w:t>
        <w:tab/>
        <w:t>Chair of the Board</w:t>
      </w:r>
    </w:p>
    <w:p>
      <w:pPr>
        <w:spacing w:after="0" w:line="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$30,000</w:t>
        <w:tab/>
        <w:t>Audit Committee chair</w:t>
      </w:r>
    </w:p>
    <w:p>
      <w:pPr>
        <w:spacing w:after="0" w:line="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$25,000</w:t>
        <w:tab/>
        <w:t>Compensation and Organization Committee chair</w:t>
      </w:r>
    </w:p>
    <w:p>
      <w:pPr>
        <w:spacing w:after="0" w:line="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$20,000</w:t>
        <w:tab/>
        <w:t>Finance Committee chair</w:t>
      </w:r>
    </w:p>
    <w:p>
      <w:pPr>
        <w:spacing w:after="0" w:line="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21"/>
          <w:szCs w:val="21"/>
          <w:color w:val="auto"/>
        </w:rPr>
        <w:t>$20,000</w:t>
        <w:tab/>
        <w:t>Governance Committee chair</w:t>
      </w:r>
    </w:p>
    <w:p>
      <w:pPr>
        <w:spacing w:after="0" w:line="11"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21"/>
          <w:szCs w:val="21"/>
          <w:color w:val="auto"/>
        </w:rPr>
        <w:t>$7,500</w:t>
      </w:r>
      <w:r>
        <w:rPr>
          <w:sz w:val="20"/>
          <w:szCs w:val="20"/>
          <w:color w:val="auto"/>
        </w:rPr>
        <w:tab/>
      </w:r>
      <w:r>
        <w:rPr>
          <w:rFonts w:ascii="Times New Roman" w:cs="Times New Roman" w:eastAsia="Times New Roman" w:hAnsi="Times New Roman"/>
          <w:sz w:val="21"/>
          <w:szCs w:val="21"/>
          <w:color w:val="auto"/>
        </w:rPr>
        <w:t>Audit Committee members (excluding the Audit Committee chair)</w:t>
      </w:r>
    </w:p>
    <w:p>
      <w:pPr>
        <w:spacing w:after="0" w:line="7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1"/>
          <w:szCs w:val="21"/>
          <w:color w:val="auto"/>
        </w:rPr>
        <w:t>The retainers will be paid quarterly in arrears. Prior to the beginning of a calendar year, a non-employee director may elect to (i) receive shares of Company stock in lieu of the cash portion of any retainer (such election to be made in 10% increments) and/or (ii) defer all or a portion of any cash or stock retainer in accordance with the terms and conditions of the Company Supplemental Retirement Plan.</w:t>
      </w:r>
    </w:p>
    <w:p>
      <w:pPr>
        <w:sectPr>
          <w:pgSz w:w="11900" w:h="16838" w:orient="portrait"/>
          <w:cols w:equalWidth="0" w:num="1">
            <w:col w:w="11240"/>
          </w:cols>
          <w:pgMar w:left="320" w:top="358"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A. Clouse, certify that:</w:t>
      </w:r>
    </w:p>
    <w:p>
      <w:pPr>
        <w:spacing w:after="0" w:line="164" w:lineRule="exact"/>
        <w:rPr>
          <w:sz w:val="20"/>
          <w:szCs w:val="20"/>
          <w:color w:val="auto"/>
        </w:rPr>
      </w:pPr>
    </w:p>
    <w:p>
      <w:pPr>
        <w:ind w:left="380" w:hanging="175"/>
        <w:spacing w:after="0"/>
        <w:tabs>
          <w:tab w:leader="none" w:pos="38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2024</w:t>
      </w:r>
    </w:p>
    <w:p>
      <w:pPr>
        <w:spacing w:after="0" w:line="45" w:lineRule="exact"/>
        <w:rPr>
          <w:sz w:val="20"/>
          <w:szCs w:val="20"/>
          <w:color w:val="auto"/>
        </w:rPr>
      </w:pPr>
    </w:p>
    <w:p>
      <w:pPr>
        <w:ind w:left="4200"/>
        <w:spacing w:after="0"/>
        <w:tabs>
          <w:tab w:leader="none" w:pos="464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640" w:type="dxa"/>
        <w:tblCellMar>
          <w:top w:w="0" w:type="dxa"/>
          <w:left w:w="0" w:type="dxa"/>
          <w:bottom w:w="0" w:type="dxa"/>
          <w:right w:w="0" w:type="dxa"/>
        </w:tblCellMar>
      </w:tblPr>
      <w:tr>
        <w:trPr>
          <w:trHeight w:val="213"/>
        </w:trPr>
        <w:tc>
          <w:tcPr>
            <w:tcW w:w="6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4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40"/>
          </w:cols>
          <w:pgMar w:left="320" w:top="874"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RULE 13a-14(a)</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Carrie L. Anderson, certify that:</w:t>
      </w:r>
    </w:p>
    <w:p>
      <w:pPr>
        <w:spacing w:after="0" w:line="164" w:lineRule="exact"/>
        <w:rPr>
          <w:sz w:val="20"/>
          <w:szCs w:val="20"/>
          <w:color w:val="auto"/>
        </w:rPr>
      </w:pPr>
    </w:p>
    <w:p>
      <w:pPr>
        <w:ind w:left="380" w:hanging="175"/>
        <w:spacing w:after="0"/>
        <w:tabs>
          <w:tab w:leader="none" w:pos="38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Campbell's Company;</w:t>
      </w:r>
    </w:p>
    <w:p>
      <w:pPr>
        <w:spacing w:after="0" w:line="164" w:lineRule="exact"/>
        <w:rPr>
          <w:rFonts w:ascii="Times New Roman" w:cs="Times New Roman" w:eastAsia="Times New Roman" w:hAnsi="Times New Roman"/>
          <w:sz w:val="18"/>
          <w:szCs w:val="18"/>
          <w:color w:val="auto"/>
        </w:rPr>
      </w:pPr>
    </w:p>
    <w:p>
      <w:pPr>
        <w:ind w:right="460" w:firstLine="205"/>
        <w:spacing w:after="0" w:line="304" w:lineRule="auto"/>
        <w:tabs>
          <w:tab w:leader="none" w:pos="375"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rFonts w:ascii="Times New Roman" w:cs="Times New Roman" w:eastAsia="Times New Roman" w:hAnsi="Times New Roman"/>
          <w:sz w:val="17"/>
          <w:szCs w:val="17"/>
          <w:color w:val="auto"/>
        </w:rPr>
      </w:pPr>
    </w:p>
    <w:p>
      <w:pPr>
        <w:ind w:right="560" w:firstLine="205"/>
        <w:spacing w:after="0" w:line="274" w:lineRule="auto"/>
        <w:tabs>
          <w:tab w:leader="none" w:pos="37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0" w:lineRule="exact"/>
        <w:rPr>
          <w:rFonts w:ascii="Times New Roman" w:cs="Times New Roman" w:eastAsia="Times New Roman" w:hAnsi="Times New Roman"/>
          <w:sz w:val="18"/>
          <w:szCs w:val="18"/>
          <w:color w:val="auto"/>
        </w:rPr>
      </w:pPr>
    </w:p>
    <w:p>
      <w:pPr>
        <w:ind w:right="40" w:firstLine="205"/>
        <w:spacing w:after="0" w:line="259" w:lineRule="auto"/>
        <w:tabs>
          <w:tab w:leader="none" w:pos="37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8"/>
          <w:szCs w:val="18"/>
          <w:color w:val="auto"/>
        </w:rPr>
      </w:pPr>
    </w:p>
    <w:p>
      <w:pPr>
        <w:ind w:right="140" w:firstLine="443"/>
        <w:spacing w:after="0" w:line="259" w:lineRule="auto"/>
        <w:tabs>
          <w:tab w:leader="none" w:pos="61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8"/>
          <w:szCs w:val="18"/>
          <w:color w:val="auto"/>
        </w:rPr>
      </w:pPr>
    </w:p>
    <w:p>
      <w:pPr>
        <w:jc w:val="both"/>
        <w:ind w:right="120" w:firstLine="443"/>
        <w:spacing w:after="0" w:line="259" w:lineRule="auto"/>
        <w:tabs>
          <w:tab w:leader="none" w:pos="62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8"/>
          <w:szCs w:val="18"/>
          <w:color w:val="auto"/>
        </w:rPr>
      </w:pPr>
    </w:p>
    <w:p>
      <w:pPr>
        <w:ind w:right="160" w:firstLine="443"/>
        <w:spacing w:after="0" w:line="274" w:lineRule="auto"/>
        <w:tabs>
          <w:tab w:leader="none" w:pos="61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0" w:lineRule="exact"/>
        <w:rPr>
          <w:rFonts w:ascii="Times New Roman" w:cs="Times New Roman" w:eastAsia="Times New Roman" w:hAnsi="Times New Roman"/>
          <w:sz w:val="18"/>
          <w:szCs w:val="18"/>
          <w:color w:val="auto"/>
        </w:rPr>
      </w:pPr>
    </w:p>
    <w:p>
      <w:pPr>
        <w:ind w:right="200" w:firstLine="443"/>
        <w:spacing w:after="0" w:line="259" w:lineRule="auto"/>
        <w:tabs>
          <w:tab w:leader="none" w:pos="62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8"/>
          <w:szCs w:val="18"/>
          <w:color w:val="auto"/>
        </w:rPr>
      </w:pPr>
    </w:p>
    <w:p>
      <w:pPr>
        <w:ind w:right="300" w:firstLine="205"/>
        <w:spacing w:after="0" w:line="274" w:lineRule="auto"/>
        <w:tabs>
          <w:tab w:leader="none" w:pos="372"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0" w:lineRule="exact"/>
        <w:rPr>
          <w:rFonts w:ascii="Times New Roman" w:cs="Times New Roman" w:eastAsia="Times New Roman" w:hAnsi="Times New Roman"/>
          <w:sz w:val="18"/>
          <w:szCs w:val="18"/>
          <w:color w:val="auto"/>
        </w:rPr>
      </w:pPr>
    </w:p>
    <w:p>
      <w:pPr>
        <w:ind w:right="100" w:firstLine="443"/>
        <w:spacing w:after="0" w:line="274" w:lineRule="auto"/>
        <w:tabs>
          <w:tab w:leader="none" w:pos="61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0" w:lineRule="exact"/>
        <w:rPr>
          <w:rFonts w:ascii="Times New Roman" w:cs="Times New Roman" w:eastAsia="Times New Roman" w:hAnsi="Times New Roman"/>
          <w:sz w:val="18"/>
          <w:szCs w:val="18"/>
          <w:color w:val="auto"/>
        </w:rPr>
      </w:pPr>
    </w:p>
    <w:p>
      <w:pPr>
        <w:ind w:right="140" w:firstLine="443"/>
        <w:spacing w:after="0" w:line="274" w:lineRule="auto"/>
        <w:tabs>
          <w:tab w:leader="none" w:pos="629"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2024</w:t>
      </w:r>
    </w:p>
    <w:p>
      <w:pPr>
        <w:spacing w:after="0" w:line="204"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3" w:lineRule="exact"/>
        <w:rPr>
          <w:sz w:val="20"/>
          <w:szCs w:val="20"/>
          <w:color w:val="auto"/>
        </w:rPr>
      </w:pPr>
    </w:p>
    <w:tbl>
      <w:tblPr>
        <w:tblLayout w:type="fixed"/>
        <w:tblInd w:w="4600" w:type="dxa"/>
        <w:tblCellMar>
          <w:top w:w="0" w:type="dxa"/>
          <w:left w:w="0" w:type="dxa"/>
          <w:bottom w:w="0" w:type="dxa"/>
          <w:right w:w="0" w:type="dxa"/>
        </w:tblCellMar>
      </w:tblPr>
      <w:tr>
        <w:trPr>
          <w:trHeight w:val="213"/>
        </w:trPr>
        <w:tc>
          <w:tcPr>
            <w:tcW w:w="6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Name:</w:t>
            </w:r>
          </w:p>
        </w:tc>
        <w:tc>
          <w:tcPr>
            <w:tcW w:w="488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Carrie L. Anderson</w:t>
            </w:r>
          </w:p>
        </w:tc>
      </w:tr>
      <w:tr>
        <w:trPr>
          <w:trHeight w:val="23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ectPr>
          <w:pgSz w:w="11900" w:h="16838" w:orient="portrait"/>
          <w:cols w:equalWidth="0" w:num="1">
            <w:col w:w="11240"/>
          </w:cols>
          <w:pgMar w:left="320" w:top="874"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8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October 27, 2024 (the “Report”), I, Mark A. Clouse, President and Chief Executive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2024</w:t>
      </w:r>
    </w:p>
    <w:p>
      <w:pPr>
        <w:spacing w:after="0" w:line="45" w:lineRule="exact"/>
        <w:rPr>
          <w:sz w:val="20"/>
          <w:szCs w:val="20"/>
          <w:color w:val="auto"/>
        </w:rPr>
      </w:pPr>
    </w:p>
    <w:p>
      <w:pPr>
        <w:ind w:left="414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Mark A. Clouse</w:t>
      </w:r>
    </w:p>
    <w:p>
      <w:pPr>
        <w:spacing w:after="0" w:line="23" w:lineRule="exact"/>
        <w:rPr>
          <w:sz w:val="20"/>
          <w:szCs w:val="20"/>
          <w:color w:val="auto"/>
        </w:rPr>
      </w:pPr>
    </w:p>
    <w:tbl>
      <w:tblPr>
        <w:tblLayout w:type="fixed"/>
        <w:tblInd w:w="4580" w:type="dxa"/>
        <w:tblCellMar>
          <w:top w:w="0" w:type="dxa"/>
          <w:left w:w="0" w:type="dxa"/>
          <w:bottom w:w="0" w:type="dxa"/>
          <w:right w:w="0" w:type="dxa"/>
        </w:tblCellMar>
      </w:tblPr>
      <w:tr>
        <w:trPr>
          <w:trHeight w:val="213"/>
        </w:trPr>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Borders>
              <w:top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Mark A. Clouse</w:t>
            </w:r>
          </w:p>
        </w:tc>
      </w:tr>
      <w:tr>
        <w:trPr>
          <w:trHeight w:val="231"/>
        </w:trPr>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74"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45" w:lineRule="exact"/>
        <w:rPr>
          <w:sz w:val="20"/>
          <w:szCs w:val="20"/>
          <w:color w:val="auto"/>
        </w:rPr>
      </w:pPr>
    </w:p>
    <w:p>
      <w:pPr>
        <w:ind w:right="20" w:firstLine="199"/>
        <w:spacing w:after="0" w:line="259" w:lineRule="auto"/>
        <w:rPr>
          <w:sz w:val="20"/>
          <w:szCs w:val="20"/>
          <w:color w:val="auto"/>
        </w:rPr>
      </w:pPr>
      <w:r>
        <w:rPr>
          <w:rFonts w:ascii="Times New Roman" w:cs="Times New Roman" w:eastAsia="Times New Roman" w:hAnsi="Times New Roman"/>
          <w:sz w:val="18"/>
          <w:szCs w:val="18"/>
          <w:color w:val="auto"/>
        </w:rPr>
        <w:t>In connection with the Quarterly Report of The Campbell's Company (the “Company”) on Form 10-Q for the fiscal quarter ended October 27, 2024 (the “Report”), I, Carrie L. Anderson, Executive Vice President and Chief Financial Officer of the Company, hereby certify, pursuant to 18 U.S.C. Section 1350, as adopted pursuant to Section 906 of the Sarbanes-Oxley Act of 2002, that, to my knowledge:</w:t>
      </w:r>
    </w:p>
    <w:p>
      <w:pPr>
        <w:spacing w:after="0" w:line="125" w:lineRule="exact"/>
        <w:rPr>
          <w:sz w:val="20"/>
          <w:szCs w:val="20"/>
          <w:color w:val="auto"/>
        </w:rPr>
      </w:pPr>
    </w:p>
    <w:p>
      <w:pPr>
        <w:ind w:left="700" w:hanging="257"/>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4" w:lineRule="exact"/>
        <w:rPr>
          <w:rFonts w:ascii="Times New Roman" w:cs="Times New Roman" w:eastAsia="Times New Roman" w:hAnsi="Times New Roman"/>
          <w:sz w:val="18"/>
          <w:szCs w:val="18"/>
          <w:color w:val="auto"/>
        </w:rPr>
      </w:pPr>
    </w:p>
    <w:p>
      <w:pPr>
        <w:ind w:left="700" w:hanging="257"/>
        <w:spacing w:after="0"/>
        <w:tabs>
          <w:tab w:leader="none" w:pos="70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4, 2024</w:t>
      </w:r>
    </w:p>
    <w:p>
      <w:pPr>
        <w:spacing w:after="0" w:line="45" w:lineRule="exact"/>
        <w:rPr>
          <w:sz w:val="20"/>
          <w:szCs w:val="20"/>
          <w:color w:val="auto"/>
        </w:rPr>
      </w:pPr>
    </w:p>
    <w:p>
      <w:pPr>
        <w:ind w:left="4160"/>
        <w:spacing w:after="0"/>
        <w:tabs>
          <w:tab w:leader="none" w:pos="4580" w:val="left"/>
        </w:tabs>
        <w:rPr>
          <w:sz w:val="20"/>
          <w:szCs w:val="20"/>
          <w:color w:val="auto"/>
        </w:rPr>
      </w:pPr>
      <w:r>
        <w:rPr>
          <w:rFonts w:ascii="Times New Roman" w:cs="Times New Roman" w:eastAsia="Times New Roman" w:hAnsi="Times New Roman"/>
          <w:sz w:val="18"/>
          <w:szCs w:val="18"/>
          <w:color w:val="auto"/>
        </w:rPr>
        <w:t>By:</w:t>
        <w:tab/>
        <w:t>/s/ Carrie L.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14605</wp:posOffset>
            </wp:positionV>
            <wp:extent cx="377761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3777615" cy="8255"/>
                    </a:xfrm>
                    <a:prstGeom prst="rect">
                      <a:avLst/>
                    </a:prstGeom>
                    <a:noFill/>
                  </pic:spPr>
                </pic:pic>
              </a:graphicData>
            </a:graphic>
          </wp:anchor>
        </w:drawing>
      </w:r>
    </w:p>
    <w:p>
      <w:pPr>
        <w:sectPr>
          <w:pgSz w:w="11900" w:h="16838" w:orient="portrait"/>
          <w:cols w:equalWidth="0" w:num="1">
            <w:col w:w="11240"/>
          </w:cols>
          <w:pgMar w:left="320" w:top="874" w:right="339" w:bottom="1440" w:gutter="0" w:footer="0" w:header="0"/>
        </w:sectPr>
      </w:pPr>
    </w:p>
    <w:p>
      <w:pPr>
        <w:spacing w:after="0" w:line="19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Name:</w:t>
      </w:r>
    </w:p>
    <w:p>
      <w:pPr>
        <w:spacing w:after="0" w:line="2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Carrie L. Anderson</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211" w:lineRule="exact"/>
        <w:rPr>
          <w:sz w:val="20"/>
          <w:szCs w:val="20"/>
          <w:color w:val="auto"/>
        </w:rPr>
      </w:pPr>
    </w:p>
    <w:p>
      <w:pPr>
        <w:sectPr>
          <w:pgSz w:w="11900" w:h="16838" w:orient="portrait"/>
          <w:cols w:equalWidth="0" w:num="2">
            <w:col w:w="5080" w:space="340"/>
            <w:col w:w="5820"/>
          </w:cols>
          <w:pgMar w:left="320" w:top="874" w:right="339" w:bottom="1440" w:gutter="0" w:footer="0" w:header="0"/>
          <w:type w:val="continuous"/>
        </w:sectPr>
      </w:pPr>
    </w:p>
    <w:p>
      <w:pPr>
        <w:spacing w:after="0" w:line="200" w:lineRule="exact"/>
        <w:rPr>
          <w:sz w:val="20"/>
          <w:szCs w:val="20"/>
          <w:color w:val="auto"/>
        </w:rPr>
      </w:pPr>
    </w:p>
    <w:p>
      <w:pPr>
        <w:spacing w:after="0" w:line="354"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the Report or as a separate disclosure document.</w:t>
      </w:r>
    </w:p>
    <w:p>
      <w:pPr>
        <w:spacing w:after="0" w:line="110" w:lineRule="exact"/>
        <w:rPr>
          <w:sz w:val="20"/>
          <w:szCs w:val="20"/>
          <w:color w:val="auto"/>
        </w:rPr>
      </w:pPr>
    </w:p>
    <w:p>
      <w:pPr>
        <w:ind w:right="120"/>
        <w:spacing w:after="0" w:line="274" w:lineRule="auto"/>
        <w:rPr>
          <w:sz w:val="20"/>
          <w:szCs w:val="20"/>
          <w:color w:val="auto"/>
        </w:rPr>
      </w:pPr>
      <w:r>
        <w:rPr>
          <w:rFonts w:ascii="Times New Roman" w:cs="Times New Roman" w:eastAsia="Times New Roman" w:hAnsi="Times New Roman"/>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7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F4EF005"/>
    <w:multiLevelType w:val="hybridMultilevel"/>
    <w:lvl w:ilvl="0">
      <w:lvlJc w:val="left"/>
      <w:lvlText w:val="☑"/>
      <w:numFmt w:val="bullet"/>
      <w:start w:val="1"/>
    </w:lvl>
  </w:abstractNum>
  <w:abstractNum w:abstractNumId="1">
    <w:nsid w:val="23F9C13C"/>
    <w:multiLevelType w:val="hybridMultilevel"/>
    <w:lvl w:ilvl="0">
      <w:lvlJc w:val="left"/>
      <w:lvlText w:val="☐"/>
      <w:numFmt w:val="bullet"/>
      <w:start w:val="1"/>
    </w:lvl>
  </w:abstractNum>
  <w:abstractNum w:abstractNumId="2">
    <w:nsid w:val="649BB77C"/>
    <w:multiLevelType w:val="hybridMultilevel"/>
    <w:lvl w:ilvl="0">
      <w:lvlJc w:val="left"/>
      <w:lvlText w:val="☑"/>
      <w:numFmt w:val="bullet"/>
      <w:start w:val="1"/>
    </w:lvl>
  </w:abstractNum>
  <w:abstractNum w:abstractNumId="3">
    <w:nsid w:val="275AC794"/>
    <w:multiLevelType w:val="hybridMultilevel"/>
    <w:lvl w:ilvl="0">
      <w:lvlJc w:val="left"/>
      <w:lvlText w:val="%1."/>
      <w:numFmt w:val="decimal"/>
      <w:start w:val="3"/>
    </w:lvl>
  </w:abstractNum>
  <w:abstractNum w:abstractNumId="4">
    <w:nsid w:val="39386575"/>
    <w:multiLevelType w:val="hybridMultilevel"/>
    <w:lvl w:ilvl="0">
      <w:lvlJc w:val="left"/>
      <w:lvlText w:val="(%1)"/>
      <w:numFmt w:val="decimal"/>
      <w:start w:val="1"/>
    </w:lvl>
  </w:abstractNum>
  <w:abstractNum w:abstractNumId="5">
    <w:nsid w:val="1CF10FD8"/>
    <w:multiLevelType w:val="hybridMultilevel"/>
    <w:lvl w:ilvl="0">
      <w:lvlJc w:val="left"/>
      <w:lvlText w:val="(%1)"/>
      <w:numFmt w:val="decimal"/>
      <w:start w:val="3"/>
    </w:lvl>
  </w:abstractNum>
  <w:abstractNum w:abstractNumId="6">
    <w:nsid w:val="180115BE"/>
    <w:multiLevelType w:val="hybridMultilevel"/>
    <w:lvl w:ilvl="0">
      <w:lvlJc w:val="left"/>
      <w:lvlText w:val="(%1)"/>
      <w:numFmt w:val="decimal"/>
      <w:start w:val="1"/>
    </w:lvl>
  </w:abstractNum>
  <w:abstractNum w:abstractNumId="7">
    <w:nsid w:val="235BA861"/>
    <w:multiLevelType w:val="hybridMultilevel"/>
    <w:lvl w:ilvl="0">
      <w:lvlJc w:val="left"/>
      <w:lvlText w:val="%1."/>
      <w:numFmt w:val="decimal"/>
      <w:start w:val="6"/>
    </w:lvl>
  </w:abstractNum>
  <w:abstractNum w:abstractNumId="8">
    <w:nsid w:val="47398C89"/>
    <w:multiLevelType w:val="hybridMultilevel"/>
    <w:lvl w:ilvl="0">
      <w:lvlJc w:val="left"/>
      <w:lvlText w:val="(%1)"/>
      <w:numFmt w:val="decimal"/>
      <w:start w:val="1"/>
    </w:lvl>
  </w:abstractNum>
  <w:abstractNum w:abstractNumId="9">
    <w:nsid w:val="354FE9F9"/>
    <w:multiLevelType w:val="hybridMultilevel"/>
    <w:lvl w:ilvl="0">
      <w:lvlJc w:val="left"/>
      <w:lvlText w:val="(%1)"/>
      <w:numFmt w:val="decimal"/>
      <w:start w:val="1"/>
    </w:lvl>
  </w:abstractNum>
  <w:abstractNum w:abstractNumId="10">
    <w:nsid w:val="15B5AF5C"/>
    <w:multiLevelType w:val="hybridMultilevel"/>
    <w:lvl w:ilvl="0">
      <w:lvlJc w:val="left"/>
      <w:lvlText w:val="•"/>
      <w:numFmt w:val="bullet"/>
      <w:start w:val="1"/>
    </w:lvl>
  </w:abstractNum>
  <w:abstractNum w:abstractNumId="11">
    <w:nsid w:val="741226BB"/>
    <w:multiLevelType w:val="hybridMultilevel"/>
    <w:lvl w:ilvl="0">
      <w:lvlJc w:val="left"/>
      <w:lvlText w:val="(%1)"/>
      <w:numFmt w:val="decimal"/>
      <w:start w:val="1"/>
    </w:lvl>
  </w:abstractNum>
  <w:abstractNum w:abstractNumId="12">
    <w:nsid w:val="D34B6A8"/>
    <w:multiLevelType w:val="hybridMultilevel"/>
    <w:lvl w:ilvl="0">
      <w:lvlJc w:val="left"/>
      <w:lvlText w:val="$"/>
      <w:numFmt w:val="bullet"/>
      <w:start w:val="1"/>
    </w:lvl>
  </w:abstractNum>
  <w:abstractNum w:abstractNumId="13">
    <w:nsid w:val="10233C99"/>
    <w:multiLevelType w:val="hybridMultilevel"/>
    <w:lvl w:ilvl="0">
      <w:lvlJc w:val="left"/>
      <w:lvlText w:val="$"/>
      <w:numFmt w:val="bullet"/>
      <w:start w:val="1"/>
    </w:lvl>
  </w:abstractNum>
  <w:abstractNum w:abstractNumId="14">
    <w:nsid w:val="3F6AB60F"/>
    <w:multiLevelType w:val="hybridMultilevel"/>
    <w:lvl w:ilvl="0">
      <w:lvlJc w:val="left"/>
      <w:lvlText w:val="$"/>
      <w:numFmt w:val="bullet"/>
      <w:start w:val="1"/>
    </w:lvl>
  </w:abstractNum>
  <w:abstractNum w:abstractNumId="15">
    <w:nsid w:val="61574095"/>
    <w:multiLevelType w:val="hybridMultilevel"/>
    <w:lvl w:ilvl="0">
      <w:lvlJc w:val="left"/>
      <w:lvlText w:val="$"/>
      <w:numFmt w:val="bullet"/>
      <w:start w:val="1"/>
    </w:lvl>
  </w:abstractNum>
  <w:abstractNum w:abstractNumId="16">
    <w:nsid w:val="7E0C57B1"/>
    <w:multiLevelType w:val="hybridMultilevel"/>
    <w:lvl w:ilvl="0">
      <w:lvlJc w:val="left"/>
      <w:lvlText w:val="$"/>
      <w:numFmt w:val="bullet"/>
      <w:start w:val="1"/>
    </w:lvl>
  </w:abstractNum>
  <w:abstractNum w:abstractNumId="17">
    <w:nsid w:val="77AE35EB"/>
    <w:multiLevelType w:val="hybridMultilevel"/>
    <w:lvl w:ilvl="0">
      <w:lvlJc w:val="left"/>
      <w:lvlText w:val="(%1)"/>
      <w:numFmt w:val="decimal"/>
      <w:start w:val="1"/>
    </w:lvl>
  </w:abstractNum>
  <w:abstractNum w:abstractNumId="18">
    <w:nsid w:val="579BE4F1"/>
    <w:multiLevelType w:val="hybridMultilevel"/>
    <w:lvl w:ilvl="0">
      <w:lvlJc w:val="left"/>
      <w:lvlText w:val="•"/>
      <w:numFmt w:val="bullet"/>
      <w:start w:val="1"/>
    </w:lvl>
  </w:abstractNum>
  <w:abstractNum w:abstractNumId="19">
    <w:nsid w:val="310C50B3"/>
    <w:multiLevelType w:val="hybridMultilevel"/>
    <w:lvl w:ilvl="0">
      <w:lvlJc w:val="left"/>
      <w:lvlText w:val="•"/>
      <w:numFmt w:val="bullet"/>
      <w:start w:val="1"/>
    </w:lvl>
  </w:abstractNum>
  <w:abstractNum w:abstractNumId="20">
    <w:nsid w:val="5FF87E05"/>
    <w:multiLevelType w:val="hybridMultilevel"/>
    <w:lvl w:ilvl="0">
      <w:lvlJc w:val="left"/>
      <w:lvlText w:val="(%1)"/>
      <w:numFmt w:val="decimal"/>
      <w:start w:val="1"/>
    </w:lvl>
  </w:abstractNum>
  <w:abstractNum w:abstractNumId="21">
    <w:nsid w:val="2F305DEF"/>
    <w:multiLevelType w:val="hybridMultilevel"/>
    <w:lvl w:ilvl="0">
      <w:lvlJc w:val="left"/>
      <w:lvlText w:val="%1."/>
      <w:numFmt w:val="decimal"/>
      <w:start w:val="17"/>
    </w:lvl>
  </w:abstractNum>
  <w:abstractNum w:abstractNumId="22">
    <w:nsid w:val="25A70BF7"/>
    <w:multiLevelType w:val="hybridMultilevel"/>
    <w:lvl w:ilvl="0">
      <w:lvlJc w:val="left"/>
      <w:lvlText w:val="(%1)"/>
      <w:numFmt w:val="decimal"/>
      <w:start w:val="1"/>
    </w:lvl>
  </w:abstractNum>
  <w:abstractNum w:abstractNumId="23">
    <w:nsid w:val="1DBABF00"/>
    <w:multiLevelType w:val="hybridMultilevel"/>
    <w:lvl w:ilvl="0">
      <w:lvlJc w:val="left"/>
      <w:lvlText w:val="•"/>
      <w:numFmt w:val="bullet"/>
      <w:start w:val="1"/>
    </w:lvl>
  </w:abstractNum>
  <w:abstractNum w:abstractNumId="24">
    <w:nsid w:val="4AD084E9"/>
    <w:multiLevelType w:val="hybridMultilevel"/>
    <w:lvl w:ilvl="0">
      <w:lvlJc w:val="left"/>
      <w:lvlText w:val="•"/>
      <w:numFmt w:val="bullet"/>
      <w:start w:val="1"/>
    </w:lvl>
  </w:abstractNum>
  <w:abstractNum w:abstractNumId="25">
    <w:nsid w:val="1F48EAA1"/>
    <w:multiLevelType w:val="hybridMultilevel"/>
    <w:lvl w:ilvl="0">
      <w:lvlJc w:val="left"/>
      <w:lvlText w:val="(%1)"/>
      <w:numFmt w:val="decimal"/>
      <w:start w:val="1"/>
    </w:lvl>
  </w:abstractNum>
  <w:abstractNum w:abstractNumId="26">
    <w:nsid w:val="1381823A"/>
    <w:multiLevelType w:val="hybridMultilevel"/>
    <w:lvl w:ilvl="0">
      <w:lvlJc w:val="left"/>
      <w:lvlText w:val="(%1)"/>
      <w:numFmt w:val="decimal"/>
      <w:start w:val="1"/>
    </w:lvl>
  </w:abstractNum>
  <w:abstractNum w:abstractNumId="27">
    <w:nsid w:val="5DB70AE5"/>
    <w:multiLevelType w:val="hybridMultilevel"/>
    <w:lvl w:ilvl="0">
      <w:lvlJc w:val="left"/>
      <w:lvlText w:val="(%1)"/>
      <w:numFmt w:val="decimal"/>
      <w:start w:val="1"/>
    </w:lvl>
  </w:abstractNum>
  <w:abstractNum w:abstractNumId="28">
    <w:nsid w:val="100F8FCA"/>
    <w:multiLevelType w:val="hybridMultilevel"/>
    <w:lvl w:ilvl="0">
      <w:lvlJc w:val="left"/>
      <w:lvlText w:val="(%1)"/>
      <w:numFmt w:val="decimal"/>
      <w:start w:val="1"/>
    </w:lvl>
  </w:abstractNum>
  <w:abstractNum w:abstractNumId="29">
    <w:nsid w:val="6590700B"/>
    <w:multiLevelType w:val="hybridMultilevel"/>
    <w:lvl w:ilvl="0">
      <w:lvlJc w:val="left"/>
      <w:lvlText w:val="•"/>
      <w:numFmt w:val="bullet"/>
      <w:start w:val="1"/>
    </w:lvl>
  </w:abstractNum>
  <w:abstractNum w:abstractNumId="30">
    <w:nsid w:val="15014ACB"/>
    <w:multiLevelType w:val="hybridMultilevel"/>
    <w:lvl w:ilvl="0">
      <w:lvlJc w:val="left"/>
      <w:lvlText w:val="•"/>
      <w:numFmt w:val="bullet"/>
      <w:start w:val="1"/>
    </w:lvl>
  </w:abstractNum>
  <w:abstractNum w:abstractNumId="31">
    <w:nsid w:val="5F5E7FD0"/>
    <w:multiLevelType w:val="hybridMultilevel"/>
    <w:lvl w:ilvl="0">
      <w:lvlJc w:val="left"/>
      <w:lvlText w:val="$"/>
      <w:numFmt w:val="bullet"/>
      <w:start w:val="1"/>
    </w:lvl>
  </w:abstractNum>
  <w:abstractNum w:abstractNumId="32">
    <w:nsid w:val="98A3148"/>
    <w:multiLevelType w:val="hybridMultilevel"/>
    <w:lvl w:ilvl="0">
      <w:lvlJc w:val="left"/>
      <w:lvlText w:val="•"/>
      <w:numFmt w:val="bullet"/>
      <w:start w:val="1"/>
    </w:lvl>
  </w:abstractNum>
  <w:abstractNum w:abstractNumId="33">
    <w:nsid w:val="799D0247"/>
    <w:multiLevelType w:val="hybridMultilevel"/>
    <w:lvl w:ilvl="0">
      <w:lvlJc w:val="left"/>
      <w:lvlText w:val="•"/>
      <w:numFmt w:val="bullet"/>
      <w:start w:val="1"/>
    </w:lvl>
  </w:abstractNum>
  <w:abstractNum w:abstractNumId="34">
    <w:nsid w:val="6B94764"/>
    <w:multiLevelType w:val="hybridMultilevel"/>
    <w:lvl w:ilvl="0">
      <w:lvlJc w:val="left"/>
      <w:lvlText w:val="•"/>
      <w:numFmt w:val="bullet"/>
      <w:start w:val="1"/>
    </w:lvl>
  </w:abstractNum>
  <w:abstractNum w:abstractNumId="35">
    <w:nsid w:val="42C296BD"/>
    <w:multiLevelType w:val="hybridMultilevel"/>
    <w:lvl w:ilvl="0">
      <w:lvlJc w:val="left"/>
      <w:lvlText w:val="%1."/>
      <w:numFmt w:val="lowerLetter"/>
      <w:start w:val="1"/>
    </w:lvl>
  </w:abstractNum>
  <w:abstractNum w:abstractNumId="36">
    <w:nsid w:val="168E121F"/>
    <w:multiLevelType w:val="hybridMultilevel"/>
    <w:lvl w:ilvl="0">
      <w:lvlJc w:val="left"/>
      <w:lvlText w:val="%1."/>
      <w:numFmt w:val="lowerLetter"/>
      <w:start w:val="2"/>
    </w:lvl>
  </w:abstractNum>
  <w:abstractNum w:abstractNumId="37">
    <w:nsid w:val="1EBA5D23"/>
    <w:multiLevelType w:val="hybridMultilevel"/>
    <w:lvl w:ilvl="0">
      <w:lvlJc w:val="left"/>
      <w:lvlText w:val="(%1)"/>
      <w:numFmt w:val="decimal"/>
      <w:start w:val="1"/>
    </w:lvl>
  </w:abstractNum>
  <w:abstractNum w:abstractNumId="38">
    <w:nsid w:val="661E3F1E"/>
    <w:multiLevelType w:val="hybridMultilevel"/>
    <w:lvl w:ilvl="0">
      <w:lvlJc w:val="left"/>
      <w:lvlText w:val="*"/>
      <w:numFmt w:val="bullet"/>
      <w:start w:val="1"/>
    </w:lvl>
    <w:lvl w:ilvl="1">
      <w:lvlJc w:val="left"/>
      <w:lvlText w:val="%2"/>
      <w:numFmt w:val="decimal"/>
      <w:start w:val="104"/>
    </w:lvl>
  </w:abstractNum>
  <w:abstractNum w:abstractNumId="39">
    <w:nsid w:val="5DC79EA8"/>
    <w:multiLevelType w:val="hybridMultilevel"/>
    <w:lvl w:ilvl="0">
      <w:lvlJc w:val="left"/>
      <w:lvlText w:val="(%1)"/>
      <w:numFmt w:val="decimal"/>
      <w:start w:val="1"/>
    </w:lvl>
  </w:abstractNum>
  <w:abstractNum w:abstractNumId="40">
    <w:nsid w:val="540A471C"/>
    <w:multiLevelType w:val="hybridMultilevel"/>
    <w:lvl w:ilvl="0">
      <w:lvlJc w:val="left"/>
      <w:lvlText w:val="(%1)"/>
      <w:numFmt w:val="decimal"/>
      <w:start w:val="1"/>
    </w:lvl>
    <w:lvl w:ilvl="1">
      <w:lvlJc w:val="left"/>
      <w:lvlText w:val="(%2)"/>
      <w:numFmt w:val="lowerLetter"/>
      <w:start w:val="1"/>
    </w:lvl>
  </w:abstractNum>
  <w:abstractNum w:abstractNumId="41">
    <w:nsid w:val="7BD3EE7B"/>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42">
    <w:nsid w:val="51D9C564"/>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43">
    <w:nsid w:val="613EFDC5"/>
    <w:multiLevelType w:val="hybridMultilevel"/>
    <w:lvl w:ilvl="0">
      <w:lvlJc w:val="left"/>
      <w:lvlText w:val="%1"/>
      <w:numFmt w:val="upperLetter"/>
      <w:start w:val="1"/>
    </w:lvl>
    <w:lvl w:ilvl="1">
      <w:lvlJc w:val="left"/>
      <w:lvlText w:val="(%2)"/>
      <w:numFmt w:val="decimal"/>
      <w:start w:val="2"/>
    </w:lvl>
  </w:abstractNum>
  <w:abstractNum w:abstractNumId="44">
    <w:nsid w:val="BF72B14"/>
    <w:multiLevelType w:val="hybridMultilevel"/>
    <w:lvl w:ilvl="0">
      <w:lvlJc w:val="left"/>
      <w:lvlText w:val="%1."/>
      <w:numFmt w:val="upperLetter"/>
      <w:start w:val="3"/>
    </w:lvl>
    <w:lvl w:ilvl="1">
      <w:lvlJc w:val="left"/>
      <w:lvlText w:val="%2"/>
      <w:numFmt w:val="decimal"/>
      <w:start w:val="1"/>
    </w:lvl>
  </w:abstractNum>
  <w:abstractNum w:abstractNumId="45">
    <w:nsid w:val="11447B73"/>
    <w:multiLevelType w:val="hybridMultilevel"/>
    <w:lvl w:ilvl="0">
      <w:lvlJc w:val="left"/>
      <w:lvlText w:val="(%1)"/>
      <w:numFmt w:val="decimal"/>
      <w:start w:val="2"/>
    </w:lvl>
  </w:abstractNum>
  <w:abstractNum w:abstractNumId="46">
    <w:nsid w:val="42963E5A"/>
    <w:multiLevelType w:val="hybridMultilevel"/>
    <w:lvl w:ilvl="0">
      <w:lvlJc w:val="left"/>
      <w:lvlText w:val="(%1)"/>
      <w:numFmt w:val="decimal"/>
      <w:start w:val="1"/>
    </w:lvl>
  </w:abstractNum>
  <w:abstractNum w:abstractNumId="47">
    <w:nsid w:val="A0382C5"/>
    <w:multiLevelType w:val="hybridMultilevel"/>
    <w:lvl w:ilvl="0">
      <w:lvlJc w:val="left"/>
      <w:lvlText w:val="%1."/>
      <w:numFmt w:val="decimal"/>
      <w:start w:val="1"/>
    </w:lvl>
  </w:abstractNum>
  <w:abstractNum w:abstractNumId="48">
    <w:nsid w:val="8F2B15E"/>
    <w:multiLevelType w:val="hybridMultilevel"/>
    <w:lvl w:ilvl="0">
      <w:lvlJc w:val="left"/>
      <w:lvlText w:val="%1"/>
      <w:numFmt w:val="lowerLetter"/>
      <w:start w:val="1"/>
    </w:lvl>
    <w:lvl w:ilvl="1">
      <w:lvlJc w:val="left"/>
      <w:lvlText w:val="%2."/>
      <w:numFmt w:val="decimal"/>
      <w:start w:val="2"/>
    </w:lvl>
  </w:abstractNum>
  <w:abstractNum w:abstractNumId="49">
    <w:nsid w:val="1A32234B"/>
    <w:multiLevelType w:val="hybridMultilevel"/>
    <w:lvl w:ilvl="0">
      <w:lvlJc w:val="left"/>
      <w:lvlText w:val="(%1)"/>
      <w:numFmt w:val="lowerLetter"/>
      <w:start w:val="1"/>
    </w:lvl>
    <w:lvl w:ilvl="1">
      <w:lvlJc w:val="left"/>
      <w:lvlText w:val="%2"/>
      <w:numFmt w:val="decimal"/>
      <w:start w:val="1"/>
    </w:lvl>
  </w:abstractNum>
  <w:abstractNum w:abstractNumId="50">
    <w:nsid w:val="3B0FD379"/>
    <w:multiLevelType w:val="hybridMultilevel"/>
    <w:lvl w:ilvl="0">
      <w:lvlJc w:val="left"/>
      <w:lvlText w:val="%1"/>
      <w:numFmt w:val="decimal"/>
      <w:start w:val="1"/>
    </w:lvl>
    <w:lvl w:ilvl="1">
      <w:lvlJc w:val="left"/>
      <w:lvlText w:val="(%2)"/>
      <w:numFmt w:val="lowerLetter"/>
      <w:start w:val="2"/>
    </w:lvl>
  </w:abstractNum>
  <w:abstractNum w:abstractNumId="51">
    <w:nsid w:val="68EB2F63"/>
    <w:multiLevelType w:val="hybridMultilevel"/>
    <w:lvl w:ilvl="0">
      <w:lvlJc w:val="left"/>
      <w:lvlText w:val="(%1)"/>
      <w:numFmt w:val="decimal"/>
      <w:start w:val="6"/>
    </w:lvl>
    <w:lvl w:ilvl="1">
      <w:lvlJc w:val="left"/>
      <w:lvlText w:val="%2"/>
      <w:numFmt w:val="lowerLetter"/>
      <w:start w:val="1"/>
    </w:lvl>
  </w:abstractNum>
  <w:abstractNum w:abstractNumId="52">
    <w:nsid w:val="4962813B"/>
    <w:multiLevelType w:val="hybridMultilevel"/>
    <w:lvl w:ilvl="0">
      <w:lvlJc w:val="left"/>
      <w:lvlText w:val="(%1)"/>
      <w:numFmt w:val="lowerLetter"/>
      <w:start w:val="5"/>
    </w:lvl>
    <w:lvl w:ilvl="1">
      <w:lvlJc w:val="left"/>
      <w:lvlText w:val="%2."/>
      <w:numFmt w:val="decimal"/>
      <w:start w:val="1"/>
    </w:lvl>
  </w:abstractNum>
  <w:abstractNum w:abstractNumId="53">
    <w:nsid w:val="60B6DF70"/>
    <w:multiLevelType w:val="hybridMultilevel"/>
    <w:lvl w:ilvl="0">
      <w:lvlJc w:val="left"/>
      <w:lvlText w:val="%1."/>
      <w:numFmt w:val="decimal"/>
      <w:start w:val="3"/>
    </w:lvl>
  </w:abstractNum>
  <w:abstractNum w:abstractNumId="54">
    <w:nsid w:val="6A5EE64"/>
    <w:multiLevelType w:val="hybridMultilevel"/>
    <w:lvl w:ilvl="0">
      <w:lvlJc w:val="left"/>
      <w:lvlText w:val="(%1)"/>
      <w:numFmt w:val="lowerLetter"/>
      <w:start w:val="1"/>
    </w:lvl>
    <w:lvl w:ilvl="1">
      <w:lvlJc w:val="left"/>
      <w:lvlText w:val="%2."/>
      <w:numFmt w:val="decimal"/>
      <w:start w:val="1"/>
    </w:lvl>
  </w:abstractNum>
  <w:abstractNum w:abstractNumId="55">
    <w:nsid w:val="14330624"/>
    <w:multiLevelType w:val="hybridMultilevel"/>
    <w:lvl w:ilvl="0">
      <w:lvlJc w:val="left"/>
      <w:lvlText w:val="(%1)"/>
      <w:numFmt w:val="lowerLetter"/>
      <w:start w:val="2"/>
    </w:lvl>
  </w:abstractNum>
  <w:abstractNum w:abstractNumId="56">
    <w:nsid w:val="7FFFCA11"/>
    <w:multiLevelType w:val="hybridMultilevel"/>
    <w:lvl w:ilvl="0">
      <w:lvlJc w:val="left"/>
      <w:lvlText w:val="%1."/>
      <w:numFmt w:val="decimal"/>
      <w:start w:val="6"/>
    </w:lvl>
  </w:abstractNum>
  <w:abstractNum w:abstractNumId="57">
    <w:nsid w:val="1A27709E"/>
    <w:multiLevelType w:val="hybridMultilevel"/>
    <w:lvl w:ilvl="0">
      <w:lvlJc w:val="left"/>
      <w:lvlText w:val="%1."/>
      <w:numFmt w:val="decimal"/>
      <w:start w:val="13"/>
    </w:lvl>
  </w:abstractNum>
  <w:abstractNum w:abstractNumId="58">
    <w:nsid w:val="71EA1109"/>
    <w:multiLevelType w:val="hybridMultilevel"/>
    <w:lvl w:ilvl="0">
      <w:lvlJc w:val="left"/>
      <w:lvlText w:val="%1."/>
      <w:numFmt w:val="decimal"/>
      <w:start w:val="1"/>
    </w:lvl>
    <w:lvl w:ilvl="1">
      <w:lvlJc w:val="left"/>
      <w:lvlText w:val="(%2)"/>
      <w:numFmt w:val="upperLetter"/>
      <w:start w:val="1"/>
    </w:lvl>
  </w:abstractNum>
  <w:abstractNum w:abstractNumId="59">
    <w:nsid w:val="100F59DC"/>
    <w:multiLevelType w:val="hybridMultilevel"/>
    <w:lvl w:ilvl="0">
      <w:lvlJc w:val="left"/>
      <w:lvlText w:val="%1."/>
      <w:numFmt w:val="decimal"/>
      <w:start w:val="2"/>
    </w:lvl>
    <w:lvl w:ilvl="1">
      <w:lvlJc w:val="left"/>
      <w:lvlText w:val="(%2)"/>
      <w:numFmt w:val="upperLetter"/>
      <w:start w:val="1"/>
    </w:lvl>
  </w:abstractNum>
  <w:abstractNum w:abstractNumId="60">
    <w:nsid w:val="7FB7E0AA"/>
    <w:multiLevelType w:val="hybridMultilevel"/>
    <w:lvl w:ilvl="0">
      <w:lvlJc w:val="left"/>
      <w:lvlText w:val="%1"/>
      <w:numFmt w:val="decimal"/>
      <w:start w:val="1"/>
    </w:lvl>
    <w:lvl w:ilvl="1">
      <w:lvlJc w:val="left"/>
      <w:lvlText w:val="(%2)"/>
      <w:numFmt w:val="upperLetter"/>
      <w:start w:val="6"/>
    </w:lvl>
  </w:abstractNum>
  <w:abstractNum w:abstractNumId="61">
    <w:nsid w:val="6EB5BD4"/>
    <w:multiLevelType w:val="hybridMultilevel"/>
    <w:lvl w:ilvl="0">
      <w:lvlJc w:val="left"/>
      <w:lvlText w:val="%1."/>
      <w:numFmt w:val="decimal"/>
      <w:start w:val="5"/>
    </w:lvl>
    <w:lvl w:ilvl="1">
      <w:lvlJc w:val="left"/>
      <w:lvlText w:val="(%2)"/>
      <w:numFmt w:val="upperLetter"/>
      <w:start w:val="1"/>
    </w:lvl>
  </w:abstractNum>
  <w:abstractNum w:abstractNumId="62">
    <w:nsid w:val="6F6DD9AC"/>
    <w:multiLevelType w:val="hybridMultilevel"/>
    <w:lvl w:ilvl="0">
      <w:lvlJc w:val="left"/>
      <w:lvlText w:val="%1"/>
      <w:numFmt w:val="decimal"/>
      <w:start w:val="1"/>
    </w:lvl>
    <w:lvl w:ilvl="1">
      <w:lvlJc w:val="left"/>
      <w:lvlText w:val="(%2)"/>
      <w:numFmt w:val="upperLetter"/>
      <w:start w:val="2"/>
    </w:lvl>
  </w:abstractNum>
  <w:abstractNum w:abstractNumId="63">
    <w:nsid w:val="94211F2"/>
    <w:multiLevelType w:val="hybridMultilevel"/>
    <w:lvl w:ilvl="0">
      <w:lvlJc w:val="left"/>
      <w:lvlText w:val="%1."/>
      <w:numFmt w:val="decimal"/>
      <w:start w:val="8"/>
    </w:lvl>
    <w:lvl w:ilvl="1">
      <w:lvlJc w:val="left"/>
      <w:lvlText w:val="%2"/>
      <w:numFmt w:val="upperLetter"/>
      <w:start w:val="1"/>
    </w:lvl>
  </w:abstractNum>
  <w:abstractNum w:abstractNumId="64">
    <w:nsid w:val="885E1B"/>
    <w:multiLevelType w:val="hybridMultilevel"/>
    <w:lvl w:ilvl="0">
      <w:lvlJc w:val="left"/>
      <w:lvlText w:val="*"/>
      <w:numFmt w:val="bullet"/>
      <w:start w:val="1"/>
    </w:lvl>
  </w:abstractNum>
  <w:abstractNum w:abstractNumId="65">
    <w:nsid w:val="76272110"/>
    <w:multiLevelType w:val="hybridMultilevel"/>
    <w:lvl w:ilvl="0">
      <w:lvlJc w:val="left"/>
      <w:lvlText w:val="%1."/>
      <w:numFmt w:val="decimal"/>
      <w:start w:val="1"/>
    </w:lvl>
  </w:abstractNum>
  <w:abstractNum w:abstractNumId="66">
    <w:nsid w:val="4C04A8AF"/>
    <w:multiLevelType w:val="hybridMultilevel"/>
    <w:lvl w:ilvl="0">
      <w:lvlJc w:val="left"/>
      <w:lvlText w:val="%1."/>
      <w:numFmt w:val="decimal"/>
      <w:start w:val="2"/>
    </w:lvl>
  </w:abstractNum>
  <w:abstractNum w:abstractNumId="67">
    <w:nsid w:val="1716703B"/>
    <w:multiLevelType w:val="hybridMultilevel"/>
    <w:lvl w:ilvl="0">
      <w:lvlJc w:val="left"/>
      <w:lvlText w:val="(%1)"/>
      <w:numFmt w:val="lowerLetter"/>
      <w:start w:val="1"/>
    </w:lvl>
  </w:abstractNum>
  <w:abstractNum w:abstractNumId="68">
    <w:nsid w:val="14E17E33"/>
    <w:multiLevelType w:val="hybridMultilevel"/>
    <w:lvl w:ilvl="0">
      <w:lvlJc w:val="left"/>
      <w:lvlText w:val="%1"/>
      <w:numFmt w:val="decimal"/>
      <w:start w:val="1"/>
    </w:lvl>
    <w:lvl w:ilvl="1">
      <w:lvlJc w:val="left"/>
      <w:lvlText w:val="(%2)"/>
      <w:numFmt w:val="lowerLetter"/>
      <w:start w:val="2"/>
    </w:lvl>
  </w:abstractNum>
  <w:abstractNum w:abstractNumId="69">
    <w:nsid w:val="3222E7CD"/>
    <w:multiLevelType w:val="hybridMultilevel"/>
    <w:lvl w:ilvl="0">
      <w:lvlJc w:val="left"/>
      <w:lvlText w:val="(%1)"/>
      <w:numFmt w:val="decimal"/>
      <w:start w:val="6"/>
    </w:lvl>
    <w:lvl w:ilvl="1">
      <w:lvlJc w:val="left"/>
      <w:lvlText w:val="%2"/>
      <w:numFmt w:val="lowerLetter"/>
      <w:start w:val="1"/>
    </w:lvl>
  </w:abstractNum>
  <w:abstractNum w:abstractNumId="70">
    <w:nsid w:val="74DE0EE3"/>
    <w:multiLevelType w:val="hybridMultilevel"/>
    <w:lvl w:ilvl="0">
      <w:lvlJc w:val="left"/>
      <w:lvlText w:val="(%1)"/>
      <w:numFmt w:val="lowerLetter"/>
      <w:start w:val="5"/>
    </w:lvl>
    <w:lvl w:ilvl="1">
      <w:lvlJc w:val="left"/>
      <w:lvlText w:val="%2."/>
      <w:numFmt w:val="decimal"/>
      <w:start w:val="1"/>
    </w:lvl>
  </w:abstractNum>
  <w:abstractNum w:abstractNumId="71">
    <w:nsid w:val="68EBC550"/>
    <w:multiLevelType w:val="hybridMultilevel"/>
    <w:lvl w:ilvl="0">
      <w:lvlJc w:val="left"/>
      <w:lvlText w:val="%1."/>
      <w:numFmt w:val="decimal"/>
      <w:start w:val="3"/>
    </w:lvl>
  </w:abstractNum>
  <w:abstractNum w:abstractNumId="72">
    <w:nsid w:val="2DF6D648"/>
    <w:multiLevelType w:val="hybridMultilevel"/>
    <w:lvl w:ilvl="0">
      <w:lvlJc w:val="left"/>
      <w:lvlText w:val="(%1)"/>
      <w:numFmt w:val="lowerLetter"/>
      <w:start w:val="1"/>
    </w:lvl>
    <w:lvl w:ilvl="1">
      <w:lvlJc w:val="left"/>
      <w:lvlText w:val="%2."/>
      <w:numFmt w:val="decimal"/>
      <w:start w:val="1"/>
    </w:lvl>
  </w:abstractNum>
  <w:abstractNum w:abstractNumId="73">
    <w:nsid w:val="46B7D447"/>
    <w:multiLevelType w:val="hybridMultilevel"/>
    <w:lvl w:ilvl="0">
      <w:lvlJc w:val="left"/>
      <w:lvlText w:val="(%1)"/>
      <w:numFmt w:val="lowerLetter"/>
      <w:start w:val="2"/>
    </w:lvl>
  </w:abstractNum>
  <w:abstractNum w:abstractNumId="74">
    <w:nsid w:val="4A2AC315"/>
    <w:multiLevelType w:val="hybridMultilevel"/>
    <w:lvl w:ilvl="0">
      <w:lvlJc w:val="left"/>
      <w:lvlText w:val="%1."/>
      <w:numFmt w:val="decimal"/>
      <w:start w:val="6"/>
    </w:lvl>
  </w:abstractNum>
  <w:abstractNum w:abstractNumId="75">
    <w:nsid w:val="39EE015C"/>
    <w:multiLevelType w:val="hybridMultilevel"/>
    <w:lvl w:ilvl="0">
      <w:lvlJc w:val="left"/>
      <w:lvlText w:val="%1."/>
      <w:numFmt w:val="decimal"/>
      <w:start w:val="13"/>
    </w:lvl>
  </w:abstractNum>
  <w:abstractNum w:abstractNumId="76">
    <w:nsid w:val="57FC4FBB"/>
    <w:multiLevelType w:val="hybridMultilevel"/>
    <w:lvl w:ilvl="0">
      <w:lvlJc w:val="left"/>
      <w:lvlText w:val="%1."/>
      <w:numFmt w:val="decimal"/>
      <w:start w:val="1"/>
    </w:lvl>
    <w:lvl w:ilvl="1">
      <w:lvlJc w:val="left"/>
      <w:lvlText w:val="(%2)"/>
      <w:numFmt w:val="upperLetter"/>
      <w:start w:val="1"/>
    </w:lvl>
  </w:abstractNum>
  <w:abstractNum w:abstractNumId="77">
    <w:nsid w:val="CC1016F"/>
    <w:multiLevelType w:val="hybridMultilevel"/>
    <w:lvl w:ilvl="0">
      <w:lvlJc w:val="left"/>
      <w:lvlText w:val="%1."/>
      <w:numFmt w:val="decimal"/>
      <w:start w:val="3"/>
    </w:lvl>
    <w:lvl w:ilvl="1">
      <w:lvlJc w:val="left"/>
      <w:lvlText w:val="(%2)"/>
      <w:numFmt w:val="upperLetter"/>
      <w:start w:val="1"/>
    </w:lvl>
  </w:abstractNum>
  <w:abstractNum w:abstractNumId="78">
    <w:nsid w:val="43F18422"/>
    <w:multiLevelType w:val="hybridMultilevel"/>
    <w:lvl w:ilvl="0">
      <w:lvlJc w:val="left"/>
      <w:lvlText w:val="%1"/>
      <w:numFmt w:val="decimal"/>
      <w:start w:val="1"/>
    </w:lvl>
    <w:lvl w:ilvl="1">
      <w:lvlJc w:val="left"/>
      <w:lvlText w:val="(%2)"/>
      <w:numFmt w:val="upperLetter"/>
      <w:start w:val="6"/>
    </w:lvl>
  </w:abstractNum>
  <w:abstractNum w:abstractNumId="79">
    <w:nsid w:val="60EF0119"/>
    <w:multiLevelType w:val="hybridMultilevel"/>
    <w:lvl w:ilvl="0">
      <w:lvlJc w:val="left"/>
      <w:lvlText w:val="%1."/>
      <w:numFmt w:val="decimal"/>
      <w:start w:val="5"/>
    </w:lvl>
    <w:lvl w:ilvl="1">
      <w:lvlJc w:val="left"/>
      <w:lvlText w:val="(%2)"/>
      <w:numFmt w:val="upperLetter"/>
      <w:start w:val="1"/>
    </w:lvl>
  </w:abstractNum>
  <w:abstractNum w:abstractNumId="80">
    <w:nsid w:val="26F324BA"/>
    <w:multiLevelType w:val="hybridMultilevel"/>
    <w:lvl w:ilvl="0">
      <w:lvlJc w:val="left"/>
      <w:lvlText w:val="%1"/>
      <w:numFmt w:val="decimal"/>
      <w:start w:val="1"/>
    </w:lvl>
    <w:lvl w:ilvl="1">
      <w:lvlJc w:val="left"/>
      <w:lvlText w:val="(%2)"/>
      <w:numFmt w:val="upperLetter"/>
      <w:start w:val="2"/>
    </w:lvl>
  </w:abstractNum>
  <w:abstractNum w:abstractNumId="81">
    <w:nsid w:val="7F01579B"/>
    <w:multiLevelType w:val="hybridMultilevel"/>
    <w:lvl w:ilvl="0">
      <w:lvlJc w:val="left"/>
      <w:lvlText w:val="%1."/>
      <w:numFmt w:val="decimal"/>
      <w:start w:val="8"/>
    </w:lvl>
    <w:lvl w:ilvl="1">
      <w:lvlJc w:val="left"/>
      <w:lvlText w:val="%2"/>
      <w:numFmt w:val="upperLetter"/>
      <w:start w:val="1"/>
    </w:lvl>
  </w:abstractNum>
  <w:abstractNum w:abstractNumId="82">
    <w:nsid w:val="49DA307D"/>
    <w:multiLevelType w:val="hybridMultilevel"/>
    <w:lvl w:ilvl="0">
      <w:lvlJc w:val="left"/>
      <w:lvlText w:val="*"/>
      <w:numFmt w:val="bullet"/>
      <w:start w:val="1"/>
    </w:lvl>
  </w:abstractNum>
  <w:abstractNum w:abstractNumId="83">
    <w:nsid w:val="7055A5F5"/>
    <w:multiLevelType w:val="hybridMultilevel"/>
    <w:lvl w:ilvl="0">
      <w:lvlJc w:val="left"/>
      <w:lvlText w:val="(%1)"/>
      <w:numFmt w:val="lowerLetter"/>
      <w:start w:val="1"/>
    </w:lvl>
  </w:abstractNum>
  <w:abstractNum w:abstractNumId="84">
    <w:nsid w:val="5FB8370B"/>
    <w:multiLevelType w:val="hybridMultilevel"/>
    <w:lvl w:ilvl="0">
      <w:lvlJc w:val="left"/>
      <w:lvlText w:val="(%1)"/>
      <w:numFmt w:val="lowerLetter"/>
      <w:start w:val="1"/>
    </w:lvl>
    <w:lvl w:ilvl="1">
      <w:lvlJc w:val="left"/>
      <w:lvlText w:val="(%2)"/>
      <w:numFmt w:val="lowerRoman"/>
      <w:start w:val="1"/>
    </w:lvl>
  </w:abstractNum>
  <w:abstractNum w:abstractNumId="85">
    <w:nsid w:val="50801EE1"/>
    <w:multiLevelType w:val="hybridMultilevel"/>
    <w:lvl w:ilvl="0">
      <w:lvlJc w:val="left"/>
      <w:lvlText w:val="(%1)"/>
      <w:numFmt w:val="lowerLetter"/>
      <w:start w:val="3"/>
    </w:lvl>
  </w:abstractNum>
  <w:abstractNum w:abstractNumId="86">
    <w:nsid w:val="488AC1A"/>
    <w:multiLevelType w:val="hybridMultilevel"/>
    <w:lvl w:ilvl="0">
      <w:lvlJc w:val="left"/>
      <w:lvlText w:val="(%1)"/>
      <w:numFmt w:val="lowerLetter"/>
      <w:start w:val="1"/>
    </w:lvl>
  </w:abstractNum>
  <w:abstractNum w:abstractNumId="87">
    <w:nsid w:val="5FB8011C"/>
    <w:multiLevelType w:val="hybridMultilevel"/>
    <w:lvl w:ilvl="0">
      <w:lvlJc w:val="left"/>
      <w:lvlText w:val="(%1)"/>
      <w:numFmt w:val="lowerLetter"/>
      <w:start w:val="2"/>
    </w:lvl>
  </w:abstractNum>
  <w:abstractNum w:abstractNumId="88">
    <w:nsid w:val="6AA78F7F"/>
    <w:multiLevelType w:val="hybridMultilevel"/>
    <w:lvl w:ilvl="0">
      <w:lvlJc w:val="left"/>
      <w:lvlText w:val="(%1)"/>
      <w:numFmt w:val="lowerLetter"/>
      <w:start w:val="3"/>
    </w:lvl>
  </w:abstractNum>
  <w:abstractNum w:abstractNumId="89">
    <w:nsid w:val="7672BD23"/>
    <w:multiLevelType w:val="hybridMultilevel"/>
    <w:lvl w:ilvl="0">
      <w:lvlJc w:val="left"/>
      <w:lvlText w:val="(%1)"/>
      <w:numFmt w:val="lowerLetter"/>
      <w:start w:val="1"/>
    </w:lvl>
  </w:abstractNum>
  <w:abstractNum w:abstractNumId="90">
    <w:nsid w:val="6FC75AF8"/>
    <w:multiLevelType w:val="hybridMultilevel"/>
    <w:lvl w:ilvl="0">
      <w:lvlJc w:val="left"/>
      <w:lvlText w:val="(%1)"/>
      <w:numFmt w:val="lowerLetter"/>
      <w:start w:val="1"/>
    </w:lvl>
  </w:abstractNum>
  <w:abstractNum w:abstractNumId="91">
    <w:nsid w:val="6A5F7029"/>
    <w:multiLevelType w:val="hybridMultilevel"/>
    <w:lvl w:ilvl="0">
      <w:lvlJc w:val="left"/>
      <w:lvlText w:val="(%1)"/>
      <w:numFmt w:val="lowerLetter"/>
      <w:start w:val="1"/>
    </w:lvl>
  </w:abstractNum>
  <w:abstractNum w:abstractNumId="92">
    <w:nsid w:val="7D5E18F8"/>
    <w:multiLevelType w:val="hybridMultilevel"/>
    <w:lvl w:ilvl="0">
      <w:lvlJc w:val="left"/>
      <w:lvlText w:val="(%1)"/>
      <w:numFmt w:val="lowerLetter"/>
      <w:start w:val="1"/>
    </w:lvl>
  </w:abstractNum>
  <w:abstractNum w:abstractNumId="93">
    <w:nsid w:val="5F3534A4"/>
    <w:multiLevelType w:val="hybridMultilevel"/>
    <w:lvl w:ilvl="0">
      <w:lvlJc w:val="left"/>
      <w:lvlText w:val="(%1)"/>
      <w:numFmt w:val="lowerLetter"/>
      <w:start w:val="1"/>
    </w:lvl>
  </w:abstractNum>
  <w:abstractNum w:abstractNumId="94">
    <w:nsid w:val="73A1821B"/>
    <w:multiLevelType w:val="hybridMultilevel"/>
    <w:lvl w:ilvl="0">
      <w:lvlJc w:val="left"/>
      <w:lvlText w:val="(%1)"/>
      <w:numFmt w:val="lowerLetter"/>
      <w:start w:val="1"/>
    </w:lvl>
  </w:abstractNum>
  <w:abstractNum w:abstractNumId="95">
    <w:nsid w:val="7DE67713"/>
    <w:multiLevelType w:val="hybridMultilevel"/>
    <w:lvl w:ilvl="0">
      <w:lvlJc w:val="left"/>
      <w:lvlText w:val="(%1)"/>
      <w:numFmt w:val="lowerLetter"/>
      <w:start w:val="2"/>
    </w:lvl>
  </w:abstractNum>
  <w:abstractNum w:abstractNumId="96">
    <w:nsid w:val="555C55B5"/>
    <w:multiLevelType w:val="hybridMultilevel"/>
    <w:lvl w:ilvl="0">
      <w:lvlJc w:val="left"/>
      <w:lvlText w:val="(%1)"/>
      <w:numFmt w:val="lowerLetter"/>
      <w:start w:val="1"/>
    </w:lvl>
  </w:abstractNum>
  <w:abstractNum w:abstractNumId="97">
    <w:nsid w:val="3FA62ACA"/>
    <w:multiLevelType w:val="hybridMultilevel"/>
    <w:lvl w:ilvl="0">
      <w:lvlJc w:val="left"/>
      <w:lvlText w:val="(%1)"/>
      <w:numFmt w:val="lowerLetter"/>
      <w:start w:val="2"/>
    </w:lvl>
  </w:abstractNum>
  <w:abstractNum w:abstractNumId="98">
    <w:nsid w:val="14FCE74E"/>
    <w:multiLevelType w:val="hybridMultilevel"/>
    <w:lvl w:ilvl="0">
      <w:lvlJc w:val="left"/>
      <w:lvlText w:val="(%1)"/>
      <w:numFmt w:val="lowerLetter"/>
      <w:start w:val="5"/>
    </w:lvl>
  </w:abstractNum>
  <w:abstractNum w:abstractNumId="99">
    <w:nsid w:val="6A3DD3E8"/>
    <w:multiLevelType w:val="hybridMultilevel"/>
    <w:lvl w:ilvl="0">
      <w:lvlJc w:val="left"/>
      <w:lvlText w:val="(%1)"/>
      <w:numFmt w:val="lowerLetter"/>
      <w:start w:val="1"/>
    </w:lvl>
  </w:abstractNum>
  <w:abstractNum w:abstractNumId="100">
    <w:nsid w:val="71C91298"/>
    <w:multiLevelType w:val="hybridMultilevel"/>
    <w:lvl w:ilvl="0">
      <w:lvlJc w:val="left"/>
      <w:lvlText w:val="(%1)"/>
      <w:numFmt w:val="lowerRoman"/>
      <w:start w:val="2"/>
    </w:lvl>
  </w:abstractNum>
  <w:abstractNum w:abstractNumId="101">
    <w:nsid w:val="9DAF632"/>
    <w:multiLevelType w:val="hybridMultilevel"/>
    <w:lvl w:ilvl="0">
      <w:lvlJc w:val="left"/>
      <w:lvlText w:val="(%1)"/>
      <w:numFmt w:val="lowerLetter"/>
      <w:start w:val="1"/>
    </w:lvl>
  </w:abstractNum>
  <w:abstractNum w:abstractNumId="102">
    <w:nsid w:val="53299938"/>
    <w:multiLevelType w:val="hybridMultilevel"/>
    <w:lvl w:ilvl="0">
      <w:lvlJc w:val="left"/>
      <w:lvlText w:val="(%1)"/>
      <w:numFmt w:val="lowerLetter"/>
      <w:start w:val="1"/>
    </w:lvl>
  </w:abstractNum>
  <w:abstractNum w:abstractNumId="103">
    <w:nsid w:val="1FBFE8E0"/>
    <w:multiLevelType w:val="hybridMultilevel"/>
    <w:lvl w:ilvl="0">
      <w:lvlJc w:val="left"/>
      <w:lvlText w:val="(%1)"/>
      <w:numFmt w:val="lowerLetter"/>
      <w:start w:val="3"/>
    </w:lvl>
  </w:abstractNum>
  <w:abstractNum w:abstractNumId="104">
    <w:nsid w:val="5092CA79"/>
    <w:multiLevelType w:val="hybridMultilevel"/>
    <w:lvl w:ilvl="0">
      <w:lvlJc w:val="left"/>
      <w:lvlText w:val="%1."/>
      <w:numFmt w:val="decimal"/>
      <w:start w:val="1"/>
    </w:lvl>
    <w:lvl w:ilvl="1">
      <w:lvlJc w:val="left"/>
      <w:lvlText w:val="%2)"/>
      <w:numFmt w:val="lowerLetter"/>
      <w:start w:val="1"/>
    </w:lvl>
  </w:abstractNum>
  <w:abstractNum w:abstractNumId="105">
    <w:nsid w:val="1D545C4D"/>
    <w:multiLevelType w:val="hybridMultilevel"/>
    <w:lvl w:ilvl="0">
      <w:lvlJc w:val="left"/>
      <w:lvlText w:val="%1."/>
      <w:numFmt w:val="decimal"/>
      <w:start w:val="1"/>
    </w:lvl>
    <w:lvl w:ilvl="1">
      <w:lvlJc w:val="left"/>
      <w:lvlText w:val="%2)"/>
      <w:numFmt w:val="lowerLetter"/>
      <w:start w:val="1"/>
    </w:lvl>
  </w:abstractNum>
  <w:abstractNum w:abstractNumId="106">
    <w:nsid w:val="59ADEA3D"/>
    <w:multiLevelType w:val="hybridMultilevel"/>
    <w:lvl w:ilvl="0">
      <w:lvlJc w:val="left"/>
      <w:lvlText w:val="(%1)"/>
      <w:numFmt w:val="decimal"/>
      <w:start w:val="1"/>
    </w:lvl>
  </w:abstractNum>
  <w:abstractNum w:abstractNumId="107">
    <w:nsid w:val="288F1A3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83" Type="http://schemas.openxmlformats.org/officeDocument/2006/relationships/hyperlink" Target="https://www.sec.gov/Archives/edgar/data/16732/000001673224000194/cpb-exh32xbyxlaws.htm" TargetMode="External"/><Relationship Id="rId84" Type="http://schemas.openxmlformats.org/officeDocument/2006/relationships/hyperlink" Target="https://www.sec.gov/Archives/edgar/data/16732/000119312524231157/d854687dex431.htm" TargetMode="External"/><Relationship Id="rId85" Type="http://schemas.openxmlformats.org/officeDocument/2006/relationships/hyperlink" Target="https://www.sec.gov/Archives/edgar/data/16732/000119312524231157/d854687dex4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2024-12-04T06:53:20Z</dcterms:created>
  <dcterms:modified xsi:type="dcterms:W3CDTF">2024-12-04T06:53:20Z</dcterms:modified>
</cp:coreProperties>
</file>