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144780</wp:posOffset>
            </wp:positionH>
            <wp:positionV relativeFrom="page">
              <wp:posOffset>908050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327"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ind w:left="3580"/>
        <w:spacing w:after="0"/>
        <w:rPr>
          <w:sz w:val="20"/>
          <w:szCs w:val="20"/>
          <w:color w:val="auto"/>
        </w:rPr>
      </w:pPr>
      <w:r>
        <w:rPr>
          <w:rFonts w:ascii="Arial" w:cs="Arial" w:eastAsia="Arial" w:hAnsi="Arial"/>
          <w:sz w:val="11"/>
          <w:szCs w:val="11"/>
          <w:b w:val="1"/>
          <w:bCs w:val="1"/>
          <w:color w:val="auto"/>
        </w:rPr>
        <w:t>_______________________________________________________________________________</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1440" w:right="239" w:bottom="1440" w:gutter="0" w:footer="0" w:header="0"/>
        </w:sectPr>
      </w:pPr>
    </w:p>
    <w:p>
      <w:pPr>
        <w:spacing w:after="0" w:line="353" w:lineRule="exact"/>
        <w:rPr>
          <w:sz w:val="24"/>
          <w:szCs w:val="24"/>
          <w:color w:val="auto"/>
        </w:rPr>
      </w:pPr>
    </w:p>
    <w:p>
      <w:pPr>
        <w:jc w:val="center"/>
        <w:ind w:right="1040"/>
        <w:spacing w:after="0"/>
        <w:rPr>
          <w:sz w:val="20"/>
          <w:szCs w:val="20"/>
          <w:color w:val="auto"/>
        </w:rPr>
      </w:pPr>
      <w:r>
        <w:rPr>
          <w:rFonts w:ascii="Arial" w:cs="Arial" w:eastAsia="Arial" w:hAnsi="Arial"/>
          <w:sz w:val="16"/>
          <w:szCs w:val="16"/>
          <w:b w:val="1"/>
          <w:bCs w:val="1"/>
          <w:color w:val="auto"/>
        </w:rPr>
        <w:t>For the Quarterly Period Ended</w:t>
      </w:r>
    </w:p>
    <w:p>
      <w:pPr>
        <w:spacing w:after="0" w:line="50"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May 1, 2016</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jc w:val="center"/>
        <w:ind w:right="2160"/>
        <w:spacing w:after="0"/>
        <w:rPr>
          <w:sz w:val="20"/>
          <w:szCs w:val="20"/>
          <w:color w:val="auto"/>
        </w:rPr>
      </w:pPr>
      <w:r>
        <w:rPr>
          <w:rFonts w:ascii="Arial" w:cs="Arial" w:eastAsia="Arial" w:hAnsi="Arial"/>
          <w:sz w:val="16"/>
          <w:szCs w:val="16"/>
          <w:b w:val="1"/>
          <w:bCs w:val="1"/>
          <w:color w:val="auto"/>
        </w:rPr>
        <w:t>Commission File Number</w:t>
      </w:r>
    </w:p>
    <w:p>
      <w:pPr>
        <w:spacing w:after="0" w:line="50" w:lineRule="exact"/>
        <w:rPr>
          <w:sz w:val="24"/>
          <w:szCs w:val="24"/>
          <w:color w:val="auto"/>
        </w:rPr>
      </w:pPr>
    </w:p>
    <w:p>
      <w:pPr>
        <w:jc w:val="center"/>
        <w:ind w:right="2160"/>
        <w:spacing w:after="0"/>
        <w:rPr>
          <w:sz w:val="20"/>
          <w:szCs w:val="20"/>
          <w:color w:val="auto"/>
        </w:rPr>
      </w:pPr>
      <w:r>
        <w:rPr>
          <w:rFonts w:ascii="Arial" w:cs="Arial" w:eastAsia="Arial" w:hAnsi="Arial"/>
          <w:sz w:val="18"/>
          <w:szCs w:val="18"/>
          <w:b w:val="1"/>
          <w:bCs w:val="1"/>
          <w:color w:val="auto"/>
        </w:rPr>
        <w:t>1-3822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-1727200</wp:posOffset>
            </wp:positionH>
            <wp:positionV relativeFrom="paragraph">
              <wp:posOffset>160020</wp:posOffset>
            </wp:positionV>
            <wp:extent cx="147510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6560" w:space="720"/>
            <w:col w:w="4140"/>
          </w:cols>
          <w:pgMar w:left="240" w:top="1440"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0"/>
        <w:spacing w:after="0"/>
        <w:rPr>
          <w:sz w:val="20"/>
          <w:szCs w:val="20"/>
          <w:color w:val="auto"/>
        </w:rPr>
      </w:pPr>
      <w:r>
        <w:rPr>
          <w:rFonts w:ascii="Arial" w:cs="Arial" w:eastAsia="Arial" w:hAnsi="Arial"/>
          <w:sz w:val="42"/>
          <w:szCs w:val="42"/>
          <w:b w:val="1"/>
          <w:bCs w:val="1"/>
          <w:color w:val="auto"/>
        </w:rPr>
        <w:t>CAMPBELL SOUP COMPANY</w:t>
      </w:r>
    </w:p>
    <w:p>
      <w:pPr>
        <w:sectPr>
          <w:pgSz w:w="11900" w:h="16838" w:orient="portrait"/>
          <w:cols w:equalWidth="0" w:num="1">
            <w:col w:w="11420"/>
          </w:cols>
          <w:pgMar w:left="240" w:top="1440" w:right="239" w:bottom="1440" w:gutter="0" w:footer="0" w:header="0"/>
          <w:type w:val="continuous"/>
        </w:sectPr>
      </w:pPr>
    </w:p>
    <w:p>
      <w:pPr>
        <w:spacing w:after="0" w:line="298" w:lineRule="exact"/>
        <w:rPr>
          <w:sz w:val="24"/>
          <w:szCs w:val="24"/>
          <w:color w:val="auto"/>
        </w:rPr>
      </w:pPr>
    </w:p>
    <w:p>
      <w:pPr>
        <w:ind w:left="252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27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20" w:space="720"/>
            <w:col w:w="3380"/>
          </w:cols>
          <w:pgMar w:left="240" w:top="1440" w:right="239" w:bottom="1440" w:gutter="0" w:footer="0" w:header="0"/>
          <w:type w:val="continuous"/>
        </w:sectPr>
      </w:pPr>
    </w:p>
    <w:p>
      <w:pPr>
        <w:ind w:left="216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520" w:space="720"/>
            <w:col w:w="4180"/>
          </w:cols>
          <w:pgMar w:left="240" w:top="1440" w:right="239" w:bottom="1440" w:gutter="0" w:footer="0" w:header="0"/>
          <w:type w:val="continuous"/>
        </w:sectPr>
      </w:pPr>
    </w:p>
    <w:p>
      <w:pPr>
        <w:spacing w:after="0" w:line="7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Camden, New Jersey 08103-1799</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Telephone Number: (856) 342-4800</w:t>
      </w:r>
    </w:p>
    <w:p>
      <w:pPr>
        <w:sectPr>
          <w:pgSz w:w="11900" w:h="16838" w:orient="portrait"/>
          <w:cols w:equalWidth="0" w:num="1">
            <w:col w:w="11420"/>
          </w:cols>
          <w:pgMar w:left="240" w:top="1440"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right="10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0" w:lineRule="exact"/>
        <w:rPr>
          <w:sz w:val="24"/>
          <w:szCs w:val="24"/>
          <w:color w:val="auto"/>
        </w:rPr>
      </w:pPr>
    </w:p>
    <w:p>
      <w:pPr>
        <w:ind w:right="4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Date File required to be submitted and posted pursuant to Rule 405 of Regulation S-T during the preceding 12 months (or for such shorter period that the registrant was required to submit and post such files). o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49"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440" w:right="239" w:bottom="1440" w:gutter="0" w:footer="0" w:header="0"/>
          <w:type w:val="continuous"/>
        </w:sectPr>
      </w:pPr>
    </w:p>
    <w:p>
      <w:pPr>
        <w:spacing w:after="0" w:line="84" w:lineRule="exact"/>
        <w:rPr>
          <w:sz w:val="24"/>
          <w:szCs w:val="24"/>
          <w:color w:val="auto"/>
        </w:rPr>
      </w:pPr>
    </w:p>
    <w:p>
      <w:pPr>
        <w:ind w:left="2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ind w:left="120"/>
        <w:spacing w:after="0"/>
        <w:rPr>
          <w:sz w:val="20"/>
          <w:szCs w:val="20"/>
          <w:color w:val="auto"/>
        </w:rPr>
      </w:pPr>
      <w:r>
        <w:rPr>
          <w:rFonts w:ascii="Arial" w:cs="Arial" w:eastAsia="Arial" w:hAnsi="Arial"/>
          <w:sz w:val="17"/>
          <w:szCs w:val="17"/>
          <w:color w:val="auto"/>
        </w:rPr>
        <w:t>Non-accelerated filer o</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w:t>
      </w:r>
    </w:p>
    <w:p>
      <w:pPr>
        <w:spacing w:after="0" w:line="32" w:lineRule="exact"/>
        <w:rPr>
          <w:sz w:val="24"/>
          <w:szCs w:val="24"/>
          <w:color w:val="auto"/>
        </w:rPr>
      </w:pPr>
    </w:p>
    <w:p>
      <w:pPr>
        <w:ind w:left="240"/>
        <w:spacing w:after="0"/>
        <w:rPr>
          <w:sz w:val="20"/>
          <w:szCs w:val="20"/>
          <w:color w:val="auto"/>
        </w:rPr>
      </w:pPr>
      <w:r>
        <w:rPr>
          <w:rFonts w:ascii="Arial" w:cs="Arial" w:eastAsia="Arial" w:hAnsi="Arial"/>
          <w:sz w:val="18"/>
          <w:szCs w:val="18"/>
          <w:color w:val="auto"/>
        </w:rPr>
        <w:t>reporting company)</w:t>
      </w:r>
    </w:p>
    <w:p>
      <w:pPr>
        <w:spacing w:after="0" w:line="20" w:lineRule="exact"/>
        <w:rPr>
          <w:sz w:val="24"/>
          <w:szCs w:val="24"/>
          <w:color w:val="auto"/>
        </w:rPr>
      </w:pPr>
      <w:r>
        <w:rPr>
          <w:sz w:val="24"/>
          <w:szCs w:val="24"/>
          <w:color w:val="auto"/>
        </w:rPr>
        <w:br w:type="column"/>
      </w:r>
    </w:p>
    <w:p>
      <w:pPr>
        <w:spacing w:after="0" w:line="96"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478" w:lineRule="exact"/>
        <w:rPr>
          <w:sz w:val="24"/>
          <w:szCs w:val="24"/>
          <w:color w:val="auto"/>
        </w:rPr>
      </w:pPr>
    </w:p>
    <w:p>
      <w:pPr>
        <w:sectPr>
          <w:pgSz w:w="11900" w:h="16838" w:orient="portrait"/>
          <w:cols w:equalWidth="0" w:num="4">
            <w:col w:w="2760" w:space="720"/>
            <w:col w:w="1740" w:space="720"/>
            <w:col w:w="1940" w:space="720"/>
            <w:col w:w="2820"/>
          </w:cols>
          <w:pgMar w:left="240" w:top="1440" w:right="239" w:bottom="1440" w:gutter="0" w:footer="0" w:header="0"/>
          <w:type w:val="continuous"/>
        </w:sectPr>
      </w:pPr>
    </w:p>
    <w:p>
      <w:pPr>
        <w:ind w:left="34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o Yes </w:t>
      </w:r>
      <w:r>
        <w:rPr>
          <w:rFonts w:ascii="MS PGothic" w:cs="MS PGothic" w:eastAsia="MS PGothic" w:hAnsi="MS PGothic"/>
          <w:sz w:val="16"/>
          <w:szCs w:val="16"/>
          <w:color w:val="auto"/>
        </w:rPr>
        <w:t>☑</w:t>
      </w:r>
      <w:r>
        <w:rPr>
          <w:rFonts w:ascii="Arial" w:cs="Arial" w:eastAsia="Arial" w:hAnsi="Arial"/>
          <w:sz w:val="16"/>
          <w:szCs w:val="16"/>
          <w:color w:val="auto"/>
        </w:rPr>
        <w:t xml:space="preserve"> No</w:t>
      </w:r>
    </w:p>
    <w:p>
      <w:pPr>
        <w:spacing w:after="0" w:line="315" w:lineRule="exact"/>
        <w:rPr>
          <w:sz w:val="24"/>
          <w:szCs w:val="24"/>
          <w:color w:val="auto"/>
        </w:rPr>
      </w:pPr>
    </w:p>
    <w:p>
      <w:pPr>
        <w:ind w:left="3040"/>
        <w:spacing w:after="0"/>
        <w:rPr>
          <w:sz w:val="20"/>
          <w:szCs w:val="20"/>
          <w:color w:val="auto"/>
        </w:rPr>
      </w:pPr>
      <w:r>
        <w:rPr>
          <w:rFonts w:ascii="Arial" w:cs="Arial" w:eastAsia="Arial" w:hAnsi="Arial"/>
          <w:sz w:val="18"/>
          <w:szCs w:val="18"/>
          <w:color w:val="auto"/>
        </w:rPr>
        <w:t>There were 308,647,031 shares of capital stock outstanding as of June 1,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208280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740" w:type="dxa"/>
            <w:vAlign w:val="bottom"/>
            <w:gridSpan w:val="3"/>
          </w:tcPr>
          <w:p>
            <w:pPr>
              <w:ind w:left="4720"/>
              <w:spacing w:after="0"/>
              <w:rPr>
                <w:sz w:val="20"/>
                <w:szCs w:val="20"/>
                <w:color w:val="auto"/>
              </w:rPr>
            </w:pPr>
            <w:r>
              <w:rPr>
                <w:rFonts w:ascii="Arial" w:cs="Arial" w:eastAsia="Arial" w:hAnsi="Arial"/>
                <w:sz w:val="18"/>
                <w:szCs w:val="18"/>
                <w:b w:val="1"/>
                <w:bCs w:val="1"/>
                <w:color w:val="auto"/>
              </w:rPr>
              <w:t>TABLE OF CONTENTS</w:t>
            </w:r>
          </w:p>
        </w:tc>
        <w:tc>
          <w:tcPr>
            <w:tcW w:w="1260" w:type="dxa"/>
            <w:vAlign w:val="bottom"/>
          </w:tcPr>
          <w:p>
            <w:pPr>
              <w:spacing w:after="0"/>
              <w:rPr>
                <w:sz w:val="17"/>
                <w:szCs w:val="17"/>
                <w:color w:val="auto"/>
              </w:rPr>
            </w:pPr>
          </w:p>
        </w:tc>
      </w:tr>
      <w:tr>
        <w:trPr>
          <w:trHeight w:val="615"/>
        </w:trPr>
        <w:tc>
          <w:tcPr>
            <w:tcW w:w="4720" w:type="dxa"/>
            <w:vAlign w:val="bottom"/>
          </w:tcPr>
          <w:p>
            <w:pPr>
              <w:spacing w:after="0"/>
              <w:rPr>
                <w:sz w:val="20"/>
                <w:szCs w:val="20"/>
                <w:color w:val="auto"/>
              </w:rPr>
            </w:pPr>
            <w:r>
              <w:rPr>
                <w:rFonts w:ascii="Arial" w:cs="Arial" w:eastAsia="Arial" w:hAnsi="Arial"/>
                <w:sz w:val="18"/>
                <w:szCs w:val="18"/>
                <w:color w:val="0000FF"/>
              </w:rPr>
              <w:t>PART I</w:t>
            </w:r>
          </w:p>
        </w:tc>
        <w:tc>
          <w:tcPr>
            <w:tcW w:w="19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740" w:type="dxa"/>
            <w:vAlign w:val="bottom"/>
            <w:gridSpan w:val="3"/>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Information</w:t>
              </w:r>
            </w:hyperlink>
          </w:p>
        </w:tc>
        <w:tc>
          <w:tcPr>
            <w:tcW w:w="1260" w:type="dxa"/>
            <w:vAlign w:val="bottom"/>
          </w:tcPr>
          <w:p>
            <w:pPr>
              <w:ind w:left="108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8740" w:type="dxa"/>
            <w:vAlign w:val="bottom"/>
            <w:gridSpan w:val="3"/>
          </w:tcPr>
          <w:p>
            <w:pPr>
              <w:ind w:left="680"/>
              <w:spacing w:after="0"/>
              <w:rPr>
                <w:rFonts w:ascii="Arial" w:cs="Arial" w:eastAsia="Arial" w:hAnsi="Arial"/>
                <w:sz w:val="18"/>
                <w:szCs w:val="18"/>
                <w:color w:val="0000EE"/>
              </w:rPr>
            </w:pPr>
            <w:hyperlink w:anchor="page26">
              <w:r>
                <w:rPr>
                  <w:rFonts w:ascii="Arial" w:cs="Arial" w:eastAsia="Arial" w:hAnsi="Arial"/>
                  <w:sz w:val="18"/>
                  <w:szCs w:val="18"/>
                  <w:color w:val="0000EE"/>
                </w:rPr>
                <w:t>Item 2. Management's Discussion and Analysis of Financial Condition and Results of Operations</w:t>
              </w:r>
            </w:hyperlink>
          </w:p>
        </w:tc>
        <w:tc>
          <w:tcPr>
            <w:tcW w:w="1260" w:type="dxa"/>
            <w:vAlign w:val="bottom"/>
          </w:tcPr>
          <w:p>
            <w:pPr>
              <w:ind w:left="1080"/>
              <w:spacing w:after="0"/>
              <w:rPr>
                <w:rFonts w:ascii="Arial" w:cs="Arial" w:eastAsia="Arial" w:hAnsi="Arial"/>
                <w:sz w:val="18"/>
                <w:szCs w:val="18"/>
                <w:color w:val="0000EE"/>
                <w:w w:val="79"/>
              </w:rPr>
            </w:pPr>
            <w:hyperlink w:anchor="page26">
              <w:r>
                <w:rPr>
                  <w:rFonts w:ascii="Arial" w:cs="Arial" w:eastAsia="Arial" w:hAnsi="Arial"/>
                  <w:sz w:val="18"/>
                  <w:szCs w:val="18"/>
                  <w:color w:val="0000EE"/>
                  <w:w w:val="79"/>
                </w:rPr>
                <w:t>26</w:t>
              </w:r>
            </w:hyperlink>
          </w:p>
        </w:tc>
      </w:tr>
      <w:tr>
        <w:trPr>
          <w:trHeight w:val="270"/>
        </w:trPr>
        <w:tc>
          <w:tcPr>
            <w:tcW w:w="8740" w:type="dxa"/>
            <w:vAlign w:val="bottom"/>
            <w:gridSpan w:val="3"/>
          </w:tcPr>
          <w:p>
            <w:pPr>
              <w:ind w:left="680"/>
              <w:spacing w:after="0"/>
              <w:rPr>
                <w:rFonts w:ascii="Arial" w:cs="Arial" w:eastAsia="Arial" w:hAnsi="Arial"/>
                <w:sz w:val="18"/>
                <w:szCs w:val="18"/>
                <w:color w:val="0000EE"/>
              </w:rPr>
            </w:pPr>
            <w:hyperlink w:anchor="page36">
              <w:r>
                <w:rPr>
                  <w:rFonts w:ascii="Arial" w:cs="Arial" w:eastAsia="Arial" w:hAnsi="Arial"/>
                  <w:sz w:val="18"/>
                  <w:szCs w:val="18"/>
                  <w:color w:val="0000EE"/>
                </w:rPr>
                <w:t>Item 3. Quantitative and Qualitative Disclosures about Market Risk</w:t>
              </w:r>
            </w:hyperlink>
          </w:p>
        </w:tc>
        <w:tc>
          <w:tcPr>
            <w:tcW w:w="1260" w:type="dxa"/>
            <w:vAlign w:val="bottom"/>
          </w:tcPr>
          <w:p>
            <w:pPr>
              <w:ind w:left="1080"/>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36</w:t>
              </w:r>
            </w:hyperlink>
          </w:p>
        </w:tc>
      </w:tr>
      <w:tr>
        <w:trPr>
          <w:trHeight w:val="270"/>
        </w:trPr>
        <w:tc>
          <w:tcPr>
            <w:tcW w:w="8740" w:type="dxa"/>
            <w:vAlign w:val="bottom"/>
            <w:gridSpan w:val="3"/>
          </w:tcPr>
          <w:p>
            <w:pPr>
              <w:ind w:left="680"/>
              <w:spacing w:after="0"/>
              <w:rPr>
                <w:rFonts w:ascii="Arial" w:cs="Arial" w:eastAsia="Arial" w:hAnsi="Arial"/>
                <w:sz w:val="18"/>
                <w:szCs w:val="18"/>
                <w:color w:val="0000EE"/>
              </w:rPr>
            </w:pPr>
            <w:hyperlink w:anchor="page36">
              <w:r>
                <w:rPr>
                  <w:rFonts w:ascii="Arial" w:cs="Arial" w:eastAsia="Arial" w:hAnsi="Arial"/>
                  <w:sz w:val="18"/>
                  <w:szCs w:val="18"/>
                  <w:color w:val="0000EE"/>
                </w:rPr>
                <w:t>Item 4. Controls and Procedures</w:t>
              </w:r>
            </w:hyperlink>
          </w:p>
        </w:tc>
        <w:tc>
          <w:tcPr>
            <w:tcW w:w="1260" w:type="dxa"/>
            <w:vAlign w:val="bottom"/>
          </w:tcPr>
          <w:p>
            <w:pPr>
              <w:ind w:left="1080"/>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36</w:t>
              </w:r>
            </w:hyperlink>
          </w:p>
        </w:tc>
      </w:tr>
      <w:tr>
        <w:trPr>
          <w:trHeight w:val="270"/>
        </w:trPr>
        <w:tc>
          <w:tcPr>
            <w:tcW w:w="8740" w:type="dxa"/>
            <w:vAlign w:val="bottom"/>
            <w:gridSpan w:val="3"/>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II</w:t>
              </w:r>
            </w:hyperlink>
          </w:p>
        </w:tc>
        <w:tc>
          <w:tcPr>
            <w:tcW w:w="1260" w:type="dxa"/>
            <w:vAlign w:val="bottom"/>
          </w:tcPr>
          <w:p>
            <w:pPr>
              <w:spacing w:after="0"/>
              <w:rPr>
                <w:sz w:val="23"/>
                <w:szCs w:val="23"/>
                <w:color w:val="auto"/>
              </w:rPr>
            </w:pPr>
          </w:p>
        </w:tc>
      </w:tr>
      <w:tr>
        <w:trPr>
          <w:trHeight w:val="270"/>
        </w:trPr>
        <w:tc>
          <w:tcPr>
            <w:tcW w:w="8740" w:type="dxa"/>
            <w:vAlign w:val="bottom"/>
            <w:gridSpan w:val="3"/>
          </w:tcPr>
          <w:p>
            <w:pPr>
              <w:ind w:left="680"/>
              <w:spacing w:after="0"/>
              <w:rPr>
                <w:rFonts w:ascii="Arial" w:cs="Arial" w:eastAsia="Arial" w:hAnsi="Arial"/>
                <w:sz w:val="18"/>
                <w:szCs w:val="18"/>
                <w:color w:val="0000EE"/>
              </w:rPr>
            </w:pPr>
            <w:hyperlink w:anchor="page37">
              <w:r>
                <w:rPr>
                  <w:rFonts w:ascii="Arial" w:cs="Arial" w:eastAsia="Arial" w:hAnsi="Arial"/>
                  <w:sz w:val="18"/>
                  <w:szCs w:val="18"/>
                  <w:color w:val="0000EE"/>
                </w:rPr>
                <w:t>Item 2. Unregistered Sales of Equity Securities and Use of Proceeds</w:t>
              </w:r>
            </w:hyperlink>
          </w:p>
        </w:tc>
        <w:tc>
          <w:tcPr>
            <w:tcW w:w="1260" w:type="dxa"/>
            <w:vAlign w:val="bottom"/>
          </w:tcPr>
          <w:p>
            <w:pPr>
              <w:ind w:left="1080"/>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270"/>
        </w:trPr>
        <w:tc>
          <w:tcPr>
            <w:tcW w:w="8740" w:type="dxa"/>
            <w:vAlign w:val="bottom"/>
            <w:gridSpan w:val="3"/>
          </w:tcPr>
          <w:p>
            <w:pPr>
              <w:ind w:left="680"/>
              <w:spacing w:after="0"/>
              <w:rPr>
                <w:rFonts w:ascii="Arial" w:cs="Arial" w:eastAsia="Arial" w:hAnsi="Arial"/>
                <w:sz w:val="18"/>
                <w:szCs w:val="18"/>
                <w:color w:val="0000EE"/>
              </w:rPr>
            </w:pPr>
            <w:hyperlink w:anchor="page38">
              <w:r>
                <w:rPr>
                  <w:rFonts w:ascii="Arial" w:cs="Arial" w:eastAsia="Arial" w:hAnsi="Arial"/>
                  <w:sz w:val="18"/>
                  <w:szCs w:val="18"/>
                  <w:color w:val="0000EE"/>
                </w:rPr>
                <w:t>Item 6. Exhibits</w:t>
              </w:r>
            </w:hyperlink>
          </w:p>
        </w:tc>
        <w:tc>
          <w:tcPr>
            <w:tcW w:w="1260" w:type="dxa"/>
            <w:vAlign w:val="bottom"/>
          </w:tcPr>
          <w:p>
            <w:pPr>
              <w:ind w:left="1080"/>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270"/>
        </w:trPr>
        <w:tc>
          <w:tcPr>
            <w:tcW w:w="8740" w:type="dxa"/>
            <w:vAlign w:val="bottom"/>
            <w:gridSpan w:val="3"/>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1260" w:type="dxa"/>
            <w:vAlign w:val="bottom"/>
          </w:tcPr>
          <w:p>
            <w:pPr>
              <w:ind w:left="1080"/>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270"/>
        </w:trPr>
        <w:tc>
          <w:tcPr>
            <w:tcW w:w="8740" w:type="dxa"/>
            <w:vAlign w:val="bottom"/>
            <w:gridSpan w:val="3"/>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INDEX TO EXHIBITS</w:t>
              </w:r>
            </w:hyperlink>
          </w:p>
        </w:tc>
        <w:tc>
          <w:tcPr>
            <w:tcW w:w="1260" w:type="dxa"/>
            <w:vAlign w:val="bottom"/>
          </w:tcPr>
          <w:p>
            <w:pPr>
              <w:ind w:left="1080"/>
              <w:spacing w:after="0"/>
              <w:rPr>
                <w:rFonts w:ascii="Arial" w:cs="Arial" w:eastAsia="Arial" w:hAnsi="Arial"/>
                <w:sz w:val="18"/>
                <w:szCs w:val="18"/>
                <w:color w:val="0000EE"/>
                <w:w w:val="79"/>
              </w:rPr>
            </w:pPr>
            <w:hyperlink w:anchor="page40">
              <w:r>
                <w:rPr>
                  <w:rFonts w:ascii="Arial" w:cs="Arial" w:eastAsia="Arial" w:hAnsi="Arial"/>
                  <w:sz w:val="18"/>
                  <w:szCs w:val="18"/>
                  <w:color w:val="0000EE"/>
                  <w:w w:val="79"/>
                </w:rPr>
                <w:t>40</w:t>
              </w:r>
            </w:hyperlink>
          </w:p>
        </w:tc>
      </w:tr>
      <w:tr>
        <w:trPr>
          <w:trHeight w:val="702"/>
        </w:trPr>
        <w:tc>
          <w:tcPr>
            <w:tcW w:w="6640" w:type="dxa"/>
            <w:vAlign w:val="bottom"/>
            <w:gridSpan w:val="2"/>
          </w:tcPr>
          <w:p>
            <w:pPr>
              <w:ind w:left="5620"/>
              <w:spacing w:after="0"/>
              <w:rPr>
                <w:sz w:val="20"/>
                <w:szCs w:val="20"/>
                <w:color w:val="auto"/>
              </w:rPr>
            </w:pPr>
            <w:r>
              <w:rPr>
                <w:rFonts w:ascii="Arial" w:cs="Arial" w:eastAsia="Arial" w:hAnsi="Arial"/>
                <w:sz w:val="18"/>
                <w:szCs w:val="18"/>
                <w:color w:val="auto"/>
              </w:rPr>
              <w:t>2</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Information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May 1,</w:t>
            </w:r>
          </w:p>
        </w:tc>
        <w:tc>
          <w:tcPr>
            <w:tcW w:w="220" w:type="dxa"/>
            <w:vAlign w:val="bottom"/>
          </w:tcPr>
          <w:p>
            <w:pPr>
              <w:spacing w:after="0"/>
              <w:rPr>
                <w:sz w:val="13"/>
                <w:szCs w:val="13"/>
                <w:color w:val="auto"/>
              </w:rPr>
            </w:pPr>
          </w:p>
        </w:tc>
        <w:tc>
          <w:tcPr>
            <w:tcW w:w="10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May 3,</w:t>
            </w:r>
          </w:p>
        </w:tc>
        <w:tc>
          <w:tcPr>
            <w:tcW w:w="240" w:type="dxa"/>
            <w:vAlign w:val="bottom"/>
          </w:tcPr>
          <w:p>
            <w:pPr>
              <w:spacing w:after="0"/>
              <w:rPr>
                <w:sz w:val="13"/>
                <w:szCs w:val="13"/>
                <w:color w:val="auto"/>
              </w:rPr>
            </w:pPr>
          </w:p>
        </w:tc>
        <w:tc>
          <w:tcPr>
            <w:tcW w:w="10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May 1,</w:t>
            </w:r>
          </w:p>
        </w:tc>
        <w:tc>
          <w:tcPr>
            <w:tcW w:w="240" w:type="dxa"/>
            <w:vAlign w:val="bottom"/>
          </w:tcPr>
          <w:p>
            <w:pPr>
              <w:spacing w:after="0"/>
              <w:rPr>
                <w:sz w:val="13"/>
                <w:szCs w:val="13"/>
                <w:color w:val="auto"/>
              </w:rPr>
            </w:pPr>
          </w:p>
        </w:tc>
        <w:tc>
          <w:tcPr>
            <w:tcW w:w="900" w:type="dxa"/>
            <w:vAlign w:val="bottom"/>
          </w:tcPr>
          <w:p>
            <w:pPr>
              <w:jc w:val="right"/>
              <w:ind w:right="292"/>
              <w:spacing w:after="0" w:line="153" w:lineRule="exact"/>
              <w:rPr>
                <w:sz w:val="20"/>
                <w:szCs w:val="20"/>
                <w:color w:val="auto"/>
              </w:rPr>
            </w:pPr>
            <w:r>
              <w:rPr>
                <w:rFonts w:ascii="Arial" w:cs="Arial" w:eastAsia="Arial" w:hAnsi="Arial"/>
                <w:sz w:val="14"/>
                <w:szCs w:val="14"/>
                <w:b w:val="1"/>
                <w:bCs w:val="1"/>
                <w:color w:val="auto"/>
              </w:rPr>
              <w:t>May 3,</w:t>
            </w:r>
          </w:p>
        </w:tc>
      </w:tr>
      <w:tr>
        <w:trPr>
          <w:trHeight w:val="192"/>
        </w:trPr>
        <w:tc>
          <w:tcPr>
            <w:tcW w:w="65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1,870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6,274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6,389</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4,040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677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695</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408</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83</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32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w:t>
            </w:r>
          </w:p>
        </w:tc>
      </w:tr>
      <w:tr>
        <w:trPr>
          <w:trHeight w:val="27"/>
        </w:trPr>
        <w:tc>
          <w:tcPr>
            <w:tcW w:w="6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2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1,602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1,615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5,277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5,378</w:t>
            </w:r>
          </w:p>
        </w:tc>
      </w:tr>
      <w:tr>
        <w:trPr>
          <w:trHeight w:val="237"/>
        </w:trPr>
        <w:tc>
          <w:tcPr>
            <w:tcW w:w="65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268</w:t>
            </w: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285</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997</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1,011</w:t>
            </w: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w:t>
            </w:r>
          </w:p>
        </w:tc>
      </w:tr>
      <w:tr>
        <w:trPr>
          <w:trHeight w:val="27"/>
        </w:trPr>
        <w:tc>
          <w:tcPr>
            <w:tcW w:w="6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914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240" w:type="dxa"/>
            <w:vAlign w:val="bottom"/>
          </w:tcPr>
          <w:p>
            <w:pPr>
              <w:spacing w:after="0"/>
              <w:rPr>
                <w:sz w:val="21"/>
                <w:szCs w:val="21"/>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270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284</w:t>
            </w:r>
          </w:p>
        </w:tc>
      </w:tr>
      <w:tr>
        <w:trPr>
          <w:trHeight w:val="27"/>
        </w:trPr>
        <w:tc>
          <w:tcPr>
            <w:tcW w:w="6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240" w:type="dxa"/>
            <w:vAlign w:val="bottom"/>
          </w:tcPr>
          <w:p>
            <w:pPr>
              <w:spacing w:after="0"/>
              <w:rPr>
                <w:sz w:val="21"/>
                <w:szCs w:val="21"/>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6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649</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2.08</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color w:val="auto"/>
              </w:rPr>
              <w:t>Dividends</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.312</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.936</w:t>
            </w:r>
          </w:p>
        </w:tc>
        <w:tc>
          <w:tcPr>
            <w:tcW w:w="10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.936</w:t>
            </w:r>
          </w:p>
        </w:tc>
      </w:tr>
      <w:tr>
        <w:trPr>
          <w:trHeight w:val="67"/>
        </w:trPr>
        <w:tc>
          <w:tcPr>
            <w:tcW w:w="652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r>
      <w:tr>
        <w:trPr>
          <w:trHeight w:val="256"/>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313</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r>
      <w:tr>
        <w:trPr>
          <w:trHeight w:val="27"/>
        </w:trPr>
        <w:tc>
          <w:tcPr>
            <w:tcW w:w="6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5"/>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2.07</w:t>
            </w:r>
          </w:p>
        </w:tc>
      </w:tr>
      <w:tr>
        <w:trPr>
          <w:trHeight w:val="20"/>
        </w:trPr>
        <w:tc>
          <w:tcPr>
            <w:tcW w:w="65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520" w:type="dxa"/>
            <w:vAlign w:val="bottom"/>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240" w:type="dxa"/>
            <w:vAlign w:val="bottom"/>
          </w:tcPr>
          <w:p>
            <w:pPr>
              <w:spacing w:after="0"/>
              <w:rPr>
                <w:sz w:val="19"/>
                <w:szCs w:val="19"/>
                <w:color w:val="auto"/>
              </w:rPr>
            </w:pPr>
          </w:p>
        </w:tc>
        <w:tc>
          <w:tcPr>
            <w:tcW w:w="940" w:type="dxa"/>
            <w:vAlign w:val="bottom"/>
          </w:tcPr>
          <w:p>
            <w:pPr>
              <w:jc w:val="right"/>
              <w:ind w:right="32"/>
              <w:spacing w:after="0"/>
              <w:rPr>
                <w:sz w:val="20"/>
                <w:szCs w:val="20"/>
                <w:color w:val="auto"/>
              </w:rPr>
            </w:pPr>
            <w:r>
              <w:rPr>
                <w:rFonts w:ascii="Arial" w:cs="Arial" w:eastAsia="Arial" w:hAnsi="Arial"/>
                <w:sz w:val="18"/>
                <w:szCs w:val="18"/>
                <w:b w:val="1"/>
                <w:bCs w:val="1"/>
                <w:color w:val="auto"/>
              </w:rPr>
              <w:t>311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b w:val="1"/>
                <w:bCs w:val="1"/>
                <w:color w:val="auto"/>
              </w:rPr>
              <w:t>311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314</w:t>
            </w:r>
          </w:p>
        </w:tc>
      </w:tr>
      <w:tr>
        <w:trPr>
          <w:trHeight w:val="27"/>
        </w:trPr>
        <w:tc>
          <w:tcPr>
            <w:tcW w:w="6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0"/>
        </w:trPr>
        <w:tc>
          <w:tcPr>
            <w:tcW w:w="6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1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May 1, 2016</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May 3, 2015</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7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185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179</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b w:val="1"/>
                <w:bCs w:val="1"/>
                <w:color w:val="auto"/>
              </w:rPr>
              <w:t>101</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Pr>
          <w:p>
            <w:pPr>
              <w:jc w:val="right"/>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100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Unrealized gains (losses) arising during the period</w:t>
            </w:r>
          </w:p>
        </w:tc>
        <w:tc>
          <w:tcPr>
            <w:tcW w:w="16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b w:val="1"/>
                <w:bCs w:val="1"/>
                <w:color w:val="auto"/>
              </w:rPr>
              <w:t>(25)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b w:val="1"/>
                <w:bCs w:val="1"/>
                <w:color w:val="auto"/>
              </w:rPr>
              <w:t>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(18)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72</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7</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79</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19</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193</w:t>
            </w:r>
          </w:p>
        </w:tc>
        <w:tc>
          <w:tcPr>
            <w:tcW w:w="0" w:type="dxa"/>
            <w:vAlign w:val="bottom"/>
          </w:tcPr>
          <w:p>
            <w:pPr>
              <w:spacing w:after="0"/>
              <w:rPr>
                <w:sz w:val="1"/>
                <w:szCs w:val="1"/>
                <w:color w:val="auto"/>
              </w:rPr>
            </w:pP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gridSpan w:val="5"/>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58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3"/>
          </w:tcPr>
          <w:p>
            <w:pPr>
              <w:ind w:left="100"/>
              <w:spacing w:after="0"/>
              <w:rPr>
                <w:sz w:val="20"/>
                <w:szCs w:val="20"/>
                <w:color w:val="auto"/>
              </w:rPr>
            </w:pPr>
            <w:r>
              <w:rPr>
                <w:rFonts w:ascii="Arial" w:cs="Arial" w:eastAsia="Arial" w:hAnsi="Arial"/>
                <w:sz w:val="14"/>
                <w:szCs w:val="14"/>
                <w:b w:val="1"/>
                <w:bCs w:val="1"/>
                <w:color w:val="auto"/>
              </w:rPr>
              <w:t>May 1, 2016</w:t>
            </w: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May 3, 2015</w:t>
            </w: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20" w:type="dxa"/>
            <w:vAlign w:val="bottom"/>
          </w:tcPr>
          <w:p>
            <w:pPr>
              <w:spacing w:after="0"/>
              <w:rPr>
                <w:sz w:val="13"/>
                <w:szCs w:val="13"/>
                <w:color w:val="auto"/>
              </w:rPr>
            </w:pPr>
          </w:p>
        </w:tc>
        <w:tc>
          <w:tcPr>
            <w:tcW w:w="82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8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7"/>
              </w:rPr>
              <w:t>After-tax</w:t>
            </w:r>
          </w:p>
        </w:tc>
        <w:tc>
          <w:tcPr>
            <w:tcW w:w="140" w:type="dxa"/>
            <w:vAlign w:val="bottom"/>
          </w:tcPr>
          <w:p>
            <w:pPr>
              <w:spacing w:after="0"/>
              <w:rPr>
                <w:sz w:val="13"/>
                <w:szCs w:val="13"/>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Pre-tax</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Tax</w:t>
            </w:r>
          </w:p>
        </w:tc>
        <w:tc>
          <w:tcPr>
            <w:tcW w:w="140" w:type="dxa"/>
            <w:vAlign w:val="bottom"/>
          </w:tcPr>
          <w:p>
            <w:pPr>
              <w:spacing w:after="0"/>
              <w:rPr>
                <w:sz w:val="13"/>
                <w:szCs w:val="13"/>
                <w:color w:val="auto"/>
              </w:rPr>
            </w:pPr>
          </w:p>
        </w:tc>
        <w:tc>
          <w:tcPr>
            <w:tcW w:w="760" w:type="dxa"/>
            <w:vAlign w:val="bottom"/>
            <w:vMerge w:val="restart"/>
          </w:tcPr>
          <w:p>
            <w:pPr>
              <w:jc w:val="center"/>
              <w:ind w:right="41"/>
              <w:spacing w:after="0"/>
              <w:rPr>
                <w:sz w:val="20"/>
                <w:szCs w:val="20"/>
                <w:color w:val="auto"/>
              </w:rPr>
            </w:pPr>
            <w:r>
              <w:rPr>
                <w:rFonts w:ascii="Arial" w:cs="Arial" w:eastAsia="Arial" w:hAnsi="Arial"/>
                <w:sz w:val="14"/>
                <w:szCs w:val="14"/>
                <w:b w:val="1"/>
                <w:bCs w:val="1"/>
                <w:color w:val="auto"/>
                <w:w w:val="97"/>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(expense)</w:t>
            </w:r>
          </w:p>
        </w:tc>
        <w:tc>
          <w:tcPr>
            <w:tcW w:w="14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benefit</w:t>
            </w:r>
          </w:p>
        </w:tc>
        <w:tc>
          <w:tcPr>
            <w:tcW w:w="140" w:type="dxa"/>
            <w:vAlign w:val="bottom"/>
          </w:tcPr>
          <w:p>
            <w:pPr>
              <w:spacing w:after="0"/>
              <w:rPr>
                <w:sz w:val="16"/>
                <w:szCs w:val="16"/>
                <w:color w:val="auto"/>
              </w:rPr>
            </w:pPr>
          </w:p>
        </w:tc>
        <w:tc>
          <w:tcPr>
            <w:tcW w:w="760" w:type="dxa"/>
            <w:vAlign w:val="bottom"/>
          </w:tcPr>
          <w:p>
            <w:pPr>
              <w:jc w:val="center"/>
              <w:ind w:right="41"/>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50"/>
        </w:trPr>
        <w:tc>
          <w:tcPr>
            <w:tcW w:w="58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649</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42"/>
              <w:spacing w:after="0"/>
              <w:rPr>
                <w:sz w:val="20"/>
                <w:szCs w:val="20"/>
                <w:color w:val="auto"/>
              </w:rPr>
            </w:pPr>
            <w:r>
              <w:rPr>
                <w:rFonts w:ascii="Arial" w:cs="Arial" w:eastAsia="Arial" w:hAnsi="Arial"/>
                <w:sz w:val="16"/>
                <w:szCs w:val="16"/>
                <w:b w:val="1"/>
                <w:bCs w:val="1"/>
                <w:color w:val="auto"/>
              </w:rPr>
              <w:t>58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82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780" w:type="dxa"/>
            <w:vAlign w:val="bottom"/>
          </w:tcPr>
          <w:p>
            <w:pPr>
              <w:jc w:val="right"/>
              <w:ind w:right="41"/>
              <w:spacing w:after="0"/>
              <w:rPr>
                <w:sz w:val="20"/>
                <w:szCs w:val="20"/>
                <w:color w:val="auto"/>
              </w:rPr>
            </w:pPr>
            <w:r>
              <w:rPr>
                <w:rFonts w:ascii="Arial" w:cs="Arial" w:eastAsia="Arial" w:hAnsi="Arial"/>
                <w:sz w:val="16"/>
                <w:szCs w:val="16"/>
                <w:b w:val="1"/>
                <w:bCs w:val="1"/>
                <w:color w:val="auto"/>
              </w:rPr>
              <w:t>58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80"/>
              <w:spacing w:after="0"/>
              <w:rPr>
                <w:sz w:val="20"/>
                <w:szCs w:val="20"/>
                <w:color w:val="auto"/>
              </w:rPr>
            </w:pPr>
            <w:r>
              <w:rPr>
                <w:rFonts w:ascii="Arial" w:cs="Arial" w:eastAsia="Arial" w:hAnsi="Arial"/>
                <w:sz w:val="16"/>
                <w:szCs w:val="16"/>
                <w:color w:val="auto"/>
              </w:rPr>
              <w:t>Unrealized gains (losses) arising during period</w:t>
            </w:r>
          </w:p>
        </w:tc>
        <w:tc>
          <w:tcPr>
            <w:tcW w:w="160" w:type="dxa"/>
            <w:vAlign w:val="bottom"/>
          </w:tcPr>
          <w:p>
            <w:pPr>
              <w:spacing w:after="0"/>
              <w:rPr>
                <w:sz w:val="20"/>
                <w:szCs w:val="20"/>
                <w:color w:val="auto"/>
              </w:rPr>
            </w:pPr>
          </w:p>
        </w:tc>
        <w:tc>
          <w:tcPr>
            <w:tcW w:w="680" w:type="dxa"/>
            <w:vAlign w:val="bottom"/>
          </w:tcPr>
          <w:p>
            <w:pPr>
              <w:jc w:val="right"/>
              <w:ind w:right="2"/>
              <w:spacing w:after="0"/>
              <w:rPr>
                <w:sz w:val="20"/>
                <w:szCs w:val="20"/>
                <w:color w:val="auto"/>
              </w:rPr>
            </w:pPr>
            <w:r>
              <w:rPr>
                <w:rFonts w:ascii="Arial" w:cs="Arial" w:eastAsia="Arial" w:hAnsi="Arial"/>
                <w:sz w:val="16"/>
                <w:szCs w:val="16"/>
                <w:b w:val="1"/>
                <w:bCs w:val="1"/>
                <w:color w:val="auto"/>
              </w:rPr>
              <w:t>(35)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ind w:right="42"/>
              <w:spacing w:after="0"/>
              <w:rPr>
                <w:sz w:val="20"/>
                <w:szCs w:val="20"/>
                <w:color w:val="auto"/>
              </w:rPr>
            </w:pPr>
            <w:r>
              <w:rPr>
                <w:rFonts w:ascii="Arial" w:cs="Arial" w:eastAsia="Arial" w:hAnsi="Arial"/>
                <w:sz w:val="16"/>
                <w:szCs w:val="16"/>
                <w:b w:val="1"/>
                <w:bCs w:val="1"/>
                <w:color w:val="auto"/>
              </w:rPr>
              <w:t>11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b w:val="1"/>
                <w:bCs w:val="1"/>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12</w:t>
            </w: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b w:val="1"/>
                <w:bCs w:val="1"/>
                <w:color w:val="auto"/>
              </w:rPr>
              <w:t>14</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26</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640" w:type="dxa"/>
            <w:vAlign w:val="bottom"/>
            <w:tcBorders>
              <w:top w:val="single" w:sz="8" w:color="auto"/>
            </w:tcBorders>
          </w:tcPr>
          <w:p>
            <w:pPr>
              <w:jc w:val="right"/>
              <w:ind w:right="22"/>
              <w:spacing w:after="0"/>
              <w:rPr>
                <w:sz w:val="20"/>
                <w:szCs w:val="20"/>
                <w:color w:val="auto"/>
              </w:rPr>
            </w:pPr>
            <w:r>
              <w:rPr>
                <w:rFonts w:ascii="Arial" w:cs="Arial" w:eastAsia="Arial" w:hAnsi="Arial"/>
                <w:sz w:val="16"/>
                <w:szCs w:val="16"/>
                <w:color w:val="auto"/>
              </w:rPr>
              <w:t>9</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406</w:t>
            </w:r>
          </w:p>
        </w:tc>
        <w:tc>
          <w:tcPr>
            <w:tcW w:w="0" w:type="dxa"/>
            <w:vAlign w:val="bottom"/>
          </w:tcPr>
          <w:p>
            <w:pPr>
              <w:spacing w:after="0"/>
              <w:rPr>
                <w:sz w:val="1"/>
                <w:szCs w:val="1"/>
                <w:color w:val="auto"/>
              </w:rPr>
            </w:pP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82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9" w:right="239" w:bottom="1440" w:gutter="0" w:footer="0" w:header="0"/>
        </w:sectPr>
      </w:pPr>
    </w:p>
    <w:bookmarkStart w:id="4" w:name="page5"/>
    <w:bookmarkEnd w:id="4"/>
    <w:p>
      <w:pPr>
        <w:jc w:val="center"/>
        <w:ind w:right="-13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6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tcPr>
          <w:p>
            <w:pPr>
              <w:jc w:val="right"/>
              <w:ind w:right="431"/>
              <w:spacing w:after="0"/>
              <w:rPr>
                <w:sz w:val="20"/>
                <w:szCs w:val="20"/>
                <w:color w:val="auto"/>
              </w:rPr>
            </w:pPr>
            <w:r>
              <w:rPr>
                <w:rFonts w:ascii="Arial" w:cs="Arial" w:eastAsia="Arial" w:hAnsi="Arial"/>
                <w:sz w:val="14"/>
                <w:szCs w:val="14"/>
                <w:b w:val="1"/>
                <w:bCs w:val="1"/>
                <w:color w:val="auto"/>
              </w:rPr>
              <w:t>May 1,</w:t>
            </w:r>
          </w:p>
        </w:tc>
        <w:tc>
          <w:tcPr>
            <w:tcW w:w="300" w:type="dxa"/>
            <w:vAlign w:val="bottom"/>
          </w:tcPr>
          <w:p>
            <w:pPr>
              <w:spacing w:after="0"/>
              <w:rPr>
                <w:sz w:val="14"/>
                <w:szCs w:val="14"/>
                <w:color w:val="auto"/>
              </w:rPr>
            </w:pPr>
          </w:p>
        </w:tc>
        <w:tc>
          <w:tcPr>
            <w:tcW w:w="1100" w:type="dxa"/>
            <w:vAlign w:val="bottom"/>
          </w:tcPr>
          <w:p>
            <w:pPr>
              <w:jc w:val="right"/>
              <w:ind w:right="291"/>
              <w:spacing w:after="0"/>
              <w:rPr>
                <w:sz w:val="20"/>
                <w:szCs w:val="20"/>
                <w:color w:val="auto"/>
              </w:rPr>
            </w:pPr>
            <w:r>
              <w:rPr>
                <w:rFonts w:ascii="Arial" w:cs="Arial" w:eastAsia="Arial" w:hAnsi="Arial"/>
                <w:sz w:val="14"/>
                <w:szCs w:val="14"/>
                <w:b w:val="1"/>
                <w:bCs w:val="1"/>
                <w:color w:val="auto"/>
              </w:rPr>
              <w:t>August 2,</w:t>
            </w:r>
          </w:p>
        </w:tc>
      </w:tr>
      <w:tr>
        <w:trPr>
          <w:trHeight w:val="192"/>
        </w:trPr>
        <w:tc>
          <w:tcPr>
            <w:tcW w:w="69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Cash and cash equivalents</w:t>
            </w:r>
          </w:p>
        </w:tc>
        <w:tc>
          <w:tcPr>
            <w:tcW w:w="174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383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253</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Accounts receivable, net</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648</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647</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829</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995</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182</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198</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2,042</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2,093</w:t>
            </w:r>
          </w:p>
        </w:tc>
      </w:tr>
      <w:tr>
        <w:trPr>
          <w:trHeight w:val="27"/>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2,371</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2,347</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Goodwill</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2,377</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2,344</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1,197</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Other assets ($28 and $0 attributable to variable interest entity)</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94</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7"/>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8,081</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8,090</w:t>
            </w:r>
          </w:p>
        </w:tc>
      </w:tr>
      <w:tr>
        <w:trPr>
          <w:trHeight w:val="20"/>
        </w:trPr>
        <w:tc>
          <w:tcPr>
            <w:tcW w:w="69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Short-term borrowings</w:t>
            </w:r>
          </w:p>
        </w:tc>
        <w:tc>
          <w:tcPr>
            <w:tcW w:w="17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1,134</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1,543</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Payable to suppliers and others</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487</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544</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602</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589</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Dividend payable</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100</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income taxes</w:t>
            </w:r>
          </w:p>
        </w:tc>
        <w:tc>
          <w:tcPr>
            <w:tcW w:w="1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54</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2,377</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2,806</w:t>
            </w:r>
          </w:p>
        </w:tc>
      </w:tr>
      <w:tr>
        <w:trPr>
          <w:trHeight w:val="27"/>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2,552</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2,552</w:t>
            </w: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485</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505</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7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993</w:t>
            </w: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6,407</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6,713</w:t>
            </w:r>
          </w:p>
        </w:tc>
      </w:tr>
      <w:tr>
        <w:trPr>
          <w:trHeight w:val="27"/>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690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1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Preferred stock; authorized 40 shares; none issued</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12</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342</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339</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Earnings retained in the business</w:t>
            </w:r>
          </w:p>
        </w:tc>
        <w:tc>
          <w:tcPr>
            <w:tcW w:w="1740" w:type="dxa"/>
            <w:vAlign w:val="bottom"/>
          </w:tcPr>
          <w:p>
            <w:pPr>
              <w:spacing w:after="0"/>
              <w:rPr>
                <w:sz w:val="21"/>
                <w:szCs w:val="21"/>
                <w:color w:val="auto"/>
              </w:rPr>
            </w:pPr>
          </w:p>
        </w:tc>
        <w:tc>
          <w:tcPr>
            <w:tcW w:w="1100" w:type="dxa"/>
            <w:vAlign w:val="bottom"/>
          </w:tcPr>
          <w:p>
            <w:pPr>
              <w:jc w:val="right"/>
              <w:ind w:right="51"/>
              <w:spacing w:after="0"/>
              <w:rPr>
                <w:sz w:val="20"/>
                <w:szCs w:val="20"/>
                <w:color w:val="auto"/>
              </w:rPr>
            </w:pPr>
            <w:r>
              <w:rPr>
                <w:rFonts w:ascii="Arial" w:cs="Arial" w:eastAsia="Arial" w:hAnsi="Arial"/>
                <w:sz w:val="18"/>
                <w:szCs w:val="18"/>
                <w:b w:val="1"/>
                <w:bCs w:val="1"/>
                <w:color w:val="auto"/>
              </w:rPr>
              <w:t>2,105</w:t>
            </w:r>
          </w:p>
        </w:tc>
        <w:tc>
          <w:tcPr>
            <w:tcW w:w="30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1,754</w:t>
            </w:r>
          </w:p>
        </w:tc>
      </w:tr>
      <w:tr>
        <w:trPr>
          <w:trHeight w:val="27"/>
        </w:trPr>
        <w:tc>
          <w:tcPr>
            <w:tcW w:w="69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Capital stock in treasury, at cost</w:t>
            </w:r>
          </w:p>
        </w:tc>
        <w:tc>
          <w:tcPr>
            <w:tcW w:w="17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(639)</w:t>
            </w: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43"/>
        </w:trPr>
        <w:tc>
          <w:tcPr>
            <w:tcW w:w="690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17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b w:val="1"/>
                <w:bCs w:val="1"/>
                <w:color w:val="auto"/>
              </w:rPr>
              <w:t>(144)</w:t>
            </w:r>
          </w:p>
        </w:tc>
        <w:tc>
          <w:tcPr>
            <w:tcW w:w="3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7"/>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1,676</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1,381</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17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6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17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1,674</w:t>
            </w:r>
          </w:p>
        </w:tc>
        <w:tc>
          <w:tcPr>
            <w:tcW w:w="3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1,377</w:t>
            </w:r>
          </w:p>
        </w:tc>
      </w:tr>
      <w:tr>
        <w:trPr>
          <w:trHeight w:val="237"/>
        </w:trPr>
        <w:tc>
          <w:tcPr>
            <w:tcW w:w="690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7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8,081</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8,090</w:t>
            </w:r>
          </w:p>
        </w:tc>
      </w:tr>
      <w:tr>
        <w:trPr>
          <w:trHeight w:val="27"/>
        </w:trPr>
        <w:tc>
          <w:tcPr>
            <w:tcW w:w="69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69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80"/>
          </w:cols>
          <w:pgMar w:left="240" w:top="1229" w:right="37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p>
      <w:pPr>
        <w:jc w:val="right"/>
        <w:ind w:right="560"/>
        <w:spacing w:after="0"/>
        <w:rPr>
          <w:sz w:val="20"/>
          <w:szCs w:val="20"/>
          <w:color w:val="auto"/>
        </w:rPr>
      </w:pPr>
      <w:r>
        <w:rPr>
          <w:rFonts w:ascii="Arial" w:cs="Arial" w:eastAsia="Arial" w:hAnsi="Arial"/>
          <w:sz w:val="14"/>
          <w:szCs w:val="14"/>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23495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 w:lineRule="exact"/>
        <w:rPr>
          <w:sz w:val="20"/>
          <w:szCs w:val="20"/>
          <w:color w:val="auto"/>
        </w:rPr>
      </w:pPr>
    </w:p>
    <w:p>
      <w:pPr>
        <w:jc w:val="right"/>
        <w:ind w:right="360"/>
        <w:spacing w:after="0"/>
        <w:tabs>
          <w:tab w:leader="none" w:pos="420" w:val="left"/>
        </w:tabs>
        <w:rPr>
          <w:sz w:val="20"/>
          <w:szCs w:val="20"/>
          <w:color w:val="auto"/>
        </w:rPr>
      </w:pPr>
      <w:r>
        <w:rPr>
          <w:rFonts w:ascii="Arial" w:cs="Arial" w:eastAsia="Arial" w:hAnsi="Arial"/>
          <w:sz w:val="14"/>
          <w:szCs w:val="14"/>
          <w:b w:val="1"/>
          <w:bCs w:val="1"/>
          <w:color w:val="auto"/>
        </w:rPr>
        <w:t>May 1,</w:t>
      </w:r>
      <w:r>
        <w:rPr>
          <w:sz w:val="20"/>
          <w:szCs w:val="20"/>
          <w:color w:val="auto"/>
        </w:rPr>
        <w:tab/>
      </w:r>
      <w:r>
        <w:rPr>
          <w:rFonts w:ascii="Arial" w:cs="Arial" w:eastAsia="Arial" w:hAnsi="Arial"/>
          <w:sz w:val="14"/>
          <w:szCs w:val="14"/>
          <w:b w:val="1"/>
          <w:bCs w:val="1"/>
          <w:color w:val="auto"/>
        </w:rPr>
        <w:t>May 3,</w:t>
      </w:r>
    </w:p>
    <w:p>
      <w:pPr>
        <w:spacing w:after="0" w:line="4" w:lineRule="exact"/>
        <w:rPr>
          <w:sz w:val="20"/>
          <w:szCs w:val="20"/>
          <w:color w:val="auto"/>
        </w:rPr>
      </w:pPr>
    </w:p>
    <w:p>
      <w:pPr>
        <w:jc w:val="both"/>
        <w:ind w:left="9460"/>
        <w:spacing w:after="0"/>
        <w:tabs>
          <w:tab w:leader="none" w:pos="107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ectPr>
          <w:pgSz w:w="11900" w:h="16838" w:orient="portrait"/>
          <w:cols w:equalWidth="0" w:num="1">
            <w:col w:w="11420"/>
          </w:cols>
          <w:pgMar w:left="240" w:top="1229" w:right="239" w:bottom="1440" w:gutter="0" w:footer="0" w:header="0"/>
        </w:sectPr>
      </w:pPr>
    </w:p>
    <w:p>
      <w:pPr>
        <w:spacing w:after="0" w:line="10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Adjustments to reconcile net earnings to operating cash flow</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Pension and postretirement benefit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net</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working capital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receivable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assets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Receipts from hedging activities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tabs>
          <w:tab w:leader="none" w:pos="740" w:val="left"/>
          <w:tab w:leader="none" w:pos="1240" w:val="left"/>
          <w:tab w:leader="none" w:pos="19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644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649</w:t>
      </w:r>
    </w:p>
    <w:p>
      <w:pPr>
        <w:spacing w:after="0" w:line="360" w:lineRule="exact"/>
        <w:rPr>
          <w:sz w:val="20"/>
          <w:szCs w:val="20"/>
          <w:color w:val="auto"/>
        </w:rPr>
      </w:pPr>
    </w:p>
    <w:p>
      <w:pPr>
        <w:ind w:left="2180" w:hanging="1333"/>
        <w:spacing w:after="0"/>
        <w:tabs>
          <w:tab w:leader="none" w:pos="218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9</w:t>
      </w:r>
    </w:p>
    <w:p>
      <w:pPr>
        <w:spacing w:after="0" w:line="86" w:lineRule="exact"/>
        <w:rPr>
          <w:sz w:val="20"/>
          <w:szCs w:val="20"/>
          <w:color w:val="auto"/>
        </w:rPr>
      </w:pPr>
    </w:p>
    <w:p>
      <w:pPr>
        <w:ind w:left="2080" w:hanging="1233"/>
        <w:spacing w:after="0"/>
        <w:tabs>
          <w:tab w:leader="none" w:pos="208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46</w:t>
      </w:r>
    </w:p>
    <w:p>
      <w:pPr>
        <w:spacing w:after="0" w:line="86" w:lineRule="exact"/>
        <w:rPr>
          <w:sz w:val="20"/>
          <w:szCs w:val="20"/>
          <w:color w:val="auto"/>
        </w:rPr>
      </w:pPr>
    </w:p>
    <w:p>
      <w:pPr>
        <w:ind w:left="2180" w:hanging="1414"/>
        <w:spacing w:after="0"/>
        <w:tabs>
          <w:tab w:leader="none" w:pos="218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9</w:t>
      </w:r>
    </w:p>
    <w:p>
      <w:pPr>
        <w:spacing w:after="0" w:line="86" w:lineRule="exact"/>
        <w:rPr>
          <w:sz w:val="20"/>
          <w:szCs w:val="20"/>
          <w:color w:val="auto"/>
        </w:rPr>
      </w:pPr>
    </w:p>
    <w:p>
      <w:pPr>
        <w:ind w:left="2000" w:hanging="1234"/>
        <w:spacing w:after="0"/>
        <w:tabs>
          <w:tab w:leader="none" w:pos="20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223</w:t>
      </w:r>
    </w:p>
    <w:p>
      <w:pPr>
        <w:spacing w:after="0" w:line="86" w:lineRule="exact"/>
        <w:rPr>
          <w:sz w:val="20"/>
          <w:szCs w:val="20"/>
          <w:color w:val="auto"/>
        </w:rPr>
      </w:pPr>
    </w:p>
    <w:p>
      <w:pPr>
        <w:ind w:left="2080" w:hanging="1152"/>
        <w:spacing w:after="0"/>
        <w:tabs>
          <w:tab w:leader="none" w:pos="20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28</w:t>
      </w:r>
    </w:p>
    <w:p>
      <w:pPr>
        <w:spacing w:after="0" w:line="86" w:lineRule="exact"/>
        <w:rPr>
          <w:sz w:val="20"/>
          <w:szCs w:val="20"/>
          <w:color w:val="auto"/>
        </w:rPr>
      </w:pPr>
    </w:p>
    <w:p>
      <w:pPr>
        <w:ind w:left="2080" w:hanging="1152"/>
        <w:spacing w:after="0"/>
        <w:tabs>
          <w:tab w:leader="none" w:pos="20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15</w:t>
      </w:r>
    </w:p>
    <w:p>
      <w:pPr>
        <w:spacing w:after="0" w:line="356" w:lineRule="exact"/>
        <w:rPr>
          <w:sz w:val="20"/>
          <w:szCs w:val="20"/>
          <w:color w:val="auto"/>
        </w:rPr>
      </w:pPr>
    </w:p>
    <w:p>
      <w:pPr>
        <w:ind w:left="2080" w:hanging="1152"/>
        <w:spacing w:after="0"/>
        <w:tabs>
          <w:tab w:leader="none" w:pos="20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19</w:t>
      </w:r>
    </w:p>
    <w:p>
      <w:pPr>
        <w:spacing w:after="0" w:line="86" w:lineRule="exact"/>
        <w:rPr>
          <w:sz w:val="20"/>
          <w:szCs w:val="20"/>
          <w:color w:val="auto"/>
        </w:rPr>
      </w:pPr>
    </w:p>
    <w:p>
      <w:pPr>
        <w:ind w:left="2000" w:hanging="1234"/>
        <w:spacing w:after="0"/>
        <w:tabs>
          <w:tab w:leader="none" w:pos="2000" w:val="left"/>
        </w:tabs>
        <w:numPr>
          <w:ilvl w:val="0"/>
          <w:numId w:val="8"/>
        </w:numPr>
        <w:rPr>
          <w:rFonts w:ascii="Arial" w:cs="Arial" w:eastAsia="Arial" w:hAnsi="Arial"/>
          <w:sz w:val="16"/>
          <w:szCs w:val="16"/>
          <w:b w:val="1"/>
          <w:bCs w:val="1"/>
          <w:color w:val="auto"/>
        </w:rPr>
      </w:pPr>
      <w:r>
        <w:rPr>
          <w:rFonts w:ascii="Arial" w:cs="Arial" w:eastAsia="Arial" w:hAnsi="Arial"/>
          <w:sz w:val="16"/>
          <w:szCs w:val="16"/>
          <w:color w:val="auto"/>
        </w:rPr>
        <w:t>109</w:t>
      </w:r>
    </w:p>
    <w:p>
      <w:pPr>
        <w:spacing w:after="0" w:line="86" w:lineRule="exact"/>
        <w:rPr>
          <w:sz w:val="20"/>
          <w:szCs w:val="20"/>
          <w:color w:val="auto"/>
        </w:rPr>
      </w:pPr>
    </w:p>
    <w:p>
      <w:pPr>
        <w:ind w:left="2100" w:hanging="1172"/>
        <w:spacing w:after="0"/>
        <w:tabs>
          <w:tab w:leader="none" w:pos="2100" w:val="left"/>
        </w:tabs>
        <w:numPr>
          <w:ilvl w:val="0"/>
          <w:numId w:val="9"/>
        </w:numPr>
        <w:rPr>
          <w:rFonts w:ascii="Arial" w:cs="Arial" w:eastAsia="Arial" w:hAnsi="Arial"/>
          <w:sz w:val="16"/>
          <w:szCs w:val="16"/>
          <w:b w:val="1"/>
          <w:bCs w:val="1"/>
          <w:color w:val="auto"/>
        </w:rPr>
      </w:pPr>
      <w:r>
        <w:rPr>
          <w:rFonts w:ascii="Arial" w:cs="Arial" w:eastAsia="Arial" w:hAnsi="Arial"/>
          <w:sz w:val="16"/>
          <w:szCs w:val="16"/>
          <w:color w:val="auto"/>
        </w:rPr>
        <w:t>11</w:t>
      </w:r>
    </w:p>
    <w:p>
      <w:pPr>
        <w:spacing w:after="0" w:line="86" w:lineRule="exact"/>
        <w:rPr>
          <w:sz w:val="20"/>
          <w:szCs w:val="20"/>
          <w:color w:val="auto"/>
        </w:rPr>
      </w:pPr>
    </w:p>
    <w:p>
      <w:pPr>
        <w:ind w:left="1960" w:hanging="1166"/>
        <w:spacing w:after="0"/>
        <w:tabs>
          <w:tab w:leader="none" w:pos="1960" w:val="left"/>
        </w:tabs>
        <w:numPr>
          <w:ilvl w:val="0"/>
          <w:numId w:val="10"/>
        </w:numPr>
        <w:rPr>
          <w:rFonts w:ascii="Arial" w:cs="Arial" w:eastAsia="Arial" w:hAnsi="Arial"/>
          <w:sz w:val="14"/>
          <w:szCs w:val="14"/>
          <w:b w:val="1"/>
          <w:bCs w:val="1"/>
          <w:color w:val="auto"/>
        </w:rPr>
      </w:pPr>
      <w:r>
        <w:rPr>
          <w:rFonts w:ascii="Arial" w:cs="Arial" w:eastAsia="Arial" w:hAnsi="Arial"/>
          <w:sz w:val="14"/>
          <w:szCs w:val="14"/>
          <w:color w:val="auto"/>
        </w:rPr>
        <w:t>(110)</w:t>
      </w:r>
    </w:p>
    <w:p>
      <w:pPr>
        <w:spacing w:after="0" w:line="109" w:lineRule="exact"/>
        <w:rPr>
          <w:sz w:val="20"/>
          <w:szCs w:val="20"/>
          <w:color w:val="auto"/>
        </w:rPr>
      </w:pPr>
    </w:p>
    <w:p>
      <w:pPr>
        <w:ind w:left="2100" w:hanging="1172"/>
        <w:spacing w:after="0"/>
        <w:tabs>
          <w:tab w:leader="none" w:pos="210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11</w:t>
      </w:r>
    </w:p>
    <w:p>
      <w:pPr>
        <w:spacing w:after="0" w:line="86" w:lineRule="exact"/>
        <w:rPr>
          <w:sz w:val="20"/>
          <w:szCs w:val="20"/>
          <w:color w:val="auto"/>
        </w:rPr>
      </w:pPr>
    </w:p>
    <w:p>
      <w:pPr>
        <w:ind w:left="2040" w:hanging="1246"/>
        <w:spacing w:after="0"/>
        <w:tabs>
          <w:tab w:leader="none" w:pos="204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(48)</w:t>
      </w:r>
    </w:p>
    <w:p>
      <w:pPr>
        <w:spacing w:after="0" w:line="118" w:lineRule="exact"/>
        <w:rPr>
          <w:rFonts w:ascii="Arial" w:cs="Arial" w:eastAsia="Arial" w:hAnsi="Arial"/>
          <w:sz w:val="14"/>
          <w:szCs w:val="14"/>
          <w:b w:val="1"/>
          <w:bCs w:val="1"/>
          <w:color w:val="auto"/>
        </w:rPr>
      </w:pPr>
    </w:p>
    <w:p>
      <w:pPr>
        <w:ind w:left="640"/>
        <w:spacing w:after="0"/>
        <w:rPr>
          <w:rFonts w:ascii="Arial" w:cs="Arial" w:eastAsia="Arial" w:hAnsi="Arial"/>
          <w:sz w:val="14"/>
          <w:szCs w:val="14"/>
          <w:b w:val="1"/>
          <w:bCs w:val="1"/>
          <w:color w:val="auto"/>
        </w:rPr>
      </w:pPr>
      <w:r>
        <w:rPr>
          <w:rFonts w:ascii="Arial" w:cs="Arial" w:eastAsia="Arial" w:hAnsi="Arial"/>
          <w:sz w:val="16"/>
          <w:szCs w:val="16"/>
          <w:b w:val="1"/>
          <w:bCs w:val="1"/>
          <w:color w:val="auto"/>
        </w:rPr>
        <w:t>1,183</w:t>
      </w:r>
      <w:r>
        <w:rPr>
          <w:rFonts w:ascii="Arial" w:cs="Arial" w:eastAsia="Arial" w:hAnsi="Arial"/>
          <w:sz w:val="15"/>
          <w:szCs w:val="15"/>
          <w:color w:val="auto"/>
        </w:rPr>
        <w:t>971</w:t>
      </w:r>
    </w:p>
    <w:p>
      <w:pPr>
        <w:spacing w:after="0" w:line="343" w:lineRule="exact"/>
        <w:rPr>
          <w:sz w:val="20"/>
          <w:szCs w:val="20"/>
          <w:color w:val="auto"/>
        </w:rPr>
      </w:pPr>
    </w:p>
    <w:p>
      <w:pPr>
        <w:sectPr>
          <w:pgSz w:w="11900" w:h="16838" w:orient="portrait"/>
          <w:cols w:equalWidth="0" w:num="2">
            <w:col w:w="8340" w:space="720"/>
            <w:col w:w="2360"/>
          </w:cols>
          <w:pgMar w:left="240" w:top="1229" w:right="239" w:bottom="1440" w:gutter="0" w:footer="0" w:header="0"/>
          <w:type w:val="continuous"/>
        </w:sectPr>
      </w:pPr>
    </w:p>
    <w:tbl>
      <w:tblPr>
        <w:tblLayout w:type="fixed"/>
        <w:tblInd w:w="0" w:type="dxa"/>
        <w:tblCellMar>
          <w:top w:w="0" w:type="dxa"/>
          <w:left w:w="0" w:type="dxa"/>
          <w:bottom w:w="0" w:type="dxa"/>
          <w:right w:w="0" w:type="dxa"/>
        </w:tblCellMar>
      </w:tblPr>
      <w:tr>
        <w:trPr>
          <w:trHeight w:val="250"/>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plant assets</w:t>
            </w:r>
          </w:p>
        </w:tc>
        <w:tc>
          <w:tcPr>
            <w:tcW w:w="41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(225)</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(242)</w:t>
            </w:r>
          </w:p>
        </w:tc>
      </w:tr>
      <w:tr>
        <w:trPr>
          <w:trHeight w:val="237"/>
        </w:trPr>
        <w:tc>
          <w:tcPr>
            <w:tcW w:w="6400" w:type="dxa"/>
            <w:vAlign w:val="bottom"/>
          </w:tcPr>
          <w:p>
            <w:pPr>
              <w:ind w:left="180"/>
              <w:spacing w:after="0"/>
              <w:rPr>
                <w:sz w:val="20"/>
                <w:szCs w:val="20"/>
                <w:color w:val="auto"/>
              </w:rPr>
            </w:pPr>
            <w:r>
              <w:rPr>
                <w:rFonts w:ascii="Arial" w:cs="Arial" w:eastAsia="Arial" w:hAnsi="Arial"/>
                <w:sz w:val="16"/>
                <w:szCs w:val="16"/>
                <w:color w:val="auto"/>
              </w:rPr>
              <w:t>Sales of plant assets</w:t>
            </w:r>
          </w:p>
        </w:tc>
        <w:tc>
          <w:tcPr>
            <w:tcW w:w="4160" w:type="dxa"/>
            <w:vAlign w:val="bottom"/>
          </w:tcPr>
          <w:p>
            <w:pPr>
              <w:jc w:val="right"/>
              <w:ind w:right="419"/>
              <w:spacing w:after="0"/>
              <w:rPr>
                <w:sz w:val="20"/>
                <w:szCs w:val="20"/>
                <w:color w:val="auto"/>
              </w:rPr>
            </w:pPr>
            <w:r>
              <w:rPr>
                <w:rFonts w:ascii="Arial" w:cs="Arial" w:eastAsia="Arial" w:hAnsi="Arial"/>
                <w:sz w:val="16"/>
                <w:szCs w:val="16"/>
                <w:b w:val="1"/>
                <w:bCs w:val="1"/>
                <w:color w:val="auto"/>
              </w:rPr>
              <w:t>5</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w:t>
            </w:r>
          </w:p>
        </w:tc>
      </w:tr>
      <w:tr>
        <w:trPr>
          <w:trHeight w:val="33"/>
        </w:trPr>
        <w:tc>
          <w:tcPr>
            <w:tcW w:w="6400" w:type="dxa"/>
            <w:vAlign w:val="bottom"/>
          </w:tcPr>
          <w:p>
            <w:pPr>
              <w:spacing w:after="0"/>
              <w:rPr>
                <w:sz w:val="2"/>
                <w:szCs w:val="2"/>
                <w:color w:val="auto"/>
              </w:rPr>
            </w:pPr>
          </w:p>
        </w:tc>
        <w:tc>
          <w:tcPr>
            <w:tcW w:w="41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75"/>
        </w:trPr>
        <w:tc>
          <w:tcPr>
            <w:tcW w:w="64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Other, net</w:t>
            </w:r>
          </w:p>
        </w:tc>
        <w:tc>
          <w:tcPr>
            <w:tcW w:w="4160" w:type="dxa"/>
            <w:vAlign w:val="bottom"/>
            <w:tcBorders>
              <w:bottom w:val="single" w:sz="8" w:color="CCEEFF"/>
            </w:tcBorders>
            <w:shd w:val="clear" w:color="auto" w:fill="CCEEFF"/>
          </w:tcPr>
          <w:p>
            <w:pPr>
              <w:jc w:val="right"/>
              <w:ind w:right="359"/>
              <w:spacing w:after="0"/>
              <w:rPr>
                <w:sz w:val="20"/>
                <w:szCs w:val="20"/>
                <w:color w:val="auto"/>
              </w:rPr>
            </w:pPr>
            <w:r>
              <w:rPr>
                <w:rFonts w:ascii="Arial" w:cs="Arial" w:eastAsia="Arial" w:hAnsi="Arial"/>
                <w:sz w:val="16"/>
                <w:szCs w:val="16"/>
                <w:b w:val="1"/>
                <w:bCs w:val="1"/>
                <w:color w:val="auto"/>
              </w:rPr>
              <w:t>(14)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31"/>
        </w:trPr>
        <w:tc>
          <w:tcPr>
            <w:tcW w:w="640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auto"/>
              </w:rPr>
              <w:t>Net cash used in investing activities</w:t>
            </w:r>
          </w:p>
        </w:tc>
        <w:tc>
          <w:tcPr>
            <w:tcW w:w="4160" w:type="dxa"/>
            <w:vAlign w:val="bottom"/>
            <w:tcBorders>
              <w:top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(234)</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financing activities:</w:t>
      </w:r>
    </w:p>
    <w:p>
      <w:pPr>
        <w:sectPr>
          <w:pgSz w:w="11900" w:h="16838" w:orient="portrait"/>
          <w:cols w:equalWidth="0" w:num="1">
            <w:col w:w="11420"/>
          </w:cols>
          <w:pgMar w:left="240" w:top="1229" w:right="239" w:bottom="1440" w:gutter="0" w:footer="0" w:header="0"/>
          <w:type w:val="continuous"/>
        </w:sectPr>
      </w:pP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short-term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Long-term borrowings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Repayments of notes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Dividends paid</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Treasury stock purchases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Treasury stock issuances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Excess tax benefits on 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Effect of exchange rate changes on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and cash equivalents —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and cash equivalents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1960" w:hanging="1247"/>
        <w:spacing w:after="0"/>
        <w:tabs>
          <w:tab w:leader="none" w:pos="196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(233)</w:t>
      </w:r>
    </w:p>
    <w:p>
      <w:pPr>
        <w:spacing w:after="0" w:line="105"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5"/>
          <w:szCs w:val="15"/>
          <w:color w:val="auto"/>
        </w:rPr>
        <w:t>300</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4"/>
          <w:szCs w:val="14"/>
          <w:color w:val="auto"/>
        </w:rPr>
        <w:t>(300)</w:t>
      </w:r>
    </w:p>
    <w:p>
      <w:pPr>
        <w:spacing w:after="0" w:line="90" w:lineRule="exact"/>
        <w:rPr>
          <w:sz w:val="20"/>
          <w:szCs w:val="20"/>
          <w:color w:val="auto"/>
        </w:rPr>
      </w:pPr>
    </w:p>
    <w:p>
      <w:pPr>
        <w:ind w:left="1960" w:hanging="1247"/>
        <w:spacing w:after="0"/>
        <w:tabs>
          <w:tab w:leader="none" w:pos="1960" w:val="left"/>
        </w:tabs>
        <w:numPr>
          <w:ilvl w:val="0"/>
          <w:numId w:val="15"/>
        </w:numPr>
        <w:rPr>
          <w:rFonts w:ascii="Arial" w:cs="Arial" w:eastAsia="Arial" w:hAnsi="Arial"/>
          <w:sz w:val="14"/>
          <w:szCs w:val="14"/>
          <w:b w:val="1"/>
          <w:bCs w:val="1"/>
          <w:color w:val="auto"/>
        </w:rPr>
      </w:pPr>
      <w:r>
        <w:rPr>
          <w:rFonts w:ascii="Arial" w:cs="Arial" w:eastAsia="Arial" w:hAnsi="Arial"/>
          <w:sz w:val="14"/>
          <w:szCs w:val="14"/>
          <w:color w:val="auto"/>
        </w:rPr>
        <w:t>(297)</w:t>
      </w:r>
    </w:p>
    <w:p>
      <w:pPr>
        <w:spacing w:after="0" w:line="109" w:lineRule="exact"/>
        <w:rPr>
          <w:sz w:val="20"/>
          <w:szCs w:val="20"/>
          <w:color w:val="auto"/>
        </w:rPr>
      </w:pPr>
    </w:p>
    <w:p>
      <w:pPr>
        <w:ind w:left="1960" w:hanging="1239"/>
        <w:spacing w:after="0"/>
        <w:tabs>
          <w:tab w:leader="none" w:pos="1960" w:val="left"/>
        </w:tabs>
        <w:numPr>
          <w:ilvl w:val="0"/>
          <w:numId w:val="16"/>
        </w:numPr>
        <w:rPr>
          <w:rFonts w:ascii="Arial" w:cs="Arial" w:eastAsia="Arial" w:hAnsi="Arial"/>
          <w:sz w:val="14"/>
          <w:szCs w:val="14"/>
          <w:b w:val="1"/>
          <w:bCs w:val="1"/>
          <w:color w:val="auto"/>
        </w:rPr>
      </w:pPr>
      <w:r>
        <w:rPr>
          <w:rFonts w:ascii="Arial" w:cs="Arial" w:eastAsia="Arial" w:hAnsi="Arial"/>
          <w:sz w:val="14"/>
          <w:szCs w:val="14"/>
          <w:color w:val="auto"/>
        </w:rPr>
        <w:t>(192)</w:t>
      </w:r>
    </w:p>
    <w:p>
      <w:pPr>
        <w:spacing w:after="0" w:line="109" w:lineRule="exact"/>
        <w:rPr>
          <w:sz w:val="20"/>
          <w:szCs w:val="20"/>
          <w:color w:val="auto"/>
        </w:rPr>
      </w:pPr>
    </w:p>
    <w:p>
      <w:pPr>
        <w:ind w:left="2180" w:hanging="1252"/>
        <w:spacing w:after="0"/>
        <w:tabs>
          <w:tab w:leader="none" w:pos="218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9</w:t>
      </w:r>
    </w:p>
    <w:p>
      <w:pPr>
        <w:spacing w:after="0" w:line="86" w:lineRule="exact"/>
        <w:rPr>
          <w:sz w:val="20"/>
          <w:szCs w:val="20"/>
          <w:color w:val="auto"/>
        </w:rPr>
      </w:pPr>
    </w:p>
    <w:p>
      <w:pPr>
        <w:ind w:left="2180" w:hanging="1252"/>
        <w:spacing w:after="0"/>
        <w:tabs>
          <w:tab w:leader="none" w:pos="2180" w:val="left"/>
        </w:tabs>
        <w:numPr>
          <w:ilvl w:val="0"/>
          <w:numId w:val="18"/>
        </w:numPr>
        <w:rPr>
          <w:rFonts w:ascii="Arial" w:cs="Arial" w:eastAsia="Arial" w:hAnsi="Arial"/>
          <w:sz w:val="16"/>
          <w:szCs w:val="16"/>
          <w:b w:val="1"/>
          <w:bCs w:val="1"/>
          <w:color w:val="auto"/>
        </w:rPr>
      </w:pPr>
      <w:r>
        <w:rPr>
          <w:rFonts w:ascii="Arial" w:cs="Arial" w:eastAsia="Arial" w:hAnsi="Arial"/>
          <w:sz w:val="16"/>
          <w:szCs w:val="16"/>
          <w:color w:val="auto"/>
        </w:rPr>
        <w:t>5</w:t>
      </w:r>
    </w:p>
    <w:p>
      <w:pPr>
        <w:spacing w:after="0" w:line="82" w:lineRule="exact"/>
        <w:rPr>
          <w:rFonts w:ascii="Arial" w:cs="Arial" w:eastAsia="Arial" w:hAnsi="Arial"/>
          <w:sz w:val="16"/>
          <w:szCs w:val="16"/>
          <w:b w:val="1"/>
          <w:bCs w:val="1"/>
          <w:color w:val="auto"/>
        </w:rPr>
      </w:pPr>
    </w:p>
    <w:p>
      <w:pPr>
        <w:ind w:left="840"/>
        <w:spacing w:after="0"/>
        <w:rPr>
          <w:rFonts w:ascii="Arial" w:cs="Arial" w:eastAsia="Arial" w:hAnsi="Arial"/>
          <w:sz w:val="16"/>
          <w:szCs w:val="16"/>
          <w:b w:val="1"/>
          <w:bCs w:val="1"/>
          <w:color w:val="auto"/>
        </w:rPr>
      </w:pPr>
      <w:r>
        <w:rPr>
          <w:rFonts w:ascii="Arial" w:cs="Arial" w:eastAsia="Arial" w:hAnsi="Arial"/>
          <w:sz w:val="16"/>
          <w:szCs w:val="16"/>
          <w:b w:val="1"/>
          <w:bCs w:val="1"/>
          <w:color w:val="auto"/>
        </w:rPr>
        <w:t>—</w:t>
      </w:r>
      <w:r>
        <w:rPr>
          <w:rFonts w:ascii="Arial" w:cs="Arial" w:eastAsia="Arial" w:hAnsi="Arial"/>
          <w:sz w:val="14"/>
          <w:szCs w:val="14"/>
          <w:color w:val="auto"/>
        </w:rPr>
        <w:t>(3)</w:t>
      </w:r>
    </w:p>
    <w:p>
      <w:pPr>
        <w:spacing w:after="0" w:line="104" w:lineRule="exact"/>
        <w:rPr>
          <w:sz w:val="20"/>
          <w:szCs w:val="20"/>
          <w:color w:val="auto"/>
        </w:rPr>
      </w:pPr>
    </w:p>
    <w:p>
      <w:pPr>
        <w:ind w:left="1960" w:hanging="1247"/>
        <w:spacing w:after="0"/>
        <w:tabs>
          <w:tab w:leader="none" w:pos="1960" w:val="left"/>
        </w:tabs>
        <w:numPr>
          <w:ilvl w:val="0"/>
          <w:numId w:val="19"/>
        </w:numPr>
        <w:rPr>
          <w:rFonts w:ascii="Arial" w:cs="Arial" w:eastAsia="Arial" w:hAnsi="Arial"/>
          <w:sz w:val="14"/>
          <w:szCs w:val="14"/>
          <w:b w:val="1"/>
          <w:bCs w:val="1"/>
          <w:color w:val="auto"/>
        </w:rPr>
      </w:pPr>
      <w:r>
        <w:rPr>
          <w:rFonts w:ascii="Arial" w:cs="Arial" w:eastAsia="Arial" w:hAnsi="Arial"/>
          <w:sz w:val="14"/>
          <w:szCs w:val="14"/>
          <w:color w:val="auto"/>
        </w:rPr>
        <w:t>(711)</w:t>
      </w:r>
    </w:p>
    <w:p>
      <w:pPr>
        <w:spacing w:after="0" w:line="123" w:lineRule="exact"/>
        <w:rPr>
          <w:sz w:val="20"/>
          <w:szCs w:val="20"/>
          <w:color w:val="auto"/>
        </w:rPr>
      </w:pPr>
    </w:p>
    <w:p>
      <w:pPr>
        <w:ind w:left="2040" w:hanging="1112"/>
        <w:spacing w:after="0"/>
        <w:tabs>
          <w:tab w:leader="none" w:pos="2040" w:val="left"/>
        </w:tabs>
        <w:numPr>
          <w:ilvl w:val="0"/>
          <w:numId w:val="20"/>
        </w:numPr>
        <w:rPr>
          <w:rFonts w:ascii="Arial" w:cs="Arial" w:eastAsia="Arial" w:hAnsi="Arial"/>
          <w:sz w:val="14"/>
          <w:szCs w:val="14"/>
          <w:b w:val="1"/>
          <w:bCs w:val="1"/>
          <w:color w:val="auto"/>
        </w:rPr>
      </w:pPr>
      <w:r>
        <w:rPr>
          <w:rFonts w:ascii="Arial" w:cs="Arial" w:eastAsia="Arial" w:hAnsi="Arial"/>
          <w:sz w:val="14"/>
          <w:szCs w:val="14"/>
          <w:color w:val="auto"/>
        </w:rPr>
        <w:t>(22)</w:t>
      </w:r>
    </w:p>
    <w:p>
      <w:pPr>
        <w:spacing w:after="0" w:line="123" w:lineRule="exact"/>
        <w:rPr>
          <w:sz w:val="20"/>
          <w:szCs w:val="20"/>
          <w:color w:val="auto"/>
        </w:rPr>
      </w:pPr>
    </w:p>
    <w:p>
      <w:pPr>
        <w:ind w:left="2120" w:hanging="1354"/>
        <w:spacing w:after="0"/>
        <w:tabs>
          <w:tab w:leader="none" w:pos="2120" w:val="left"/>
        </w:tabs>
        <w:numPr>
          <w:ilvl w:val="0"/>
          <w:numId w:val="21"/>
        </w:numPr>
        <w:rPr>
          <w:rFonts w:ascii="Arial" w:cs="Arial" w:eastAsia="Arial" w:hAnsi="Arial"/>
          <w:sz w:val="14"/>
          <w:szCs w:val="14"/>
          <w:b w:val="1"/>
          <w:bCs w:val="1"/>
          <w:color w:val="auto"/>
        </w:rPr>
      </w:pPr>
      <w:r>
        <w:rPr>
          <w:rFonts w:ascii="Arial" w:cs="Arial" w:eastAsia="Arial" w:hAnsi="Arial"/>
          <w:sz w:val="14"/>
          <w:szCs w:val="14"/>
          <w:color w:val="auto"/>
        </w:rPr>
        <w:t>(2)</w:t>
      </w:r>
    </w:p>
    <w:p>
      <w:pPr>
        <w:spacing w:after="0" w:line="109" w:lineRule="exact"/>
        <w:rPr>
          <w:rFonts w:ascii="Arial" w:cs="Arial" w:eastAsia="Arial" w:hAnsi="Arial"/>
          <w:sz w:val="14"/>
          <w:szCs w:val="14"/>
          <w:b w:val="1"/>
          <w:bCs w:val="1"/>
          <w:color w:val="auto"/>
        </w:rPr>
      </w:pPr>
    </w:p>
    <w:p>
      <w:pPr>
        <w:ind w:left="2000" w:hanging="1234"/>
        <w:spacing w:after="0"/>
        <w:tabs>
          <w:tab w:leader="none" w:pos="2000" w:val="left"/>
        </w:tabs>
        <w:numPr>
          <w:ilvl w:val="0"/>
          <w:numId w:val="22"/>
        </w:numPr>
        <w:rPr>
          <w:rFonts w:ascii="Arial" w:cs="Arial" w:eastAsia="Arial" w:hAnsi="Arial"/>
          <w:sz w:val="16"/>
          <w:szCs w:val="16"/>
          <w:b w:val="1"/>
          <w:bCs w:val="1"/>
          <w:color w:val="auto"/>
        </w:rPr>
      </w:pPr>
      <w:r>
        <w:rPr>
          <w:rFonts w:ascii="Arial" w:cs="Arial" w:eastAsia="Arial" w:hAnsi="Arial"/>
          <w:sz w:val="16"/>
          <w:szCs w:val="16"/>
          <w:color w:val="auto"/>
        </w:rPr>
        <w:t>232</w:t>
      </w:r>
    </w:p>
    <w:p>
      <w:pPr>
        <w:spacing w:after="0" w:line="96" w:lineRule="exact"/>
        <w:rPr>
          <w:sz w:val="20"/>
          <w:szCs w:val="20"/>
          <w:color w:val="auto"/>
        </w:rPr>
      </w:pPr>
    </w:p>
    <w:p>
      <w:pPr>
        <w:spacing w:after="0"/>
        <w:tabs>
          <w:tab w:leader="none" w:pos="740" w:val="left"/>
          <w:tab w:leader="none" w:pos="1240" w:val="left"/>
          <w:tab w:leader="none" w:pos="19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383</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230</w:t>
      </w:r>
    </w:p>
    <w:p>
      <w:pPr>
        <w:spacing w:after="0" w:line="532" w:lineRule="exact"/>
        <w:rPr>
          <w:sz w:val="20"/>
          <w:szCs w:val="20"/>
          <w:color w:val="auto"/>
        </w:rPr>
      </w:pPr>
    </w:p>
    <w:p>
      <w:pPr>
        <w:sectPr>
          <w:pgSz w:w="11900" w:h="16838" w:orient="portrait"/>
          <w:cols w:equalWidth="0" w:num="2">
            <w:col w:w="8340" w:space="720"/>
            <w:col w:w="2360"/>
          </w:cols>
          <w:pgMar w:left="240" w:top="1229" w:right="239" w:bottom="1440" w:gutter="0" w:footer="0" w:header="0"/>
          <w:type w:val="continuous"/>
        </w:sectPr>
      </w:pPr>
    </w:p>
    <w:p>
      <w:pPr>
        <w:spacing w:after="0" w:line="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229"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00" w:type="dxa"/>
            <w:vAlign w:val="bottom"/>
          </w:tcPr>
          <w:p>
            <w:pPr>
              <w:jc w:val="right"/>
              <w:ind w:right="6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2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00" w:type="dxa"/>
            <w:vAlign w:val="bottom"/>
            <w:vMerge w:val="restart"/>
          </w:tcPr>
          <w:p>
            <w:pPr>
              <w:jc w:val="right"/>
              <w:ind w:right="168"/>
              <w:spacing w:after="0" w:line="139" w:lineRule="exact"/>
              <w:rPr>
                <w:sz w:val="20"/>
                <w:szCs w:val="20"/>
                <w:color w:val="auto"/>
              </w:rPr>
            </w:pPr>
            <w:r>
              <w:rPr>
                <w:rFonts w:ascii="Arial" w:cs="Arial" w:eastAsia="Arial" w:hAnsi="Arial"/>
                <w:sz w:val="14"/>
                <w:szCs w:val="14"/>
                <w:b w:val="1"/>
                <w:bCs w:val="1"/>
                <w:color w:val="auto"/>
              </w:rPr>
              <w:t>Paid-in</w:t>
            </w:r>
          </w:p>
        </w:tc>
        <w:tc>
          <w:tcPr>
            <w:tcW w:w="22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60" w:type="dxa"/>
            <w:vAlign w:val="bottom"/>
            <w:vMerge w:val="restart"/>
          </w:tcPr>
          <w:p>
            <w:pPr>
              <w:jc w:val="right"/>
              <w:ind w:right="12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60" w:type="dxa"/>
            <w:vAlign w:val="bottom"/>
          </w:tcPr>
          <w:p>
            <w:pPr>
              <w:spacing w:after="0"/>
              <w:rPr>
                <w:sz w:val="4"/>
                <w:szCs w:val="4"/>
                <w:color w:val="auto"/>
              </w:rPr>
            </w:pPr>
          </w:p>
        </w:tc>
        <w:tc>
          <w:tcPr>
            <w:tcW w:w="8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Capital</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Interests</w:t>
            </w: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August 3, 2014</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330</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1,483</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145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1,602</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649</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649</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Dividends ($.936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(295)</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w:t>
            </w: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May 3, 2015</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1,837</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w:t>
            </w:r>
          </w:p>
        </w:tc>
        <w:tc>
          <w:tcPr>
            <w:tcW w:w="2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1,563</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August 2, 2015</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(556)</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339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1,754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1,377</w:t>
            </w:r>
          </w:p>
        </w:tc>
        <w:tc>
          <w:tcPr>
            <w:tcW w:w="0" w:type="dxa"/>
            <w:vAlign w:val="bottom"/>
          </w:tcPr>
          <w:p>
            <w:pPr>
              <w:spacing w:after="0"/>
              <w:rPr>
                <w:sz w:val="1"/>
                <w:szCs w:val="1"/>
                <w:color w:val="auto"/>
              </w:rPr>
            </w:pPr>
          </w:p>
        </w:tc>
      </w:tr>
      <w:tr>
        <w:trPr>
          <w:trHeight w:val="257"/>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Net earnings (loss)</w:t>
            </w:r>
          </w:p>
        </w:tc>
        <w:tc>
          <w:tcPr>
            <w:tcW w:w="5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80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644</w:t>
            </w:r>
          </w:p>
        </w:tc>
        <w:tc>
          <w:tcPr>
            <w:tcW w:w="18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w:t>
            </w:r>
          </w:p>
        </w:tc>
        <w:tc>
          <w:tcPr>
            <w:tcW w:w="260" w:type="dxa"/>
            <w:vAlign w:val="bottom"/>
            <w:shd w:val="clear" w:color="auto" w:fill="CCEEFF"/>
          </w:tcPr>
          <w:p>
            <w:pPr>
              <w:spacing w:after="0"/>
              <w:rPr>
                <w:sz w:val="22"/>
                <w:szCs w:val="22"/>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644</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b w:val="1"/>
                <w:bCs w:val="1"/>
                <w:color w:val="auto"/>
              </w:rPr>
              <w:t>24</w:t>
            </w:r>
          </w:p>
        </w:tc>
        <w:tc>
          <w:tcPr>
            <w:tcW w:w="240" w:type="dxa"/>
            <w:vAlign w:val="bottom"/>
          </w:tcPr>
          <w:p>
            <w:pPr>
              <w:spacing w:after="0"/>
              <w:rPr>
                <w:sz w:val="22"/>
                <w:szCs w:val="22"/>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26</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Dividends ($.936 per share)</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(293)</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(293)</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ind w:right="48"/>
              <w:spacing w:after="0"/>
              <w:rPr>
                <w:sz w:val="20"/>
                <w:szCs w:val="20"/>
                <w:color w:val="auto"/>
              </w:rPr>
            </w:pPr>
            <w:r>
              <w:rPr>
                <w:rFonts w:ascii="Arial" w:cs="Arial" w:eastAsia="Arial" w:hAnsi="Arial"/>
                <w:sz w:val="14"/>
                <w:szCs w:val="14"/>
                <w:b w:val="1"/>
                <w:bCs w:val="1"/>
                <w:color w:val="auto"/>
              </w:rPr>
              <w:t>(2)</w:t>
            </w:r>
          </w:p>
        </w:tc>
        <w:tc>
          <w:tcPr>
            <w:tcW w:w="180" w:type="dxa"/>
            <w:vAlign w:val="bottom"/>
          </w:tcPr>
          <w:p>
            <w:pPr>
              <w:spacing w:after="0"/>
              <w:rPr>
                <w:sz w:val="22"/>
                <w:szCs w:val="22"/>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2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(118)</w:t>
            </w:r>
          </w:p>
        </w:tc>
        <w:tc>
          <w:tcPr>
            <w:tcW w:w="0" w:type="dxa"/>
            <w:vAlign w:val="bottom"/>
          </w:tcPr>
          <w:p>
            <w:pPr>
              <w:spacing w:after="0"/>
              <w:rPr>
                <w:sz w:val="1"/>
                <w:szCs w:val="1"/>
                <w:color w:val="auto"/>
              </w:rPr>
            </w:pPr>
          </w:p>
        </w:tc>
      </w:tr>
      <w:tr>
        <w:trPr>
          <w:trHeight w:val="159"/>
        </w:trPr>
        <w:tc>
          <w:tcPr>
            <w:tcW w:w="242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b w:val="1"/>
                <w:bCs w:val="1"/>
                <w:color w:val="auto"/>
              </w:rPr>
              <w:t>Treasury stock issued under</w:t>
            </w:r>
          </w:p>
        </w:tc>
        <w:tc>
          <w:tcPr>
            <w:tcW w:w="5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1</w:t>
            </w:r>
          </w:p>
        </w:tc>
        <w:tc>
          <w:tcPr>
            <w:tcW w:w="1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35</w:t>
            </w:r>
          </w:p>
        </w:tc>
        <w:tc>
          <w:tcPr>
            <w:tcW w:w="24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3</w:t>
            </w: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option plans</w:t>
            </w:r>
          </w:p>
        </w:tc>
        <w:tc>
          <w:tcPr>
            <w:tcW w:w="580" w:type="dxa"/>
            <w:vAlign w:val="bottom"/>
            <w:tcBorders>
              <w:bottom w:val="single" w:sz="8" w:color="auto"/>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vMerge w:val="continue"/>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vMerge w:val="continue"/>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Balance at May 1, 2016</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(14)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342</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b w:val="1"/>
                <w:bCs w:val="1"/>
                <w:color w:val="auto"/>
              </w:rPr>
              <w:t>2,105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(144)</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w:t>
            </w:r>
          </w:p>
        </w:tc>
        <w:tc>
          <w:tcPr>
            <w:tcW w:w="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1,674</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consolidated financial statements include our accounts and entities in which we maintain a controlling financial interest and a variable interest entity (VIE) for which we are the primary beneficiary. Intercompany transactions are eliminated in consolidation.</w:t>
      </w:r>
    </w:p>
    <w:p>
      <w:pPr>
        <w:spacing w:after="0" w:line="116"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financial statements reflect all adjustments which are, in our opinion, necessary for a fair presentation of the results of operations, financial position, and cash flows for the indicated periods. The accounting policies we used in preparing these financial statements are substantially consistent with those we applied in our Annual Report on Form 10-K for the year ended August 2, 2015, with the exception of the changes in accounting policy related to our method of accounting for the recognition of actuarial gains and losses for defined benefit pension and postretirement plans and the calculation of expected return on pension plan assets as described below. As of the beginning of 2016, we are managing our operations under a new structure and have modified our segment reporting accordingly. Certain amounts in prior-year financial statements were reclassified to conform to the current-year presentation. The results for the period are not necessarily indicative of the results to be expected for other interim periods or the full year. Our fiscal year ends on the Sunday nearest July 31.</w:t>
      </w:r>
    </w:p>
    <w:p>
      <w:pPr>
        <w:spacing w:after="0" w:line="11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2016, we elected to change our method of accounting for the recognition of actuarial gains and losses for defined benefit pension and postretirement plans and the calculation of expected return on pension plan assets. Historically, actuarial gains and losses associated with benefit obligations were recognized in Accumulated other comprehensive loss in the Consolidated Balance Sheets and were amortized into earnings over the remaining service life of participants to the extent that the amounts were in excess of a corridor. Under the new policy, actuarial gains and losses will be recognized immediately in our Consolidated Statements of Earnings as of the measurement date, which is our fiscal year end, or more frequently if an interim remeasurement is required. In addition, we no longer use a market-related value of plan assets, which is an average value, to determine the expected return on assets but rather will use the fair value of plan assets. We believe the new policies will provide greater transparency to ongoing operating results and better reflect the impact of current market conditions on the obligations and assets.</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changes in policy were applied retrospectively to all periods presented. As of August 4, 2014, the cumulative effect of these changes on the opening balance sheet was a $715 decrease to Earnings retained in the business, a decrease of $2 to Inventories, a $714 reduction to Accumulated other comprehensive loss, and an increase of $1 to Other current assets.</w:t>
      </w:r>
    </w:p>
    <w:p>
      <w:pPr>
        <w:spacing w:after="0" w:line="12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2016 and 2015, we recognized mark-to-market losses as certain U.S. plans were remeasured. In 2016, the remeasurements were required due to a high level of lump sum payments to certain vested plan participants arising primarily out of a limited-time offer to accept a single lump sum in lieu of future annuity payments. In the third quarter of 2016, we recognized mark-to-market losses of $54 ($34 after tax, or $.11 per share). Year-to-date, we recognized mark-to-market losses of $175 ($110 after tax, or $.35 per share). In 2015, the remeasurements were required due to the impact of a voluntary employee separation program. In the third quarter and year-to-date period of 2015, we recognized losses of $26 ($16 after tax, or $.05 per share).</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9"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color w:val="auto"/>
        </w:rPr>
        <w:t>The impacts of the changes in policy to the consolidated financial statements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Three months ended May 1, 2016</w:t>
            </w:r>
          </w:p>
        </w:tc>
        <w:tc>
          <w:tcPr>
            <w:tcW w:w="180" w:type="dxa"/>
            <w:vAlign w:val="bottom"/>
          </w:tcPr>
          <w:p>
            <w:pPr>
              <w:spacing w:after="0"/>
              <w:rPr>
                <w:sz w:val="16"/>
                <w:szCs w:val="16"/>
                <w:color w:val="auto"/>
              </w:rPr>
            </w:pPr>
          </w:p>
        </w:tc>
        <w:tc>
          <w:tcPr>
            <w:tcW w:w="2660" w:type="dxa"/>
            <w:vAlign w:val="bottom"/>
            <w:gridSpan w:val="6"/>
          </w:tcPr>
          <w:p>
            <w:pPr>
              <w:jc w:val="center"/>
              <w:ind w:left="534"/>
              <w:spacing w:after="0"/>
              <w:rPr>
                <w:sz w:val="20"/>
                <w:szCs w:val="20"/>
                <w:color w:val="auto"/>
              </w:rPr>
            </w:pPr>
            <w:r>
              <w:rPr>
                <w:rFonts w:ascii="Arial" w:cs="Arial" w:eastAsia="Arial" w:hAnsi="Arial"/>
                <w:sz w:val="14"/>
                <w:szCs w:val="14"/>
                <w:b w:val="1"/>
                <w:bCs w:val="1"/>
                <w:color w:val="auto"/>
                <w:w w:val="92"/>
              </w:rPr>
              <w:t>Three months ended May 3, 2015</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30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Prior Accounting</w:t>
            </w: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Effect of</w:t>
            </w: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Previously</w:t>
            </w: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Effect of</w:t>
            </w: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 Statements of Earnings</w:t>
            </w: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Accounting</w:t>
            </w:r>
          </w:p>
        </w:tc>
        <w:tc>
          <w:tcPr>
            <w:tcW w:w="360" w:type="dxa"/>
            <w:vAlign w:val="bottom"/>
          </w:tcPr>
          <w:p>
            <w:pPr>
              <w:spacing w:after="0"/>
              <w:rPr>
                <w:sz w:val="12"/>
                <w:szCs w:val="12"/>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w w:val="87"/>
              </w:rPr>
              <w:t>Recast</w:t>
            </w:r>
          </w:p>
        </w:tc>
        <w:tc>
          <w:tcPr>
            <w:tcW w:w="0" w:type="dxa"/>
            <w:vAlign w:val="bottom"/>
          </w:tcPr>
          <w:p>
            <w:pPr>
              <w:spacing w:after="0"/>
              <w:rPr>
                <w:sz w:val="1"/>
                <w:szCs w:val="1"/>
                <w:color w:val="auto"/>
              </w:rPr>
            </w:pPr>
          </w:p>
        </w:tc>
      </w:tr>
      <w:tr>
        <w:trPr>
          <w:trHeight w:val="158"/>
        </w:trPr>
        <w:tc>
          <w:tcPr>
            <w:tcW w:w="40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Principles</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Change</w:t>
            </w:r>
          </w:p>
        </w:tc>
        <w:tc>
          <w:tcPr>
            <w:tcW w:w="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1,195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1,210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1,218</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Marketing and selling expenses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223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Earnings before taxes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264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259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Taxes on earnings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201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185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201</w:t>
            </w:r>
          </w:p>
        </w:tc>
        <w:tc>
          <w:tcPr>
            <w:tcW w:w="12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Earnings per share — Basic</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.65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.60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Earnings per share — Diluted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Nine months ended May 1, 2016</w:t>
            </w:r>
          </w:p>
        </w:tc>
        <w:tc>
          <w:tcPr>
            <w:tcW w:w="180" w:type="dxa"/>
            <w:vAlign w:val="bottom"/>
          </w:tcPr>
          <w:p>
            <w:pPr>
              <w:spacing w:after="0"/>
              <w:rPr>
                <w:sz w:val="24"/>
                <w:szCs w:val="24"/>
                <w:color w:val="auto"/>
              </w:rPr>
            </w:pPr>
          </w:p>
        </w:tc>
        <w:tc>
          <w:tcPr>
            <w:tcW w:w="2660" w:type="dxa"/>
            <w:vAlign w:val="bottom"/>
            <w:gridSpan w:val="6"/>
          </w:tcPr>
          <w:p>
            <w:pPr>
              <w:jc w:val="center"/>
              <w:ind w:left="534"/>
              <w:spacing w:after="0"/>
              <w:rPr>
                <w:sz w:val="20"/>
                <w:szCs w:val="20"/>
                <w:color w:val="auto"/>
              </w:rPr>
            </w:pPr>
            <w:r>
              <w:rPr>
                <w:rFonts w:ascii="Arial" w:cs="Arial" w:eastAsia="Arial" w:hAnsi="Arial"/>
                <w:sz w:val="14"/>
                <w:szCs w:val="14"/>
                <w:b w:val="1"/>
                <w:bCs w:val="1"/>
                <w:color w:val="auto"/>
                <w:w w:val="92"/>
              </w:rPr>
              <w:t>Nine months ended May 3, 2015</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130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Prior Accounting</w:t>
            </w: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Effect of</w:t>
            </w: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Previously</w:t>
            </w: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Effect of</w:t>
            </w: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 Statements of Earnings</w:t>
            </w: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Accounting</w:t>
            </w:r>
          </w:p>
        </w:tc>
        <w:tc>
          <w:tcPr>
            <w:tcW w:w="360" w:type="dxa"/>
            <w:vAlign w:val="bottom"/>
          </w:tcPr>
          <w:p>
            <w:pPr>
              <w:spacing w:after="0"/>
              <w:rPr>
                <w:sz w:val="12"/>
                <w:szCs w:val="12"/>
                <w:color w:val="auto"/>
              </w:rPr>
            </w:pPr>
          </w:p>
        </w:tc>
        <w:tc>
          <w:tcPr>
            <w:tcW w:w="780" w:type="dxa"/>
            <w:vAlign w:val="bottom"/>
            <w:vMerge w:val="restart"/>
          </w:tcPr>
          <w:p>
            <w:pPr>
              <w:jc w:val="right"/>
              <w:ind w:right="271"/>
              <w:spacing w:after="0"/>
              <w:rPr>
                <w:sz w:val="20"/>
                <w:szCs w:val="20"/>
                <w:color w:val="auto"/>
              </w:rPr>
            </w:pPr>
            <w:r>
              <w:rPr>
                <w:rFonts w:ascii="Arial" w:cs="Arial" w:eastAsia="Arial" w:hAnsi="Arial"/>
                <w:sz w:val="14"/>
                <w:szCs w:val="14"/>
                <w:b w:val="1"/>
                <w:bCs w:val="1"/>
                <w:color w:val="auto"/>
                <w:w w:val="87"/>
              </w:rPr>
              <w:t>Recast</w:t>
            </w:r>
          </w:p>
        </w:tc>
        <w:tc>
          <w:tcPr>
            <w:tcW w:w="0" w:type="dxa"/>
            <w:vAlign w:val="bottom"/>
          </w:tcPr>
          <w:p>
            <w:pPr>
              <w:spacing w:after="0"/>
              <w:rPr>
                <w:sz w:val="1"/>
                <w:szCs w:val="1"/>
                <w:color w:val="auto"/>
              </w:rPr>
            </w:pPr>
          </w:p>
        </w:tc>
      </w:tr>
      <w:tr>
        <w:trPr>
          <w:trHeight w:val="158"/>
        </w:trPr>
        <w:tc>
          <w:tcPr>
            <w:tcW w:w="40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Principles</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Change</w:t>
            </w:r>
          </w:p>
        </w:tc>
        <w:tc>
          <w:tcPr>
            <w:tcW w:w="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2260" w:type="dxa"/>
            <w:vAlign w:val="bottom"/>
            <w:tcBorders>
              <w:top w:val="single" w:sz="8" w:color="auto"/>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4,011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4,196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Marketing and selling expenses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672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677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695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454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85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1,034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Earnings before taxes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951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914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889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Taxes on earnings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43"/>
        </w:trPr>
        <w:tc>
          <w:tcPr>
            <w:tcW w:w="4020" w:type="dxa"/>
            <w:vAlign w:val="bottom"/>
            <w:gridSpan w:val="3"/>
          </w:tcPr>
          <w:p>
            <w:pPr>
              <w:ind w:left="40"/>
              <w:spacing w:after="0"/>
              <w:rPr>
                <w:sz w:val="20"/>
                <w:szCs w:val="20"/>
                <w:color w:val="auto"/>
              </w:rPr>
            </w:pPr>
            <w:r>
              <w:rPr>
                <w:rFonts w:ascii="Arial" w:cs="Arial" w:eastAsia="Arial" w:hAnsi="Arial"/>
                <w:sz w:val="18"/>
                <w:szCs w:val="18"/>
                <w:color w:val="auto"/>
              </w:rPr>
              <w:t>Net earnings</w:t>
            </w:r>
          </w:p>
        </w:tc>
        <w:tc>
          <w:tcPr>
            <w:tcW w:w="200" w:type="dxa"/>
            <w:vAlign w:val="bottom"/>
          </w:tcPr>
          <w:p>
            <w:pPr>
              <w:spacing w:after="0"/>
              <w:rPr>
                <w:sz w:val="21"/>
                <w:szCs w:val="21"/>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670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644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670</w:t>
            </w:r>
          </w:p>
        </w:tc>
        <w:tc>
          <w:tcPr>
            <w:tcW w:w="120" w:type="dxa"/>
            <w:vAlign w:val="bottom"/>
            <w:shd w:val="clear" w:color="auto" w:fill="CCEEFF"/>
          </w:tcPr>
          <w:p>
            <w:pPr>
              <w:spacing w:after="0"/>
              <w:rPr>
                <w:sz w:val="19"/>
                <w:szCs w:val="19"/>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shd w:val="clear" w:color="auto" w:fill="CCEEFF"/>
          </w:tcPr>
          <w:p>
            <w:pPr>
              <w:spacing w:after="0"/>
              <w:rPr>
                <w:sz w:val="19"/>
                <w:szCs w:val="19"/>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644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20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vMerge w:val="continue"/>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vMerge w:val="continue"/>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0"/>
        </w:trPr>
        <w:tc>
          <w:tcPr>
            <w:tcW w:w="4020" w:type="dxa"/>
            <w:vAlign w:val="bottom"/>
            <w:gridSpan w:val="3"/>
          </w:tcPr>
          <w:p>
            <w:pPr>
              <w:ind w:left="40"/>
              <w:spacing w:after="0" w:line="270" w:lineRule="exact"/>
              <w:rPr>
                <w:sz w:val="20"/>
                <w:szCs w:val="20"/>
                <w:color w:val="auto"/>
              </w:rPr>
            </w:pPr>
            <w:r>
              <w:rPr>
                <w:rFonts w:ascii="Arial" w:cs="Arial" w:eastAsia="Arial" w:hAnsi="Arial"/>
                <w:sz w:val="18"/>
                <w:szCs w:val="18"/>
                <w:color w:val="auto"/>
              </w:rPr>
              <w:t xml:space="preserve">Earnings per share - Basic </w:t>
            </w:r>
            <w:r>
              <w:rPr>
                <w:rFonts w:ascii="Arial" w:cs="Arial" w:eastAsia="Arial" w:hAnsi="Arial"/>
                <w:sz w:val="25"/>
                <w:szCs w:val="25"/>
                <w:color w:val="auto"/>
                <w:vertAlign w:val="superscript"/>
              </w:rPr>
              <w:t>(1)</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3"/>
              <w:spacing w:after="0"/>
              <w:rPr>
                <w:sz w:val="20"/>
                <w:szCs w:val="20"/>
                <w:color w:val="auto"/>
              </w:rPr>
            </w:pPr>
            <w:r>
              <w:rPr>
                <w:rFonts w:ascii="Arial" w:cs="Arial" w:eastAsia="Arial" w:hAnsi="Arial"/>
                <w:sz w:val="18"/>
                <w:szCs w:val="18"/>
                <w:b w:val="1"/>
                <w:bCs w:val="1"/>
                <w:color w:val="auto"/>
              </w:rPr>
              <w:t>2.17</w:t>
            </w:r>
          </w:p>
        </w:tc>
        <w:tc>
          <w:tcPr>
            <w:tcW w:w="12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1"/>
              <w:spacing w:after="0"/>
              <w:rPr>
                <w:sz w:val="20"/>
                <w:szCs w:val="20"/>
                <w:color w:val="auto"/>
              </w:rPr>
            </w:pPr>
            <w:r>
              <w:rPr>
                <w:rFonts w:ascii="Arial" w:cs="Arial" w:eastAsia="Arial" w:hAnsi="Arial"/>
                <w:sz w:val="18"/>
                <w:szCs w:val="18"/>
                <w:b w:val="1"/>
                <w:bCs w:val="1"/>
                <w:color w:val="auto"/>
              </w:rPr>
              <w:t>2.08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4"/>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70"/>
        </w:trPr>
        <w:tc>
          <w:tcPr>
            <w:tcW w:w="4020" w:type="dxa"/>
            <w:vAlign w:val="bottom"/>
            <w:gridSpan w:val="3"/>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Earnings per share - Diluted </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2.15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2.07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160"/>
        </w:trPr>
        <w:tc>
          <w:tcPr>
            <w:tcW w:w="4020" w:type="dxa"/>
            <w:vAlign w:val="bottom"/>
            <w:gridSpan w:val="3"/>
          </w:tcPr>
          <w:p>
            <w:pPr>
              <w:spacing w:after="0"/>
              <w:rPr>
                <w:sz w:val="20"/>
                <w:szCs w:val="20"/>
                <w:color w:val="auto"/>
              </w:rPr>
            </w:pPr>
            <w:r>
              <w:rPr>
                <w:rFonts w:ascii="Arial" w:cs="Arial" w:eastAsia="Arial" w:hAnsi="Arial"/>
                <w:sz w:val="13"/>
                <w:szCs w:val="13"/>
                <w:color w:val="auto"/>
                <w:w w:val="98"/>
              </w:rPr>
              <w:t>________________________________________________________</w:t>
            </w: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 w:lineRule="exact"/>
        <w:rPr>
          <w:sz w:val="20"/>
          <w:szCs w:val="20"/>
          <w:color w:val="auto"/>
        </w:rPr>
      </w:pPr>
    </w:p>
    <w:p>
      <w:pPr>
        <w:ind w:left="200" w:hanging="192"/>
        <w:spacing w:after="0"/>
        <w:tabs>
          <w:tab w:leader="none" w:pos="200" w:val="left"/>
        </w:tabs>
        <w:numPr>
          <w:ilvl w:val="0"/>
          <w:numId w:val="24"/>
        </w:numPr>
        <w:rPr>
          <w:rFonts w:ascii="Arial" w:cs="Arial" w:eastAsia="Arial" w:hAnsi="Arial"/>
          <w:sz w:val="23"/>
          <w:szCs w:val="23"/>
          <w:color w:val="auto"/>
          <w:vertAlign w:val="superscript"/>
        </w:rPr>
      </w:pPr>
      <w:r>
        <w:rPr>
          <w:rFonts w:ascii="Arial" w:cs="Arial" w:eastAsia="Arial" w:hAnsi="Arial"/>
          <w:sz w:val="17"/>
          <w:szCs w:val="17"/>
          <w:color w:val="auto"/>
        </w:rPr>
        <w:t>The sum of the individual per share amounts may not add due to rounding.</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Three months ended May 1, 2016</w:t>
            </w:r>
          </w:p>
        </w:tc>
        <w:tc>
          <w:tcPr>
            <w:tcW w:w="180" w:type="dxa"/>
            <w:vAlign w:val="bottom"/>
          </w:tcPr>
          <w:p>
            <w:pPr>
              <w:spacing w:after="0"/>
              <w:rPr>
                <w:sz w:val="16"/>
                <w:szCs w:val="16"/>
                <w:color w:val="auto"/>
              </w:rPr>
            </w:pPr>
          </w:p>
        </w:tc>
        <w:tc>
          <w:tcPr>
            <w:tcW w:w="2660" w:type="dxa"/>
            <w:vAlign w:val="bottom"/>
            <w:gridSpan w:val="6"/>
          </w:tcPr>
          <w:p>
            <w:pPr>
              <w:jc w:val="center"/>
              <w:ind w:left="538"/>
              <w:spacing w:after="0"/>
              <w:rPr>
                <w:sz w:val="20"/>
                <w:szCs w:val="20"/>
                <w:color w:val="auto"/>
              </w:rPr>
            </w:pPr>
            <w:r>
              <w:rPr>
                <w:rFonts w:ascii="Arial" w:cs="Arial" w:eastAsia="Arial" w:hAnsi="Arial"/>
                <w:sz w:val="14"/>
                <w:szCs w:val="14"/>
                <w:b w:val="1"/>
                <w:bCs w:val="1"/>
                <w:color w:val="auto"/>
                <w:w w:val="92"/>
              </w:rPr>
              <w:t>Three months ended May 3, 2015</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Prior Accounting</w:t>
            </w: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2"/>
              </w:rPr>
              <w:t>Effect of</w:t>
            </w: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Previously</w:t>
            </w: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Effect of</w:t>
            </w:r>
          </w:p>
        </w:tc>
        <w:tc>
          <w:tcPr>
            <w:tcW w:w="3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Consolidated Statements of Comprehensive Income</w:t>
            </w:r>
          </w:p>
        </w:tc>
        <w:tc>
          <w:tcPr>
            <w:tcW w:w="13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Accounting</w:t>
            </w:r>
          </w:p>
        </w:tc>
        <w:tc>
          <w:tcPr>
            <w:tcW w:w="360" w:type="dxa"/>
            <w:vAlign w:val="bottom"/>
          </w:tcPr>
          <w:p>
            <w:pPr>
              <w:spacing w:after="0"/>
              <w:rPr>
                <w:sz w:val="12"/>
                <w:szCs w:val="12"/>
                <w:color w:val="auto"/>
              </w:rPr>
            </w:pPr>
          </w:p>
        </w:tc>
        <w:tc>
          <w:tcPr>
            <w:tcW w:w="78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w w:val="87"/>
              </w:rPr>
              <w:t>Recast</w:t>
            </w:r>
          </w:p>
        </w:tc>
        <w:tc>
          <w:tcPr>
            <w:tcW w:w="0" w:type="dxa"/>
            <w:vAlign w:val="bottom"/>
          </w:tcPr>
          <w:p>
            <w:pPr>
              <w:spacing w:after="0"/>
              <w:rPr>
                <w:sz w:val="1"/>
                <w:szCs w:val="1"/>
                <w:color w:val="auto"/>
              </w:rPr>
            </w:pPr>
          </w:p>
        </w:tc>
      </w:tr>
      <w:tr>
        <w:trPr>
          <w:trHeight w:val="158"/>
        </w:trPr>
        <w:tc>
          <w:tcPr>
            <w:tcW w:w="4020" w:type="dxa"/>
            <w:vAlign w:val="bottom"/>
            <w:gridSpan w:val="3"/>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Principles</w:t>
            </w:r>
          </w:p>
        </w:tc>
        <w:tc>
          <w:tcPr>
            <w:tcW w:w="160" w:type="dxa"/>
            <w:vAlign w:val="bottom"/>
          </w:tcPr>
          <w:p>
            <w:pPr>
              <w:spacing w:after="0"/>
              <w:rPr>
                <w:sz w:val="13"/>
                <w:szCs w:val="13"/>
                <w:color w:val="auto"/>
              </w:rPr>
            </w:pPr>
          </w:p>
        </w:tc>
        <w:tc>
          <w:tcPr>
            <w:tcW w:w="10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Reported</w:t>
            </w:r>
          </w:p>
        </w:tc>
        <w:tc>
          <w:tcPr>
            <w:tcW w:w="160" w:type="dxa"/>
            <w:vAlign w:val="bottom"/>
          </w:tcPr>
          <w:p>
            <w:pPr>
              <w:spacing w:after="0"/>
              <w:rPr>
                <w:sz w:val="13"/>
                <w:szCs w:val="13"/>
                <w:color w:val="auto"/>
              </w:rPr>
            </w:pPr>
          </w:p>
        </w:tc>
        <w:tc>
          <w:tcPr>
            <w:tcW w:w="108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89"/>
              </w:rPr>
              <w:t>Change</w:t>
            </w:r>
          </w:p>
        </w:tc>
        <w:tc>
          <w:tcPr>
            <w:tcW w:w="36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3160" w:type="dxa"/>
            <w:vAlign w:val="bottom"/>
            <w:tcBorders>
              <w:top w:val="single" w:sz="8" w:color="auto"/>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101</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4"/>
              <w:spacing w:after="0"/>
              <w:rPr>
                <w:sz w:val="20"/>
                <w:szCs w:val="20"/>
                <w:color w:val="auto"/>
              </w:rPr>
            </w:pPr>
            <w:r>
              <w:rPr>
                <w:rFonts w:ascii="Arial" w:cs="Arial" w:eastAsia="Arial" w:hAnsi="Arial"/>
                <w:sz w:val="18"/>
                <w:szCs w:val="18"/>
                <w:b w:val="1"/>
                <w:bCs w:val="1"/>
                <w:color w:val="auto"/>
              </w:rPr>
              <w:t>101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w w:val="96"/>
              </w:rPr>
              <w:t>Net actuarial gain (loss) arising during the period</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8"/>
              </w:rPr>
              <w:t>Reclassification of net actuarial loss included in</w:t>
            </w:r>
          </w:p>
        </w:tc>
        <w:tc>
          <w:tcPr>
            <w:tcW w:w="20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2"/>
          </w:tcPr>
          <w:p>
            <w:pPr>
              <w:ind w:left="240"/>
              <w:spacing w:after="0"/>
              <w:rPr>
                <w:sz w:val="20"/>
                <w:szCs w:val="20"/>
                <w:color w:val="auto"/>
              </w:rPr>
            </w:pPr>
            <w:r>
              <w:rPr>
                <w:rFonts w:ascii="Arial" w:cs="Arial" w:eastAsia="Arial" w:hAnsi="Arial"/>
                <w:sz w:val="18"/>
                <w:szCs w:val="18"/>
                <w:color w:val="auto"/>
              </w:rPr>
              <w:t>Tax benefit / (expense)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8"/>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314" w:right="239" w:bottom="1440" w:gutter="0" w:footer="0" w:header="0"/>
          <w:type w:val="continuous"/>
        </w:sectPr>
      </w:pPr>
    </w:p>
    <w:bookmarkStart w:id="9" w:name="page10"/>
    <w:bookmarkEnd w:id="9"/>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58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Nine months ended May 1, 2016</w:t>
            </w:r>
          </w:p>
        </w:tc>
        <w:tc>
          <w:tcPr>
            <w:tcW w:w="180" w:type="dxa"/>
            <w:vAlign w:val="bottom"/>
          </w:tcPr>
          <w:p>
            <w:pPr>
              <w:spacing w:after="0"/>
              <w:rPr>
                <w:sz w:val="16"/>
                <w:szCs w:val="16"/>
                <w:color w:val="auto"/>
              </w:rPr>
            </w:pPr>
          </w:p>
        </w:tc>
        <w:tc>
          <w:tcPr>
            <w:tcW w:w="2640" w:type="dxa"/>
            <w:vAlign w:val="bottom"/>
            <w:gridSpan w:val="6"/>
          </w:tcPr>
          <w:p>
            <w:pPr>
              <w:jc w:val="center"/>
              <w:ind w:left="556"/>
              <w:spacing w:after="0"/>
              <w:rPr>
                <w:sz w:val="20"/>
                <w:szCs w:val="20"/>
                <w:color w:val="auto"/>
              </w:rPr>
            </w:pPr>
            <w:r>
              <w:rPr>
                <w:rFonts w:ascii="Arial" w:cs="Arial" w:eastAsia="Arial" w:hAnsi="Arial"/>
                <w:sz w:val="14"/>
                <w:szCs w:val="14"/>
                <w:b w:val="1"/>
                <w:bCs w:val="1"/>
                <w:color w:val="auto"/>
                <w:w w:val="92"/>
              </w:rPr>
              <w:t>Nine months ended May 3, 2015</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Prior Accounting</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Effect of</w:t>
            </w: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Previously</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Effect of</w:t>
            </w: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Consolidated Statements of Comprehensive Income</w:t>
            </w:r>
          </w:p>
        </w:tc>
        <w:tc>
          <w:tcPr>
            <w:tcW w:w="1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340" w:type="dxa"/>
            <w:vAlign w:val="bottom"/>
          </w:tcPr>
          <w:p>
            <w:pPr>
              <w:spacing w:after="0"/>
              <w:rPr>
                <w:sz w:val="12"/>
                <w:szCs w:val="12"/>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91"/>
              </w:rPr>
              <w:t>Recast</w:t>
            </w:r>
          </w:p>
        </w:tc>
        <w:tc>
          <w:tcPr>
            <w:tcW w:w="0" w:type="dxa"/>
            <w:vAlign w:val="bottom"/>
          </w:tcPr>
          <w:p>
            <w:pPr>
              <w:spacing w:after="0"/>
              <w:rPr>
                <w:sz w:val="1"/>
                <w:szCs w:val="1"/>
                <w:color w:val="auto"/>
              </w:rPr>
            </w:pPr>
          </w:p>
        </w:tc>
      </w:tr>
      <w:tr>
        <w:trPr>
          <w:trHeight w:val="158"/>
        </w:trPr>
        <w:tc>
          <w:tcPr>
            <w:tcW w:w="402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Principles</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top w:val="single" w:sz="8" w:color="auto"/>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Foreign currency translation:</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4"/>
          </w:tcPr>
          <w:p>
            <w:pPr>
              <w:ind w:left="24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58</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(238)</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(229)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Pension and other postretirement benefits: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4"/>
          </w:tcPr>
          <w:p>
            <w:pPr>
              <w:ind w:left="240"/>
              <w:spacing w:after="0"/>
              <w:rPr>
                <w:sz w:val="20"/>
                <w:szCs w:val="20"/>
                <w:color w:val="auto"/>
              </w:rPr>
            </w:pPr>
            <w:r>
              <w:rPr>
                <w:rFonts w:ascii="Arial" w:cs="Arial" w:eastAsia="Arial" w:hAnsi="Arial"/>
                <w:sz w:val="18"/>
                <w:szCs w:val="18"/>
                <w:color w:val="auto"/>
                <w:w w:val="96"/>
              </w:rPr>
              <w:t>Net actuarial gain (loss) arising during the period</w:t>
            </w:r>
          </w:p>
        </w:tc>
        <w:tc>
          <w:tcPr>
            <w:tcW w:w="2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(181)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181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3980" w:type="dxa"/>
            <w:vAlign w:val="bottom"/>
            <w:gridSpan w:val="4"/>
            <w:shd w:val="clear" w:color="auto" w:fill="CCEEFF"/>
          </w:tcPr>
          <w:p>
            <w:pPr>
              <w:ind w:left="240"/>
              <w:spacing w:after="0"/>
              <w:rPr>
                <w:sz w:val="20"/>
                <w:szCs w:val="20"/>
                <w:color w:val="auto"/>
              </w:rPr>
            </w:pPr>
            <w:r>
              <w:rPr>
                <w:rFonts w:ascii="Arial" w:cs="Arial" w:eastAsia="Arial" w:hAnsi="Arial"/>
                <w:sz w:val="18"/>
                <w:szCs w:val="18"/>
                <w:color w:val="auto"/>
                <w:w w:val="98"/>
              </w:rPr>
              <w:t>Reclassification of net actuarial loss included in</w:t>
            </w:r>
          </w:p>
        </w:tc>
        <w:tc>
          <w:tcPr>
            <w:tcW w:w="200" w:type="dxa"/>
            <w:vAlign w:val="bottom"/>
            <w:shd w:val="clear" w:color="auto" w:fill="CCEEFF"/>
          </w:tcPr>
          <w:p>
            <w:pPr>
              <w:spacing w:after="0"/>
              <w:rPr>
                <w:sz w:val="19"/>
                <w:szCs w:val="19"/>
                <w:color w:val="auto"/>
              </w:rPr>
            </w:pPr>
          </w:p>
        </w:tc>
        <w:tc>
          <w:tcPr>
            <w:tcW w:w="98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144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398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net earnings</w:t>
            </w:r>
          </w:p>
        </w:tc>
        <w:tc>
          <w:tcPr>
            <w:tcW w:w="2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vMerge w:val="continue"/>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980" w:type="dxa"/>
            <w:vAlign w:val="bottom"/>
            <w:gridSpan w:val="4"/>
          </w:tcPr>
          <w:p>
            <w:pPr>
              <w:ind w:left="240"/>
              <w:spacing w:after="0"/>
              <w:rPr>
                <w:sz w:val="20"/>
                <w:szCs w:val="20"/>
                <w:color w:val="auto"/>
              </w:rPr>
            </w:pPr>
            <w:r>
              <w:rPr>
                <w:rFonts w:ascii="Arial" w:cs="Arial" w:eastAsia="Arial" w:hAnsi="Arial"/>
                <w:sz w:val="18"/>
                <w:szCs w:val="18"/>
                <w:color w:val="auto"/>
              </w:rPr>
              <w:t>Tax benefit / (expense)</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588"/>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5"/>
              </w:rPr>
              <w:t>May 1, 2016</w:t>
            </w: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August 2, 2015</w:t>
            </w: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Prior Accounting</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Effect of</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Previously</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Effect of</w:t>
            </w: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Consolidated Balance Sheets</w:t>
            </w:r>
          </w:p>
        </w:tc>
        <w:tc>
          <w:tcPr>
            <w:tcW w:w="1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340" w:type="dxa"/>
            <w:vAlign w:val="bottom"/>
          </w:tcPr>
          <w:p>
            <w:pPr>
              <w:spacing w:after="0"/>
              <w:rPr>
                <w:sz w:val="12"/>
                <w:szCs w:val="12"/>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91"/>
              </w:rPr>
              <w:t>Recast</w:t>
            </w:r>
          </w:p>
        </w:tc>
        <w:tc>
          <w:tcPr>
            <w:tcW w:w="0" w:type="dxa"/>
            <w:vAlign w:val="bottom"/>
          </w:tcPr>
          <w:p>
            <w:pPr>
              <w:spacing w:after="0"/>
              <w:rPr>
                <w:sz w:val="1"/>
                <w:szCs w:val="1"/>
                <w:color w:val="auto"/>
              </w:rPr>
            </w:pPr>
          </w:p>
        </w:tc>
      </w:tr>
      <w:tr>
        <w:trPr>
          <w:trHeight w:val="158"/>
        </w:trPr>
        <w:tc>
          <w:tcPr>
            <w:tcW w:w="402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Principles</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827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Arial" w:cs="Arial" w:eastAsia="Arial" w:hAnsi="Arial"/>
                <w:sz w:val="18"/>
                <w:szCs w:val="18"/>
                <w:color w:val="auto"/>
              </w:rPr>
              <w:t>Other current assets</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183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Accrued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Arial" w:cs="Arial" w:eastAsia="Arial" w:hAnsi="Arial"/>
                <w:sz w:val="18"/>
                <w:szCs w:val="18"/>
                <w:color w:val="auto"/>
              </w:rPr>
              <w:t>Earnings retained in the business</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2,871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(766)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2,105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1,754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741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561"/>
        </w:trPr>
        <w:tc>
          <w:tcPr>
            <w:tcW w:w="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gridSpan w:val="8"/>
          </w:tcPr>
          <w:p>
            <w:pPr>
              <w:jc w:val="center"/>
              <w:ind w:right="280"/>
              <w:spacing w:after="0"/>
              <w:rPr>
                <w:sz w:val="20"/>
                <w:szCs w:val="20"/>
                <w:color w:val="auto"/>
              </w:rPr>
            </w:pPr>
            <w:r>
              <w:rPr>
                <w:rFonts w:ascii="Arial" w:cs="Arial" w:eastAsia="Arial" w:hAnsi="Arial"/>
                <w:sz w:val="14"/>
                <w:szCs w:val="14"/>
                <w:b w:val="1"/>
                <w:bCs w:val="1"/>
                <w:color w:val="auto"/>
                <w:w w:val="93"/>
              </w:rPr>
              <w:t>Nine months ended May 1, 2016</w:t>
            </w:r>
          </w:p>
        </w:tc>
        <w:tc>
          <w:tcPr>
            <w:tcW w:w="180" w:type="dxa"/>
            <w:vAlign w:val="bottom"/>
          </w:tcPr>
          <w:p>
            <w:pPr>
              <w:spacing w:after="0"/>
              <w:rPr>
                <w:sz w:val="24"/>
                <w:szCs w:val="24"/>
                <w:color w:val="auto"/>
              </w:rPr>
            </w:pPr>
          </w:p>
        </w:tc>
        <w:tc>
          <w:tcPr>
            <w:tcW w:w="2640" w:type="dxa"/>
            <w:vAlign w:val="bottom"/>
            <w:gridSpan w:val="6"/>
          </w:tcPr>
          <w:p>
            <w:pPr>
              <w:jc w:val="center"/>
              <w:ind w:left="556"/>
              <w:spacing w:after="0"/>
              <w:rPr>
                <w:sz w:val="20"/>
                <w:szCs w:val="20"/>
                <w:color w:val="auto"/>
              </w:rPr>
            </w:pPr>
            <w:r>
              <w:rPr>
                <w:rFonts w:ascii="Arial" w:cs="Arial" w:eastAsia="Arial" w:hAnsi="Arial"/>
                <w:sz w:val="14"/>
                <w:szCs w:val="14"/>
                <w:b w:val="1"/>
                <w:bCs w:val="1"/>
                <w:color w:val="auto"/>
                <w:w w:val="92"/>
              </w:rPr>
              <w:t>Nine months ended May 3, 2015</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4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00" w:type="dxa"/>
            <w:vAlign w:val="bottom"/>
            <w:tcBorders>
              <w:top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3"/>
              </w:rPr>
              <w:t>Prior Accounting</w:t>
            </w:r>
          </w:p>
        </w:tc>
        <w:tc>
          <w:tcPr>
            <w:tcW w:w="1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Effect of</w:t>
            </w: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3"/>
              </w:rPr>
              <w:t>Previously</w:t>
            </w: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2"/>
          </w:tcPr>
          <w:p>
            <w:pPr>
              <w:jc w:val="center"/>
              <w:ind w:right="220"/>
              <w:spacing w:after="0" w:line="153" w:lineRule="exact"/>
              <w:rPr>
                <w:sz w:val="20"/>
                <w:szCs w:val="20"/>
                <w:color w:val="auto"/>
              </w:rPr>
            </w:pPr>
            <w:r>
              <w:rPr>
                <w:rFonts w:ascii="Arial" w:cs="Arial" w:eastAsia="Arial" w:hAnsi="Arial"/>
                <w:sz w:val="14"/>
                <w:szCs w:val="14"/>
                <w:b w:val="1"/>
                <w:bCs w:val="1"/>
                <w:color w:val="auto"/>
                <w:w w:val="96"/>
              </w:rPr>
              <w:t>Effect of</w:t>
            </w:r>
          </w:p>
        </w:tc>
        <w:tc>
          <w:tcPr>
            <w:tcW w:w="3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020" w:type="dxa"/>
            <w:vAlign w:val="bottom"/>
            <w:gridSpan w:val="5"/>
            <w:vMerge w:val="restart"/>
          </w:tcPr>
          <w:p>
            <w:pPr>
              <w:ind w:left="40"/>
              <w:spacing w:after="0"/>
              <w:rPr>
                <w:sz w:val="20"/>
                <w:szCs w:val="20"/>
                <w:color w:val="auto"/>
              </w:rPr>
            </w:pPr>
            <w:r>
              <w:rPr>
                <w:rFonts w:ascii="Arial" w:cs="Arial" w:eastAsia="Arial" w:hAnsi="Arial"/>
                <w:sz w:val="14"/>
                <w:szCs w:val="14"/>
                <w:b w:val="1"/>
                <w:bCs w:val="1"/>
                <w:color w:val="auto"/>
              </w:rPr>
              <w:t>Consolidated Statements of Cash Flows</w:t>
            </w:r>
          </w:p>
        </w:tc>
        <w:tc>
          <w:tcPr>
            <w:tcW w:w="13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Accounting</w:t>
            </w:r>
          </w:p>
        </w:tc>
        <w:tc>
          <w:tcPr>
            <w:tcW w:w="140" w:type="dxa"/>
            <w:vAlign w:val="bottom"/>
          </w:tcPr>
          <w:p>
            <w:pPr>
              <w:spacing w:after="0"/>
              <w:rPr>
                <w:sz w:val="12"/>
                <w:szCs w:val="12"/>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Accounting</w:t>
            </w:r>
          </w:p>
        </w:tc>
        <w:tc>
          <w:tcPr>
            <w:tcW w:w="340" w:type="dxa"/>
            <w:vAlign w:val="bottom"/>
          </w:tcPr>
          <w:p>
            <w:pPr>
              <w:spacing w:after="0"/>
              <w:rPr>
                <w:sz w:val="12"/>
                <w:szCs w:val="12"/>
                <w:color w:val="auto"/>
              </w:rPr>
            </w:pPr>
          </w:p>
        </w:tc>
        <w:tc>
          <w:tcPr>
            <w:tcW w:w="80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w w:val="91"/>
              </w:rPr>
              <w:t>Recast</w:t>
            </w:r>
          </w:p>
        </w:tc>
        <w:tc>
          <w:tcPr>
            <w:tcW w:w="0" w:type="dxa"/>
            <w:vAlign w:val="bottom"/>
          </w:tcPr>
          <w:p>
            <w:pPr>
              <w:spacing w:after="0"/>
              <w:rPr>
                <w:sz w:val="1"/>
                <w:szCs w:val="1"/>
                <w:color w:val="auto"/>
              </w:rPr>
            </w:pPr>
          </w:p>
        </w:tc>
      </w:tr>
      <w:tr>
        <w:trPr>
          <w:trHeight w:val="158"/>
        </w:trPr>
        <w:tc>
          <w:tcPr>
            <w:tcW w:w="4020" w:type="dxa"/>
            <w:vAlign w:val="bottom"/>
            <w:gridSpan w:val="5"/>
            <w:vMerge w:val="continue"/>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92"/>
              </w:rPr>
              <w:t>Principles</w:t>
            </w:r>
          </w:p>
        </w:tc>
        <w:tc>
          <w:tcPr>
            <w:tcW w:w="140" w:type="dxa"/>
            <w:vAlign w:val="bottom"/>
          </w:tcPr>
          <w:p>
            <w:pPr>
              <w:spacing w:after="0"/>
              <w:rPr>
                <w:sz w:val="13"/>
                <w:szCs w:val="13"/>
                <w:color w:val="auto"/>
              </w:rPr>
            </w:pPr>
          </w:p>
        </w:tc>
        <w:tc>
          <w:tcPr>
            <w:tcW w:w="1100" w:type="dxa"/>
            <w:vAlign w:val="bottom"/>
            <w:gridSpan w:val="2"/>
          </w:tcPr>
          <w:p>
            <w:pPr>
              <w:jc w:val="center"/>
              <w:ind w:right="260"/>
              <w:spacing w:after="0" w:line="158" w:lineRule="exact"/>
              <w:rPr>
                <w:sz w:val="20"/>
                <w:szCs w:val="20"/>
                <w:color w:val="auto"/>
              </w:rPr>
            </w:pPr>
            <w:r>
              <w:rPr>
                <w:rFonts w:ascii="Arial" w:cs="Arial" w:eastAsia="Arial" w:hAnsi="Arial"/>
                <w:sz w:val="14"/>
                <w:szCs w:val="14"/>
                <w:b w:val="1"/>
                <w:bCs w:val="1"/>
                <w:color w:val="auto"/>
                <w:w w:val="93"/>
              </w:rPr>
              <w:t>Change</w:t>
            </w:r>
          </w:p>
        </w:tc>
        <w:tc>
          <w:tcPr>
            <w:tcW w:w="14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4"/>
              </w:rPr>
              <w:t>Reported</w:t>
            </w:r>
          </w:p>
        </w:tc>
        <w:tc>
          <w:tcPr>
            <w:tcW w:w="120" w:type="dxa"/>
            <w:vAlign w:val="bottom"/>
          </w:tcPr>
          <w:p>
            <w:pPr>
              <w:spacing w:after="0"/>
              <w:rPr>
                <w:sz w:val="13"/>
                <w:szCs w:val="13"/>
                <w:color w:val="auto"/>
              </w:rPr>
            </w:pPr>
          </w:p>
        </w:tc>
        <w:tc>
          <w:tcPr>
            <w:tcW w:w="1120" w:type="dxa"/>
            <w:vAlign w:val="bottom"/>
            <w:gridSpan w:val="2"/>
          </w:tcPr>
          <w:p>
            <w:pPr>
              <w:jc w:val="center"/>
              <w:ind w:right="220"/>
              <w:spacing w:after="0" w:line="158" w:lineRule="exact"/>
              <w:rPr>
                <w:sz w:val="20"/>
                <w:szCs w:val="20"/>
                <w:color w:val="auto"/>
              </w:rPr>
            </w:pPr>
            <w:r>
              <w:rPr>
                <w:rFonts w:ascii="Arial" w:cs="Arial" w:eastAsia="Arial" w:hAnsi="Arial"/>
                <w:sz w:val="14"/>
                <w:szCs w:val="14"/>
                <w:b w:val="1"/>
                <w:bCs w:val="1"/>
                <w:color w:val="auto"/>
                <w:w w:val="89"/>
              </w:rPr>
              <w:t>Change</w:t>
            </w:r>
          </w:p>
        </w:tc>
        <w:tc>
          <w:tcPr>
            <w:tcW w:w="34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1760" w:type="dxa"/>
            <w:vAlign w:val="bottom"/>
            <w:tcBorders>
              <w:top w:val="single" w:sz="8" w:color="auto"/>
              <w:bottom w:val="single" w:sz="8" w:color="CCEEFF"/>
            </w:tcBorders>
          </w:tcPr>
          <w:p>
            <w:pPr>
              <w:spacing w:after="0" w:line="20" w:lineRule="exact"/>
              <w:rPr>
                <w:sz w:val="1"/>
                <w:szCs w:val="1"/>
                <w:color w:val="auto"/>
              </w:rPr>
            </w:pPr>
          </w:p>
        </w:tc>
        <w:tc>
          <w:tcPr>
            <w:tcW w:w="660" w:type="dxa"/>
            <w:vAlign w:val="bottom"/>
            <w:tcBorders>
              <w:top w:val="single" w:sz="8" w:color="auto"/>
              <w:bottom w:val="single" w:sz="8" w:color="CCEEFF"/>
            </w:tcBorders>
          </w:tcPr>
          <w:p>
            <w:pPr>
              <w:spacing w:after="0" w:line="20" w:lineRule="exact"/>
              <w:rPr>
                <w:sz w:val="1"/>
                <w:szCs w:val="1"/>
                <w:color w:val="auto"/>
              </w:rPr>
            </w:pPr>
          </w:p>
        </w:tc>
        <w:tc>
          <w:tcPr>
            <w:tcW w:w="7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flow from operating activities: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Arial" w:cs="Arial" w:eastAsia="Arial" w:hAnsi="Arial"/>
                <w:sz w:val="18"/>
                <w:szCs w:val="18"/>
                <w:color w:val="auto"/>
              </w:rPr>
              <w:t>Net earnings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670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644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623</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2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expense /</w:t>
            </w:r>
          </w:p>
        </w:tc>
        <w:tc>
          <w:tcPr>
            <w:tcW w:w="200" w:type="dxa"/>
            <w:vAlign w:val="bottom"/>
            <w:shd w:val="clear" w:color="auto" w:fill="CCEEFF"/>
          </w:tcPr>
          <w:p>
            <w:pPr>
              <w:spacing w:after="0"/>
              <w:rPr>
                <w:sz w:val="19"/>
                <w:szCs w:val="19"/>
                <w:color w:val="auto"/>
              </w:rPr>
            </w:pPr>
          </w:p>
        </w:tc>
        <w:tc>
          <w:tcPr>
            <w:tcW w:w="11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167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167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2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18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200" w:type="dxa"/>
            <w:vAlign w:val="bottom"/>
          </w:tcPr>
          <w:p>
            <w:pPr>
              <w:spacing w:after="0"/>
              <w:rPr>
                <w:sz w:val="21"/>
                <w:szCs w:val="21"/>
                <w:color w:val="auto"/>
              </w:rPr>
            </w:pP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172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172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6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2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Accounts payable and accrued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43"/>
        </w:trPr>
        <w:tc>
          <w:tcPr>
            <w:tcW w:w="4020" w:type="dxa"/>
            <w:vAlign w:val="bottom"/>
            <w:gridSpan w:val="5"/>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4"/>
              <w:spacing w:after="0"/>
              <w:rPr>
                <w:sz w:val="20"/>
                <w:szCs w:val="20"/>
                <w:color w:val="auto"/>
              </w:rPr>
            </w:pPr>
            <w:r>
              <w:rPr>
                <w:rFonts w:ascii="Arial" w:cs="Arial" w:eastAsia="Arial" w:hAnsi="Arial"/>
                <w:sz w:val="18"/>
                <w:szCs w:val="18"/>
                <w:b w:val="1"/>
                <w:bCs w:val="1"/>
                <w:color w:val="auto"/>
              </w:rPr>
              <w:t>1,183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b w:val="1"/>
                <w:bCs w:val="1"/>
                <w:color w:val="auto"/>
              </w:rPr>
              <w:t>1,183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94"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May 2014, the Financial Accounting Standards Board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will be permitted to adopt the new revenue standard early, but not before the original effective date. The guidance permits the use of either a full retrospective or modified retrospective transition method. We are currently evaluating the impact that the new guidance will have on our consolidated financial statements, as well as which transition method we will use.</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April 2015, the FASB issued guidance that requires debt issuance costs to be presented in the balance sheet as a reduction from the carrying value of the associated debt liability, consistent with the presentation of a debt discount. The guidance must be applied on a retrospective basis and is effective for fiscal years beginning after December 15, 2015, and interim periods within those years. Early adoption is permitted. We do not expect the adoption to have a material impact on our consolidated financial statements.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April 2015, the FASB issued guidance to clarify the accounting for fees paid by a customer in a cloud computing arrangement. The guidance is effective for fiscal years beginning on or after December 15, 2015, and interim periods within those years. Early</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440" w:right="239" w:bottom="1440" w:gutter="0" w:footer="0" w:header="0"/>
        </w:sectPr>
      </w:pPr>
    </w:p>
    <w:bookmarkStart w:id="10" w:name="page11"/>
    <w:bookmarkEnd w:id="10"/>
    <w:p>
      <w:pPr>
        <w:jc w:val="both"/>
        <w:spacing w:after="0" w:line="264" w:lineRule="auto"/>
        <w:rPr>
          <w:sz w:val="20"/>
          <w:szCs w:val="20"/>
          <w:color w:val="auto"/>
        </w:rPr>
      </w:pPr>
      <w:r>
        <w:rPr>
          <w:rFonts w:ascii="Arial" w:cs="Arial" w:eastAsia="Arial" w:hAnsi="Arial"/>
          <w:sz w:val="18"/>
          <w:szCs w:val="18"/>
          <w:color w:val="auto"/>
        </w:rPr>
        <w:t>adoption is permitted. The new guidance should be applied either prospectively to all arrangements entered into or materially modified after the effective date or retrospectively. We will adopt the guidance prospectively. We do not expect the adoption to have a material impact on our consolidated financial statements.</w:t>
      </w:r>
    </w:p>
    <w:p>
      <w:pPr>
        <w:spacing w:after="0" w:line="12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September 2015, the FASB issued guidance that eliminates the requirement to restate prior period financial statements for measurement period adjustments for business combinations. The new guidance requires that the cumulative impact of a measurement period adjustment (including the impact on prior periods) be recognized in the reporting period in which the adjustment is identified. The guidance is effective for fiscal years beginning on or after December 15, 2015, and interim periods within those years and should be applied prospectively to measurement period adjustments that occur after the effective date. We will prospectively apply the guidance to applicable transactions.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November 2015, the FASB issued guidance that amends the balance sheet classification of deferred taxes. The new guidance requires that deferred tax liabilities and assets be classified as noncurrent on the balance sheet. Previous guidance required deferred tax liabilities and assets to be separated into current and noncurrent amounts on the balance sheet. The guidance is effective for fiscal years beginning on or after December 15, 2016, and interim periods within those years. Early adoption is permitted as of the beginning of an interim or annual reporting period. As of May 1, 2016, the balance of current deferred tax assets was $104. We will adopt the guidance as of July 31, 2016.</w:t>
      </w:r>
    </w:p>
    <w:p>
      <w:pPr>
        <w:spacing w:after="0" w:line="134"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2016, the FASB issued guidance that amends the recognition and measurement of financial instruments. The changes primarily affect the accounting for equity investments, financial liabilities under the fair value option, and the presentation and disclosure requirements for financial instruments. Under the new guidance, equity investments in unconsolidated entities that are not accounted for under the equity method will generally be measured at fair value through earnings. When the fair value option has been elected for financial liabilities, changes in fair value due to instrument-specific credit risk will be recognized separately in other comprehensive income. The guidance is effective for fiscal years beginning on or after December 15, 2017, and interim periods within those years. We are currently evaluating the impact that the new guidance will have on our consolidated financial statements.</w:t>
      </w:r>
    </w:p>
    <w:p>
      <w:pPr>
        <w:spacing w:after="0" w:line="1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February 2016, the FASB issued guidance that amends accounting for leases. Under the new guidance, a lessee will recognize assets and liabilities for most leases but will recognize expenses similar to current lease accounting. The guidance is effective for fiscal years, and interim periods within those years, beginning after December 15, 2018. Early adoption is permitted. The new guidance must be adopted using a modified retrospective transition, and provides for certain practical expedients. We are currently evaluating the impact that the new guidance will have on our consolidated financial statements.</w:t>
      </w:r>
    </w:p>
    <w:p>
      <w:pPr>
        <w:spacing w:after="0" w:line="1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March 2016, the FASB issued guidance that amends accounting for share-based payments, including the accounting for income taxes, forfeitures, and statutory withholding requirements, as well as classification in the statement of cash flows. The guidance is effective for fiscal years beginning after December 15, 2016, and interim periods within those years. Early adoption is permitted. We are currently evaluating the impact that the new guidance will have on our consolidated financial statements.</w:t>
      </w:r>
    </w:p>
    <w:p>
      <w:pPr>
        <w:spacing w:after="0" w:line="129" w:lineRule="exact"/>
        <w:rPr>
          <w:sz w:val="20"/>
          <w:szCs w:val="20"/>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June 29, 2015, we completed the acquisition of the assets of Garden Fresh Gourmet for $232. Garden Fresh Gourmet is a provider of refrigerated salsa, hummus, dips and tortilla chips. It is included in the Campbell Fresh segment.</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the three- and nine-month periods ended May 1, 2016, Garden Fresh Gourmet contributed $25 and $76, respectively, to Net sales. Its contribution to Net earnings was not material.</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unaudited summary information is presented on a consolidated pro forma basis as if the Garden Fresh Gourmet acquisition had occurred on July 29, 2013:</w:t>
      </w:r>
    </w:p>
    <w:p>
      <w:pPr>
        <w:sectPr>
          <w:pgSz w:w="11900" w:h="16838" w:orient="portrait"/>
          <w:cols w:equalWidth="0" w:num="1">
            <w:col w:w="11420"/>
          </w:cols>
          <w:pgMar w:left="240" w:top="1314" w:right="239" w:bottom="1440" w:gutter="0" w:footer="0" w:header="0"/>
        </w:sectPr>
      </w:pPr>
    </w:p>
    <w:p>
      <w:pPr>
        <w:spacing w:after="0" w:line="176" w:lineRule="exact"/>
        <w:rPr>
          <w:sz w:val="20"/>
          <w:szCs w:val="20"/>
          <w:color w:val="auto"/>
        </w:rPr>
      </w:pPr>
    </w:p>
    <w:p>
      <w:pPr>
        <w:jc w:val="center"/>
        <w:ind w:left="8440"/>
        <w:spacing w:after="0"/>
        <w:rPr>
          <w:sz w:val="20"/>
          <w:szCs w:val="20"/>
          <w:color w:val="auto"/>
        </w:rPr>
      </w:pPr>
      <w:r>
        <w:rPr>
          <w:rFonts w:ascii="Arial" w:cs="Arial" w:eastAsia="Arial" w:hAnsi="Arial"/>
          <w:sz w:val="13"/>
          <w:szCs w:val="13"/>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31115</wp:posOffset>
            </wp:positionV>
            <wp:extent cx="9518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951865" cy="8890"/>
                    </a:xfrm>
                    <a:prstGeom prst="rect">
                      <a:avLst/>
                    </a:prstGeom>
                    <a:noFill/>
                  </pic:spPr>
                </pic:pic>
              </a:graphicData>
            </a:graphic>
          </wp:anchor>
        </w:drawing>
      </w:r>
    </w:p>
    <w:p>
      <w:pPr>
        <w:spacing w:after="0" w:line="101" w:lineRule="exact"/>
        <w:rPr>
          <w:sz w:val="20"/>
          <w:szCs w:val="20"/>
          <w:color w:val="auto"/>
        </w:rPr>
      </w:pPr>
    </w:p>
    <w:p>
      <w:pPr>
        <w:jc w:val="center"/>
        <w:ind w:left="8440"/>
        <w:spacing w:after="0"/>
        <w:rPr>
          <w:sz w:val="20"/>
          <w:szCs w:val="20"/>
          <w:color w:val="auto"/>
        </w:rPr>
      </w:pPr>
      <w:r>
        <w:rPr>
          <w:rFonts w:ascii="Arial" w:cs="Arial" w:eastAsia="Arial" w:hAnsi="Arial"/>
          <w:sz w:val="14"/>
          <w:szCs w:val="14"/>
          <w:b w:val="1"/>
          <w:bCs w:val="1"/>
          <w:color w:val="auto"/>
        </w:rPr>
        <w:t>May 3, 2015</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20"/>
        <w:spacing w:after="0"/>
        <w:rPr>
          <w:sz w:val="20"/>
          <w:szCs w:val="20"/>
          <w:color w:val="auto"/>
        </w:rPr>
      </w:pP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31115</wp:posOffset>
            </wp:positionV>
            <wp:extent cx="9347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01" w:lineRule="exact"/>
        <w:rPr>
          <w:sz w:val="20"/>
          <w:szCs w:val="20"/>
          <w:color w:val="auto"/>
        </w:rPr>
      </w:pPr>
    </w:p>
    <w:p>
      <w:pPr>
        <w:jc w:val="center"/>
        <w:ind w:right="120"/>
        <w:spacing w:after="0"/>
        <w:rPr>
          <w:sz w:val="20"/>
          <w:szCs w:val="20"/>
          <w:color w:val="auto"/>
        </w:rPr>
      </w:pPr>
      <w:r>
        <w:rPr>
          <w:rFonts w:ascii="Arial" w:cs="Arial" w:eastAsia="Arial" w:hAnsi="Arial"/>
          <w:sz w:val="14"/>
          <w:szCs w:val="14"/>
          <w:b w:val="1"/>
          <w:bCs w:val="1"/>
          <w:color w:val="auto"/>
        </w:rPr>
        <w:t>May 3, 2015</w:t>
      </w:r>
    </w:p>
    <w:p>
      <w:pPr>
        <w:spacing w:after="0" w:line="25" w:lineRule="exact"/>
        <w:rPr>
          <w:sz w:val="20"/>
          <w:szCs w:val="20"/>
          <w:color w:val="auto"/>
        </w:rPr>
      </w:pPr>
    </w:p>
    <w:p>
      <w:pPr>
        <w:sectPr>
          <w:pgSz w:w="11900" w:h="16838" w:orient="portrait"/>
          <w:cols w:equalWidth="0" w:num="2">
            <w:col w:w="9740" w:space="320"/>
            <w:col w:w="1360"/>
          </w:cols>
          <w:pgMar w:left="240" w:top="1314" w:right="23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560" w:type="dxa"/>
            <w:vAlign w:val="bottom"/>
            <w:tcBorders>
              <w:top w:val="single" w:sz="8" w:color="auto"/>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540" w:type="dxa"/>
            <w:vAlign w:val="bottom"/>
            <w:tcBorders>
              <w:top w:val="single" w:sz="8" w:color="auto"/>
              <w:bottom w:val="single" w:sz="8" w:color="CCEEFF"/>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6,462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651</w:t>
            </w:r>
          </w:p>
        </w:tc>
      </w:tr>
      <w:tr>
        <w:trPr>
          <w:trHeight w:val="27"/>
        </w:trPr>
        <w:tc>
          <w:tcPr>
            <w:tcW w:w="8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earnings per share attributable to Campbell Soup Company - assuming dilution</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w:t>
            </w:r>
          </w:p>
        </w:tc>
      </w:tr>
      <w:tr>
        <w:trPr>
          <w:trHeight w:val="27"/>
        </w:trPr>
        <w:tc>
          <w:tcPr>
            <w:tcW w:w="83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pro forma amounts include additional interest expense on the debt issued to finance the purchase, amortization and depreciation expense based on the estimated fair value and useful lives of intangible assets and plant assets, and related tax effects. The pro forma results are not necessarily indicative of the combined results had the Garden Fresh Gourmet acquisition been completed on July 29, 2013, nor are they indicative of future combined results.</w:t>
      </w: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314" w:right="239" w:bottom="1440" w:gutter="0" w:footer="0" w:header="0"/>
          <w:type w:val="continuous"/>
        </w:sectPr>
      </w:pPr>
    </w:p>
    <w:bookmarkStart w:id="11" w:name="page12"/>
    <w:bookmarkEnd w:id="11"/>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Gains (Losses) on</w:t>
            </w:r>
          </w:p>
        </w:tc>
        <w:tc>
          <w:tcPr>
            <w:tcW w:w="22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340" w:type="dxa"/>
            <w:vAlign w:val="bottom"/>
          </w:tcPr>
          <w:p>
            <w:pPr>
              <w:jc w:val="center"/>
              <w:ind w:right="57"/>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220" w:type="dxa"/>
            <w:vAlign w:val="bottom"/>
          </w:tcPr>
          <w:p>
            <w:pPr>
              <w:spacing w:after="0"/>
              <w:rPr>
                <w:sz w:val="16"/>
                <w:szCs w:val="16"/>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40" w:type="dxa"/>
            <w:vAlign w:val="bottom"/>
          </w:tcPr>
          <w:p>
            <w:pPr>
              <w:jc w:val="center"/>
              <w:ind w:right="37"/>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August 2, 2015</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56</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24</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May 1, 2016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w w:val="8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3"/>
          <w:szCs w:val="13"/>
          <w:color w:val="auto"/>
        </w:rPr>
      </w:pPr>
      <w:r>
        <w:rPr>
          <w:rFonts w:ascii="Arial" w:cs="Arial" w:eastAsia="Arial" w:hAnsi="Arial"/>
          <w:sz w:val="18"/>
          <w:szCs w:val="18"/>
          <w:color w:val="auto"/>
        </w:rPr>
        <w:t>Included a tax expense of $6 as of May 1, 2016, and August 2, 2015.</w:t>
      </w:r>
    </w:p>
    <w:p>
      <w:pPr>
        <w:ind w:left="340" w:hanging="332"/>
        <w:spacing w:after="0" w:line="203" w:lineRule="auto"/>
        <w:tabs>
          <w:tab w:leader="none" w:pos="340" w:val="left"/>
        </w:tabs>
        <w:numPr>
          <w:ilvl w:val="0"/>
          <w:numId w:val="28"/>
        </w:numPr>
        <w:rPr>
          <w:rFonts w:ascii="Arial" w:cs="Arial" w:eastAsia="Arial" w:hAnsi="Arial"/>
          <w:sz w:val="13"/>
          <w:szCs w:val="13"/>
          <w:color w:val="auto"/>
        </w:rPr>
      </w:pPr>
      <w:r>
        <w:rPr>
          <w:rFonts w:ascii="Arial" w:cs="Arial" w:eastAsia="Arial" w:hAnsi="Arial"/>
          <w:sz w:val="18"/>
          <w:szCs w:val="18"/>
          <w:color w:val="auto"/>
        </w:rPr>
        <w:t>Included a tax benefit of $19 as of May 1, 2016, and $5 as of August 2, 2015.</w:t>
      </w:r>
    </w:p>
    <w:p>
      <w:pPr>
        <w:ind w:left="340" w:right="6120" w:hanging="332"/>
        <w:spacing w:after="0" w:line="359" w:lineRule="auto"/>
        <w:tabs>
          <w:tab w:leader="none" w:pos="340" w:val="left"/>
        </w:tabs>
        <w:numPr>
          <w:ilvl w:val="0"/>
          <w:numId w:val="28"/>
        </w:numPr>
        <w:rPr>
          <w:rFonts w:ascii="Arial" w:cs="Arial" w:eastAsia="Arial" w:hAnsi="Arial"/>
          <w:sz w:val="11"/>
          <w:szCs w:val="11"/>
          <w:color w:val="auto"/>
        </w:rPr>
      </w:pPr>
      <w:r>
        <w:rPr>
          <w:rFonts w:ascii="Arial" w:cs="Arial" w:eastAsia="Arial" w:hAnsi="Arial"/>
          <w:sz w:val="16"/>
          <w:szCs w:val="16"/>
          <w:color w:val="auto"/>
        </w:rPr>
        <w:t>Included a tax expense of $1 as of May 1, 2016, and August 2, 2015. Amounts related to noncontrolling interests were not material.</w:t>
      </w:r>
    </w:p>
    <w:p>
      <w:pPr>
        <w:ind w:left="340"/>
        <w:spacing w:after="0"/>
        <w:rPr>
          <w:rFonts w:ascii="Arial" w:cs="Arial" w:eastAsia="Arial" w:hAnsi="Arial"/>
          <w:sz w:val="11"/>
          <w:szCs w:val="11"/>
          <w:color w:val="auto"/>
        </w:rPr>
      </w:pPr>
      <w:r>
        <w:rPr>
          <w:rFonts w:ascii="Arial" w:cs="Arial" w:eastAsia="Arial" w:hAnsi="Arial"/>
          <w:sz w:val="18"/>
          <w:szCs w:val="18"/>
          <w:color w:val="auto"/>
        </w:rPr>
        <w:t>The amounts reclassified from Accumulated other comprehensive income (loss) consisted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 w:type="dxa"/>
            <w:vAlign w:val="bottom"/>
          </w:tcPr>
          <w:p>
            <w:pPr>
              <w:spacing w:after="0"/>
              <w:rPr>
                <w:sz w:val="16"/>
                <w:szCs w:val="16"/>
                <w:color w:val="auto"/>
              </w:rPr>
            </w:pPr>
          </w:p>
        </w:tc>
        <w:tc>
          <w:tcPr>
            <w:tcW w:w="4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0" w:type="dxa"/>
            <w:vAlign w:val="bottom"/>
          </w:tcPr>
          <w:p>
            <w:pPr>
              <w:spacing w:after="0"/>
              <w:rPr>
                <w:sz w:val="12"/>
                <w:szCs w:val="12"/>
                <w:color w:val="auto"/>
              </w:rPr>
            </w:pPr>
          </w:p>
        </w:tc>
        <w:tc>
          <w:tcPr>
            <w:tcW w:w="4340" w:type="dxa"/>
            <w:vAlign w:val="bottom"/>
            <w:gridSpan w:val="2"/>
          </w:tcPr>
          <w:p>
            <w:pPr>
              <w:jc w:val="center"/>
              <w:ind w:right="120"/>
              <w:spacing w:after="0" w:line="139" w:lineRule="exact"/>
              <w:rPr>
                <w:sz w:val="20"/>
                <w:szCs w:val="20"/>
                <w:color w:val="auto"/>
              </w:rPr>
            </w:pPr>
            <w:r>
              <w:rPr>
                <w:rFonts w:ascii="Arial" w:cs="Arial" w:eastAsia="Arial" w:hAnsi="Arial"/>
                <w:sz w:val="14"/>
                <w:szCs w:val="14"/>
                <w:b w:val="1"/>
                <w:bCs w:val="1"/>
                <w:color w:val="auto"/>
                <w:w w:val="92"/>
              </w:rPr>
              <w:t>Details about Accumulated Other Comprehensive Income (Loss)</w:t>
            </w:r>
          </w:p>
        </w:tc>
        <w:tc>
          <w:tcPr>
            <w:tcW w:w="140" w:type="dxa"/>
            <w:vAlign w:val="bottom"/>
          </w:tcPr>
          <w:p>
            <w:pPr>
              <w:spacing w:after="0"/>
              <w:rPr>
                <w:sz w:val="12"/>
                <w:szCs w:val="12"/>
                <w:color w:val="auto"/>
              </w:rPr>
            </w:pPr>
          </w:p>
        </w:tc>
        <w:tc>
          <w:tcPr>
            <w:tcW w:w="920" w:type="dxa"/>
            <w:vAlign w:val="bottom"/>
            <w:vMerge w:val="restart"/>
          </w:tcPr>
          <w:p>
            <w:pPr>
              <w:jc w:val="right"/>
              <w:ind w:right="73"/>
              <w:spacing w:after="0"/>
              <w:rPr>
                <w:sz w:val="20"/>
                <w:szCs w:val="20"/>
                <w:color w:val="auto"/>
              </w:rPr>
            </w:pPr>
            <w:r>
              <w:rPr>
                <w:rFonts w:ascii="Arial" w:cs="Arial" w:eastAsia="Arial" w:hAnsi="Arial"/>
                <w:sz w:val="14"/>
                <w:szCs w:val="14"/>
                <w:b w:val="1"/>
                <w:bCs w:val="1"/>
                <w:color w:val="auto"/>
                <w:w w:val="95"/>
              </w:rPr>
              <w:t>May 1, 2016</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5"/>
              </w:rPr>
              <w:t>May 3, 2015</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5"/>
              </w:rPr>
              <w:t>May 1, 2016</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w w:val="95"/>
              </w:rPr>
              <w:t>May 3, 2015</w:t>
            </w:r>
          </w:p>
        </w:tc>
        <w:tc>
          <w:tcPr>
            <w:tcW w:w="100" w:type="dxa"/>
            <w:vAlign w:val="bottom"/>
          </w:tcPr>
          <w:p>
            <w:pPr>
              <w:spacing w:after="0"/>
              <w:rPr>
                <w:sz w:val="12"/>
                <w:szCs w:val="12"/>
                <w:color w:val="auto"/>
              </w:rPr>
            </w:pPr>
          </w:p>
        </w:tc>
        <w:tc>
          <w:tcPr>
            <w:tcW w:w="25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Location of (Gain) Loss Recognized in</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4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Components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cash flow hedges: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500" w:type="dxa"/>
            <w:vAlign w:val="bottom"/>
            <w:gridSpan w:val="3"/>
          </w:tcPr>
          <w:p>
            <w:pPr>
              <w:ind w:left="640"/>
              <w:spacing w:after="0"/>
              <w:rPr>
                <w:sz w:val="20"/>
                <w:szCs w:val="20"/>
                <w:color w:val="auto"/>
              </w:rPr>
            </w:pPr>
            <w:r>
              <w:rPr>
                <w:rFonts w:ascii="Arial" w:cs="Arial" w:eastAsia="Arial" w:hAnsi="Arial"/>
                <w:sz w:val="18"/>
                <w:szCs w:val="18"/>
                <w:color w:val="auto"/>
              </w:rPr>
              <w:t>(2)  Cost of products sold</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Foreign exchange forward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Forward starting interest rate swaps</w:t>
            </w:r>
          </w:p>
        </w:tc>
        <w:tc>
          <w:tcPr>
            <w:tcW w:w="1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4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Total before tax</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340" w:type="dxa"/>
            <w:vAlign w:val="bottom"/>
            <w:gridSpan w:val="2"/>
          </w:tcPr>
          <w:p>
            <w:pPr>
              <w:jc w:val="right"/>
              <w:ind w:right="160"/>
              <w:spacing w:after="0"/>
              <w:rPr>
                <w:sz w:val="20"/>
                <w:szCs w:val="20"/>
                <w:color w:val="auto"/>
              </w:rPr>
            </w:pPr>
            <w:r>
              <w:rPr>
                <w:rFonts w:ascii="Arial" w:cs="Arial" w:eastAsia="Arial" w:hAnsi="Arial"/>
                <w:sz w:val="18"/>
                <w:szCs w:val="18"/>
                <w:color w:val="auto"/>
              </w:rPr>
              <w:t>Tax expense (benefit)</w:t>
            </w:r>
          </w:p>
        </w:tc>
        <w:tc>
          <w:tcPr>
            <w:tcW w:w="140" w:type="dxa"/>
            <w:vAlign w:val="bottom"/>
          </w:tcPr>
          <w:p>
            <w:pPr>
              <w:spacing w:after="0"/>
              <w:rPr>
                <w:sz w:val="21"/>
                <w:szCs w:val="21"/>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2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4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(Gain) loss, 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 w:type="dxa"/>
            <w:vAlign w:val="bottom"/>
          </w:tcPr>
          <w:p>
            <w:pPr>
              <w:spacing w:after="0"/>
              <w:rPr>
                <w:sz w:val="21"/>
                <w:szCs w:val="21"/>
                <w:color w:val="auto"/>
              </w:rPr>
            </w:pPr>
          </w:p>
        </w:tc>
        <w:tc>
          <w:tcPr>
            <w:tcW w:w="43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Pension and postretirement benefit adjustments:</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4340" w:type="dxa"/>
            <w:vAlign w:val="bottom"/>
            <w:gridSpan w:val="2"/>
          </w:tcPr>
          <w:p>
            <w:pPr>
              <w:ind w:left="160"/>
              <w:spacing w:after="0"/>
              <w:rPr>
                <w:sz w:val="20"/>
                <w:szCs w:val="20"/>
                <w:color w:val="auto"/>
              </w:rPr>
            </w:pPr>
            <w:r>
              <w:rPr>
                <w:rFonts w:ascii="Arial" w:cs="Arial" w:eastAsia="Arial" w:hAnsi="Arial"/>
                <w:sz w:val="18"/>
                <w:szCs w:val="18"/>
                <w:color w:val="auto"/>
              </w:rPr>
              <w:t>Prior service credit</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w:t>
            </w:r>
          </w:p>
        </w:tc>
        <w:tc>
          <w:tcPr>
            <w:tcW w:w="2600" w:type="dxa"/>
            <w:vAlign w:val="bottom"/>
            <w:gridSpan w:val="2"/>
          </w:tcPr>
          <w:p>
            <w:pPr>
              <w:ind w:left="120"/>
              <w:spacing w:after="0"/>
              <w:rPr>
                <w:sz w:val="20"/>
                <w:szCs w:val="20"/>
                <w:color w:val="auto"/>
              </w:rPr>
            </w:pPr>
            <w:r>
              <w:rPr>
                <w:rFonts w:ascii="Arial" w:cs="Arial" w:eastAsia="Arial" w:hAnsi="Arial"/>
                <w:sz w:val="13"/>
                <w:szCs w:val="13"/>
                <w:color w:val="auto"/>
              </w:rPr>
              <w:t>(1)</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4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43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Tax expense (benefit)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4340" w:type="dxa"/>
            <w:vAlign w:val="bottom"/>
            <w:gridSpan w:val="2"/>
          </w:tcPr>
          <w:p>
            <w:pPr>
              <w:jc w:val="right"/>
              <w:ind w:right="160"/>
              <w:spacing w:after="0"/>
              <w:rPr>
                <w:sz w:val="20"/>
                <w:szCs w:val="20"/>
                <w:color w:val="auto"/>
              </w:rPr>
            </w:pPr>
            <w:r>
              <w:rPr>
                <w:rFonts w:ascii="Arial" w:cs="Arial" w:eastAsia="Arial" w:hAnsi="Arial"/>
                <w:sz w:val="18"/>
                <w:szCs w:val="18"/>
                <w:color w:val="auto"/>
              </w:rPr>
              <w:t>(Gain) loss, net of tax</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gridSpan w:val="2"/>
            <w:vMerge w:val="restart"/>
          </w:tcPr>
          <w:p>
            <w:pPr>
              <w:jc w:val="right"/>
              <w:ind w:right="853"/>
              <w:spacing w:after="0"/>
              <w:rPr>
                <w:sz w:val="20"/>
                <w:szCs w:val="20"/>
                <w:color w:val="auto"/>
              </w:rPr>
            </w:pPr>
            <w:r>
              <w:rPr>
                <w:rFonts w:ascii="Arial" w:cs="Arial" w:eastAsia="Arial" w:hAnsi="Arial"/>
                <w:sz w:val="18"/>
                <w:szCs w:val="18"/>
                <w:color w:val="auto"/>
                <w:w w:val="89"/>
              </w:rPr>
              <w:t>_____________________________________</w:t>
            </w: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280" w:type="dxa"/>
            <w:vAlign w:val="bottom"/>
            <w:gridSpan w:val="2"/>
            <w:vMerge w:val="continue"/>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42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This is included in the components of net periodic benefit costs (see Note 9 for additional details).</w:t>
      </w:r>
    </w:p>
    <w:p>
      <w:pPr>
        <w:spacing w:after="0" w:line="84"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Intangible Assets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Americas</w:t>
            </w:r>
          </w:p>
        </w:tc>
        <w:tc>
          <w:tcPr>
            <w:tcW w:w="240" w:type="dxa"/>
            <w:vAlign w:val="bottom"/>
          </w:tcPr>
          <w:p>
            <w:pPr>
              <w:spacing w:after="0"/>
              <w:rPr>
                <w:sz w:val="14"/>
                <w:szCs w:val="1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Global</w:t>
            </w: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Simple</w:t>
            </w: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8"/>
              </w:rPr>
              <w:t>Biscuits</w:t>
            </w: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Meals and</w:t>
            </w:r>
          </w:p>
        </w:tc>
        <w:tc>
          <w:tcPr>
            <w:tcW w:w="24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6"/>
              </w:rPr>
              <w:t>and</w:t>
            </w:r>
          </w:p>
        </w:tc>
        <w:tc>
          <w:tcPr>
            <w:tcW w:w="120" w:type="dxa"/>
            <w:vAlign w:val="bottom"/>
          </w:tcPr>
          <w:p>
            <w:pPr>
              <w:spacing w:after="0"/>
              <w:rPr>
                <w:sz w:val="12"/>
                <w:szCs w:val="12"/>
                <w:color w:val="auto"/>
              </w:rPr>
            </w:pPr>
          </w:p>
        </w:tc>
        <w:tc>
          <w:tcPr>
            <w:tcW w:w="11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3"/>
              </w:rPr>
              <w:t>Campbell Fresh</w:t>
            </w:r>
          </w:p>
        </w:tc>
        <w:tc>
          <w:tcPr>
            <w:tcW w:w="100" w:type="dxa"/>
            <w:vAlign w:val="bottom"/>
            <w:vMerge w:val="restart"/>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right"/>
              <w:ind w:right="45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260" w:type="dxa"/>
            <w:vAlign w:val="bottom"/>
            <w:tcBorders>
              <w:bottom w:val="single" w:sz="8" w:color="CCEEFF"/>
            </w:tcBorders>
          </w:tcPr>
          <w:p>
            <w:pPr>
              <w:spacing w:after="0"/>
              <w:rPr>
                <w:sz w:val="16"/>
                <w:szCs w:val="16"/>
                <w:color w:val="auto"/>
              </w:rPr>
            </w:pPr>
          </w:p>
        </w:tc>
        <w:tc>
          <w:tcPr>
            <w:tcW w:w="18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87"/>
              </w:rPr>
              <w:t>Beverages</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Snacks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August 2, 2015</w:t>
            </w:r>
          </w:p>
        </w:tc>
        <w:tc>
          <w:tcPr>
            <w:tcW w:w="2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775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43"/>
        </w:trPr>
        <w:tc>
          <w:tcPr>
            <w:tcW w:w="4260" w:type="dxa"/>
            <w:vAlign w:val="bottom"/>
          </w:tcPr>
          <w:p>
            <w:pPr>
              <w:ind w:left="40"/>
              <w:spacing w:after="0"/>
              <w:rPr>
                <w:sz w:val="20"/>
                <w:szCs w:val="20"/>
                <w:color w:val="auto"/>
              </w:rPr>
            </w:pPr>
            <w:r>
              <w:rPr>
                <w:rFonts w:ascii="Arial" w:cs="Arial" w:eastAsia="Arial" w:hAnsi="Arial"/>
                <w:sz w:val="18"/>
                <w:szCs w:val="18"/>
                <w:color w:val="auto"/>
              </w:rPr>
              <w:t>Foreign currency translation adjustment</w:t>
            </w:r>
          </w:p>
        </w:tc>
        <w:tc>
          <w:tcPr>
            <w:tcW w:w="1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20"/>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40"/>
              <w:spacing w:after="0"/>
              <w:rPr>
                <w:sz w:val="20"/>
                <w:szCs w:val="20"/>
                <w:color w:val="auto"/>
              </w:rPr>
            </w:pPr>
            <w:r>
              <w:rPr>
                <w:rFonts w:ascii="Arial" w:cs="Arial" w:eastAsia="Arial" w:hAnsi="Arial"/>
                <w:sz w:val="18"/>
                <w:szCs w:val="18"/>
                <w:b w:val="1"/>
                <w:bCs w:val="1"/>
                <w:color w:val="auto"/>
              </w:rPr>
              <w:t>29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33</w:t>
            </w:r>
          </w:p>
        </w:tc>
        <w:tc>
          <w:tcPr>
            <w:tcW w:w="0" w:type="dxa"/>
            <w:vAlign w:val="bottom"/>
          </w:tcPr>
          <w:p>
            <w:pPr>
              <w:spacing w:after="0"/>
              <w:rPr>
                <w:sz w:val="1"/>
                <w:szCs w:val="1"/>
                <w:color w:val="auto"/>
              </w:rPr>
            </w:pPr>
          </w:p>
        </w:tc>
      </w:tr>
      <w:tr>
        <w:trPr>
          <w:trHeight w:val="27"/>
        </w:trPr>
        <w:tc>
          <w:tcPr>
            <w:tcW w:w="426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May 1, 2016</w:t>
            </w:r>
          </w:p>
        </w:tc>
        <w:tc>
          <w:tcPr>
            <w:tcW w:w="2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761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837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2,377</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12</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260" w:type="dxa"/>
            <w:vAlign w:val="bottom"/>
          </w:tcPr>
          <w:p>
            <w:pPr>
              <w:spacing w:after="0"/>
              <w:rPr>
                <w:sz w:val="24"/>
                <w:szCs w:val="24"/>
                <w:color w:val="auto"/>
              </w:rPr>
            </w:pPr>
          </w:p>
        </w:tc>
        <w:tc>
          <w:tcPr>
            <w:tcW w:w="1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364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ind w:left="160"/>
              <w:spacing w:after="0"/>
              <w:rPr>
                <w:sz w:val="20"/>
                <w:szCs w:val="20"/>
                <w:color w:val="auto"/>
              </w:rPr>
            </w:pPr>
            <w:r>
              <w:rPr>
                <w:rFonts w:ascii="Arial" w:cs="Arial" w:eastAsia="Arial" w:hAnsi="Arial"/>
                <w:sz w:val="14"/>
                <w:szCs w:val="14"/>
                <w:b w:val="1"/>
                <w:bCs w:val="1"/>
                <w:color w:val="auto"/>
              </w:rPr>
              <w:t>May 1,</w:t>
            </w:r>
          </w:p>
        </w:tc>
        <w:tc>
          <w:tcPr>
            <w:tcW w:w="280" w:type="dxa"/>
            <w:vAlign w:val="bottom"/>
          </w:tcPr>
          <w:p>
            <w:pPr>
              <w:spacing w:after="0"/>
              <w:rPr>
                <w:sz w:val="14"/>
                <w:szCs w:val="14"/>
                <w:color w:val="auto"/>
              </w:rPr>
            </w:pPr>
          </w:p>
        </w:tc>
        <w:tc>
          <w:tcPr>
            <w:tcW w:w="1200" w:type="dxa"/>
            <w:vAlign w:val="bottom"/>
          </w:tcPr>
          <w:p>
            <w:pPr>
              <w:jc w:val="right"/>
              <w:ind w:right="374"/>
              <w:spacing w:after="0"/>
              <w:rPr>
                <w:sz w:val="20"/>
                <w:szCs w:val="20"/>
                <w:color w:val="auto"/>
              </w:rPr>
            </w:pPr>
            <w:r>
              <w:rPr>
                <w:rFonts w:ascii="Arial" w:cs="Arial" w:eastAsia="Arial" w:hAnsi="Arial"/>
                <w:sz w:val="14"/>
                <w:szCs w:val="14"/>
                <w:b w:val="1"/>
                <w:bCs w:val="1"/>
                <w:color w:val="auto"/>
              </w:rPr>
              <w:t>August 2,</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223</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gross amortizable intangible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Accumulated amortization</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amortizable intangible assets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Non-amortizable intangible assets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966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960</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net intangible assets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1,197</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Non-amortizable intangible assets consist of trademarks, which include </w:t>
      </w:r>
      <w:r>
        <w:rPr>
          <w:rFonts w:ascii="Arial" w:cs="Arial" w:eastAsia="Arial" w:hAnsi="Arial"/>
          <w:sz w:val="18"/>
          <w:szCs w:val="18"/>
          <w:i w:val="1"/>
          <w:iCs w:val="1"/>
          <w:color w:val="auto"/>
        </w:rPr>
        <w:t>Bolthouse Farms, Pace</w:t>
      </w:r>
      <w:r>
        <w:rPr>
          <w:rFonts w:ascii="Arial" w:cs="Arial" w:eastAsia="Arial" w:hAnsi="Arial"/>
          <w:sz w:val="18"/>
          <w:szCs w:val="18"/>
          <w:color w:val="auto"/>
        </w:rPr>
        <w:t xml:space="preserve">, </w:t>
      </w:r>
      <w:r>
        <w:rPr>
          <w:rFonts w:ascii="Arial" w:cs="Arial" w:eastAsia="Arial" w:hAnsi="Arial"/>
          <w:sz w:val="18"/>
          <w:szCs w:val="18"/>
          <w:i w:val="1"/>
          <w:iCs w:val="1"/>
          <w:color w:val="auto"/>
        </w:rPr>
        <w:t>Plum, Kjeldsens, Garden Fresh Gourmet</w:t>
      </w:r>
      <w:r>
        <w:rPr>
          <w:rFonts w:ascii="Arial" w:cs="Arial" w:eastAsia="Arial" w:hAnsi="Arial"/>
          <w:sz w:val="18"/>
          <w:szCs w:val="18"/>
          <w:color w:val="auto"/>
        </w:rPr>
        <w:t xml:space="preserve"> and </w:t>
      </w:r>
      <w:r>
        <w:rPr>
          <w:rFonts w:ascii="Arial" w:cs="Arial" w:eastAsia="Arial" w:hAnsi="Arial"/>
          <w:sz w:val="18"/>
          <w:szCs w:val="18"/>
          <w:i w:val="1"/>
          <w:iCs w:val="1"/>
          <w:color w:val="auto"/>
        </w:rPr>
        <w:t>Royal</w:t>
      </w:r>
      <w:r>
        <w:rPr>
          <w:rFonts w:ascii="Arial" w:cs="Arial" w:eastAsia="Arial" w:hAnsi="Arial"/>
          <w:sz w:val="18"/>
          <w:szCs w:val="18"/>
          <w:color w:val="auto"/>
        </w:rPr>
        <w:t xml:space="preserve"> </w:t>
      </w:r>
      <w:r>
        <w:rPr>
          <w:rFonts w:ascii="Arial" w:cs="Arial" w:eastAsia="Arial" w:hAnsi="Arial"/>
          <w:sz w:val="18"/>
          <w:szCs w:val="18"/>
          <w:i w:val="1"/>
          <w:iCs w:val="1"/>
          <w:color w:val="auto"/>
        </w:rPr>
        <w:t>Dansk</w:t>
      </w:r>
      <w:r>
        <w:rPr>
          <w:rFonts w:ascii="Arial" w:cs="Arial" w:eastAsia="Arial" w:hAnsi="Arial"/>
          <w:sz w:val="18"/>
          <w:szCs w:val="18"/>
          <w:color w:val="auto"/>
        </w:rPr>
        <w:t>. Other amortizable intangible assets consist of recipes, patents, trademarks and distributor relationships.</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Amortization of intangible assets was $15 and $13 for the nine-month periods ended May 1, 2016, and May 3, 2015, respectively. Amortization expense for the next 5 years is estimated to be $20 in the fiscal periods 2016 and 2017, and $15 in 2018 through 2020. Asset useful lives range from 5 to 20 years.</w:t>
      </w:r>
    </w:p>
    <w:p>
      <w:pPr>
        <w:spacing w:after="0" w:line="66"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and Geographic Segment Information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Through the fourth quarter of 2015, we reported the results of our operations in the following reportable segments: U.S. Simple Meals; Global Baking and Snacking; International Simple Meals and Beverages; U.S. Beverages; and Bolthouse and Foodservice. As of the beginning of 2016, we are managing our businesses in three divisions focused mainly on product categories. The new divisions, which represent our operating and reportable segments, are as follows:</w:t>
      </w:r>
    </w:p>
    <w:p>
      <w:pPr>
        <w:spacing w:after="0" w:line="133" w:lineRule="exact"/>
        <w:rPr>
          <w:sz w:val="20"/>
          <w:szCs w:val="20"/>
          <w:color w:val="auto"/>
        </w:rPr>
      </w:pPr>
    </w:p>
    <w:p>
      <w:pPr>
        <w:jc w:val="both"/>
        <w:ind w:left="660" w:hanging="328"/>
        <w:spacing w:after="0" w:line="259"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Americas Simple Meals and Beverages segment includes the retail and food service channel businesses in the U.S., Canada and Latin America. The segment includes the following products: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and ready-to-serve soups;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broth and stocks;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gravies, pasta, beans and dinner sauces;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w:t>
      </w:r>
      <w:r>
        <w:rPr>
          <w:rFonts w:ascii="Arial" w:cs="Arial" w:eastAsia="Arial" w:hAnsi="Arial"/>
          <w:sz w:val="18"/>
          <w:szCs w:val="18"/>
          <w:i w:val="1"/>
          <w:iCs w:val="1"/>
          <w:color w:val="auto"/>
        </w:rPr>
        <w:t>Plum</w:t>
      </w:r>
      <w:r>
        <w:rPr>
          <w:rFonts w:ascii="Arial" w:cs="Arial" w:eastAsia="Arial" w:hAnsi="Arial"/>
          <w:sz w:val="18"/>
          <w:szCs w:val="18"/>
          <w:color w:val="auto"/>
        </w:rPr>
        <w:t xml:space="preserve"> food and snacks;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Campbell’</w:t>
      </w:r>
      <w:r>
        <w:rPr>
          <w:rFonts w:ascii="Arial" w:cs="Arial" w:eastAsia="Arial" w:hAnsi="Arial"/>
          <w:sz w:val="18"/>
          <w:szCs w:val="18"/>
          <w:color w:val="auto"/>
        </w:rPr>
        <w:t>s tomato juice.</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Global Biscuits and Snacks segment includes Pepperidge Farm cookies, crackers, bakery and frozen products in U.S. retail; Arnott’s biscuits in Australia and Asia Pacific; and Kelsen cookies globally. The segment also includes the simple meals and shelf-stable beverages business in Australia and Asia Pacific.</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Campbell Fresh includes Bolthouse Farms fresh carrots, carrot ingredients, refrigerated beverages and refrigerated salad dressings; Garden Fresh Gourmet salsa, hummus, dips and tortilla chips, which was acquired in June 2015; and the U.S. refrigerated soup business.</w:t>
      </w:r>
    </w:p>
    <w:p>
      <w:pPr>
        <w:spacing w:after="0" w:line="9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evaluate segment performance before interest, taxes and costs associated with restructuring activities.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In 2016, we elected to change our method of accounting for the recognition of actuarial gains and losses for defined benefit pension and postretirement plans and the calculation of expected return on pension plan assets as discussed in Note 1. In 2016, we also modified our method of allocating pension and postretirement benefit costs to segments. Through 2015, we included all components of benefit expense in measuring segment performance. In 2016, only service cost is allocated to segments. All other components of expense, including interest cost, expected return on assets, and recognized actuarial gains and losses, are reflected in Corporate and not included in segment operating results. Asset information by segment is not discretely maintained for internal reporting or used in evaluating performance.</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results have been adjusted retrospectively to reflect these revisions.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314" w:right="239" w:bottom="1440" w:gutter="0" w:footer="0" w:header="0"/>
        </w:sectPr>
      </w:pPr>
    </w:p>
    <w:bookmarkStart w:id="13" w:name="page14"/>
    <w:bookmarkEnd w:id="13"/>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8"/>
              </w:rPr>
              <w:t>May 1,</w:t>
            </w:r>
          </w:p>
        </w:tc>
        <w:tc>
          <w:tcPr>
            <w:tcW w:w="260" w:type="dxa"/>
            <w:vAlign w:val="bottom"/>
          </w:tcPr>
          <w:p>
            <w:pPr>
              <w:spacing w:after="0"/>
              <w:rPr>
                <w:sz w:val="13"/>
                <w:szCs w:val="13"/>
                <w:color w:val="auto"/>
              </w:rPr>
            </w:pPr>
          </w:p>
        </w:tc>
        <w:tc>
          <w:tcPr>
            <w:tcW w:w="11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8"/>
              </w:rPr>
              <w:t>May 3,</w:t>
            </w:r>
          </w:p>
        </w:tc>
        <w:tc>
          <w:tcPr>
            <w:tcW w:w="260" w:type="dxa"/>
            <w:vAlign w:val="bottom"/>
          </w:tcPr>
          <w:p>
            <w:pPr>
              <w:spacing w:after="0"/>
              <w:rPr>
                <w:sz w:val="13"/>
                <w:szCs w:val="13"/>
                <w:color w:val="auto"/>
              </w:rPr>
            </w:pPr>
          </w:p>
        </w:tc>
        <w:tc>
          <w:tcPr>
            <w:tcW w:w="11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8"/>
              </w:rPr>
              <w:t>May 1,</w:t>
            </w:r>
          </w:p>
        </w:tc>
        <w:tc>
          <w:tcPr>
            <w:tcW w:w="260" w:type="dxa"/>
            <w:vAlign w:val="bottom"/>
          </w:tcPr>
          <w:p>
            <w:pPr>
              <w:spacing w:after="0"/>
              <w:rPr>
                <w:sz w:val="13"/>
                <w:szCs w:val="13"/>
                <w:color w:val="auto"/>
              </w:rPr>
            </w:pPr>
          </w:p>
        </w:tc>
        <w:tc>
          <w:tcPr>
            <w:tcW w:w="1000" w:type="dxa"/>
            <w:vAlign w:val="bottom"/>
          </w:tcPr>
          <w:p>
            <w:pPr>
              <w:jc w:val="center"/>
              <w:ind w:right="215"/>
              <w:spacing w:after="0" w:line="153" w:lineRule="exact"/>
              <w:rPr>
                <w:sz w:val="20"/>
                <w:szCs w:val="20"/>
                <w:color w:val="auto"/>
              </w:rPr>
            </w:pPr>
            <w:r>
              <w:rPr>
                <w:rFonts w:ascii="Arial" w:cs="Arial" w:eastAsia="Arial" w:hAnsi="Arial"/>
                <w:sz w:val="14"/>
                <w:szCs w:val="14"/>
                <w:b w:val="1"/>
                <w:bCs w:val="1"/>
                <w:color w:val="auto"/>
                <w:w w:val="98"/>
              </w:rPr>
              <w:t>May 3,</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999</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1,030</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3,538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3,641</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608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1,942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2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263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794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1,870</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6,274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6,389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1"/>
        </w:trPr>
        <w:tc>
          <w:tcPr>
            <w:tcW w:w="6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8"/>
              </w:rPr>
              <w:t>May 1,</w:t>
            </w:r>
          </w:p>
        </w:tc>
        <w:tc>
          <w:tcPr>
            <w:tcW w:w="260" w:type="dxa"/>
            <w:vAlign w:val="bottom"/>
          </w:tcPr>
          <w:p>
            <w:pPr>
              <w:spacing w:after="0"/>
              <w:rPr>
                <w:sz w:val="13"/>
                <w:szCs w:val="13"/>
                <w:color w:val="auto"/>
              </w:rPr>
            </w:pPr>
          </w:p>
        </w:tc>
        <w:tc>
          <w:tcPr>
            <w:tcW w:w="11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8"/>
              </w:rPr>
              <w:t>May 3,</w:t>
            </w:r>
          </w:p>
        </w:tc>
        <w:tc>
          <w:tcPr>
            <w:tcW w:w="260" w:type="dxa"/>
            <w:vAlign w:val="bottom"/>
          </w:tcPr>
          <w:p>
            <w:pPr>
              <w:spacing w:after="0"/>
              <w:rPr>
                <w:sz w:val="13"/>
                <w:szCs w:val="13"/>
                <w:color w:val="auto"/>
              </w:rPr>
            </w:pPr>
          </w:p>
        </w:tc>
        <w:tc>
          <w:tcPr>
            <w:tcW w:w="1100" w:type="dxa"/>
            <w:vAlign w:val="bottom"/>
            <w:gridSpan w:val="2"/>
          </w:tcPr>
          <w:p>
            <w:pPr>
              <w:jc w:val="center"/>
              <w:ind w:right="400"/>
              <w:spacing w:after="0" w:line="153" w:lineRule="exact"/>
              <w:rPr>
                <w:sz w:val="20"/>
                <w:szCs w:val="20"/>
                <w:color w:val="auto"/>
              </w:rPr>
            </w:pPr>
            <w:r>
              <w:rPr>
                <w:rFonts w:ascii="Arial" w:cs="Arial" w:eastAsia="Arial" w:hAnsi="Arial"/>
                <w:sz w:val="14"/>
                <w:szCs w:val="14"/>
                <w:b w:val="1"/>
                <w:bCs w:val="1"/>
                <w:color w:val="auto"/>
                <w:w w:val="98"/>
              </w:rPr>
              <w:t>May 1,</w:t>
            </w:r>
          </w:p>
        </w:tc>
        <w:tc>
          <w:tcPr>
            <w:tcW w:w="260" w:type="dxa"/>
            <w:vAlign w:val="bottom"/>
          </w:tcPr>
          <w:p>
            <w:pPr>
              <w:spacing w:after="0"/>
              <w:rPr>
                <w:sz w:val="13"/>
                <w:szCs w:val="13"/>
                <w:color w:val="auto"/>
              </w:rPr>
            </w:pPr>
          </w:p>
        </w:tc>
        <w:tc>
          <w:tcPr>
            <w:tcW w:w="1000" w:type="dxa"/>
            <w:vAlign w:val="bottom"/>
          </w:tcPr>
          <w:p>
            <w:pPr>
              <w:jc w:val="center"/>
              <w:ind w:right="215"/>
              <w:spacing w:after="0" w:line="153" w:lineRule="exact"/>
              <w:rPr>
                <w:sz w:val="20"/>
                <w:szCs w:val="20"/>
                <w:color w:val="auto"/>
              </w:rPr>
            </w:pPr>
            <w:r>
              <w:rPr>
                <w:rFonts w:ascii="Arial" w:cs="Arial" w:eastAsia="Arial" w:hAnsi="Arial"/>
                <w:sz w:val="14"/>
                <w:szCs w:val="14"/>
                <w:b w:val="1"/>
                <w:bCs w:val="1"/>
                <w:color w:val="auto"/>
                <w:w w:val="98"/>
              </w:rPr>
              <w:t>May 3,</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95"/>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75"/>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Americas Simple Meals and Beverages</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225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878</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765</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2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8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0"/>
        </w:trPr>
        <w:tc>
          <w:tcPr>
            <w:tcW w:w="608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69"/>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268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997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0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68" w:lineRule="auto"/>
        <w:tabs>
          <w:tab w:leader="none" w:pos="340" w:val="left"/>
        </w:tabs>
        <w:numPr>
          <w:ilvl w:val="0"/>
          <w:numId w:val="33"/>
        </w:numPr>
        <w:rPr>
          <w:rFonts w:ascii="Arial" w:cs="Arial" w:eastAsia="Arial" w:hAnsi="Arial"/>
          <w:sz w:val="22"/>
          <w:szCs w:val="22"/>
          <w:color w:val="auto"/>
          <w:vertAlign w:val="superscript"/>
        </w:rPr>
      </w:pPr>
      <w:r>
        <w:rPr>
          <w:rFonts w:ascii="Arial" w:cs="Arial" w:eastAsia="Arial" w:hAnsi="Arial"/>
          <w:sz w:val="16"/>
          <w:szCs w:val="16"/>
          <w:color w:val="auto"/>
        </w:rPr>
        <w:t>Represents unallocated items. Costs of $54 and $175 related to pension mark-to-market adjustments (see Note 1 for additional information) and costs of $13 and $35 related to the implementation of our new organizational structure and cost savings initiatives (see Note 7 for additional information) were included in the three- and nine-month periods ended May 1, 2016, respectively. A gain of $25 from a settlement of a claim related to the Kelsen acquisition was also included in the three- and nine-month periods ended May 1, 2016. Costs of $26 related to pension and postretirement mark-to-market adjustments (see Note 1 for additional information) and costs of $9 related to the implementation of our new organizational structure and cost savings initiatives (see Note 7 for additional information) were included in the three- and nine-month periods ended May 3, 2015.</w:t>
      </w:r>
    </w:p>
    <w:p>
      <w:pPr>
        <w:spacing w:after="0" w:line="1" w:lineRule="exact"/>
        <w:rPr>
          <w:rFonts w:ascii="Arial" w:cs="Arial" w:eastAsia="Arial" w:hAnsi="Arial"/>
          <w:sz w:val="22"/>
          <w:szCs w:val="22"/>
          <w:color w:val="auto"/>
          <w:vertAlign w:val="superscript"/>
        </w:rPr>
      </w:pPr>
    </w:p>
    <w:p>
      <w:pPr>
        <w:ind w:left="340" w:hanging="332"/>
        <w:spacing w:after="0" w:line="180"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See Note 7 for additional information.</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jc w:val="right"/>
              <w:ind w:right="575"/>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Nine Months Ended</w:t>
            </w:r>
          </w:p>
        </w:tc>
      </w:tr>
      <w:tr>
        <w:trPr>
          <w:trHeight w:val="152"/>
        </w:trPr>
        <w:tc>
          <w:tcPr>
            <w:tcW w:w="60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May 1,</w:t>
            </w:r>
          </w:p>
        </w:tc>
        <w:tc>
          <w:tcPr>
            <w:tcW w:w="26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May 3,</w:t>
            </w:r>
          </w:p>
        </w:tc>
        <w:tc>
          <w:tcPr>
            <w:tcW w:w="260" w:type="dxa"/>
            <w:vAlign w:val="bottom"/>
          </w:tcPr>
          <w:p>
            <w:pPr>
              <w:spacing w:after="0"/>
              <w:rPr>
                <w:sz w:val="13"/>
                <w:szCs w:val="13"/>
                <w:color w:val="auto"/>
              </w:rPr>
            </w:pPr>
          </w:p>
        </w:tc>
        <w:tc>
          <w:tcPr>
            <w:tcW w:w="1100" w:type="dxa"/>
            <w:vAlign w:val="bottom"/>
            <w:gridSpan w:val="2"/>
          </w:tcPr>
          <w:p>
            <w:pPr>
              <w:ind w:left="140"/>
              <w:spacing w:after="0" w:line="153" w:lineRule="exact"/>
              <w:rPr>
                <w:sz w:val="20"/>
                <w:szCs w:val="20"/>
                <w:color w:val="auto"/>
              </w:rPr>
            </w:pPr>
            <w:r>
              <w:rPr>
                <w:rFonts w:ascii="Arial" w:cs="Arial" w:eastAsia="Arial" w:hAnsi="Arial"/>
                <w:sz w:val="14"/>
                <w:szCs w:val="14"/>
                <w:b w:val="1"/>
                <w:bCs w:val="1"/>
                <w:color w:val="auto"/>
              </w:rPr>
              <w:t>May 1,</w:t>
            </w:r>
          </w:p>
        </w:tc>
        <w:tc>
          <w:tcPr>
            <w:tcW w:w="260" w:type="dxa"/>
            <w:vAlign w:val="bottom"/>
          </w:tcPr>
          <w:p>
            <w:pPr>
              <w:spacing w:after="0"/>
              <w:rPr>
                <w:sz w:val="13"/>
                <w:szCs w:val="13"/>
                <w:color w:val="auto"/>
              </w:rPr>
            </w:pPr>
          </w:p>
        </w:tc>
        <w:tc>
          <w:tcPr>
            <w:tcW w:w="1000" w:type="dxa"/>
            <w:vAlign w:val="bottom"/>
          </w:tcPr>
          <w:p>
            <w:pPr>
              <w:jc w:val="right"/>
              <w:ind w:right="355"/>
              <w:spacing w:after="0" w:line="153" w:lineRule="exact"/>
              <w:rPr>
                <w:sz w:val="20"/>
                <w:szCs w:val="20"/>
                <w:color w:val="auto"/>
              </w:rPr>
            </w:pPr>
            <w:r>
              <w:rPr>
                <w:rFonts w:ascii="Arial" w:cs="Arial" w:eastAsia="Arial" w:hAnsi="Arial"/>
                <w:sz w:val="14"/>
                <w:szCs w:val="14"/>
                <w:b w:val="1"/>
                <w:bCs w:val="1"/>
                <w:color w:val="auto"/>
              </w:rPr>
              <w:t>May 3,</w:t>
            </w:r>
          </w:p>
        </w:tc>
      </w:tr>
      <w:tr>
        <w:trPr>
          <w:trHeight w:val="192"/>
        </w:trPr>
        <w:tc>
          <w:tcPr>
            <w:tcW w:w="6080" w:type="dxa"/>
            <w:vAlign w:val="bottom"/>
            <w:tcBorders>
              <w:bottom w:val="single" w:sz="8" w:color="BFE4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BFE4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BFE4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BFE4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2015</w:t>
            </w:r>
          </w:p>
        </w:tc>
      </w:tr>
      <w:tr>
        <w:trPr>
          <w:trHeight w:val="250"/>
        </w:trPr>
        <w:tc>
          <w:tcPr>
            <w:tcW w:w="60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Soup</w:t>
            </w: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575</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602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2,253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2,361</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60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Baked snacks</w:t>
            </w:r>
          </w:p>
        </w:tc>
        <w:tc>
          <w:tcPr>
            <w:tcW w:w="24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b w:val="1"/>
                <w:bCs w:val="1"/>
                <w:color w:val="auto"/>
              </w:rPr>
              <w:t>584</w:t>
            </w:r>
          </w:p>
        </w:tc>
        <w:tc>
          <w:tcPr>
            <w:tcW w:w="12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5"/>
              <w:spacing w:after="0"/>
              <w:rPr>
                <w:sz w:val="20"/>
                <w:szCs w:val="20"/>
                <w:color w:val="auto"/>
              </w:rPr>
            </w:pPr>
            <w:r>
              <w:rPr>
                <w:rFonts w:ascii="Arial" w:cs="Arial" w:eastAsia="Arial" w:hAnsi="Arial"/>
                <w:sz w:val="18"/>
                <w:szCs w:val="18"/>
                <w:color w:val="auto"/>
              </w:rPr>
              <w:t>587</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8"/>
                <w:szCs w:val="18"/>
                <w:b w:val="1"/>
                <w:bCs w:val="1"/>
                <w:color w:val="auto"/>
              </w:rPr>
              <w:t>1,886</w:t>
            </w:r>
          </w:p>
        </w:tc>
        <w:tc>
          <w:tcPr>
            <w:tcW w:w="100" w:type="dxa"/>
            <w:vAlign w:val="bottom"/>
            <w:tcBorders>
              <w:bottom w:val="single" w:sz="8" w:color="BFE4FF"/>
            </w:tcBorders>
            <w:shd w:val="clear" w:color="auto" w:fill="BFE4FF"/>
          </w:tcPr>
          <w:p>
            <w:pPr>
              <w:spacing w:after="0"/>
              <w:rPr>
                <w:sz w:val="21"/>
                <w:szCs w:val="21"/>
                <w:color w:val="auto"/>
              </w:rPr>
            </w:pPr>
          </w:p>
        </w:tc>
        <w:tc>
          <w:tcPr>
            <w:tcW w:w="26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1,919</w:t>
            </w:r>
          </w:p>
        </w:tc>
      </w:tr>
      <w:tr>
        <w:trPr>
          <w:trHeight w:val="243"/>
        </w:trPr>
        <w:tc>
          <w:tcPr>
            <w:tcW w:w="6080" w:type="dxa"/>
            <w:vAlign w:val="bottom"/>
          </w:tcPr>
          <w:p>
            <w:pPr>
              <w:ind w:left="180"/>
              <w:spacing w:after="0"/>
              <w:rPr>
                <w:sz w:val="20"/>
                <w:szCs w:val="20"/>
                <w:color w:val="auto"/>
              </w:rPr>
            </w:pPr>
            <w:r>
              <w:rPr>
                <w:rFonts w:ascii="Arial" w:cs="Arial" w:eastAsia="Arial" w:hAnsi="Arial"/>
                <w:sz w:val="18"/>
                <w:szCs w:val="18"/>
                <w:color w:val="auto"/>
              </w:rPr>
              <w:t>Other simple meals</w:t>
            </w:r>
          </w:p>
        </w:tc>
        <w:tc>
          <w:tcPr>
            <w:tcW w:w="2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b w:val="1"/>
                <w:bCs w:val="1"/>
                <w:color w:val="auto"/>
              </w:rPr>
              <w:t>424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37"/>
              <w:spacing w:after="0"/>
              <w:rPr>
                <w:sz w:val="20"/>
                <w:szCs w:val="20"/>
                <w:color w:val="auto"/>
              </w:rPr>
            </w:pPr>
            <w:r>
              <w:rPr>
                <w:rFonts w:ascii="Arial" w:cs="Arial" w:eastAsia="Arial" w:hAnsi="Arial"/>
                <w:sz w:val="18"/>
                <w:szCs w:val="18"/>
                <w:b w:val="1"/>
                <w:bCs w:val="1"/>
                <w:color w:val="auto"/>
              </w:rPr>
              <w:t>1,300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1,251</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Beverages</w:t>
            </w:r>
          </w:p>
        </w:tc>
        <w:tc>
          <w:tcPr>
            <w:tcW w:w="24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7"/>
              <w:spacing w:after="0"/>
              <w:rPr>
                <w:sz w:val="20"/>
                <w:szCs w:val="20"/>
                <w:color w:val="auto"/>
              </w:rPr>
            </w:pPr>
            <w:r>
              <w:rPr>
                <w:rFonts w:ascii="Arial" w:cs="Arial" w:eastAsia="Arial" w:hAnsi="Arial"/>
                <w:sz w:val="18"/>
                <w:szCs w:val="18"/>
                <w:b w:val="1"/>
                <w:bCs w:val="1"/>
                <w:color w:val="auto"/>
              </w:rPr>
              <w:t>287</w:t>
            </w:r>
          </w:p>
        </w:tc>
        <w:tc>
          <w:tcPr>
            <w:tcW w:w="12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35"/>
              <w:spacing w:after="0"/>
              <w:rPr>
                <w:sz w:val="20"/>
                <w:szCs w:val="20"/>
                <w:color w:val="auto"/>
              </w:rPr>
            </w:pPr>
            <w:r>
              <w:rPr>
                <w:rFonts w:ascii="Arial" w:cs="Arial" w:eastAsia="Arial" w:hAnsi="Arial"/>
                <w:sz w:val="18"/>
                <w:szCs w:val="18"/>
                <w:color w:val="auto"/>
              </w:rPr>
              <w:t>302</w:t>
            </w:r>
          </w:p>
        </w:tc>
        <w:tc>
          <w:tcPr>
            <w:tcW w:w="1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8"/>
                <w:szCs w:val="18"/>
                <w:b w:val="1"/>
                <w:bCs w:val="1"/>
                <w:color w:val="auto"/>
              </w:rPr>
              <w:t>835</w:t>
            </w:r>
          </w:p>
        </w:tc>
        <w:tc>
          <w:tcPr>
            <w:tcW w:w="100" w:type="dxa"/>
            <w:vAlign w:val="bottom"/>
            <w:tcBorders>
              <w:bottom w:val="single" w:sz="8" w:color="BFE4FF"/>
            </w:tcBorders>
            <w:shd w:val="clear" w:color="auto" w:fill="BFE4FF"/>
          </w:tcPr>
          <w:p>
            <w:pPr>
              <w:spacing w:after="0"/>
              <w:rPr>
                <w:sz w:val="23"/>
                <w:szCs w:val="23"/>
                <w:color w:val="auto"/>
              </w:rPr>
            </w:pPr>
          </w:p>
        </w:tc>
        <w:tc>
          <w:tcPr>
            <w:tcW w:w="26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858</w:t>
            </w:r>
          </w:p>
        </w:tc>
      </w:tr>
      <w:tr>
        <w:trPr>
          <w:trHeight w:val="237"/>
        </w:trPr>
        <w:tc>
          <w:tcPr>
            <w:tcW w:w="6080" w:type="dxa"/>
            <w:vAlign w:val="bottom"/>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1,870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1,900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6,274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6,389</w:t>
            </w:r>
          </w:p>
        </w:tc>
      </w:tr>
      <w:tr>
        <w:trPr>
          <w:trHeight w:val="27"/>
        </w:trPr>
        <w:tc>
          <w:tcPr>
            <w:tcW w:w="6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firstLine="216"/>
        <w:spacing w:after="0" w:line="277" w:lineRule="auto"/>
        <w:rPr>
          <w:sz w:val="20"/>
          <w:szCs w:val="20"/>
          <w:color w:val="auto"/>
        </w:rPr>
      </w:pPr>
      <w:r>
        <w:rPr>
          <w:rFonts w:ascii="Arial" w:cs="Arial" w:eastAsia="Arial" w:hAnsi="Arial"/>
          <w:sz w:val="18"/>
          <w:szCs w:val="18"/>
          <w:color w:val="auto"/>
        </w:rPr>
        <w:t>Soup includes various soup, broths and stock products. Baked snacks include cookies, crackers, biscuits and other baked products. Other simple meals include sauces, carrot products, refrigerated salad dressings, refrigerated salsa, hummus, dips and Plum foods and snacks.</w:t>
      </w:r>
    </w:p>
    <w:p>
      <w:pPr>
        <w:spacing w:after="0" w:line="112"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design,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support of the new enterprise design, we designed and implemented a new Integrated Global Services (IGS) organization to deliver shared services across the company. IGS, which became effective at the beginning of 2016, is expected to reduce costs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40"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while increasing our efficiency and effectiveness. We also streamlined our organizational structure. We are pursuing other initiatives to reduce costs and increase effectiveness, such as adopting zero-based budgeting over time.</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July 31. We also implemented an initiative to reduce overhead across the organization by eliminating approximately 245 positions. In the three- and nine-month periods ended May 1, 2016, we recorded a restructuring charge of $2 and $35, respectively, related to these initiatives. In 2015, we recorded a restructuring charge of $102 related to these initiatives. Of the amounts recorded in 2015, $9 was recorded in the nine-month period ended May 3, 2015.</w:t>
      </w:r>
    </w:p>
    <w:p>
      <w:pPr>
        <w:spacing w:after="0" w:line="13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the three- and nine-month periods ended May 1, 2016, we also incurred charges of $13 and $35, respectively, recorded in Administrative expenses related to the implementation of the new organizational structure and cost savings initiatives. In 2015, we incurred charges of $22 recorded in Administrative expenses related to the these initiatives. Of the amounts recorded in 2015, $9 was recorded in the nine-month period ended May 3, 2015.</w:t>
      </w:r>
    </w:p>
    <w:p>
      <w:pPr>
        <w:spacing w:after="0" w:line="93"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the three- and nine-month periods ended May 1, 2016, the aggregate after-tax impact of restructuring charges, implementation costs and other related costs recorded was $9, or $.03 per share, and $44, or $.14 per share, respectively. In the three- and nine-month periods ended May 3, 2015, the aggregate after-tax impact of restructuring charges and implementation costs was $11, or $.04 per share. The aggregate after-tax impact of restructuring charges and implementation and other costs recorded in 2015 was $78, or $.25 per share. A summary of the pre-tax costs associated with the 2015 initiatives is as follows: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jc w:val="center"/>
              <w:ind w:right="179"/>
              <w:spacing w:after="0"/>
              <w:rPr>
                <w:sz w:val="20"/>
                <w:szCs w:val="20"/>
                <w:color w:val="auto"/>
              </w:rPr>
            </w:pPr>
            <w:r>
              <w:rPr>
                <w:rFonts w:ascii="Arial" w:cs="Arial" w:eastAsia="Arial" w:hAnsi="Arial"/>
                <w:sz w:val="14"/>
                <w:szCs w:val="14"/>
                <w:b w:val="1"/>
                <w:bCs w:val="1"/>
                <w:color w:val="auto"/>
                <w:w w:val="89"/>
              </w:rPr>
              <w:t>Recognized</w:t>
            </w:r>
          </w:p>
        </w:tc>
      </w:tr>
      <w:tr>
        <w:trPr>
          <w:trHeight w:val="149"/>
        </w:trPr>
        <w:tc>
          <w:tcPr>
            <w:tcW w:w="98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20" w:type="dxa"/>
            <w:vAlign w:val="bottom"/>
          </w:tcPr>
          <w:p>
            <w:pPr>
              <w:jc w:val="center"/>
              <w:ind w:right="199"/>
              <w:spacing w:after="0" w:line="149" w:lineRule="exact"/>
              <w:rPr>
                <w:sz w:val="20"/>
                <w:szCs w:val="20"/>
                <w:color w:val="auto"/>
              </w:rPr>
            </w:pPr>
            <w:r>
              <w:rPr>
                <w:rFonts w:ascii="Arial" w:cs="Arial" w:eastAsia="Arial" w:hAnsi="Arial"/>
                <w:sz w:val="14"/>
                <w:szCs w:val="14"/>
                <w:b w:val="1"/>
                <w:bCs w:val="1"/>
                <w:color w:val="auto"/>
                <w:w w:val="85"/>
              </w:rPr>
              <w:t>as of</w:t>
            </w:r>
          </w:p>
        </w:tc>
      </w:tr>
      <w:tr>
        <w:trPr>
          <w:trHeight w:val="192"/>
        </w:trPr>
        <w:tc>
          <w:tcPr>
            <w:tcW w:w="9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7"/>
              </w:rPr>
              <w:t>May 1, 2016</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128</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280" w:type="dxa"/>
            <w:vAlign w:val="bottom"/>
          </w:tcPr>
          <w:p>
            <w:pPr>
              <w:spacing w:after="0"/>
              <w:rPr>
                <w:sz w:val="21"/>
                <w:szCs w:val="21"/>
                <w:color w:val="auto"/>
              </w:rPr>
            </w:pPr>
          </w:p>
        </w:tc>
        <w:tc>
          <w:tcPr>
            <w:tcW w:w="1320" w:type="dxa"/>
            <w:vAlign w:val="bottom"/>
          </w:tcPr>
          <w:p>
            <w:pPr>
              <w:jc w:val="right"/>
              <w:ind w:right="19"/>
              <w:spacing w:after="0"/>
              <w:rPr>
                <w:sz w:val="20"/>
                <w:szCs w:val="20"/>
                <w:color w:val="auto"/>
              </w:rPr>
            </w:pPr>
            <w:r>
              <w:rPr>
                <w:rFonts w:ascii="Arial" w:cs="Arial" w:eastAsia="Arial" w:hAnsi="Arial"/>
                <w:sz w:val="18"/>
                <w:szCs w:val="18"/>
                <w:color w:val="auto"/>
              </w:rPr>
              <w:t>66</w:t>
            </w:r>
          </w:p>
        </w:tc>
      </w:tr>
      <w:tr>
        <w:trPr>
          <w:trHeight w:val="27"/>
        </w:trPr>
        <w:tc>
          <w:tcPr>
            <w:tcW w:w="9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194</w:t>
            </w:r>
          </w:p>
        </w:tc>
      </w:tr>
      <w:tr>
        <w:trPr>
          <w:trHeight w:val="20"/>
        </w:trPr>
        <w:tc>
          <w:tcPr>
            <w:tcW w:w="98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estimated pre-tax costs for the 2015 initiatives are approximately $250 to $325. We expect to incur these costs through 2018.</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expect the costs to consist of approximately $150 to $165 in severance pay and benefits, and approximately $100 to $160 in implementation costs and other related costs.We expect the total pre-tax costs related to the 2015 initiatives will be associated with segments as follows: Americas Simple Meals and Beverages - approximately 31%; Global Biscuits and Snacks - approximately 35%; Campbell Fresh - approximately 3%; and Corporate - approximately 31%.</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the 2015 initiatives at May 1, 2016,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0"/>
              </w:rPr>
              <w:t>Severance Pay and</w:t>
            </w:r>
          </w:p>
        </w:tc>
        <w:tc>
          <w:tcPr>
            <w:tcW w:w="160" w:type="dxa"/>
            <w:vAlign w:val="bottom"/>
          </w:tcPr>
          <w:p>
            <w:pPr>
              <w:spacing w:after="0"/>
              <w:rPr>
                <w:sz w:val="14"/>
                <w:szCs w:val="14"/>
                <w:color w:val="auto"/>
              </w:rPr>
            </w:pPr>
          </w:p>
        </w:tc>
        <w:tc>
          <w:tcPr>
            <w:tcW w:w="1100" w:type="dxa"/>
            <w:vAlign w:val="bottom"/>
          </w:tcPr>
          <w:p>
            <w:pPr>
              <w:jc w:val="center"/>
              <w:ind w:right="78"/>
              <w:spacing w:after="0"/>
              <w:rPr>
                <w:sz w:val="20"/>
                <w:szCs w:val="20"/>
                <w:color w:val="auto"/>
              </w:rPr>
            </w:pPr>
            <w:r>
              <w:rPr>
                <w:rFonts w:ascii="Arial" w:cs="Arial" w:eastAsia="Arial" w:hAnsi="Arial"/>
                <w:sz w:val="14"/>
                <w:szCs w:val="14"/>
                <w:b w:val="1"/>
                <w:bCs w:val="1"/>
                <w:color w:val="auto"/>
              </w:rPr>
              <w:t>Other</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Implementation Costs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center"/>
              <w:ind w:right="78"/>
              <w:spacing w:after="0" w:line="149" w:lineRule="exact"/>
              <w:rPr>
                <w:sz w:val="20"/>
                <w:szCs w:val="20"/>
                <w:color w:val="auto"/>
              </w:rPr>
            </w:pPr>
            <w:r>
              <w:rPr>
                <w:rFonts w:ascii="Arial" w:cs="Arial" w:eastAsia="Arial" w:hAnsi="Arial"/>
                <w:sz w:val="14"/>
                <w:szCs w:val="14"/>
                <w:b w:val="1"/>
                <w:bCs w:val="1"/>
                <w:color w:val="auto"/>
                <w:w w:val="93"/>
              </w:rPr>
              <w:t>Restructuring</w:t>
            </w:r>
          </w:p>
        </w:tc>
        <w:tc>
          <w:tcPr>
            <w:tcW w:w="100" w:type="dxa"/>
            <w:vAlign w:val="bottom"/>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and Other Related</w:t>
            </w:r>
          </w:p>
        </w:tc>
        <w:tc>
          <w:tcPr>
            <w:tcW w:w="140" w:type="dxa"/>
            <w:vAlign w:val="bottom"/>
          </w:tcPr>
          <w:p>
            <w:pPr>
              <w:spacing w:after="0"/>
              <w:rPr>
                <w:sz w:val="12"/>
                <w:szCs w:val="12"/>
                <w:color w:val="auto"/>
              </w:rPr>
            </w:pPr>
          </w:p>
        </w:tc>
        <w:tc>
          <w:tcPr>
            <w:tcW w:w="1000" w:type="dxa"/>
            <w:vAlign w:val="bottom"/>
            <w:vMerge w:val="restart"/>
          </w:tcPr>
          <w:p>
            <w:pPr>
              <w:jc w:val="right"/>
              <w:ind w:right="59"/>
              <w:spacing w:after="0"/>
              <w:rPr>
                <w:sz w:val="20"/>
                <w:szCs w:val="20"/>
                <w:color w:val="auto"/>
              </w:rPr>
            </w:pPr>
            <w:r>
              <w:rPr>
                <w:rFonts w:ascii="Arial" w:cs="Arial" w:eastAsia="Arial" w:hAnsi="Arial"/>
                <w:sz w:val="14"/>
                <w:szCs w:val="14"/>
                <w:b w:val="1"/>
                <w:bCs w:val="1"/>
                <w:color w:val="auto"/>
                <w:w w:val="89"/>
              </w:rPr>
              <w:t>Total Charges</w:t>
            </w:r>
          </w:p>
        </w:tc>
        <w:tc>
          <w:tcPr>
            <w:tcW w:w="0" w:type="dxa"/>
            <w:vAlign w:val="bottom"/>
          </w:tcPr>
          <w:p>
            <w:pPr>
              <w:spacing w:after="0"/>
              <w:rPr>
                <w:sz w:val="1"/>
                <w:szCs w:val="1"/>
                <w:color w:val="auto"/>
              </w:rPr>
            </w:pPr>
          </w:p>
        </w:tc>
      </w:tr>
      <w:tr>
        <w:trPr>
          <w:trHeight w:val="192"/>
        </w:trPr>
        <w:tc>
          <w:tcPr>
            <w:tcW w:w="5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Benefits</w:t>
            </w:r>
          </w:p>
        </w:tc>
        <w:tc>
          <w:tcPr>
            <w:tcW w:w="160" w:type="dxa"/>
            <w:vAlign w:val="bottom"/>
          </w:tcPr>
          <w:p>
            <w:pPr>
              <w:spacing w:after="0"/>
              <w:rPr>
                <w:sz w:val="16"/>
                <w:szCs w:val="16"/>
                <w:color w:val="auto"/>
              </w:rPr>
            </w:pPr>
          </w:p>
        </w:tc>
        <w:tc>
          <w:tcPr>
            <w:tcW w:w="1100" w:type="dxa"/>
            <w:vAlign w:val="bottom"/>
          </w:tcPr>
          <w:p>
            <w:pPr>
              <w:jc w:val="center"/>
              <w:ind w:right="78"/>
              <w:spacing w:after="0"/>
              <w:rPr>
                <w:sz w:val="20"/>
                <w:szCs w:val="20"/>
                <w:color w:val="auto"/>
              </w:rPr>
            </w:pPr>
            <w:r>
              <w:rPr>
                <w:rFonts w:ascii="Arial" w:cs="Arial" w:eastAsia="Arial" w:hAnsi="Arial"/>
                <w:sz w:val="14"/>
                <w:szCs w:val="14"/>
                <w:b w:val="1"/>
                <w:bCs w:val="1"/>
                <w:color w:val="auto"/>
                <w:w w:val="87"/>
              </w:rPr>
              <w:t>Costs</w:t>
            </w: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Costs</w:t>
            </w:r>
            <w:r>
              <w:rPr>
                <w:rFonts w:ascii="Arial" w:cs="Arial" w:eastAsia="Arial" w:hAnsi="Arial"/>
                <w:sz w:val="8"/>
                <w:szCs w:val="8"/>
                <w:b w:val="1"/>
                <w:bCs w:val="1"/>
                <w:color w:val="auto"/>
                <w:w w:val="90"/>
              </w:rPr>
              <w:t>(3)</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58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Accrued balance at August 2, 2015</w:t>
            </w:r>
            <w:r>
              <w:rPr>
                <w:rFonts w:ascii="Arial" w:cs="Arial" w:eastAsia="Arial" w:hAnsi="Arial"/>
                <w:sz w:val="25"/>
                <w:szCs w:val="25"/>
                <w:color w:val="auto"/>
                <w:vertAlign w:val="superscript"/>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85</w:t>
            </w: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23"/>
                <w:szCs w:val="23"/>
                <w:color w:val="auto"/>
              </w:rPr>
            </w:pP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5820" w:type="dxa"/>
            <w:vAlign w:val="bottom"/>
          </w:tcPr>
          <w:p>
            <w:pPr>
              <w:ind w:left="280"/>
              <w:spacing w:after="0"/>
              <w:rPr>
                <w:sz w:val="20"/>
                <w:szCs w:val="20"/>
                <w:color w:val="auto"/>
              </w:rPr>
            </w:pPr>
            <w:r>
              <w:rPr>
                <w:rFonts w:ascii="Arial" w:cs="Arial" w:eastAsia="Arial" w:hAnsi="Arial"/>
                <w:sz w:val="18"/>
                <w:szCs w:val="18"/>
                <w:b w:val="1"/>
                <w:bCs w:val="1"/>
                <w:color w:val="auto"/>
              </w:rPr>
              <w:t>2016 charges</w:t>
            </w:r>
          </w:p>
        </w:tc>
        <w:tc>
          <w:tcPr>
            <w:tcW w:w="120" w:type="dxa"/>
            <w:vAlign w:val="bottom"/>
          </w:tcPr>
          <w:p>
            <w:pPr>
              <w:spacing w:after="0"/>
              <w:rPr>
                <w:sz w:val="21"/>
                <w:szCs w:val="21"/>
                <w:color w:val="auto"/>
              </w:rPr>
            </w:pPr>
          </w:p>
        </w:tc>
        <w:tc>
          <w:tcPr>
            <w:tcW w:w="1300" w:type="dxa"/>
            <w:vAlign w:val="bottom"/>
          </w:tcPr>
          <w:p>
            <w:pPr>
              <w:jc w:val="right"/>
              <w:ind w:right="36"/>
              <w:spacing w:after="0"/>
              <w:rPr>
                <w:sz w:val="20"/>
                <w:szCs w:val="20"/>
                <w:color w:val="auto"/>
              </w:rPr>
            </w:pPr>
            <w:r>
              <w:rPr>
                <w:rFonts w:ascii="Arial" w:cs="Arial" w:eastAsia="Arial" w:hAnsi="Arial"/>
                <w:sz w:val="18"/>
                <w:szCs w:val="18"/>
                <w:b w:val="1"/>
                <w:bCs w:val="1"/>
                <w:color w:val="auto"/>
              </w:rPr>
              <w:t>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ind w:right="38"/>
              <w:spacing w:after="0"/>
              <w:rPr>
                <w:sz w:val="20"/>
                <w:szCs w:val="20"/>
                <w:color w:val="auto"/>
              </w:rPr>
            </w:pPr>
            <w:r>
              <w:rPr>
                <w:rFonts w:ascii="Arial" w:cs="Arial" w:eastAsia="Arial" w:hAnsi="Arial"/>
                <w:sz w:val="18"/>
                <w:szCs w:val="18"/>
                <w:b w:val="1"/>
                <w:bCs w:val="1"/>
                <w:color w:val="auto"/>
              </w:rPr>
              <w:t>1</w:t>
            </w:r>
          </w:p>
        </w:tc>
        <w:tc>
          <w:tcPr>
            <w:tcW w:w="1580" w:type="dxa"/>
            <w:vAlign w:val="bottom"/>
            <w:gridSpan w:val="2"/>
          </w:tcPr>
          <w:p>
            <w:pPr>
              <w:jc w:val="right"/>
              <w:ind w:right="48"/>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b w:val="1"/>
                <w:bCs w:val="1"/>
                <w:color w:val="auto"/>
              </w:rPr>
              <w:t>70</w:t>
            </w:r>
          </w:p>
        </w:tc>
        <w:tc>
          <w:tcPr>
            <w:tcW w:w="0" w:type="dxa"/>
            <w:vAlign w:val="bottom"/>
          </w:tcPr>
          <w:p>
            <w:pPr>
              <w:spacing w:after="0"/>
              <w:rPr>
                <w:sz w:val="1"/>
                <w:szCs w:val="1"/>
                <w:color w:val="auto"/>
              </w:rPr>
            </w:pPr>
          </w:p>
        </w:tc>
      </w:tr>
      <w:tr>
        <w:trPr>
          <w:trHeight w:val="27"/>
        </w:trPr>
        <w:tc>
          <w:tcPr>
            <w:tcW w:w="5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8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b w:val="1"/>
                <w:bCs w:val="1"/>
                <w:color w:val="auto"/>
              </w:rPr>
              <w:t>2016 cash payments</w:t>
            </w:r>
          </w:p>
        </w:tc>
        <w:tc>
          <w:tcPr>
            <w:tcW w:w="1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5820" w:type="dxa"/>
            <w:vAlign w:val="bottom"/>
          </w:tcPr>
          <w:p>
            <w:pPr>
              <w:ind w:left="40"/>
              <w:spacing w:after="0" w:line="264" w:lineRule="exact"/>
              <w:rPr>
                <w:sz w:val="20"/>
                <w:szCs w:val="20"/>
                <w:color w:val="auto"/>
              </w:rPr>
            </w:pPr>
            <w:r>
              <w:rPr>
                <w:rFonts w:ascii="Arial" w:cs="Arial" w:eastAsia="Arial" w:hAnsi="Arial"/>
                <w:sz w:val="18"/>
                <w:szCs w:val="18"/>
                <w:b w:val="1"/>
                <w:bCs w:val="1"/>
                <w:color w:val="auto"/>
              </w:rPr>
              <w:t>Accrued balance at May 1, 2016</w:t>
            </w:r>
            <w:r>
              <w:rPr>
                <w:rFonts w:ascii="Arial" w:cs="Arial" w:eastAsia="Arial" w:hAnsi="Arial"/>
                <w:sz w:val="25"/>
                <w:szCs w:val="25"/>
                <w:b w:val="1"/>
                <w:bCs w:val="1"/>
                <w:color w:val="auto"/>
                <w:vertAlign w:val="superscript"/>
              </w:rPr>
              <w:t>(2)</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88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8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58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ind w:left="340" w:hanging="332"/>
        <w:spacing w:after="0" w:line="183"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Includes $45 of severance pay and benefits recorded in Other liabilities in the Consolidated Balance Sheet.</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5"/>
        </w:numPr>
        <w:rPr>
          <w:rFonts w:ascii="Arial" w:cs="Arial" w:eastAsia="Arial" w:hAnsi="Arial"/>
          <w:sz w:val="24"/>
          <w:szCs w:val="24"/>
          <w:color w:val="auto"/>
          <w:vertAlign w:val="superscript"/>
        </w:rPr>
      </w:pPr>
      <w:r>
        <w:rPr>
          <w:rFonts w:ascii="Arial" w:cs="Arial" w:eastAsia="Arial" w:hAnsi="Arial"/>
          <w:sz w:val="17"/>
          <w:szCs w:val="17"/>
          <w:color w:val="auto"/>
        </w:rPr>
        <w:t>Includes $37 of severance pay and benefits recorded in Other liabilities in the Consolidated Balance Sheet.</w:t>
      </w:r>
    </w:p>
    <w:p>
      <w:pPr>
        <w:spacing w:after="0" w:line="2" w:lineRule="exact"/>
        <w:rPr>
          <w:rFonts w:ascii="Arial" w:cs="Arial" w:eastAsia="Arial" w:hAnsi="Arial"/>
          <w:sz w:val="24"/>
          <w:szCs w:val="24"/>
          <w:color w:val="auto"/>
          <w:vertAlign w:val="superscript"/>
        </w:rPr>
      </w:pPr>
    </w:p>
    <w:p>
      <w:pPr>
        <w:ind w:left="340" w:right="80" w:hanging="332"/>
        <w:spacing w:after="0" w:line="208" w:lineRule="auto"/>
        <w:tabs>
          <w:tab w:leader="none" w:pos="340" w:val="left"/>
        </w:tabs>
        <w:numPr>
          <w:ilvl w:val="0"/>
          <w:numId w:val="35"/>
        </w:numPr>
        <w:rPr>
          <w:rFonts w:ascii="Arial" w:cs="Arial" w:eastAsia="Arial" w:hAnsi="Arial"/>
          <w:sz w:val="25"/>
          <w:szCs w:val="25"/>
          <w:color w:val="auto"/>
          <w:vertAlign w:val="superscript"/>
        </w:rPr>
      </w:pPr>
      <w:r>
        <w:rPr>
          <w:rFonts w:ascii="Arial" w:cs="Arial" w:eastAsia="Arial" w:hAnsi="Arial"/>
          <w:sz w:val="18"/>
          <w:szCs w:val="18"/>
          <w:color w:val="auto"/>
        </w:rPr>
        <w:t>Includes other costs recognized as incurred that are not reflected in the restructuring reserve in the Consolidated Balance Sheet. The costs are included in Administrative expenses in the Consolidated Statements of Earnings.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314" w:right="239" w:bottom="1440" w:gutter="0" w:footer="0" w:header="0"/>
        </w:sectPr>
      </w:pPr>
    </w:p>
    <w:bookmarkStart w:id="15" w:name="page16"/>
    <w:bookmarkEnd w:id="15"/>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May 1, 2016</w:t>
            </w: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6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Costs Incurred to Date</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nine-month period ended May 1, 2016, we recorded a reduction to restructuring charges of $3 ($2 after tax, or $.01 per share) related to the fiscal 2014 initiative to improve supply chain efficiency in Australia. As of January 31, 2016, we incurred substantially all of the costs related to the 2014 initiatives.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2014 initiatives is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Total Program</w:t>
            </w:r>
            <w:r>
              <w:rPr>
                <w:rFonts w:ascii="Arial" w:cs="Arial" w:eastAsia="Arial" w:hAnsi="Arial"/>
                <w:sz w:val="8"/>
                <w:szCs w:val="8"/>
                <w:b w:val="1"/>
                <w:bCs w:val="1"/>
                <w:color w:val="auto"/>
              </w:rPr>
              <w:t>(1)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 in Estimate</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Recognized as of May 1,</w:t>
            </w:r>
          </w:p>
        </w:tc>
        <w:tc>
          <w:tcPr>
            <w:tcW w:w="0" w:type="dxa"/>
            <w:vAlign w:val="bottom"/>
          </w:tcPr>
          <w:p>
            <w:pPr>
              <w:spacing w:after="0"/>
              <w:rPr>
                <w:sz w:val="1"/>
                <w:szCs w:val="1"/>
                <w:color w:val="auto"/>
              </w:rPr>
            </w:pPr>
          </w:p>
        </w:tc>
      </w:tr>
      <w:tr>
        <w:trPr>
          <w:trHeight w:val="192"/>
        </w:trPr>
        <w:tc>
          <w:tcPr>
            <w:tcW w:w="640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1300" w:type="dxa"/>
            <w:vAlign w:val="bottom"/>
            <w:tcBorders>
              <w:top w:val="single" w:sz="8" w:color="auto"/>
              <w:bottom w:val="single" w:sz="8" w:color="CCEEFF"/>
            </w:tcBorders>
            <w:shd w:val="clear" w:color="auto" w:fill="CCEEFF"/>
          </w:tcPr>
          <w:p>
            <w:pPr>
              <w:jc w:val="right"/>
              <w:ind w:right="10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130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79"/>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13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w:t>
            </w:r>
          </w:p>
        </w:tc>
        <w:tc>
          <w:tcPr>
            <w:tcW w:w="1300" w:type="dxa"/>
            <w:vAlign w:val="bottom"/>
            <w:tcBorders>
              <w:top w:val="single" w:sz="8" w:color="auto"/>
              <w:bottom w:val="single" w:sz="8" w:color="auto"/>
            </w:tcBorders>
          </w:tcPr>
          <w:p>
            <w:pPr>
              <w:jc w:val="right"/>
              <w:ind w:right="1096"/>
              <w:spacing w:after="0"/>
              <w:rPr>
                <w:sz w:val="20"/>
                <w:szCs w:val="20"/>
                <w:color w:val="auto"/>
              </w:rPr>
            </w:pPr>
            <w:r>
              <w:rPr>
                <w:rFonts w:ascii="Arial" w:cs="Arial" w:eastAsia="Arial" w:hAnsi="Arial"/>
                <w:sz w:val="18"/>
                <w:szCs w:val="18"/>
                <w:color w:val="auto"/>
                <w:w w:val="99"/>
              </w:rPr>
              <w:t>$</w:t>
            </w:r>
          </w:p>
        </w:tc>
        <w:tc>
          <w:tcPr>
            <w:tcW w:w="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54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1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400" w:type="dxa"/>
            <w:vAlign w:val="bottom"/>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Recognized as of August 2, 2015.</w:t>
            </w: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15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There were no antidilutive stock options for the three-month period ended May 1, 2016. The earnings per share calculation for the nine-month period ended May 1, 2016, excludes 474 thousand stock options that would have been antidilutive. There were no antidilutive stock options for the three- and nine-month periods ended May 3, 2015.</w:t>
      </w:r>
    </w:p>
    <w:p>
      <w:pPr>
        <w:spacing w:after="0" w:line="130"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Pension and Postretirement Benefits</w:t>
      </w:r>
    </w:p>
    <w:p>
      <w:pPr>
        <w:spacing w:after="0" w:line="17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sponsor certain defined benefit pension and postretirement plans for employees. In 2016, we elected to change our method of accounting for the recognition of actuarial gains and losses for defined benefit pension and postretirement plans and the calculation of expected return on pension plan assets. Historically, actuarial gains and losses associated with benefit obligations were recognized in Accumulated other comprehensive loss in the Consolidated Balance Sheets and were amortized into earnings over the remaining service life of participants to the extent that the amounts were in excess of a corridor. Under the new policy, gains and losses will be recognized immediately in our Consolidated Statements of Earnings as of the measurement date, which is our fiscal year end, or more frequently if an interim remeasurement is required. In addition, we no longer use a market-related value of plan assets, which is an average value, to determine the expected return on assets but rather will use the fair value of plan assets. We believe the new policies will provide greater transparency to ongoing operating results and better reflect the impact of current market conditions on the obligations and assets.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changes in policy were applied retrospectively to all periods presented. See Note 1 for additional information on the change in accounting method.</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314" w:right="239" w:bottom="1440" w:gutter="0" w:footer="0" w:header="0"/>
        </w:sectPr>
      </w:pPr>
    </w:p>
    <w:bookmarkStart w:id="16" w:name="page17"/>
    <w:bookmarkEnd w:id="16"/>
    <w:p>
      <w:pPr>
        <w:ind w:left="180"/>
        <w:spacing w:after="0"/>
        <w:rPr>
          <w:sz w:val="20"/>
          <w:szCs w:val="20"/>
          <w:color w:val="auto"/>
        </w:rPr>
      </w:pPr>
      <w:r>
        <w:rPr>
          <w:rFonts w:ascii="Arial" w:cs="Arial" w:eastAsia="Arial" w:hAnsi="Arial"/>
          <w:sz w:val="18"/>
          <w:szCs w:val="18"/>
          <w:color w:val="auto"/>
        </w:rPr>
        <w:t>Components of net benefit expense (income)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15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216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Postretirement</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Pension</w:t>
            </w:r>
          </w:p>
        </w:tc>
        <w:tc>
          <w:tcPr>
            <w:tcW w:w="8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right"/>
              <w:ind w:right="634"/>
              <w:spacing w:after="0"/>
              <w:rPr>
                <w:sz w:val="20"/>
                <w:szCs w:val="20"/>
                <w:color w:val="auto"/>
              </w:rPr>
            </w:pPr>
            <w:r>
              <w:rPr>
                <w:rFonts w:ascii="Arial" w:cs="Arial" w:eastAsia="Arial" w:hAnsi="Arial"/>
                <w:sz w:val="14"/>
                <w:szCs w:val="14"/>
                <w:b w:val="1"/>
                <w:bCs w:val="1"/>
                <w:color w:val="auto"/>
              </w:rPr>
              <w:t>Postretirement</w:t>
            </w:r>
          </w:p>
        </w:tc>
        <w:tc>
          <w:tcPr>
            <w:tcW w:w="0" w:type="dxa"/>
            <w:vAlign w:val="bottom"/>
          </w:tcPr>
          <w:p>
            <w:pPr>
              <w:spacing w:after="0"/>
              <w:rPr>
                <w:sz w:val="1"/>
                <w:szCs w:val="1"/>
                <w:color w:val="auto"/>
              </w:rPr>
            </w:pPr>
          </w:p>
        </w:tc>
      </w:tr>
      <w:tr>
        <w:trPr>
          <w:trHeight w:val="152"/>
        </w:trPr>
        <w:tc>
          <w:tcPr>
            <w:tcW w:w="1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May 1,</w:t>
            </w:r>
          </w:p>
        </w:tc>
        <w:tc>
          <w:tcPr>
            <w:tcW w:w="260" w:type="dxa"/>
            <w:vAlign w:val="bottom"/>
          </w:tcPr>
          <w:p>
            <w:pPr>
              <w:spacing w:after="0"/>
              <w:rPr>
                <w:sz w:val="13"/>
                <w:szCs w:val="13"/>
                <w:color w:val="auto"/>
              </w:rPr>
            </w:pPr>
          </w:p>
        </w:tc>
        <w:tc>
          <w:tcPr>
            <w:tcW w:w="10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May 3,</w:t>
            </w:r>
          </w:p>
        </w:tc>
        <w:tc>
          <w:tcPr>
            <w:tcW w:w="220" w:type="dxa"/>
            <w:vAlign w:val="bottom"/>
          </w:tcPr>
          <w:p>
            <w:pPr>
              <w:spacing w:after="0"/>
              <w:rPr>
                <w:sz w:val="13"/>
                <w:szCs w:val="13"/>
                <w:color w:val="auto"/>
              </w:rPr>
            </w:pPr>
          </w:p>
        </w:tc>
        <w:tc>
          <w:tcPr>
            <w:tcW w:w="10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May 1,</w:t>
            </w:r>
          </w:p>
        </w:tc>
        <w:tc>
          <w:tcPr>
            <w:tcW w:w="220" w:type="dxa"/>
            <w:vAlign w:val="bottom"/>
          </w:tcPr>
          <w:p>
            <w:pPr>
              <w:spacing w:after="0"/>
              <w:rPr>
                <w:sz w:val="13"/>
                <w:szCs w:val="13"/>
                <w:color w:val="auto"/>
              </w:rPr>
            </w:pPr>
          </w:p>
        </w:tc>
        <w:tc>
          <w:tcPr>
            <w:tcW w:w="10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May 3,</w:t>
            </w:r>
          </w:p>
        </w:tc>
        <w:tc>
          <w:tcPr>
            <w:tcW w:w="220" w:type="dxa"/>
            <w:vAlign w:val="bottom"/>
          </w:tcPr>
          <w:p>
            <w:pPr>
              <w:spacing w:after="0"/>
              <w:rPr>
                <w:sz w:val="13"/>
                <w:szCs w:val="13"/>
                <w:color w:val="auto"/>
              </w:rPr>
            </w:pPr>
          </w:p>
        </w:tc>
        <w:tc>
          <w:tcPr>
            <w:tcW w:w="102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May 1,</w:t>
            </w:r>
          </w:p>
        </w:tc>
        <w:tc>
          <w:tcPr>
            <w:tcW w:w="260" w:type="dxa"/>
            <w:vAlign w:val="bottom"/>
          </w:tcPr>
          <w:p>
            <w:pPr>
              <w:spacing w:after="0"/>
              <w:rPr>
                <w:sz w:val="13"/>
                <w:szCs w:val="13"/>
                <w:color w:val="auto"/>
              </w:rPr>
            </w:pPr>
          </w:p>
        </w:tc>
        <w:tc>
          <w:tcPr>
            <w:tcW w:w="98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May 3,</w:t>
            </w:r>
          </w:p>
        </w:tc>
        <w:tc>
          <w:tcPr>
            <w:tcW w:w="240" w:type="dxa"/>
            <w:vAlign w:val="bottom"/>
          </w:tcPr>
          <w:p>
            <w:pPr>
              <w:spacing w:after="0"/>
              <w:rPr>
                <w:sz w:val="13"/>
                <w:szCs w:val="13"/>
                <w:color w:val="auto"/>
              </w:rPr>
            </w:pPr>
          </w:p>
        </w:tc>
        <w:tc>
          <w:tcPr>
            <w:tcW w:w="100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May 1,</w:t>
            </w:r>
          </w:p>
        </w:tc>
        <w:tc>
          <w:tcPr>
            <w:tcW w:w="240" w:type="dxa"/>
            <w:vAlign w:val="bottom"/>
          </w:tcPr>
          <w:p>
            <w:pPr>
              <w:spacing w:after="0"/>
              <w:rPr>
                <w:sz w:val="13"/>
                <w:szCs w:val="13"/>
                <w:color w:val="auto"/>
              </w:rPr>
            </w:pPr>
          </w:p>
        </w:tc>
        <w:tc>
          <w:tcPr>
            <w:tcW w:w="900" w:type="dxa"/>
            <w:vAlign w:val="bottom"/>
          </w:tcPr>
          <w:p>
            <w:pPr>
              <w:jc w:val="right"/>
              <w:ind w:right="294"/>
              <w:spacing w:after="0" w:line="153" w:lineRule="exact"/>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92"/>
        </w:trPr>
        <w:tc>
          <w:tcPr>
            <w:tcW w:w="15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b w:val="1"/>
                <w:bCs w:val="1"/>
                <w:color w:val="auto"/>
              </w:rPr>
              <w:t>24</w:t>
            </w: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b w:val="1"/>
                <w:bCs w:val="1"/>
                <w:color w:val="auto"/>
              </w:rPr>
              <w:t>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Expected return on</w:t>
            </w:r>
          </w:p>
        </w:tc>
        <w:tc>
          <w:tcPr>
            <w:tcW w:w="24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 assets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50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24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500" w:type="dxa"/>
            <w:vAlign w:val="bottom"/>
          </w:tcPr>
          <w:p>
            <w:pPr>
              <w:ind w:left="40"/>
              <w:spacing w:after="0"/>
              <w:rPr>
                <w:sz w:val="20"/>
                <w:szCs w:val="20"/>
                <w:color w:val="auto"/>
              </w:rPr>
            </w:pPr>
            <w:r>
              <w:rPr>
                <w:rFonts w:ascii="Arial" w:cs="Arial" w:eastAsia="Arial" w:hAnsi="Arial"/>
                <w:sz w:val="18"/>
                <w:szCs w:val="18"/>
                <w:color w:val="auto"/>
                <w:w w:val="99"/>
              </w:rPr>
              <w:t>prior service costs</w:t>
            </w:r>
          </w:p>
        </w:tc>
        <w:tc>
          <w:tcPr>
            <w:tcW w:w="24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Recognized net</w:t>
            </w:r>
          </w:p>
        </w:tc>
        <w:tc>
          <w:tcPr>
            <w:tcW w:w="24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61</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actuarial (gain)/loss</w:t>
            </w:r>
          </w:p>
        </w:tc>
        <w:tc>
          <w:tcPr>
            <w:tcW w:w="2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vMerge w:val="continue"/>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1500" w:type="dxa"/>
            <w:vAlign w:val="bottom"/>
          </w:tcPr>
          <w:p>
            <w:pPr>
              <w:ind w:left="40"/>
              <w:spacing w:after="0"/>
              <w:rPr>
                <w:sz w:val="20"/>
                <w:szCs w:val="20"/>
                <w:color w:val="auto"/>
              </w:rPr>
            </w:pPr>
            <w:r>
              <w:rPr>
                <w:rFonts w:ascii="Arial" w:cs="Arial" w:eastAsia="Arial" w:hAnsi="Arial"/>
                <w:sz w:val="18"/>
                <w:szCs w:val="18"/>
                <w:color w:val="auto"/>
              </w:rPr>
              <w:t>Curtailment loss</w:t>
            </w:r>
          </w:p>
        </w:tc>
        <w:tc>
          <w:tcPr>
            <w:tcW w:w="2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21"/>
                <w:szCs w:val="21"/>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21"/>
                <w:szCs w:val="21"/>
                <w:color w:val="auto"/>
              </w:rPr>
            </w:pPr>
          </w:p>
        </w:tc>
        <w:tc>
          <w:tcPr>
            <w:tcW w:w="880" w:type="dxa"/>
            <w:vAlign w:val="bottom"/>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15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periodic</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benefit expense</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54</w:t>
            </w:r>
          </w:p>
        </w:tc>
        <w:tc>
          <w:tcPr>
            <w:tcW w:w="14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15"/>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155</w:t>
            </w:r>
          </w:p>
        </w:tc>
        <w:tc>
          <w:tcPr>
            <w:tcW w:w="10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w:t>
            </w: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recognized net actuarial loss in 2016 resulted from the quarterly remeasurement of certain U.S. plans. The remeasurement was required due to a high level of lump sum payments to certain vested plan participants arising primarily out of a limited-time offer to accept a single lump sum in lieu of future annuity payments. The curtailment loss and recognized net actuarial loss in 2015 were related to a voluntary employee separation program. The curtailment loss was included in Restructuring charges. See also Note 7.</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do not expect contributions to pension plans to be material in 2016.</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Financial Instruments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do not have credit-risk-related contingent features in our derivative instruments as of May 1, 2016.</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also exposed to credit risk from our customers. During 2015, our largest customer accounted for approximately 20% of consolidated net sales.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1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As of May 1, 2016, all existing cross-currency swap contracts will be settled by year end. The notional amount of foreign exchange forward contracts accounted for as cash-flow hedges was $71 at May 1, 2016, and $53 at August 2, 2015.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and cross-currency swap contracts that are not designated as accounting hedges was $464 and $480 at May 1, 2016, and August 2, 2015,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to lock in the rate on the interest payments related to the anticipated debt issuances. These pay fixed rate/receive variable rate forward starting interest rate swaps are accounted for as cash-flow hedges. The effective portion of the changes in fair value on these instruments is recorded in other comprehensive income (loss) and is reclassified into the Consolidated Statements of Earnings over the life of the debt. The notional amount of outstanding forward starting interest rate swaps totaled $300 at May 1, 2016, and August 2, 2015, which relates to an anticipated debt issuance in 2018.</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diesel fuel, soybean oil, natural gas, aluminum, cocoa, butter, corn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May 1, 2016, or August 2, 2015. The notional amount of commodity contracts not designated as accounting hedges was $93 at May 1, 2016, and $95 at August 2, 2015.</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 of the contracts as of May 1, 2016, and August 2, 2015, was $42 and $49, respectively.</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314" w:right="239" w:bottom="1440" w:gutter="0" w:footer="0" w:header="0"/>
        </w:sectPr>
      </w:pPr>
    </w:p>
    <w:bookmarkStart w:id="18" w:name="page19"/>
    <w:bookmarkEnd w:id="18"/>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May 1, 2016, and August 2, 2015:</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160" w:type="dxa"/>
            <w:vAlign w:val="bottom"/>
          </w:tcPr>
          <w:p>
            <w:pPr>
              <w:jc w:val="center"/>
              <w:ind w:left="335"/>
              <w:spacing w:after="0"/>
              <w:rPr>
                <w:sz w:val="20"/>
                <w:szCs w:val="20"/>
                <w:color w:val="auto"/>
              </w:rPr>
            </w:pPr>
            <w:r>
              <w:rPr>
                <w:rFonts w:ascii="Arial" w:cs="Arial" w:eastAsia="Arial" w:hAnsi="Arial"/>
                <w:sz w:val="14"/>
                <w:szCs w:val="14"/>
                <w:b w:val="1"/>
                <w:bCs w:val="1"/>
                <w:color w:val="auto"/>
                <w:w w:val="98"/>
              </w:rPr>
              <w:t>May 1,</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center"/>
              <w:ind w:right="233"/>
              <w:spacing w:after="0"/>
              <w:rPr>
                <w:sz w:val="20"/>
                <w:szCs w:val="20"/>
                <w:color w:val="auto"/>
              </w:rPr>
            </w:pPr>
            <w:r>
              <w:rPr>
                <w:rFonts w:ascii="Arial" w:cs="Arial" w:eastAsia="Arial" w:hAnsi="Arial"/>
                <w:sz w:val="14"/>
                <w:szCs w:val="14"/>
                <w:b w:val="1"/>
                <w:bCs w:val="1"/>
                <w:color w:val="auto"/>
                <w:w w:val="90"/>
              </w:rPr>
              <w:t>August 2,</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160" w:type="dxa"/>
            <w:vAlign w:val="bottom"/>
          </w:tcPr>
          <w:p>
            <w:pPr>
              <w:jc w:val="center"/>
              <w:ind w:left="355"/>
              <w:spacing w:after="0"/>
              <w:rPr>
                <w:sz w:val="20"/>
                <w:szCs w:val="20"/>
                <w:color w:val="auto"/>
              </w:rPr>
            </w:pPr>
            <w:r>
              <w:rPr>
                <w:rFonts w:ascii="Arial" w:cs="Arial" w:eastAsia="Arial" w:hAnsi="Arial"/>
                <w:sz w:val="14"/>
                <w:szCs w:val="14"/>
                <w:b w:val="1"/>
                <w:bCs w:val="1"/>
                <w:color w:val="auto"/>
                <w:w w:val="89"/>
              </w:rPr>
              <w:t>2016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160" w:type="dxa"/>
            <w:vAlign w:val="bottom"/>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Cross-currency swap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160" w:type="dxa"/>
            <w:vAlign w:val="bottom"/>
          </w:tcPr>
          <w:p>
            <w:pPr>
              <w:spacing w:after="0"/>
              <w:rPr>
                <w:sz w:val="21"/>
                <w:szCs w:val="21"/>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16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1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Cross-currency swap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16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38</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500" w:type="dxa"/>
            <w:vAlign w:val="bottom"/>
          </w:tcPr>
          <w:p>
            <w:pPr>
              <w:spacing w:after="0"/>
              <w:rPr>
                <w:sz w:val="24"/>
                <w:szCs w:val="2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160" w:type="dxa"/>
            <w:vAlign w:val="bottom"/>
          </w:tcPr>
          <w:p>
            <w:pPr>
              <w:jc w:val="center"/>
              <w:ind w:left="335"/>
              <w:spacing w:after="0"/>
              <w:rPr>
                <w:sz w:val="20"/>
                <w:szCs w:val="20"/>
                <w:color w:val="auto"/>
              </w:rPr>
            </w:pPr>
            <w:r>
              <w:rPr>
                <w:rFonts w:ascii="Arial" w:cs="Arial" w:eastAsia="Arial" w:hAnsi="Arial"/>
                <w:sz w:val="14"/>
                <w:szCs w:val="14"/>
                <w:b w:val="1"/>
                <w:bCs w:val="1"/>
                <w:color w:val="auto"/>
                <w:w w:val="98"/>
              </w:rPr>
              <w:t>May 1,</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jc w:val="center"/>
              <w:ind w:right="233"/>
              <w:spacing w:after="0"/>
              <w:rPr>
                <w:sz w:val="20"/>
                <w:szCs w:val="20"/>
                <w:color w:val="auto"/>
              </w:rPr>
            </w:pPr>
            <w:r>
              <w:rPr>
                <w:rFonts w:ascii="Arial" w:cs="Arial" w:eastAsia="Arial" w:hAnsi="Arial"/>
                <w:sz w:val="14"/>
                <w:szCs w:val="14"/>
                <w:b w:val="1"/>
                <w:bCs w:val="1"/>
                <w:color w:val="auto"/>
                <w:w w:val="90"/>
              </w:rPr>
              <w:t>August 2,</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160" w:type="dxa"/>
            <w:vAlign w:val="bottom"/>
          </w:tcPr>
          <w:p>
            <w:pPr>
              <w:jc w:val="center"/>
              <w:ind w:left="355"/>
              <w:spacing w:after="0"/>
              <w:rPr>
                <w:sz w:val="20"/>
                <w:szCs w:val="20"/>
                <w:color w:val="auto"/>
              </w:rPr>
            </w:pPr>
            <w:r>
              <w:rPr>
                <w:rFonts w:ascii="Arial" w:cs="Arial" w:eastAsia="Arial" w:hAnsi="Arial"/>
                <w:sz w:val="14"/>
                <w:szCs w:val="14"/>
                <w:b w:val="1"/>
                <w:bCs w:val="1"/>
                <w:color w:val="auto"/>
                <w:w w:val="89"/>
              </w:rPr>
              <w:t>2016</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jc w:val="center"/>
              <w:ind w:right="213"/>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1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500" w:type="dxa"/>
            <w:vAlign w:val="bottom"/>
          </w:tcPr>
          <w:p>
            <w:pPr>
              <w:spacing w:after="0"/>
              <w:rPr>
                <w:sz w:val="3"/>
                <w:szCs w:val="3"/>
                <w:color w:val="auto"/>
              </w:rPr>
            </w:pPr>
          </w:p>
        </w:tc>
        <w:tc>
          <w:tcPr>
            <w:tcW w:w="2620" w:type="dxa"/>
            <w:vAlign w:val="bottom"/>
            <w:gridSpan w:val="2"/>
          </w:tcPr>
          <w:p>
            <w:pPr>
              <w:spacing w:after="0"/>
              <w:rPr>
                <w:sz w:val="3"/>
                <w:szCs w:val="3"/>
                <w:color w:val="auto"/>
              </w:rPr>
            </w:pPr>
          </w:p>
        </w:tc>
        <w:tc>
          <w:tcPr>
            <w:tcW w:w="11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16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16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tcBorders>
              <w:top w:val="single" w:sz="8" w:color="auto"/>
            </w:tcBorders>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16</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liability derivatives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955"/>
              <w:spacing w:after="0"/>
              <w:rPr>
                <w:sz w:val="20"/>
                <w:szCs w:val="20"/>
                <w:color w:val="auto"/>
              </w:rPr>
            </w:pPr>
            <w:r>
              <w:rPr>
                <w:rFonts w:ascii="Arial" w:cs="Arial" w:eastAsia="Arial" w:hAnsi="Arial"/>
                <w:sz w:val="18"/>
                <w:szCs w:val="18"/>
                <w:b w:val="1"/>
                <w:bCs w:val="1"/>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5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May 1, 2016, and August 2, 2015, would be adjusted as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7"/>
              </w:rPr>
              <w:t>May 1, 2016</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3"/>
              </w:rPr>
              <w:t>August 2, 2015</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49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do not offset fair value amounts recognized for exchange-traded commodity derivative instruments and cash margin accounts executed with the same counterparty that are subject to enforceable netting agreements. We are required to maintain cash margin accounts in connection with funding the settlement of open positions. At May 1, 2016, and August 2, 2015, a cash margin account balance of $1 and $12, respectively, was included in Other current assets in the Consolidated Balance Sheets.</w:t>
      </w:r>
    </w:p>
    <w:p>
      <w:pPr>
        <w:sectPr>
          <w:pgSz w:w="11900" w:h="16838" w:orient="portrait"/>
          <w:cols w:equalWidth="0" w:num="1">
            <w:col w:w="11420"/>
          </w:cols>
          <w:pgMar w:left="240" w:top="1314"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314" w:right="239" w:bottom="1440" w:gutter="0" w:footer="0" w:header="0"/>
          <w:type w:val="continuous"/>
        </w:sectPr>
      </w:pPr>
    </w:p>
    <w:bookmarkStart w:id="19" w:name="page20"/>
    <w:bookmarkEnd w:id="19"/>
    <w:p>
      <w:pPr>
        <w:jc w:val="both"/>
        <w:ind w:firstLine="324"/>
        <w:spacing w:after="0" w:line="277"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 and nine-month periods ended May 1, 2016, and May 3, 2015, in other comprehensive income (loss) (OCI) and the Consolidated Statements of Earnings: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gridSpan w:val="4"/>
          </w:tcPr>
          <w:p>
            <w:pPr>
              <w:jc w:val="right"/>
              <w:ind w:right="412"/>
              <w:spacing w:after="0"/>
              <w:rPr>
                <w:sz w:val="20"/>
                <w:szCs w:val="20"/>
                <w:color w:val="auto"/>
              </w:rPr>
            </w:pPr>
            <w:r>
              <w:rPr>
                <w:rFonts w:ascii="Arial" w:cs="Arial" w:eastAsia="Arial" w:hAnsi="Arial"/>
                <w:sz w:val="14"/>
                <w:szCs w:val="14"/>
                <w:b w:val="1"/>
                <w:bCs w:val="1"/>
                <w:color w:val="auto"/>
              </w:rPr>
              <w:t>Total Cash-Flow Hedge OCI Activity</w:t>
            </w:r>
          </w:p>
        </w:tc>
        <w:tc>
          <w:tcPr>
            <w:tcW w:w="0" w:type="dxa"/>
            <w:vAlign w:val="bottom"/>
          </w:tcPr>
          <w:p>
            <w:pPr>
              <w:spacing w:after="0"/>
              <w:rPr>
                <w:sz w:val="1"/>
                <w:szCs w:val="1"/>
                <w:color w:val="auto"/>
              </w:rPr>
            </w:pPr>
          </w:p>
        </w:tc>
      </w:tr>
      <w:tr>
        <w:trPr>
          <w:trHeight w:val="152"/>
        </w:trPr>
        <w:tc>
          <w:tcPr>
            <w:tcW w:w="55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Derivatives Designated as Cash-Flow Hedges</w:t>
            </w:r>
          </w:p>
        </w:tc>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80" w:type="dxa"/>
            <w:vAlign w:val="bottom"/>
            <w:gridSpan w:val="2"/>
          </w:tcPr>
          <w:p>
            <w:pPr>
              <w:ind w:left="260"/>
              <w:spacing w:after="0" w:line="153" w:lineRule="exact"/>
              <w:rPr>
                <w:sz w:val="20"/>
                <w:szCs w:val="20"/>
                <w:color w:val="auto"/>
              </w:rPr>
            </w:pPr>
            <w:r>
              <w:rPr>
                <w:rFonts w:ascii="Arial" w:cs="Arial" w:eastAsia="Arial" w:hAnsi="Arial"/>
                <w:sz w:val="14"/>
                <w:szCs w:val="14"/>
                <w:b w:val="1"/>
                <w:bCs w:val="1"/>
                <w:color w:val="auto"/>
              </w:rPr>
              <w:t>May 1,</w:t>
            </w:r>
          </w:p>
        </w:tc>
        <w:tc>
          <w:tcPr>
            <w:tcW w:w="340" w:type="dxa"/>
            <w:vAlign w:val="bottom"/>
          </w:tcPr>
          <w:p>
            <w:pPr>
              <w:spacing w:after="0"/>
              <w:rPr>
                <w:sz w:val="13"/>
                <w:szCs w:val="13"/>
                <w:color w:val="auto"/>
              </w:rPr>
            </w:pPr>
          </w:p>
        </w:tc>
        <w:tc>
          <w:tcPr>
            <w:tcW w:w="1260" w:type="dxa"/>
            <w:vAlign w:val="bottom"/>
          </w:tcPr>
          <w:p>
            <w:pPr>
              <w:jc w:val="right"/>
              <w:ind w:right="512"/>
              <w:spacing w:after="0" w:line="153" w:lineRule="exact"/>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gridSpan w:val="4"/>
            <w:vMerge w:val="continue"/>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73"/>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29"/>
        </w:trPr>
        <w:tc>
          <w:tcPr>
            <w:tcW w:w="550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quarter</w:t>
            </w:r>
          </w:p>
        </w:tc>
        <w:tc>
          <w:tcPr>
            <w:tcW w:w="294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Location in Earnings</w:t>
            </w:r>
          </w:p>
        </w:tc>
        <w:tc>
          <w:tcPr>
            <w:tcW w:w="1300" w:type="dxa"/>
            <w:vAlign w:val="bottom"/>
            <w:tcBorders>
              <w:bottom w:val="single" w:sz="8" w:color="CCEEFF"/>
            </w:tcBorders>
            <w:gridSpan w:val="2"/>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54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620" w:type="dxa"/>
            <w:vAlign w:val="bottom"/>
            <w:gridSpan w:val="3"/>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67"/>
        </w:trPr>
        <w:tc>
          <w:tcPr>
            <w:tcW w:w="40" w:type="dxa"/>
            <w:vAlign w:val="bottom"/>
            <w:tcBorders>
              <w:bottom w:val="single" w:sz="8" w:color="CCEEFF"/>
            </w:tcBorders>
          </w:tcPr>
          <w:p>
            <w:pPr>
              <w:spacing w:after="0"/>
              <w:rPr>
                <w:sz w:val="5"/>
                <w:szCs w:val="5"/>
                <w:color w:val="auto"/>
              </w:rPr>
            </w:pPr>
          </w:p>
        </w:tc>
        <w:tc>
          <w:tcPr>
            <w:tcW w:w="1220" w:type="dxa"/>
            <w:vAlign w:val="bottom"/>
            <w:tcBorders>
              <w:bottom w:val="single" w:sz="8" w:color="CCEEFF"/>
            </w:tcBorders>
          </w:tcPr>
          <w:p>
            <w:pPr>
              <w:spacing w:after="0"/>
              <w:rPr>
                <w:sz w:val="5"/>
                <w:szCs w:val="5"/>
                <w:color w:val="auto"/>
              </w:rPr>
            </w:pPr>
          </w:p>
        </w:tc>
        <w:tc>
          <w:tcPr>
            <w:tcW w:w="80" w:type="dxa"/>
            <w:vAlign w:val="bottom"/>
            <w:tcBorders>
              <w:bottom w:val="single" w:sz="8" w:color="CCEEFF"/>
            </w:tcBorders>
          </w:tcPr>
          <w:p>
            <w:pPr>
              <w:spacing w:after="0"/>
              <w:rPr>
                <w:sz w:val="5"/>
                <w:szCs w:val="5"/>
                <w:color w:val="auto"/>
              </w:rPr>
            </w:pPr>
          </w:p>
        </w:tc>
        <w:tc>
          <w:tcPr>
            <w:tcW w:w="4160" w:type="dxa"/>
            <w:vAlign w:val="bottom"/>
            <w:tcBorders>
              <w:bottom w:val="single" w:sz="8" w:color="CCEEFF"/>
            </w:tcBorders>
          </w:tcPr>
          <w:p>
            <w:pPr>
              <w:spacing w:after="0"/>
              <w:rPr>
                <w:sz w:val="5"/>
                <w:szCs w:val="5"/>
                <w:color w:val="auto"/>
              </w:rPr>
            </w:pPr>
          </w:p>
        </w:tc>
        <w:tc>
          <w:tcPr>
            <w:tcW w:w="20" w:type="dxa"/>
            <w:vAlign w:val="bottom"/>
            <w:tcBorders>
              <w:bottom w:val="single" w:sz="8" w:color="CCEEFF"/>
            </w:tcBorders>
          </w:tcPr>
          <w:p>
            <w:pPr>
              <w:spacing w:after="0"/>
              <w:rPr>
                <w:sz w:val="5"/>
                <w:szCs w:val="5"/>
                <w:color w:val="auto"/>
              </w:rPr>
            </w:pPr>
          </w:p>
        </w:tc>
        <w:tc>
          <w:tcPr>
            <w:tcW w:w="1620" w:type="dxa"/>
            <w:vAlign w:val="bottom"/>
            <w:tcBorders>
              <w:bottom w:val="single" w:sz="8" w:color="CCEEFF"/>
            </w:tcBorders>
          </w:tcPr>
          <w:p>
            <w:pPr>
              <w:spacing w:after="0"/>
              <w:rPr>
                <w:sz w:val="5"/>
                <w:szCs w:val="5"/>
                <w:color w:val="auto"/>
              </w:rPr>
            </w:pPr>
          </w:p>
        </w:tc>
        <w:tc>
          <w:tcPr>
            <w:tcW w:w="98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16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6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500" w:type="dxa"/>
            <w:vAlign w:val="bottom"/>
            <w:gridSpan w:val="4"/>
          </w:tcPr>
          <w:p>
            <w:pPr>
              <w:ind w:left="40"/>
              <w:spacing w:after="0"/>
              <w:rPr>
                <w:sz w:val="20"/>
                <w:szCs w:val="20"/>
                <w:color w:val="auto"/>
              </w:rPr>
            </w:pPr>
            <w:r>
              <w:rPr>
                <w:rFonts w:ascii="Arial" w:cs="Arial" w:eastAsia="Arial" w:hAnsi="Arial"/>
                <w:sz w:val="14"/>
                <w:szCs w:val="14"/>
                <w:b w:val="1"/>
                <w:bCs w:val="1"/>
                <w:color w:val="auto"/>
              </w:rPr>
              <w:t>Nine Months Ended</w:t>
            </w:r>
          </w:p>
        </w:tc>
        <w:tc>
          <w:tcPr>
            <w:tcW w:w="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2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294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5500" w:type="dxa"/>
            <w:vAlign w:val="bottom"/>
            <w:gridSpan w:val="4"/>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gridSpan w:val="4"/>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Location in Earnings</w:t>
            </w:r>
          </w:p>
        </w:tc>
        <w:tc>
          <w:tcPr>
            <w:tcW w:w="1300" w:type="dxa"/>
            <w:vAlign w:val="bottom"/>
            <w:tcBorders>
              <w:bottom w:val="single" w:sz="8" w:color="CCEEFF"/>
            </w:tcBorders>
            <w:gridSpan w:val="2"/>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41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546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29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Other expenses / (income)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5460" w:type="dxa"/>
            <w:vAlign w:val="bottom"/>
            <w:gridSpan w:val="3"/>
          </w:tcPr>
          <w:p>
            <w:pPr>
              <w:ind w:left="14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Pr>
          <w:p>
            <w:pPr>
              <w:spacing w:after="0"/>
              <w:rPr>
                <w:sz w:val="21"/>
                <w:szCs w:val="21"/>
                <w:color w:val="auto"/>
              </w:rPr>
            </w:pPr>
          </w:p>
        </w:tc>
        <w:tc>
          <w:tcPr>
            <w:tcW w:w="2920" w:type="dxa"/>
            <w:vAlign w:val="bottom"/>
            <w:gridSpan w:val="3"/>
          </w:tcPr>
          <w:p>
            <w:pPr>
              <w:spacing w:after="0"/>
              <w:rPr>
                <w:sz w:val="20"/>
                <w:szCs w:val="20"/>
                <w:color w:val="auto"/>
              </w:rPr>
            </w:pPr>
            <w:r>
              <w:rPr>
                <w:rFonts w:ascii="Arial" w:cs="Arial" w:eastAsia="Arial" w:hAnsi="Arial"/>
                <w:sz w:val="18"/>
                <w:szCs w:val="18"/>
                <w:color w:val="auto"/>
              </w:rPr>
              <w:t>Interest expense</w:t>
            </w:r>
          </w:p>
        </w:tc>
        <w:tc>
          <w:tcPr>
            <w:tcW w:w="1280" w:type="dxa"/>
            <w:vAlign w:val="bottom"/>
          </w:tcPr>
          <w:p>
            <w:pPr>
              <w:jc w:val="right"/>
              <w:ind w:right="13"/>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2"/>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940" w:type="dxa"/>
            <w:vAlign w:val="bottom"/>
            <w:tcBorders>
              <w:bottom w:val="single" w:sz="8" w:color="CCEEFF"/>
            </w:tcBorders>
            <w:gridSpan w:val="4"/>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loss of $17. The ineffective portion and amount excluded from effectiveness testing were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effects of our derivative instruments not designated as hedges in the Consolidated Statements of Earnings: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300" w:type="dxa"/>
            <w:vAlign w:val="bottom"/>
            <w:tcBorders>
              <w:bottom w:val="single" w:sz="8" w:color="auto"/>
            </w:tcBorders>
            <w:gridSpan w:val="10"/>
          </w:tcPr>
          <w:p>
            <w:pPr>
              <w:jc w:val="right"/>
              <w:ind w:right="213"/>
              <w:spacing w:after="0"/>
              <w:rPr>
                <w:sz w:val="20"/>
                <w:szCs w:val="20"/>
                <w:color w:val="auto"/>
              </w:rPr>
            </w:pPr>
            <w:r>
              <w:rPr>
                <w:rFonts w:ascii="Arial" w:cs="Arial" w:eastAsia="Arial" w:hAnsi="Arial"/>
                <w:sz w:val="14"/>
                <w:szCs w:val="14"/>
                <w:b w:val="1"/>
                <w:bCs w:val="1"/>
                <w:color w:val="auto"/>
                <w:w w:val="96"/>
              </w:rPr>
              <w:t>Amount of Gain (Loss) Recognized in Earnings on Derivatives</w:t>
            </w:r>
          </w:p>
        </w:tc>
        <w:tc>
          <w:tcPr>
            <w:tcW w:w="0" w:type="dxa"/>
            <w:vAlign w:val="bottom"/>
          </w:tcPr>
          <w:p>
            <w:pPr>
              <w:spacing w:after="0"/>
              <w:rPr>
                <w:sz w:val="1"/>
                <w:szCs w:val="1"/>
                <w:color w:val="auto"/>
              </w:rPr>
            </w:pPr>
          </w:p>
        </w:tc>
      </w:tr>
      <w:tr>
        <w:trPr>
          <w:trHeight w:val="264"/>
        </w:trPr>
        <w:tc>
          <w:tcPr>
            <w:tcW w:w="4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760" w:type="dxa"/>
            <w:vAlign w:val="bottom"/>
            <w:gridSpan w:val="2"/>
            <w:vMerge w:val="restart"/>
          </w:tcPr>
          <w:p>
            <w:pPr>
              <w:ind w:left="600"/>
              <w:spacing w:after="0"/>
              <w:rPr>
                <w:sz w:val="20"/>
                <w:szCs w:val="20"/>
                <w:color w:val="auto"/>
              </w:rPr>
            </w:pPr>
            <w:r>
              <w:rPr>
                <w:rFonts w:ascii="Arial" w:cs="Arial" w:eastAsia="Arial" w:hAnsi="Arial"/>
                <w:sz w:val="14"/>
                <w:szCs w:val="14"/>
                <w:b w:val="1"/>
                <w:bCs w:val="1"/>
                <w:color w:val="auto"/>
              </w:rPr>
              <w:t>Location of Gain (Loss)</w:t>
            </w: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373"/>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71"/>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Hedges</w:t>
            </w:r>
          </w:p>
        </w:tc>
        <w:tc>
          <w:tcPr>
            <w:tcW w:w="120" w:type="dxa"/>
            <w:vAlign w:val="bottom"/>
            <w:vMerge w:val="restart"/>
          </w:tcPr>
          <w:p>
            <w:pPr>
              <w:spacing w:after="0"/>
              <w:rPr>
                <w:sz w:val="6"/>
                <w:szCs w:val="6"/>
                <w:color w:val="auto"/>
              </w:rPr>
            </w:pPr>
          </w:p>
        </w:tc>
        <w:tc>
          <w:tcPr>
            <w:tcW w:w="276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restart"/>
          </w:tcPr>
          <w:p>
            <w:pPr>
              <w:jc w:val="right"/>
              <w:ind w:right="56"/>
              <w:spacing w:after="0"/>
              <w:rPr>
                <w:sz w:val="20"/>
                <w:szCs w:val="20"/>
                <w:color w:val="auto"/>
              </w:rPr>
            </w:pPr>
            <w:r>
              <w:rPr>
                <w:rFonts w:ascii="Arial" w:cs="Arial" w:eastAsia="Arial" w:hAnsi="Arial"/>
                <w:sz w:val="14"/>
                <w:szCs w:val="14"/>
                <w:b w:val="1"/>
                <w:bCs w:val="1"/>
                <w:color w:val="auto"/>
                <w:w w:val="95"/>
              </w:rPr>
              <w:t>May 1, 2016</w:t>
            </w:r>
          </w:p>
        </w:tc>
        <w:tc>
          <w:tcPr>
            <w:tcW w:w="100" w:type="dxa"/>
            <w:vAlign w:val="bottom"/>
            <w:vMerge w:val="restart"/>
          </w:tcPr>
          <w:p>
            <w:pPr>
              <w:spacing w:after="0"/>
              <w:rPr>
                <w:sz w:val="6"/>
                <w:szCs w:val="6"/>
                <w:color w:val="auto"/>
              </w:rPr>
            </w:pPr>
          </w:p>
        </w:tc>
        <w:tc>
          <w:tcPr>
            <w:tcW w:w="140" w:type="dxa"/>
            <w:vAlign w:val="bottom"/>
          </w:tcPr>
          <w:p>
            <w:pPr>
              <w:spacing w:after="0"/>
              <w:rPr>
                <w:sz w:val="6"/>
                <w:szCs w:val="6"/>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5"/>
              </w:rPr>
              <w:t>May 3, 2015</w:t>
            </w:r>
          </w:p>
        </w:tc>
        <w:tc>
          <w:tcPr>
            <w:tcW w:w="10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w w:val="95"/>
              </w:rPr>
              <w:t>May 1, 2016</w:t>
            </w:r>
          </w:p>
        </w:tc>
        <w:tc>
          <w:tcPr>
            <w:tcW w:w="120" w:type="dxa"/>
            <w:vAlign w:val="bottom"/>
            <w:vMerge w:val="restart"/>
          </w:tcPr>
          <w:p>
            <w:pPr>
              <w:spacing w:after="0"/>
              <w:rPr>
                <w:sz w:val="6"/>
                <w:szCs w:val="6"/>
                <w:color w:val="auto"/>
              </w:rPr>
            </w:pPr>
          </w:p>
        </w:tc>
        <w:tc>
          <w:tcPr>
            <w:tcW w:w="120" w:type="dxa"/>
            <w:vAlign w:val="bottom"/>
          </w:tcPr>
          <w:p>
            <w:pPr>
              <w:spacing w:after="0"/>
              <w:rPr>
                <w:sz w:val="6"/>
                <w:szCs w:val="6"/>
                <w:color w:val="auto"/>
              </w:rPr>
            </w:pPr>
          </w:p>
        </w:tc>
        <w:tc>
          <w:tcPr>
            <w:tcW w:w="90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5"/>
              </w:rPr>
              <w:t>May 3, 2015</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640" w:type="dxa"/>
            <w:vAlign w:val="bottom"/>
            <w:tcBorders>
              <w:bottom w:val="single" w:sz="8" w:color="auto"/>
            </w:tcBorders>
          </w:tcPr>
          <w:p>
            <w:pPr>
              <w:ind w:left="600"/>
              <w:spacing w:after="0"/>
              <w:rPr>
                <w:sz w:val="20"/>
                <w:szCs w:val="20"/>
                <w:color w:val="auto"/>
              </w:rPr>
            </w:pPr>
            <w:r>
              <w:rPr>
                <w:rFonts w:ascii="Arial" w:cs="Arial" w:eastAsia="Arial" w:hAnsi="Arial"/>
                <w:sz w:val="14"/>
                <w:szCs w:val="14"/>
                <w:b w:val="1"/>
                <w:bCs w:val="1"/>
                <w:color w:val="auto"/>
              </w:rPr>
              <w:t>Recognized in Earnings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Foreign exchange forward contracts</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Other expenses / (income)</w:t>
            </w:r>
          </w:p>
        </w:tc>
        <w:tc>
          <w:tcPr>
            <w:tcW w:w="1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Cross-currency swap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Commodity derivative contracts</w:t>
            </w:r>
          </w:p>
        </w:tc>
        <w:tc>
          <w:tcPr>
            <w:tcW w:w="2760" w:type="dxa"/>
            <w:vAlign w:val="bottom"/>
            <w:gridSpan w:val="2"/>
          </w:tcPr>
          <w:p>
            <w:pPr>
              <w:ind w:left="40"/>
              <w:spacing w:after="0"/>
              <w:rPr>
                <w:sz w:val="20"/>
                <w:szCs w:val="20"/>
                <w:color w:val="auto"/>
              </w:rPr>
            </w:pPr>
            <w:r>
              <w:rPr>
                <w:rFonts w:ascii="Arial" w:cs="Arial" w:eastAsia="Arial" w:hAnsi="Arial"/>
                <w:sz w:val="18"/>
                <w:szCs w:val="18"/>
                <w:color w:val="auto"/>
              </w:rPr>
              <w:t>Cost of products sold</w:t>
            </w:r>
          </w:p>
        </w:tc>
        <w:tc>
          <w:tcPr>
            <w:tcW w:w="120" w:type="dxa"/>
            <w:vAlign w:val="bottom"/>
          </w:tcPr>
          <w:p>
            <w:pPr>
              <w:spacing w:after="0"/>
              <w:rPr>
                <w:sz w:val="21"/>
                <w:szCs w:val="21"/>
                <w:color w:val="auto"/>
              </w:rPr>
            </w:pPr>
          </w:p>
        </w:tc>
        <w:tc>
          <w:tcPr>
            <w:tcW w:w="900" w:type="dxa"/>
            <w:vAlign w:val="bottom"/>
          </w:tcPr>
          <w:p>
            <w:pPr>
              <w:jc w:val="right"/>
              <w:ind w:right="36"/>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 contracts</w:t>
            </w:r>
          </w:p>
        </w:tc>
        <w:tc>
          <w:tcPr>
            <w:tcW w:w="27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Administrative expenses</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w:t>
            </w:r>
          </w:p>
        </w:tc>
        <w:tc>
          <w:tcPr>
            <w:tcW w:w="2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Variable Interest Entity</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February 2016, we agreed to make a $125 capital commitment to Acre Venture Partners, L.P. (Acre), a limited partnership formed to make venture capital investments in innovative new companies in food and food-related industries. Acre is managed by its general partner, Acre Ventures GP, LLC, which is independent of us. We are the sole limited partner of Acre and own a 99.8% interest. Our share of earnings (loss) is calculated according to the terms of the partnership agreement. Acre is a VIE. We have determined that we are the primary beneficiary. Therefore, we consolidate Acre and account for the third party ownership as a noncontrolling interest. Through May 1, 2016, we funded $26 of the capital commitment. Except for the remaining unfunded capital commitment of $99, we do not have obligations to provide additional financial or other support to Acre.</w:t>
      </w:r>
    </w:p>
    <w:p>
      <w:pPr>
        <w:sectPr>
          <w:pgSz w:w="11900" w:h="16838" w:orient="portrait"/>
          <w:cols w:equalWidth="0" w:num="1">
            <w:col w:w="11420"/>
          </w:cols>
          <w:pgMar w:left="240" w:top="1314" w:right="239" w:bottom="1440" w:gutter="0" w:footer="0" w:header="0"/>
        </w:sect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314" w:right="239" w:bottom="1440" w:gutter="0" w:footer="0" w:header="0"/>
          <w:type w:val="continuous"/>
        </w:sectPr>
      </w:pPr>
    </w:p>
    <w:bookmarkStart w:id="20" w:name="page21"/>
    <w:bookmarkEnd w:id="20"/>
    <w:p>
      <w:pPr>
        <w:jc w:val="both"/>
        <w:ind w:firstLine="324"/>
        <w:spacing w:after="0" w:line="259" w:lineRule="auto"/>
        <w:rPr>
          <w:sz w:val="20"/>
          <w:szCs w:val="20"/>
          <w:color w:val="auto"/>
        </w:rPr>
      </w:pPr>
      <w:r>
        <w:rPr>
          <w:rFonts w:ascii="Arial" w:cs="Arial" w:eastAsia="Arial" w:hAnsi="Arial"/>
          <w:sz w:val="18"/>
          <w:szCs w:val="18"/>
          <w:color w:val="auto"/>
        </w:rPr>
        <w:t>Acre elected the fair value option to account for qualifying investments to more appropriately reflect the value of the investments in the financial statements. The investments were $28 and are included in Other assets on the Consolidated Balance Sheets. Changes in the fair values of investments for which the fair value option was elected are included in Other expenses / (income) on the Consolidated Statements of Earnings. Changes in the fair value were not material through May 1, 2016. The liabilities of Acre were not material.</w:t>
      </w:r>
    </w:p>
    <w:p>
      <w:pPr>
        <w:spacing w:after="0" w:line="129"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Level 3: Unobservable inputs, which are valued based on estimates of assumptions that market participants would use in pricing the asset or liability.</w:t>
      </w:r>
    </w:p>
    <w:p>
      <w:pPr>
        <w:spacing w:after="0" w:line="19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excluding pension assets, that are measured at fair value on a recurring basis as of May 1, 2016, and August 2, 2015,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4"/>
              </w:rPr>
              <w:t>May 1, 2016 Using</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1"/>
              </w:rPr>
              <w:t>August 2, 2015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rPr>
              <w:t>May 1,</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August 2,</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40" w:type="dxa"/>
            <w:vAlign w:val="bottom"/>
          </w:tcPr>
          <w:p>
            <w:pPr>
              <w:spacing w:after="0"/>
              <w:rPr>
                <w:sz w:val="5"/>
                <w:szCs w:val="5"/>
                <w:color w:val="auto"/>
              </w:rPr>
            </w:pPr>
          </w:p>
        </w:tc>
        <w:tc>
          <w:tcPr>
            <w:tcW w:w="10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7</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Cross-currency</w:t>
            </w:r>
          </w:p>
        </w:tc>
        <w:tc>
          <w:tcPr>
            <w:tcW w:w="180" w:type="dxa"/>
            <w:vAlign w:val="bottom"/>
          </w:tcPr>
          <w:p>
            <w:pPr>
              <w:spacing w:after="0"/>
              <w:rPr>
                <w:sz w:val="19"/>
                <w:szCs w:val="19"/>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vMerge w:val="restart"/>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w w:val="92"/>
              </w:rPr>
              <w:t>swap contracts</w:t>
            </w:r>
            <w:r>
              <w:rPr>
                <w:rFonts w:ascii="Arial" w:cs="Arial" w:eastAsia="Arial" w:hAnsi="Arial"/>
                <w:sz w:val="25"/>
                <w:szCs w:val="25"/>
                <w:color w:val="auto"/>
                <w:w w:val="92"/>
                <w:vertAlign w:val="superscript"/>
              </w:rPr>
              <w:t>(3)</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1120" w:type="dxa"/>
            <w:vAlign w:val="bottom"/>
            <w:gridSpan w:val="2"/>
            <w:vMerge w:val="restart"/>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22"/>
                <w:szCs w:val="22"/>
                <w:color w:val="auto"/>
              </w:rPr>
            </w:pPr>
          </w:p>
        </w:tc>
        <w:tc>
          <w:tcPr>
            <w:tcW w:w="1120" w:type="dxa"/>
            <w:vAlign w:val="bottom"/>
            <w:gridSpan w:val="2"/>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7"/>
              </w:rPr>
              <w:t>Fair value option</w:t>
            </w:r>
          </w:p>
        </w:tc>
        <w:tc>
          <w:tcPr>
            <w:tcW w:w="180" w:type="dxa"/>
            <w:vAlign w:val="bottom"/>
          </w:tcPr>
          <w:p>
            <w:pPr>
              <w:spacing w:after="0"/>
              <w:rPr>
                <w:sz w:val="19"/>
                <w:szCs w:val="19"/>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27</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vMerge w:val="restart"/>
          </w:tcPr>
          <w:p>
            <w:pPr>
              <w:ind w:left="60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(5)</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w w:val="97"/>
              </w:rPr>
              <w:t>Total assets at fair</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65</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6</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ind w:left="600"/>
              <w:spacing w:after="0"/>
              <w:rPr>
                <w:sz w:val="20"/>
                <w:szCs w:val="20"/>
                <w:color w:val="auto"/>
              </w:rPr>
            </w:pPr>
            <w:r>
              <w:rPr>
                <w:rFonts w:ascii="Arial" w:cs="Arial" w:eastAsia="Arial" w:hAnsi="Arial"/>
                <w:sz w:val="18"/>
                <w:szCs w:val="18"/>
                <w:b w:val="1"/>
                <w:bCs w:val="1"/>
                <w:color w:val="auto"/>
              </w:rPr>
              <w:t>20</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value</w:t>
            </w:r>
          </w:p>
        </w:tc>
        <w:tc>
          <w:tcPr>
            <w:tcW w:w="1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6"/>
          </w:tcPr>
          <w:p>
            <w:pPr>
              <w:jc w:val="center"/>
              <w:ind w:left="554"/>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4"/>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5" w:lineRule="exact"/>
              <w:rPr>
                <w:sz w:val="20"/>
                <w:szCs w:val="20"/>
                <w:color w:val="auto"/>
              </w:rPr>
            </w:pPr>
            <w:r>
              <w:rPr>
                <w:rFonts w:ascii="Arial" w:cs="Arial" w:eastAsia="Arial" w:hAnsi="Arial"/>
                <w:sz w:val="14"/>
                <w:szCs w:val="14"/>
                <w:b w:val="1"/>
                <w:bCs w:val="1"/>
                <w:color w:val="auto"/>
                <w:w w:val="94"/>
              </w:rPr>
              <w:t>May 1, 2016 Using</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1"/>
              </w:rPr>
              <w:t>August 2, 2015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20" w:type="dxa"/>
            <w:vAlign w:val="bottom"/>
            <w:gridSpan w:val="2"/>
            <w:vMerge w:val="restart"/>
          </w:tcPr>
          <w:p>
            <w:pPr>
              <w:jc w:val="center"/>
              <w:ind w:right="320"/>
              <w:spacing w:after="0" w:line="139" w:lineRule="exact"/>
              <w:rPr>
                <w:sz w:val="20"/>
                <w:szCs w:val="20"/>
                <w:color w:val="auto"/>
              </w:rPr>
            </w:pPr>
            <w:r>
              <w:rPr>
                <w:rFonts w:ascii="Arial" w:cs="Arial" w:eastAsia="Arial" w:hAnsi="Arial"/>
                <w:sz w:val="14"/>
                <w:szCs w:val="14"/>
                <w:b w:val="1"/>
                <w:bCs w:val="1"/>
                <w:color w:val="auto"/>
              </w:rPr>
              <w:t>May 1,</w:t>
            </w:r>
          </w:p>
        </w:tc>
        <w:tc>
          <w:tcPr>
            <w:tcW w:w="2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280"/>
              <w:spacing w:after="0" w:line="139" w:lineRule="exact"/>
              <w:rPr>
                <w:sz w:val="20"/>
                <w:szCs w:val="20"/>
                <w:color w:val="auto"/>
              </w:rPr>
            </w:pPr>
            <w:r>
              <w:rPr>
                <w:rFonts w:ascii="Arial" w:cs="Arial" w:eastAsia="Arial" w:hAnsi="Arial"/>
                <w:sz w:val="14"/>
                <w:szCs w:val="14"/>
                <w:b w:val="1"/>
                <w:bCs w:val="1"/>
                <w:color w:val="auto"/>
                <w:w w:val="90"/>
              </w:rPr>
              <w:t>August 2,</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center"/>
              <w:ind w:right="97"/>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3"/>
            <w:shd w:val="clear" w:color="auto" w:fill="CCEEFF"/>
          </w:tcPr>
          <w:p>
            <w:pPr>
              <w:ind w:left="40"/>
              <w:spacing w:after="0" w:line="189" w:lineRule="exact"/>
              <w:rPr>
                <w:sz w:val="20"/>
                <w:szCs w:val="20"/>
                <w:color w:val="auto"/>
              </w:rPr>
            </w:pPr>
            <w:r>
              <w:rPr>
                <w:rFonts w:ascii="Arial" w:cs="Arial" w:eastAsia="Arial" w:hAnsi="Arial"/>
                <w:sz w:val="18"/>
                <w:szCs w:val="18"/>
                <w:color w:val="auto"/>
              </w:rPr>
              <w:t>Liabilities</w:t>
            </w:r>
          </w:p>
        </w:tc>
        <w:tc>
          <w:tcPr>
            <w:tcW w:w="180" w:type="dxa"/>
            <w:vAlign w:val="bottom"/>
            <w:tcBorders>
              <w:top w:val="single" w:sz="8" w:color="auto"/>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8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w w:val="99"/>
              </w:rPr>
              <w:t>Forward starting</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interest rate</w:t>
            </w:r>
          </w:p>
        </w:tc>
        <w:tc>
          <w:tcPr>
            <w:tcW w:w="18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30</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vMerge w:val="restart"/>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30</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swaps</w:t>
            </w:r>
            <w:r>
              <w:rPr>
                <w:rFonts w:ascii="Arial" w:cs="Arial" w:eastAsia="Arial" w:hAnsi="Arial"/>
                <w:sz w:val="25"/>
                <w:szCs w:val="25"/>
                <w:color w:val="auto"/>
                <w:vertAlign w:val="superscript"/>
              </w:rPr>
              <w:t>(6)</w:t>
            </w:r>
          </w:p>
        </w:tc>
        <w:tc>
          <w:tcPr>
            <w:tcW w:w="180" w:type="dxa"/>
            <w:vAlign w:val="bottom"/>
            <w:vMerge w:val="continue"/>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920" w:type="dxa"/>
            <w:vAlign w:val="bottom"/>
            <w:vMerge w:val="continue"/>
          </w:tcPr>
          <w:p>
            <w:pPr>
              <w:spacing w:after="0"/>
              <w:rPr>
                <w:sz w:val="22"/>
                <w:szCs w:val="22"/>
                <w:color w:val="auto"/>
              </w:rPr>
            </w:pPr>
          </w:p>
        </w:tc>
        <w:tc>
          <w:tcPr>
            <w:tcW w:w="340" w:type="dxa"/>
            <w:vAlign w:val="bottom"/>
            <w:gridSpan w:val="2"/>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0"/>
              </w:rPr>
              <w:t>Foreign exchange</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forward</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16</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Commodity</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tcPr>
          <w:p>
            <w:pPr>
              <w:spacing w:after="0"/>
              <w:rPr>
                <w:sz w:val="18"/>
                <w:szCs w:val="18"/>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2"/>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80" w:type="dxa"/>
            <w:vAlign w:val="bottom"/>
          </w:tcPr>
          <w:p>
            <w:pPr>
              <w:spacing w:after="0"/>
              <w:rPr>
                <w:sz w:val="22"/>
                <w:szCs w:val="22"/>
                <w:color w:val="auto"/>
              </w:rPr>
            </w:pPr>
          </w:p>
        </w:tc>
        <w:tc>
          <w:tcPr>
            <w:tcW w:w="98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7"/>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80" w:type="dxa"/>
            <w:vAlign w:val="bottom"/>
            <w:shd w:val="clear" w:color="auto" w:fill="CCEEFF"/>
          </w:tcPr>
          <w:p>
            <w:pPr>
              <w:spacing w:after="0"/>
              <w:rPr>
                <w:sz w:val="18"/>
                <w:szCs w:val="18"/>
                <w:color w:val="auto"/>
              </w:rPr>
            </w:pP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2"/>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(4)</w:t>
            </w:r>
          </w:p>
        </w:tc>
        <w:tc>
          <w:tcPr>
            <w:tcW w:w="180" w:type="dxa"/>
            <w:vAlign w:val="bottom"/>
            <w:shd w:val="clear" w:color="auto" w:fill="CCEEFF"/>
          </w:tcPr>
          <w:p>
            <w:pPr>
              <w:spacing w:after="0"/>
              <w:rPr>
                <w:sz w:val="22"/>
                <w:szCs w:val="22"/>
                <w:color w:val="auto"/>
              </w:rPr>
            </w:pPr>
          </w:p>
        </w:tc>
        <w:tc>
          <w:tcPr>
            <w:tcW w:w="98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2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Deferred</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2"/>
          </w:tcPr>
          <w:p>
            <w:pPr>
              <w:ind w:left="140"/>
              <w:spacing w:after="0"/>
              <w:rPr>
                <w:sz w:val="20"/>
                <w:szCs w:val="20"/>
                <w:color w:val="auto"/>
              </w:rPr>
            </w:pPr>
            <w:r>
              <w:rPr>
                <w:rFonts w:ascii="Arial" w:cs="Arial" w:eastAsia="Arial" w:hAnsi="Arial"/>
                <w:sz w:val="18"/>
                <w:szCs w:val="18"/>
                <w:color w:val="auto"/>
              </w:rPr>
              <w:t>compensation</w:t>
            </w:r>
          </w:p>
        </w:tc>
        <w:tc>
          <w:tcPr>
            <w:tcW w:w="180" w:type="dxa"/>
            <w:vAlign w:val="bottom"/>
          </w:tcPr>
          <w:p>
            <w:pPr>
              <w:spacing w:after="0"/>
              <w:rPr>
                <w:sz w:val="18"/>
                <w:szCs w:val="18"/>
                <w:color w:val="auto"/>
              </w:rPr>
            </w:pPr>
          </w:p>
        </w:tc>
        <w:tc>
          <w:tcPr>
            <w:tcW w:w="98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114</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vMerge w:val="restart"/>
          </w:tcPr>
          <w:p>
            <w:pPr>
              <w:jc w:val="right"/>
              <w:ind w:right="34"/>
              <w:spacing w:after="0"/>
              <w:rPr>
                <w:sz w:val="20"/>
                <w:szCs w:val="20"/>
                <w:color w:val="auto"/>
              </w:rPr>
            </w:pPr>
            <w:r>
              <w:rPr>
                <w:rFonts w:ascii="Arial" w:cs="Arial" w:eastAsia="Arial" w:hAnsi="Arial"/>
                <w:sz w:val="18"/>
                <w:szCs w:val="18"/>
                <w:b w:val="1"/>
                <w:bCs w:val="1"/>
                <w:color w:val="auto"/>
              </w:rPr>
              <w:t>114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2"/>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(7)</w:t>
            </w:r>
          </w:p>
        </w:tc>
        <w:tc>
          <w:tcPr>
            <w:tcW w:w="1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vMerge w:val="continue"/>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163</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2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b w:val="1"/>
                <w:bCs w:val="1"/>
                <w:color w:val="auto"/>
              </w:rPr>
              <w:t>116</w:t>
            </w:r>
          </w:p>
        </w:tc>
        <w:tc>
          <w:tcPr>
            <w:tcW w:w="3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47</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7"/>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130</w:t>
            </w:r>
          </w:p>
        </w:tc>
        <w:tc>
          <w:tcPr>
            <w:tcW w:w="3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5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8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98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9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8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futures and options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Based on observable local benchmarks for currency and interest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jc w:val="both"/>
        <w:ind w:left="340" w:hanging="332"/>
        <w:spacing w:after="0" w:line="232"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Primarily represents investments in equity securities that are not readily marketable and are accounted for under the fair value option. The investments were funded by Acre in the three-month period ended May 1, 2016. See Note 11 for additional information. Fair value is based on analyzing recent transactions and transactions of comparable companies, and the discounted cash flow method. In addition, allocation methods, including the option pricing method, are used in distributing fair value among various equity holders according to rights and preferences. Changes in the fair value of investments were not material through May 1, 2016.</w:t>
      </w:r>
    </w:p>
    <w:p>
      <w:pPr>
        <w:ind w:left="340" w:hanging="332"/>
        <w:spacing w:after="0" w:line="180"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Based on LIBOR swap rates.</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9"/>
        </w:numPr>
        <w:rPr>
          <w:rFonts w:ascii="Arial" w:cs="Arial" w:eastAsia="Arial" w:hAnsi="Arial"/>
          <w:sz w:val="24"/>
          <w:szCs w:val="24"/>
          <w:color w:val="auto"/>
          <w:vertAlign w:val="superscript"/>
        </w:rPr>
      </w:pPr>
      <w:r>
        <w:rPr>
          <w:rFonts w:ascii="Arial" w:cs="Arial" w:eastAsia="Arial" w:hAnsi="Arial"/>
          <w:sz w:val="17"/>
          <w:szCs w:val="17"/>
          <w:color w:val="auto"/>
        </w:rPr>
        <w:t>Based on the fair value of the participants’ investments.</w:t>
      </w:r>
    </w:p>
    <w:p>
      <w:pPr>
        <w:spacing w:after="0" w:line="8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5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short-term borrowings, excluding the current portion of long-term debt, approximate fair value.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of $64 at May 1, 2016, and $39 at August 2, 2015,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long-term debt was $2,686 at May 1, 2016, and $2,623 at August 2, 2015. The carrying value was $2,552 at May 1, 2016 and August 2, 2015. The fair value of long-term debt is principally estimated using Level 2 inputs based on quoted market prices or pricing models using current market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Repurchases</w:t>
      </w:r>
    </w:p>
    <w:p>
      <w:pPr>
        <w:spacing w:after="0" w:line="17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June 2011, the Board authorized the purchase of up to $1,000 of our stock. This program has no expiration date. In addition to this publicly announced program, we have a separate Board authorization to purchase shares to offset the impact of dilution from shares issued under our stock compensation plans.</w:t>
      </w:r>
    </w:p>
    <w:p>
      <w:pPr>
        <w:spacing w:after="0" w:line="7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During the nine-month period ended May 1, 2016, we repurchased approximately 2 million shares at a cost of $118. Of this amount, $75 was used to repurchase shares pursuant to our June 2011 publicly announced share repurchase program. Approximately $475 remained available under this program as of May 1, 2016. During the nine-month period ended May 3, 2015, we repurchased approximately 4 million shares at a cost of $192.</w:t>
      </w:r>
    </w:p>
    <w:p>
      <w:pPr>
        <w:sectPr>
          <w:pgSz w:w="11900" w:h="16838" w:orient="portrait"/>
          <w:cols w:equalWidth="0" w:num="1">
            <w:col w:w="11420"/>
          </w:cols>
          <w:pgMar w:left="240" w:top="1374"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74" w:right="2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14. Stock-based Compensation</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provide compensation benefits by issuing stock options, unrestricted stock, restricted stock and restricted stock units (including time-lapse restricted stock units, EPS performance restricted stock units, total shareholder return (TSR) performance restricted stock units, strategic performance restricted stock units and special performance restricted stock units). In 2016, we issued stock options, time-lapse restricted stock units, unrestricted stock, EPS performance restricted stock units and TSR performance restricted stock units. We have not issued strategic performance restricted stock units or special performance restricted stock units in 2016.</w:t>
      </w:r>
    </w:p>
    <w:p>
      <w:pPr>
        <w:spacing w:after="0" w:line="53"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Total pre-tax stock-based compensation expense recognized in the Consolidated Statements of Earnings was $16 and $15 for the three-month periods ended May 1, 2016, and May 3, 2015, respectively. Tax-related benefits of $5 and $6 were also recognized for the three-month periods ended May 1, 2016, and May 3, 2015, respectively. Total pre-tax stock-based compensation expense recognized in the Consolidated Statements of Earnings was $50 and $46 for the nine-month periods ended May 1, 2016, and May 3, 2015, respectively. Tax-related benefits of $18 and $17 were also recognized for the nine-month periods ended May 1, 2016, and May 3, 2015, respectively. Cash received from the exercise of stock options was $2 and $9 for the nine-month periods ended May 1, 2016, and May 3, 2015, respectively, and is reflected in cash flows from financing activities in the Consolidated Statements of Cash Flows.</w:t>
      </w:r>
    </w:p>
    <w:p>
      <w:pPr>
        <w:spacing w:after="0" w:line="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as of May 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6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gridSpan w:val="3"/>
            <w:vMerge w:val="continue"/>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0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57"/>
              <w:spacing w:after="0" w:line="149" w:lineRule="exact"/>
              <w:rPr>
                <w:sz w:val="20"/>
                <w:szCs w:val="20"/>
                <w:color w:val="auto"/>
              </w:rPr>
            </w:pPr>
            <w:r>
              <w:rPr>
                <w:rFonts w:ascii="Arial" w:cs="Arial" w:eastAsia="Arial" w:hAnsi="Arial"/>
                <w:sz w:val="14"/>
                <w:szCs w:val="14"/>
                <w:b w:val="1"/>
                <w:bCs w:val="1"/>
                <w:color w:val="auto"/>
                <w:w w:val="90"/>
              </w:rPr>
              <w:t>Average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180" w:type="dxa"/>
            <w:vAlign w:val="bottom"/>
            <w:vMerge w:val="restart"/>
          </w:tcPr>
          <w:p>
            <w:pPr>
              <w:jc w:val="center"/>
              <w:ind w:left="348"/>
              <w:spacing w:after="0"/>
              <w:rPr>
                <w:sz w:val="20"/>
                <w:szCs w:val="20"/>
                <w:color w:val="auto"/>
              </w:rPr>
            </w:pPr>
            <w:r>
              <w:rPr>
                <w:rFonts w:ascii="Arial" w:cs="Arial" w:eastAsia="Arial" w:hAnsi="Arial"/>
                <w:sz w:val="14"/>
                <w:szCs w:val="14"/>
                <w:b w:val="1"/>
                <w:bCs w:val="1"/>
                <w:color w:val="auto"/>
                <w:w w:val="90"/>
              </w:rPr>
              <w:t>Options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00" w:type="dxa"/>
            <w:vAlign w:val="bottom"/>
          </w:tcPr>
          <w:p>
            <w:pPr>
              <w:spacing w:after="0"/>
              <w:rPr>
                <w:sz w:val="12"/>
                <w:szCs w:val="12"/>
                <w:color w:val="auto"/>
              </w:rPr>
            </w:pPr>
          </w:p>
        </w:tc>
        <w:tc>
          <w:tcPr>
            <w:tcW w:w="13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180" w:type="dxa"/>
            <w:vAlign w:val="bottom"/>
          </w:tcPr>
          <w:p>
            <w:pPr>
              <w:jc w:val="center"/>
              <w:ind w:left="348"/>
              <w:spacing w:after="0" w:line="153" w:lineRule="exact"/>
              <w:rPr>
                <w:sz w:val="20"/>
                <w:szCs w:val="20"/>
                <w:color w:val="auto"/>
              </w:rPr>
            </w:pPr>
            <w:r>
              <w:rPr>
                <w:rFonts w:ascii="Arial" w:cs="Arial" w:eastAsia="Arial" w:hAnsi="Arial"/>
                <w:sz w:val="14"/>
                <w:szCs w:val="14"/>
                <w:b w:val="1"/>
                <w:bCs w:val="1"/>
                <w:color w:val="auto"/>
                <w:w w:val="91"/>
              </w:rPr>
              <w:t>(Options in</w:t>
            </w: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8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(In years)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180" w:type="dxa"/>
            <w:vAlign w:val="bottom"/>
          </w:tcPr>
          <w:p>
            <w:pPr>
              <w:jc w:val="center"/>
              <w:ind w:left="348"/>
              <w:spacing w:after="0"/>
              <w:rPr>
                <w:sz w:val="20"/>
                <w:szCs w:val="20"/>
                <w:color w:val="auto"/>
              </w:rPr>
            </w:pPr>
            <w:r>
              <w:rPr>
                <w:rFonts w:ascii="Arial" w:cs="Arial" w:eastAsia="Arial" w:hAnsi="Arial"/>
                <w:sz w:val="14"/>
                <w:szCs w:val="14"/>
                <w:b w:val="1"/>
                <w:bCs w:val="1"/>
                <w:color w:val="auto"/>
                <w:w w:val="90"/>
              </w:rPr>
              <w:t>thousands)</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Outstanding at August 2, 2015</w:t>
            </w: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29.91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30"/>
              <w:spacing w:after="0"/>
              <w:rPr>
                <w:sz w:val="20"/>
                <w:szCs w:val="20"/>
                <w:color w:val="auto"/>
              </w:rPr>
            </w:pPr>
            <w:r>
              <w:rPr>
                <w:rFonts w:ascii="Arial" w:cs="Arial" w:eastAsia="Arial" w:hAnsi="Arial"/>
                <w:sz w:val="18"/>
                <w:szCs w:val="18"/>
                <w:color w:val="auto"/>
                <w:w w:val="93"/>
              </w:rPr>
              <w:t>711</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w w:val="88"/>
              </w:rPr>
              <w:t>50.21</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29.91</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880" w:type="dxa"/>
            <w:vAlign w:val="bottom"/>
            <w:gridSpan w:val="2"/>
          </w:tcPr>
          <w:p>
            <w:pPr>
              <w:ind w:left="40"/>
              <w:spacing w:after="0"/>
              <w:rPr>
                <w:sz w:val="20"/>
                <w:szCs w:val="20"/>
                <w:color w:val="auto"/>
              </w:rPr>
            </w:pPr>
            <w:r>
              <w:rPr>
                <w:rFonts w:ascii="Arial" w:cs="Arial" w:eastAsia="Arial" w:hAnsi="Arial"/>
                <w:sz w:val="18"/>
                <w:szCs w:val="18"/>
                <w:color w:val="auto"/>
              </w:rPr>
              <w:t>Terminated</w:t>
            </w: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May 1, 2016</w:t>
            </w:r>
          </w:p>
        </w:tc>
        <w:tc>
          <w:tcPr>
            <w:tcW w:w="11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711</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8"/>
              </w:rPr>
              <w:t>50.21</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May 1, 2016</w:t>
            </w: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180" w:type="dxa"/>
            <w:vAlign w:val="bottom"/>
          </w:tcPr>
          <w:p>
            <w:pPr>
              <w:spacing w:after="0"/>
              <w:rPr>
                <w:sz w:val="19"/>
                <w:szCs w:val="19"/>
                <w:color w:val="auto"/>
              </w:rPr>
            </w:pPr>
          </w:p>
        </w:tc>
        <w:tc>
          <w:tcPr>
            <w:tcW w:w="5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intrinsic value of options exercised during the nine-month periods ended May 1, 2016, and May 3, 2015, was $2 and $5, respectively.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weighted-average assumptions were used for grants in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28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1.68%</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140" w:type="dxa"/>
            <w:vAlign w:val="bottom"/>
          </w:tcPr>
          <w:p>
            <w:pPr>
              <w:jc w:val="center"/>
              <w:spacing w:after="0"/>
              <w:rPr>
                <w:sz w:val="20"/>
                <w:szCs w:val="20"/>
                <w:color w:val="auto"/>
              </w:rPr>
            </w:pPr>
            <w:r>
              <w:rPr>
                <w:rFonts w:ascii="Arial" w:cs="Arial" w:eastAsia="Arial" w:hAnsi="Arial"/>
                <w:sz w:val="18"/>
                <w:szCs w:val="18"/>
                <w:b w:val="1"/>
                <w:bCs w:val="1"/>
                <w:color w:val="auto"/>
                <w:w w:val="97"/>
              </w:rPr>
              <w:t>2.46%</w:t>
            </w:r>
          </w:p>
        </w:tc>
      </w:tr>
      <w:tr>
        <w:trPr>
          <w:trHeight w:val="27"/>
        </w:trPr>
        <w:tc>
          <w:tcPr>
            <w:tcW w:w="102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18.35%</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140" w:type="dxa"/>
            <w:vAlign w:val="bottom"/>
          </w:tcPr>
          <w:p>
            <w:pPr>
              <w:ind w:left="300"/>
              <w:spacing w:after="0"/>
              <w:rPr>
                <w:sz w:val="20"/>
                <w:szCs w:val="20"/>
                <w:color w:val="auto"/>
              </w:rPr>
            </w:pPr>
            <w:r>
              <w:rPr>
                <w:rFonts w:ascii="Arial" w:cs="Arial" w:eastAsia="Arial" w:hAnsi="Arial"/>
                <w:sz w:val="18"/>
                <w:szCs w:val="18"/>
                <w:b w:val="1"/>
                <w:bCs w:val="1"/>
                <w:color w:val="auto"/>
              </w:rPr>
              <w:t>6 years</w:t>
            </w: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May 1, 2016, total remaining unearned compensation related to nonvested stock options was $2, which will be amortized over the weighted-average remaining service period of 2.1 years.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310" w:right="239" w:bottom="1440" w:gutter="0" w:footer="0" w:header="0"/>
        </w:sectPr>
      </w:pPr>
    </w:p>
    <w:bookmarkStart w:id="23" w:name="page24"/>
    <w:bookmarkEnd w:id="23"/>
    <w:p>
      <w:pPr>
        <w:jc w:val="both"/>
        <w:ind w:right="20" w:firstLine="324"/>
        <w:spacing w:after="0" w:line="277" w:lineRule="auto"/>
        <w:rPr>
          <w:sz w:val="20"/>
          <w:szCs w:val="20"/>
          <w:color w:val="auto"/>
        </w:rPr>
      </w:pPr>
      <w:r>
        <w:rPr>
          <w:rFonts w:ascii="Arial" w:cs="Arial" w:eastAsia="Arial" w:hAnsi="Arial"/>
          <w:sz w:val="18"/>
          <w:szCs w:val="18"/>
          <w:color w:val="auto"/>
        </w:rPr>
        <w:t>The following table summarizes time-lapse restricted stock units, EPS performance restricted stock units, strategic performance restricted stock units and special performance restricted stock units as of May 1,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August 2, 2015</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2,410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41.40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691</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50.28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39.42</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43.62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May 1, 2016</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2,068</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44.99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color w:val="auto"/>
        </w:rPr>
        <w:t>We determine the fair value of time-lapse restricted stock units, EPS performance restricted stock units, strategic performance restricted stock units and special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211 thousand EPS performance target grants outstanding at May 1, 2016, with a weighted-average grant-date fair value of $45.32. We expense strategic performance restricted stock units on a straight-line basis over the service period. Awards of the strategic performance restricted stock units are earned based upon the achievement of two key metrics, net sales and EPS growth, compared to strategic plan objectives during a three-year period. There were 337 thousand strategic performance target grants outstanding at May 1, 2016, with a grant-date fair value of $41.21. The actual number of EPS performance restricted stock units and strategic performance restricted stock units issued at the vesting date could range from either 0% or 100% and 0% to 200%, respectively, of the initial grant, depending on actual performance achieved. We estimate expense based on the number of awards expected to vest.</w:t>
      </w:r>
    </w:p>
    <w:p>
      <w:pPr>
        <w:spacing w:after="0" w:line="1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2015, we issued special performance restricted stock units for which vesting is contingent upon meeting various financial goals and performance milestones to support innovation and growth initiatives. These awards vest over a period of 2 years and are included in the table above. The actual number of special performance awards issued at the vesting date could range from 0% to 150%. There were 126 thousand special performance restricted stock units outstanding at May 1, 2016, with a grant-date fair value of $42.22.</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of May 1, 2016, total remaining unearned compensation related to nonvested time-lapse restricted stock units, EPS performance restricted stock units, strategic performance restricted stock units and special performance restricted stock units was $32, which will be amortized over the weighted-average remaining service period of 1.7 years. The fair value of restricted stock units vested during the nine-month periods ended May 1, 2016, and May 3, 2015, was $43 and $54, respectively. The weighted-average grant-date fair value of the restricted stock units granted during the nine-month period ended May 3, 2015, was $42.43.</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May 1, 2016:</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402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3880" w:type="dxa"/>
            <w:vAlign w:val="bottom"/>
          </w:tcPr>
          <w:p>
            <w:pPr>
              <w:spacing w:after="0"/>
              <w:rPr>
                <w:sz w:val="16"/>
                <w:szCs w:val="16"/>
                <w:color w:val="auto"/>
              </w:rPr>
            </w:pPr>
          </w:p>
        </w:tc>
        <w:tc>
          <w:tcPr>
            <w:tcW w:w="402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August 2, 2015</w:t>
            </w:r>
          </w:p>
        </w:tc>
        <w:tc>
          <w:tcPr>
            <w:tcW w:w="57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1,579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Granted</w:t>
            </w:r>
          </w:p>
        </w:tc>
        <w:tc>
          <w:tcPr>
            <w:tcW w:w="5740" w:type="dxa"/>
            <w:vAlign w:val="bottom"/>
            <w:gridSpan w:val="2"/>
          </w:tcPr>
          <w:p>
            <w:pPr>
              <w:jc w:val="right"/>
              <w:ind w:right="48"/>
              <w:spacing w:after="0"/>
              <w:rPr>
                <w:sz w:val="20"/>
                <w:szCs w:val="20"/>
                <w:color w:val="auto"/>
              </w:rPr>
            </w:pPr>
            <w:r>
              <w:rPr>
                <w:rFonts w:ascii="Arial" w:cs="Arial" w:eastAsia="Arial" w:hAnsi="Arial"/>
                <w:sz w:val="18"/>
                <w:szCs w:val="18"/>
                <w:color w:val="auto"/>
              </w:rPr>
              <w:t>682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62.44</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5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43"/>
        </w:trPr>
        <w:tc>
          <w:tcPr>
            <w:tcW w:w="3880" w:type="dxa"/>
            <w:vAlign w:val="bottom"/>
          </w:tcPr>
          <w:p>
            <w:pPr>
              <w:ind w:left="40"/>
              <w:spacing w:after="0"/>
              <w:rPr>
                <w:sz w:val="20"/>
                <w:szCs w:val="20"/>
                <w:color w:val="auto"/>
              </w:rPr>
            </w:pPr>
            <w:r>
              <w:rPr>
                <w:rFonts w:ascii="Arial" w:cs="Arial" w:eastAsia="Arial" w:hAnsi="Arial"/>
                <w:sz w:val="18"/>
                <w:szCs w:val="18"/>
                <w:color w:val="auto"/>
              </w:rPr>
              <w:t>Forfeited</w:t>
            </w:r>
          </w:p>
        </w:tc>
        <w:tc>
          <w:tcPr>
            <w:tcW w:w="574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46.94</w:t>
            </w:r>
          </w:p>
        </w:tc>
        <w:tc>
          <w:tcPr>
            <w:tcW w:w="0" w:type="dxa"/>
            <w:vAlign w:val="bottom"/>
          </w:tcPr>
          <w:p>
            <w:pPr>
              <w:spacing w:after="0"/>
              <w:rPr>
                <w:sz w:val="1"/>
                <w:szCs w:val="1"/>
                <w:color w:val="auto"/>
              </w:rPr>
            </w:pPr>
          </w:p>
        </w:tc>
      </w:tr>
      <w:tr>
        <w:trPr>
          <w:trHeight w:val="27"/>
        </w:trPr>
        <w:tc>
          <w:tcPr>
            <w:tcW w:w="3880" w:type="dxa"/>
            <w:vAlign w:val="bottom"/>
            <w:tcBorders>
              <w:bottom w:val="single" w:sz="8" w:color="CCEEFF"/>
            </w:tcBorders>
          </w:tcPr>
          <w:p>
            <w:pPr>
              <w:spacing w:after="0"/>
              <w:rPr>
                <w:sz w:val="2"/>
                <w:szCs w:val="2"/>
                <w:color w:val="auto"/>
              </w:rPr>
            </w:pPr>
          </w:p>
        </w:tc>
        <w:tc>
          <w:tcPr>
            <w:tcW w:w="40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May 1, 2016</w:t>
            </w:r>
          </w:p>
        </w:tc>
        <w:tc>
          <w:tcPr>
            <w:tcW w:w="574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1,677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49.28</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010"/>
              <w:spacing w:after="0"/>
              <w:rPr>
                <w:sz w:val="20"/>
                <w:szCs w:val="20"/>
                <w:color w:val="auto"/>
              </w:rPr>
            </w:pPr>
            <w:r>
              <w:rPr>
                <w:rFonts w:ascii="Arial" w:cs="Arial" w:eastAsia="Arial" w:hAnsi="Arial"/>
                <w:sz w:val="18"/>
                <w:szCs w:val="18"/>
                <w:color w:val="auto"/>
              </w:rPr>
              <w:t>24</w:t>
            </w: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880" w:type="dxa"/>
            <w:vAlign w:val="bottom"/>
          </w:tcPr>
          <w:p>
            <w:pPr>
              <w:spacing w:after="0"/>
              <w:rPr>
                <w:sz w:val="24"/>
                <w:szCs w:val="24"/>
                <w:color w:val="auto"/>
              </w:rPr>
            </w:pPr>
          </w:p>
        </w:tc>
        <w:tc>
          <w:tcPr>
            <w:tcW w:w="4020" w:type="dxa"/>
            <w:vAlign w:val="bottom"/>
            <w:vMerge w:val="continue"/>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24" w:name="page25"/>
    <w:bookmarkEnd w:id="24"/>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Assumptions used in the Monte Carlo simulation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0.92%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0.97%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2.46%</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2.91%</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17.25%</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16.20%</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3 years</w:t>
            </w:r>
          </w:p>
        </w:tc>
        <w:tc>
          <w:tcPr>
            <w:tcW w:w="900" w:type="dxa"/>
            <w:vAlign w:val="bottom"/>
          </w:tcPr>
          <w:p>
            <w:pPr>
              <w:ind w:left="20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recognize compensation expense on a straight-line basis over the service period. As of May 1, 2016, total remaining unearned compensation related to nonvested TSR performance restricted stock units was $41, which will be amortized over the weighted-average remaining service period of 2.0 years. In the first quarter of 2016, recipients of TSR performance restricted stock units earned 100% of the initial grants based upon our TSR ranking in a performance peer group during the three-year period ended July 31, 2015. The fair value of TSR performance restricted stock units vested during the nine-month period ended May 1, 2016, was $22. There were no TSR performance restricted stock units scheduled to vest in the nine-month period ended May 3, 2015. The grant-date fair value of the TSR performance restricted stock units granted during 2015 was $43.39.</w:t>
      </w:r>
    </w:p>
    <w:p>
      <w:pPr>
        <w:spacing w:after="0" w:line="15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excess tax benefits on the exercise of stock options and vested restricted stock presented as cash flows from financing activities for the nine-month periods ended May 1, 2016, and May 3, 2015, were $7 and $5, respectively.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Inventories</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b w:val="1"/>
                <w:bCs w:val="1"/>
                <w:color w:val="auto"/>
              </w:rPr>
              <w:t>May 1,</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tcPr>
          <w:p>
            <w:pPr>
              <w:jc w:val="right"/>
              <w:ind w:right="437"/>
              <w:spacing w:after="0"/>
              <w:rPr>
                <w:sz w:val="20"/>
                <w:szCs w:val="20"/>
                <w:color w:val="auto"/>
              </w:rPr>
            </w:pPr>
            <w:r>
              <w:rPr>
                <w:rFonts w:ascii="Arial" w:cs="Arial" w:eastAsia="Arial" w:hAnsi="Arial"/>
                <w:sz w:val="14"/>
                <w:szCs w:val="14"/>
                <w:b w:val="1"/>
                <w:bCs w:val="1"/>
                <w:color w:val="auto"/>
              </w:rPr>
              <w:t>August 2,</w:t>
            </w:r>
          </w:p>
        </w:tc>
        <w:tc>
          <w:tcPr>
            <w:tcW w:w="0" w:type="dxa"/>
            <w:vAlign w:val="bottom"/>
          </w:tcPr>
          <w:p>
            <w:pPr>
              <w:spacing w:after="0"/>
              <w:rPr>
                <w:sz w:val="1"/>
                <w:szCs w:val="1"/>
                <w:color w:val="auto"/>
              </w:rPr>
            </w:pPr>
          </w:p>
        </w:tc>
      </w:tr>
      <w:tr>
        <w:trPr>
          <w:trHeight w:val="192"/>
        </w:trPr>
        <w:tc>
          <w:tcPr>
            <w:tcW w:w="4300" w:type="dxa"/>
            <w:vAlign w:val="bottom"/>
            <w:tcBorders>
              <w:bottom w:val="single" w:sz="8" w:color="CCEEFF"/>
            </w:tcBorders>
          </w:tcPr>
          <w:p>
            <w:pPr>
              <w:spacing w:after="0"/>
              <w:rPr>
                <w:sz w:val="16"/>
                <w:szCs w:val="16"/>
                <w:color w:val="auto"/>
              </w:rPr>
            </w:pPr>
          </w:p>
        </w:tc>
        <w:tc>
          <w:tcPr>
            <w:tcW w:w="382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Raw materials, containers and supplies</w:t>
            </w:r>
          </w:p>
        </w:tc>
        <w:tc>
          <w:tcPr>
            <w:tcW w:w="492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427</w:t>
            </w:r>
          </w:p>
        </w:tc>
        <w:tc>
          <w:tcPr>
            <w:tcW w:w="0" w:type="dxa"/>
            <w:vAlign w:val="bottom"/>
          </w:tcPr>
          <w:p>
            <w:pPr>
              <w:spacing w:after="0"/>
              <w:rPr>
                <w:sz w:val="1"/>
                <w:szCs w:val="1"/>
                <w:color w:val="auto"/>
              </w:rPr>
            </w:pPr>
          </w:p>
        </w:tc>
      </w:tr>
      <w:tr>
        <w:trPr>
          <w:trHeight w:val="243"/>
        </w:trPr>
        <w:tc>
          <w:tcPr>
            <w:tcW w:w="4300" w:type="dxa"/>
            <w:vAlign w:val="bottom"/>
          </w:tcPr>
          <w:p>
            <w:pPr>
              <w:ind w:left="180"/>
              <w:spacing w:after="0"/>
              <w:rPr>
                <w:sz w:val="20"/>
                <w:szCs w:val="20"/>
                <w:color w:val="auto"/>
              </w:rPr>
            </w:pPr>
            <w:r>
              <w:rPr>
                <w:rFonts w:ascii="Arial" w:cs="Arial" w:eastAsia="Arial" w:hAnsi="Arial"/>
                <w:sz w:val="18"/>
                <w:szCs w:val="18"/>
                <w:color w:val="auto"/>
              </w:rPr>
              <w:t>Finished products</w:t>
            </w:r>
          </w:p>
        </w:tc>
        <w:tc>
          <w:tcPr>
            <w:tcW w:w="38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00" w:type="dxa"/>
            <w:vAlign w:val="bottom"/>
          </w:tcPr>
          <w:p>
            <w:pPr>
              <w:jc w:val="right"/>
              <w:ind w:right="10"/>
              <w:spacing w:after="0"/>
              <w:rPr>
                <w:sz w:val="20"/>
                <w:szCs w:val="20"/>
                <w:color w:val="auto"/>
              </w:rPr>
            </w:pPr>
            <w:r>
              <w:rPr>
                <w:rFonts w:ascii="Arial" w:cs="Arial" w:eastAsia="Arial" w:hAnsi="Arial"/>
                <w:sz w:val="18"/>
                <w:szCs w:val="18"/>
                <w:b w:val="1"/>
                <w:bCs w:val="1"/>
                <w:color w:val="auto"/>
              </w:rPr>
              <w:t>459</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568</w:t>
            </w:r>
          </w:p>
        </w:tc>
        <w:tc>
          <w:tcPr>
            <w:tcW w:w="0" w:type="dxa"/>
            <w:vAlign w:val="bottom"/>
          </w:tcPr>
          <w:p>
            <w:pPr>
              <w:spacing w:after="0"/>
              <w:rPr>
                <w:sz w:val="1"/>
                <w:szCs w:val="1"/>
                <w:color w:val="auto"/>
              </w:rPr>
            </w:pPr>
          </w:p>
        </w:tc>
      </w:tr>
      <w:tr>
        <w:trPr>
          <w:trHeight w:val="27"/>
        </w:trPr>
        <w:tc>
          <w:tcPr>
            <w:tcW w:w="4300" w:type="dxa"/>
            <w:vAlign w:val="bottom"/>
            <w:tcBorders>
              <w:bottom w:val="single" w:sz="8" w:color="CCEEFF"/>
            </w:tcBorders>
          </w:tcPr>
          <w:p>
            <w:pPr>
              <w:spacing w:after="0"/>
              <w:rPr>
                <w:sz w:val="2"/>
                <w:szCs w:val="2"/>
                <w:color w:val="auto"/>
              </w:rPr>
            </w:pPr>
          </w:p>
        </w:tc>
        <w:tc>
          <w:tcPr>
            <w:tcW w:w="38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300" w:type="dxa"/>
            <w:vAlign w:val="bottom"/>
            <w:tcBorders>
              <w:bottom w:val="single" w:sz="8" w:color="CCEEFF"/>
            </w:tcBorders>
            <w:shd w:val="clear" w:color="auto" w:fill="CCEEFF"/>
          </w:tcPr>
          <w:p>
            <w:pPr>
              <w:spacing w:after="0"/>
              <w:rPr>
                <w:sz w:val="22"/>
                <w:szCs w:val="22"/>
                <w:color w:val="auto"/>
              </w:rPr>
            </w:pPr>
          </w:p>
        </w:tc>
        <w:tc>
          <w:tcPr>
            <w:tcW w:w="4920" w:type="dxa"/>
            <w:vAlign w:val="bottom"/>
            <w:tcBorders>
              <w:bottom w:val="single" w:sz="8" w:color="CCEEFF"/>
            </w:tcBorders>
            <w:gridSpan w:val="2"/>
            <w:shd w:val="clear" w:color="auto" w:fill="CCEEFF"/>
          </w:tcPr>
          <w:p>
            <w:pPr>
              <w:jc w:val="right"/>
              <w:ind w:right="928"/>
              <w:spacing w:after="0"/>
              <w:rPr>
                <w:sz w:val="20"/>
                <w:szCs w:val="20"/>
                <w:color w:val="auto"/>
              </w:rPr>
            </w:pPr>
            <w:r>
              <w:rPr>
                <w:rFonts w:ascii="Arial" w:cs="Arial" w:eastAsia="Arial" w:hAnsi="Arial"/>
                <w:sz w:val="18"/>
                <w:szCs w:val="18"/>
                <w:b w:val="1"/>
                <w:bCs w:val="1"/>
                <w:color w:val="auto"/>
              </w:rPr>
              <w:t>$</w:t>
            </w:r>
          </w:p>
        </w:tc>
        <w:tc>
          <w:tcPr>
            <w:tcW w:w="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820" w:type="dxa"/>
            <w:vAlign w:val="bottom"/>
            <w:tcBorders>
              <w:top w:val="single" w:sz="8" w:color="CCEEFF"/>
              <w:bottom w:val="single" w:sz="8" w:color="CCEEFF"/>
            </w:tcBorders>
            <w:vMerge w:val="restart"/>
          </w:tcPr>
          <w:p>
            <w:pPr>
              <w:jc w:val="right"/>
              <w:ind w:right="2230"/>
              <w:spacing w:after="0"/>
              <w:rPr>
                <w:sz w:val="20"/>
                <w:szCs w:val="20"/>
                <w:color w:val="auto"/>
              </w:rPr>
            </w:pPr>
            <w:r>
              <w:rPr>
                <w:rFonts w:ascii="Arial" w:cs="Arial" w:eastAsia="Arial" w:hAnsi="Arial"/>
                <w:sz w:val="18"/>
                <w:szCs w:val="18"/>
                <w:color w:val="auto"/>
              </w:rPr>
              <w:t>25</w:t>
            </w:r>
          </w:p>
        </w:tc>
        <w:tc>
          <w:tcPr>
            <w:tcW w:w="1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4300" w:type="dxa"/>
            <w:vAlign w:val="bottom"/>
          </w:tcPr>
          <w:p>
            <w:pPr>
              <w:spacing w:after="0"/>
              <w:rPr>
                <w:sz w:val="24"/>
                <w:szCs w:val="24"/>
                <w:color w:val="auto"/>
              </w:rPr>
            </w:pPr>
          </w:p>
        </w:tc>
        <w:tc>
          <w:tcPr>
            <w:tcW w:w="3820" w:type="dxa"/>
            <w:vAlign w:val="bottom"/>
            <w:vMerge w:val="continue"/>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the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171"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We are a manufacturer and marketer of high-quality, branded convenience food products. Through the fourth quarter of 2015, we reported the results of our operations in the following reportable segments: U.S. Simple Meals; Global Baking and Snacking; International Simple Meals and Beverages; U.S. Beverages; and Bolthouse and Foodservice. As of the beginning of 2016, we are managing our businesses in three divisions focused mainly on product categories. The new divisions, which represent our operating and reportable segments, are as follows:</w:t>
      </w:r>
    </w:p>
    <w:p>
      <w:pPr>
        <w:spacing w:after="0" w:line="133" w:lineRule="exact"/>
        <w:rPr>
          <w:sz w:val="20"/>
          <w:szCs w:val="20"/>
          <w:color w:val="auto"/>
        </w:rPr>
      </w:pPr>
    </w:p>
    <w:p>
      <w:pPr>
        <w:jc w:val="both"/>
        <w:ind w:left="660" w:hanging="328"/>
        <w:spacing w:after="0" w:line="259"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Americas Simple Meals and Beverages segment includes the retail and food service channel businesses in the U.S., Canada and Latin America. The segment includes the following products: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condensed and ready-to-serve soups;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broth and stocks;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w:t>
      </w:r>
      <w:r>
        <w:rPr>
          <w:rFonts w:ascii="Arial" w:cs="Arial" w:eastAsia="Arial" w:hAnsi="Arial"/>
          <w:sz w:val="18"/>
          <w:szCs w:val="18"/>
          <w:i w:val="1"/>
          <w:iCs w:val="1"/>
          <w:color w:val="auto"/>
        </w:rPr>
        <w:t>Campbell’s</w:t>
      </w:r>
      <w:r>
        <w:rPr>
          <w:rFonts w:ascii="Arial" w:cs="Arial" w:eastAsia="Arial" w:hAnsi="Arial"/>
          <w:sz w:val="18"/>
          <w:szCs w:val="18"/>
          <w:color w:val="auto"/>
        </w:rPr>
        <w:t xml:space="preserve"> gravies, pasta, beans and dinner sauces; </w:t>
      </w:r>
      <w:r>
        <w:rPr>
          <w:rFonts w:ascii="Arial" w:cs="Arial" w:eastAsia="Arial" w:hAnsi="Arial"/>
          <w:sz w:val="18"/>
          <w:szCs w:val="18"/>
          <w:i w:val="1"/>
          <w:iCs w:val="1"/>
          <w:color w:val="auto"/>
        </w:rPr>
        <w:t>Swanson</w:t>
      </w:r>
      <w:r>
        <w:rPr>
          <w:rFonts w:ascii="Arial" w:cs="Arial" w:eastAsia="Arial" w:hAnsi="Arial"/>
          <w:sz w:val="18"/>
          <w:szCs w:val="18"/>
          <w:color w:val="auto"/>
        </w:rPr>
        <w:t xml:space="preserve"> canned poultry; </w:t>
      </w:r>
      <w:r>
        <w:rPr>
          <w:rFonts w:ascii="Arial" w:cs="Arial" w:eastAsia="Arial" w:hAnsi="Arial"/>
          <w:sz w:val="18"/>
          <w:szCs w:val="18"/>
          <w:i w:val="1"/>
          <w:iCs w:val="1"/>
          <w:color w:val="auto"/>
        </w:rPr>
        <w:t>Plum</w:t>
      </w:r>
      <w:r>
        <w:rPr>
          <w:rFonts w:ascii="Arial" w:cs="Arial" w:eastAsia="Arial" w:hAnsi="Arial"/>
          <w:sz w:val="18"/>
          <w:szCs w:val="18"/>
          <w:color w:val="auto"/>
        </w:rPr>
        <w:t xml:space="preserve"> food and snacks; </w:t>
      </w:r>
      <w:r>
        <w:rPr>
          <w:rFonts w:ascii="Arial" w:cs="Arial" w:eastAsia="Arial" w:hAnsi="Arial"/>
          <w:sz w:val="18"/>
          <w:szCs w:val="18"/>
          <w:i w:val="1"/>
          <w:iCs w:val="1"/>
          <w:color w:val="auto"/>
        </w:rPr>
        <w:t>V8</w:t>
      </w:r>
      <w:r>
        <w:rPr>
          <w:rFonts w:ascii="Arial" w:cs="Arial" w:eastAsia="Arial" w:hAnsi="Arial"/>
          <w:sz w:val="18"/>
          <w:szCs w:val="18"/>
          <w:color w:val="auto"/>
        </w:rPr>
        <w:t xml:space="preserve"> juices and beverages; and </w:t>
      </w:r>
      <w:r>
        <w:rPr>
          <w:rFonts w:ascii="Arial" w:cs="Arial" w:eastAsia="Arial" w:hAnsi="Arial"/>
          <w:sz w:val="18"/>
          <w:szCs w:val="18"/>
          <w:i w:val="1"/>
          <w:iCs w:val="1"/>
          <w:color w:val="auto"/>
        </w:rPr>
        <w:t>Campbell’</w:t>
      </w:r>
      <w:r>
        <w:rPr>
          <w:rFonts w:ascii="Arial" w:cs="Arial" w:eastAsia="Arial" w:hAnsi="Arial"/>
          <w:sz w:val="18"/>
          <w:szCs w:val="18"/>
          <w:color w:val="auto"/>
        </w:rPr>
        <w:t>s tomato juice.</w:t>
      </w:r>
    </w:p>
    <w:p>
      <w:pPr>
        <w:spacing w:after="0" w:line="132"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Global Biscuits and Snacks segment includes Pepperidge Farm cookies, crackers, bakery and frozen products in U.S. retail; Arnott’s biscuits in Australia and Asia Pacific; and Kelsen cookies globally. The segment also includes the simple meals and shelf-stable beverages business in Australia and Asia Pacific.</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Campbell Fresh includes Bolthouse Farms fresh carrots, carrot ingredients, refrigerated beverages and refrigerated salad dressings; Garden Fresh Gourmet salsa, hummus, dips and tortilla chips, which was acquired in June 2015; and the U.S. refrigerated soup business.</w:t>
      </w:r>
    </w:p>
    <w:p>
      <w:pPr>
        <w:spacing w:after="0" w:line="9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2016, we also modified our method of allocating pension and postretirement benefit costs to segments. Through 2015, we included all components of benefit expense in measuring segment performance. In 2016, only service cost is allocated to segments. All other components of expense, including interest cost, expected return on assets, and recognized actuarial gains and losses, are reflected in Corporate and not included in segment operating results.</w:t>
      </w:r>
    </w:p>
    <w:p>
      <w:pPr>
        <w:spacing w:after="0" w:line="93"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2016, we elected to change our method of accounting for the recognition of actuarial gains and losses for defined benefit pension and postretirement plans and the calculation of expected return on pension plan assets. Historically, actuarial gains and losses associated with benefit obligations were recognized in Accumulated other comprehensive loss in the Consolidated Balance Sheets and were amortized into earnings over the remaining service life of participants to the extent that the amounts were in excess of a corridor. Under the new policy, actuarial gains and losses will be recognized immediately in our Consolidated Statements of Earnings as of the measurement date, which is our fiscal year end, or more frequently if an interim remeasurement is required. In addition, we no longer use a market-related value of plan assets, which is an average value, to determine the expected return on assets but rather will use the fair value of plan assets. We believe the new policies will provide greater transparency to ongoing operating results and better reflect the impact of current market conditions on the obligations and assets. See Note 1 to the Consolidated Financial Statements for additional information.</w:t>
      </w:r>
    </w:p>
    <w:p>
      <w:pPr>
        <w:spacing w:after="0" w:line="11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June 29, 2015, we completed the acquisition of the assets of Garden Fresh Gourmet for $232 million. Garden Fresh Gourmet is a provider of refrigerated salsa, hummus, dips and tortilla chips. See Note 3 to the Consolidated Financial Statements for additional information.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71" w:lineRule="exact"/>
        <w:rPr>
          <w:sz w:val="20"/>
          <w:szCs w:val="20"/>
          <w:color w:val="auto"/>
        </w:rPr>
      </w:pPr>
    </w:p>
    <w:p>
      <w:pPr>
        <w:jc w:val="both"/>
        <w:ind w:left="660" w:hanging="328"/>
        <w:spacing w:after="0" w:line="264"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Net sales decreased 2% in the current quarter to $1.87 billion, as lower volume, increased promotional spending and the adverse impact of currency translation were partially offset by the impact of the acquisition of Garden Fresh Gourmet and higher selling prices. The sales performance reflected declines in U.S. soup,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and fresh carrots.</w:t>
      </w:r>
    </w:p>
    <w:p>
      <w:pPr>
        <w:spacing w:after="0" w:line="12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Gross profit, as a percent of sales, decreased to 35.3% from 35.9% in the year-ago quarter. The decrease was primarily due to increased losses on pension and postretirement benefit mark-to-market adjustments. Excluding the pension and postretirement benefit mark-to-market adjustments, gross profit increased as productivity improvements were partially offset by cost inflation, higher supply chain costs and other factors (including higher carrot costs).</w:t>
      </w:r>
    </w:p>
    <w:p>
      <w:pPr>
        <w:spacing w:after="0" w:line="132"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Earnings per share were $.59 in the current quarter, compared to $.57 in the year-ago quarter. The current and prior-year quarter included expenses of $.06 per share and $.09 per share, respectively, from items impacting comparability as discussed below.</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31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earnings and earnings per share:</w:t>
      </w:r>
    </w:p>
    <w:p>
      <w:pPr>
        <w:spacing w:after="0" w:line="171" w:lineRule="exact"/>
        <w:rPr>
          <w:sz w:val="20"/>
          <w:szCs w:val="20"/>
          <w:color w:val="auto"/>
        </w:rPr>
      </w:pPr>
    </w:p>
    <w:p>
      <w:pPr>
        <w:jc w:val="both"/>
        <w:ind w:left="660" w:hanging="328"/>
        <w:spacing w:after="0" w:line="273" w:lineRule="auto"/>
        <w:tabs>
          <w:tab w:leader="none" w:pos="6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2016 and 2015, we recognized mark-to-market adjustments as certain U.S. plans were remeasured. In 2016, the plans were remeasured due to a high level of lump sum payments to certain vested plan participants arising primarily out of a limited-time offer to accept a single lump sum in lieu of future annuity payments. In the third quarter of 2016, we recognized mark-to-market losses of $54 million ($34 million after tax, or $.11 per share). Year-to-date in 2016, we recognized mark-to-market losses of $175 million ($110 million after tax, or $.35 per share). In 2015, the plans were remeasured due to the impact of a voluntary employee separation program. In the third quarter and year-to-date period of 2015, we recognized mark-to-market losses of $26 million ($16 million after tax, or $.05 per share).</w:t>
      </w:r>
    </w:p>
    <w:p>
      <w:pPr>
        <w:spacing w:after="0" w:line="124" w:lineRule="exact"/>
        <w:rPr>
          <w:rFonts w:ascii="Arial" w:cs="Arial" w:eastAsia="Arial" w:hAnsi="Arial"/>
          <w:sz w:val="17"/>
          <w:szCs w:val="17"/>
          <w:color w:val="auto"/>
        </w:rPr>
      </w:pPr>
    </w:p>
    <w:p>
      <w:pPr>
        <w:jc w:val="both"/>
        <w:ind w:left="660" w:hanging="328"/>
        <w:spacing w:after="0" w:line="290" w:lineRule="auto"/>
        <w:tabs>
          <w:tab w:leader="none" w:pos="6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In 2015, we implemented a new enterprise design and initiatives to reduce costs and to streamline our organizational structure. In the third quarter of 2016, we recorded a pre-tax restructuring charge of $2 million and implementation costs and other related costs of $13 million in Administrative expenses related to these initiatives (aggregate impact of $9 million after tax, or $.03 per share). In the second quarter of 2016, we also recorded a reduction to pre-tax restructuring charges of $3 million related to the 2014 initiative to improve supply chain efficiency in Australia. Year-to-date, we recorded pre-tax restructuring charges, implementation costs and other related costs associated with the 2015 and 2014 initiatives of $67 million ($42 million after tax, or $.14 per share). In the third quarter and year-to-date period of 2015, we recorded a pre-tax restructuring charge of $9 million and implementation costs of $9 million in Administrative expenses related to the 2015 initiatives (aggregate impact of $11 million after tax, or $.04 per share). See Note 7 to the Consolidated Financial Statements and "Restructuring Charges and Cost Savings Initiatives" for additional information.</w:t>
      </w:r>
    </w:p>
    <w:p>
      <w:pPr>
        <w:spacing w:after="0" w:line="112"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third quarter of 2016, we recorded a gain of $25 million ($.08 per share) in Other expenses / (income) from a settlement of a claim related to the Kelsen acquisition. The claim was for a warranty breach and has no meaningful ongoing impact on Kelsen.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May 1, 2016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May 3, 2015</w:t>
            </w: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center"/>
              <w:ind w:right="135"/>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185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.59</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settlement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Impact of items on 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(18)</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698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5"/>
          </w:tcPr>
          <w:p>
            <w:pPr>
              <w:jc w:val="center"/>
              <w:ind w:right="300"/>
              <w:spacing w:after="0"/>
              <w:rPr>
                <w:sz w:val="20"/>
                <w:szCs w:val="20"/>
                <w:color w:val="auto"/>
              </w:rPr>
            </w:pPr>
            <w:r>
              <w:rPr>
                <w:rFonts w:ascii="Arial" w:cs="Arial" w:eastAsia="Arial" w:hAnsi="Arial"/>
                <w:sz w:val="14"/>
                <w:szCs w:val="14"/>
                <w:b w:val="1"/>
                <w:bCs w:val="1"/>
                <w:color w:val="auto"/>
                <w:w w:val="93"/>
              </w:rPr>
              <w:t>Nine Months Ended</w:t>
            </w:r>
          </w:p>
        </w:tc>
        <w:tc>
          <w:tcPr>
            <w:tcW w:w="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617"/>
              <w:spacing w:after="0"/>
              <w:rPr>
                <w:sz w:val="20"/>
                <w:szCs w:val="20"/>
                <w:color w:val="auto"/>
              </w:rPr>
            </w:pPr>
            <w:r>
              <w:rPr>
                <w:rFonts w:ascii="Arial" w:cs="Arial" w:eastAsia="Arial" w:hAnsi="Arial"/>
                <w:sz w:val="14"/>
                <w:szCs w:val="14"/>
                <w:b w:val="1"/>
                <w:bCs w:val="1"/>
                <w:color w:val="auto"/>
              </w:rPr>
              <w:t>May 1, 2016</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May 3, 2015</w:t>
            </w: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center"/>
              <w:ind w:right="115"/>
              <w:spacing w:after="0" w:line="153" w:lineRule="exact"/>
              <w:rPr>
                <w:sz w:val="20"/>
                <w:szCs w:val="20"/>
                <w:color w:val="auto"/>
              </w:rPr>
            </w:pPr>
            <w:r>
              <w:rPr>
                <w:rFonts w:ascii="Arial" w:cs="Arial" w:eastAsia="Arial" w:hAnsi="Arial"/>
                <w:sz w:val="14"/>
                <w:szCs w:val="14"/>
                <w:b w:val="1"/>
                <w:bCs w:val="1"/>
                <w:color w:val="auto"/>
                <w:w w:val="92"/>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center"/>
              <w:ind w:right="135"/>
              <w:spacing w:after="0"/>
              <w:rPr>
                <w:sz w:val="20"/>
                <w:szCs w:val="20"/>
                <w:color w:val="auto"/>
              </w:rPr>
            </w:pPr>
            <w:r>
              <w:rPr>
                <w:rFonts w:ascii="Arial" w:cs="Arial" w:eastAsia="Arial" w:hAnsi="Arial"/>
                <w:sz w:val="14"/>
                <w:szCs w:val="14"/>
                <w:b w:val="1"/>
                <w:bCs w:val="1"/>
                <w:color w:val="auto"/>
                <w:w w:val="97"/>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644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2.07</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649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Claim settlement</w:t>
            </w:r>
          </w:p>
        </w:tc>
        <w:tc>
          <w:tcPr>
            <w:tcW w:w="1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25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980" w:type="dxa"/>
            <w:vAlign w:val="bottom"/>
          </w:tcPr>
          <w:p>
            <w:pPr>
              <w:ind w:left="40"/>
              <w:spacing w:after="0"/>
              <w:rPr>
                <w:sz w:val="20"/>
                <w:szCs w:val="20"/>
                <w:color w:val="auto"/>
              </w:rPr>
            </w:pPr>
            <w:r>
              <w:rPr>
                <w:rFonts w:ascii="Arial" w:cs="Arial" w:eastAsia="Arial" w:hAnsi="Arial"/>
                <w:sz w:val="18"/>
                <w:szCs w:val="18"/>
                <w:color w:val="auto"/>
              </w:rPr>
              <w:t>Impact of items on Net earnings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earnings attributable to Campbell Soup Company were $185 million ($.59 per share) in the current quarter, compared to $179 million ($.57 per share) in the year-ago quarter. After adjusting for items impacting comparability, earnings decreased primarily due to higher marketing and selling expenses, and administrative expenses, partially offset by a lower effective tax rate.</w:t>
      </w:r>
    </w:p>
    <w:p>
      <w:pPr>
        <w:spacing w:after="0" w:line="12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Net earnings attributable to Campbell Soup Company were $644 million ($2.07 per share) in the nine-month period ended May 1, 2016, compared to $649 million ($2.07 per share) in the year-ago period. After adjusting for items impacting comparability, earnings increased due to improved gross profit performance and lower marketing and selling expenses, partially offset by the negative impact of currency translation and a higher effective tax rate.</w:t>
      </w:r>
    </w:p>
    <w:p>
      <w:pPr>
        <w:sectPr>
          <w:pgSz w:w="11900" w:h="16838" w:orient="portrait"/>
          <w:cols w:equalWidth="0" w:num="1">
            <w:col w:w="11420"/>
          </w:cols>
          <w:pgMar w:left="240" w:top="1314" w:right="239" w:bottom="1440" w:gutter="0" w:footer="0" w:header="0"/>
        </w:sect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314" w:right="239" w:bottom="1440" w:gutter="0" w:footer="0" w:header="0"/>
          <w:type w:val="continuous"/>
        </w:sectPr>
      </w:pPr>
    </w:p>
    <w:bookmarkStart w:id="27" w:name="page28"/>
    <w:bookmarkEnd w:id="27"/>
    <w:p>
      <w:pPr>
        <w:ind w:right="1560"/>
        <w:spacing w:after="0" w:line="376" w:lineRule="auto"/>
        <w:rPr>
          <w:sz w:val="20"/>
          <w:szCs w:val="20"/>
          <w:color w:val="auto"/>
        </w:rPr>
      </w:pPr>
      <w:r>
        <w:rPr>
          <w:rFonts w:ascii="Arial" w:cs="Arial" w:eastAsia="Arial" w:hAnsi="Arial"/>
          <w:sz w:val="18"/>
          <w:szCs w:val="18"/>
          <w:b w:val="1"/>
          <w:bCs w:val="1"/>
          <w:color w:val="auto"/>
        </w:rPr>
        <w:t xml:space="preserve">THIRD-QUARTER DISCUSSION AND ANALYSIS </w:t>
      </w:r>
      <w:r>
        <w:rPr>
          <w:rFonts w:ascii="Arial" w:cs="Arial" w:eastAsia="Arial" w:hAnsi="Arial"/>
          <w:sz w:val="18"/>
          <w:szCs w:val="18"/>
          <w:b w:val="1"/>
          <w:bCs w:val="1"/>
          <w:i w:val="1"/>
          <w:iCs w:val="1"/>
          <w:color w:val="auto"/>
        </w:rPr>
        <w:t>Sales</w:t>
      </w:r>
    </w:p>
    <w:p>
      <w:pPr>
        <w:spacing w:after="0" w:line="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00" w:lineRule="exact"/>
        <w:rPr>
          <w:sz w:val="20"/>
          <w:szCs w:val="20"/>
          <w:color w:val="auto"/>
        </w:rPr>
      </w:pPr>
    </w:p>
    <w:p>
      <w:pPr>
        <w:spacing w:after="0" w:line="314"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Americas Simple Meals and Beverages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Global Biscuits and Snacks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Campbell Fresh</w:t>
      </w:r>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An analysis of percent change of net sales by reportable segment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2"/>
        </w:trPr>
        <w:tc>
          <w:tcPr>
            <w:tcW w:w="7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7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May 1, 2016</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May 3, 2015</w:t>
            </w:r>
          </w:p>
        </w:tc>
        <w:tc>
          <w:tcPr>
            <w:tcW w:w="120" w:type="dxa"/>
            <w:vAlign w:val="bottom"/>
          </w:tcPr>
          <w:p>
            <w:pPr>
              <w:spacing w:after="0"/>
              <w:rPr>
                <w:sz w:val="22"/>
                <w:szCs w:val="22"/>
                <w:color w:val="auto"/>
              </w:rPr>
            </w:pPr>
          </w:p>
        </w:tc>
        <w:tc>
          <w:tcPr>
            <w:tcW w:w="13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43"/>
        </w:trPr>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41"/>
              <w:spacing w:after="0"/>
              <w:rPr>
                <w:sz w:val="20"/>
                <w:szCs w:val="20"/>
                <w:color w:val="auto"/>
              </w:rPr>
            </w:pPr>
            <w:r>
              <w:rPr>
                <w:rFonts w:ascii="Arial" w:cs="Arial" w:eastAsia="Arial" w:hAnsi="Arial"/>
                <w:sz w:val="18"/>
                <w:szCs w:val="18"/>
                <w:b w:val="1"/>
                <w:bCs w:val="1"/>
                <w:color w:val="auto"/>
              </w:rPr>
              <w:t>999</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1,030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(3)%</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41"/>
              <w:spacing w:after="0"/>
              <w:rPr>
                <w:sz w:val="20"/>
                <w:szCs w:val="20"/>
                <w:color w:val="auto"/>
              </w:rPr>
            </w:pPr>
            <w:r>
              <w:rPr>
                <w:rFonts w:ascii="Arial" w:cs="Arial" w:eastAsia="Arial" w:hAnsi="Arial"/>
                <w:sz w:val="18"/>
                <w:szCs w:val="18"/>
                <w:b w:val="1"/>
                <w:bCs w:val="1"/>
                <w:color w:val="auto"/>
              </w:rPr>
              <w:t>608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70"/>
        </w:trPr>
        <w:tc>
          <w:tcPr>
            <w:tcW w:w="7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80" w:type="dxa"/>
            <w:vAlign w:val="bottom"/>
          </w:tcPr>
          <w:p>
            <w:pPr>
              <w:jc w:val="right"/>
              <w:ind w:right="41"/>
              <w:spacing w:after="0"/>
              <w:rPr>
                <w:sz w:val="20"/>
                <w:szCs w:val="20"/>
                <w:color w:val="auto"/>
              </w:rPr>
            </w:pPr>
            <w:r>
              <w:rPr>
                <w:rFonts w:ascii="Arial" w:cs="Arial" w:eastAsia="Arial" w:hAnsi="Arial"/>
                <w:sz w:val="18"/>
                <w:szCs w:val="18"/>
                <w:b w:val="1"/>
                <w:bCs w:val="1"/>
                <w:color w:val="auto"/>
              </w:rPr>
              <w:t>263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247</w:t>
            </w:r>
          </w:p>
        </w:tc>
        <w:tc>
          <w:tcPr>
            <w:tcW w:w="120" w:type="dxa"/>
            <w:vAlign w:val="bottom"/>
          </w:tcPr>
          <w:p>
            <w:pPr>
              <w:spacing w:after="0"/>
              <w:rPr>
                <w:sz w:val="23"/>
                <w:szCs w:val="23"/>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41"/>
              <w:spacing w:after="0"/>
              <w:rPr>
                <w:sz w:val="20"/>
                <w:szCs w:val="20"/>
                <w:color w:val="auto"/>
              </w:rPr>
            </w:pPr>
            <w:r>
              <w:rPr>
                <w:rFonts w:ascii="Arial" w:cs="Arial" w:eastAsia="Arial" w:hAnsi="Arial"/>
                <w:sz w:val="18"/>
                <w:szCs w:val="18"/>
                <w:b w:val="1"/>
                <w:bCs w:val="1"/>
                <w:color w:val="auto"/>
              </w:rPr>
              <w:t>1,870</w:t>
            </w:r>
          </w:p>
        </w:tc>
        <w:tc>
          <w:tcPr>
            <w:tcW w:w="10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color w:val="auto"/>
              </w:rPr>
              <w:t>1,900</w:t>
            </w:r>
          </w:p>
        </w:tc>
        <w:tc>
          <w:tcPr>
            <w:tcW w:w="12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7"/>
        </w:trPr>
        <w:tc>
          <w:tcPr>
            <w:tcW w:w="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6"/>
        </w:trPr>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Americas</w:t>
            </w:r>
          </w:p>
        </w:tc>
        <w:tc>
          <w:tcPr>
            <w:tcW w:w="1280" w:type="dxa"/>
            <w:vAlign w:val="bottom"/>
            <w:gridSpan w:val="2"/>
          </w:tcPr>
          <w:p>
            <w:pPr>
              <w:jc w:val="center"/>
              <w:ind w:left="181"/>
              <w:spacing w:after="0"/>
              <w:rPr>
                <w:sz w:val="20"/>
                <w:szCs w:val="20"/>
                <w:color w:val="auto"/>
              </w:rPr>
            </w:pPr>
            <w:r>
              <w:rPr>
                <w:rFonts w:ascii="Arial" w:cs="Arial" w:eastAsia="Arial" w:hAnsi="Arial"/>
                <w:sz w:val="14"/>
                <w:szCs w:val="14"/>
                <w:b w:val="1"/>
                <w:bCs w:val="1"/>
                <w:color w:val="auto"/>
                <w:w w:val="96"/>
              </w:rPr>
              <w:t>Global</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Simple</w:t>
            </w:r>
          </w:p>
        </w:tc>
        <w:tc>
          <w:tcPr>
            <w:tcW w:w="1280" w:type="dxa"/>
            <w:vAlign w:val="bottom"/>
            <w:gridSpan w:val="2"/>
          </w:tcPr>
          <w:p>
            <w:pPr>
              <w:jc w:val="center"/>
              <w:ind w:left="161"/>
              <w:spacing w:after="0" w:line="149" w:lineRule="exact"/>
              <w:rPr>
                <w:sz w:val="20"/>
                <w:szCs w:val="20"/>
                <w:color w:val="auto"/>
              </w:rPr>
            </w:pPr>
            <w:r>
              <w:rPr>
                <w:rFonts w:ascii="Arial" w:cs="Arial" w:eastAsia="Arial" w:hAnsi="Arial"/>
                <w:sz w:val="14"/>
                <w:szCs w:val="14"/>
                <w:b w:val="1"/>
                <w:bCs w:val="1"/>
                <w:color w:val="auto"/>
                <w:w w:val="88"/>
              </w:rPr>
              <w:t>Biscuits</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Meals and</w:t>
            </w:r>
          </w:p>
        </w:tc>
        <w:tc>
          <w:tcPr>
            <w:tcW w:w="1280" w:type="dxa"/>
            <w:vAlign w:val="bottom"/>
            <w:gridSpan w:val="2"/>
          </w:tcPr>
          <w:p>
            <w:pPr>
              <w:jc w:val="center"/>
              <w:ind w:left="161"/>
              <w:spacing w:after="0" w:line="149" w:lineRule="exact"/>
              <w:rPr>
                <w:sz w:val="20"/>
                <w:szCs w:val="20"/>
                <w:color w:val="auto"/>
              </w:rPr>
            </w:pPr>
            <w:r>
              <w:rPr>
                <w:rFonts w:ascii="Arial" w:cs="Arial" w:eastAsia="Arial" w:hAnsi="Arial"/>
                <w:sz w:val="14"/>
                <w:szCs w:val="14"/>
                <w:b w:val="1"/>
                <w:bCs w:val="1"/>
                <w:color w:val="auto"/>
                <w:w w:val="96"/>
              </w:rPr>
              <w:t>and</w:t>
            </w:r>
          </w:p>
        </w:tc>
        <w:tc>
          <w:tcPr>
            <w:tcW w:w="220" w:type="dxa"/>
            <w:vAlign w:val="bottom"/>
          </w:tcPr>
          <w:p>
            <w:pPr>
              <w:spacing w:after="0"/>
              <w:rPr>
                <w:sz w:val="12"/>
                <w:szCs w:val="12"/>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Campbell Fresh</w:t>
            </w:r>
          </w:p>
        </w:tc>
        <w:tc>
          <w:tcPr>
            <w:tcW w:w="136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6"/>
        </w:trPr>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Beverages</w:t>
            </w:r>
          </w:p>
        </w:tc>
        <w:tc>
          <w:tcPr>
            <w:tcW w:w="1280" w:type="dxa"/>
            <w:vAlign w:val="bottom"/>
            <w:gridSpan w:val="2"/>
          </w:tcPr>
          <w:p>
            <w:pPr>
              <w:jc w:val="center"/>
              <w:ind w:left="181"/>
              <w:spacing w:after="0"/>
              <w:rPr>
                <w:sz w:val="20"/>
                <w:szCs w:val="20"/>
                <w:color w:val="auto"/>
              </w:rPr>
            </w:pPr>
            <w:r>
              <w:rPr>
                <w:rFonts w:ascii="Arial" w:cs="Arial" w:eastAsia="Arial" w:hAnsi="Arial"/>
                <w:sz w:val="14"/>
                <w:szCs w:val="14"/>
                <w:b w:val="1"/>
                <w:bCs w:val="1"/>
                <w:color w:val="auto"/>
                <w:w w:val="92"/>
              </w:rPr>
              <w:t xml:space="preserve">Snacks </w:t>
            </w:r>
            <w:r>
              <w:rPr>
                <w:rFonts w:ascii="Arial" w:cs="Arial" w:eastAsia="Arial" w:hAnsi="Arial"/>
                <w:sz w:val="8"/>
                <w:szCs w:val="8"/>
                <w:b w:val="1"/>
                <w:bCs w:val="1"/>
                <w:color w:val="auto"/>
                <w:w w:val="92"/>
              </w:rPr>
              <w:t>(2)</w:t>
            </w:r>
          </w:p>
        </w:tc>
        <w:tc>
          <w:tcPr>
            <w:tcW w:w="22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5640" w:space="720"/>
            <w:col w:w="5060"/>
          </w:cols>
          <w:pgMar w:left="240" w:top="1310" w:right="239" w:bottom="1440" w:gutter="0" w:footer="0" w:header="0"/>
        </w:sectPr>
      </w:pPr>
    </w:p>
    <w:tbl>
      <w:tblPr>
        <w:tblLayout w:type="fixed"/>
        <w:tblInd w:w="0" w:type="dxa"/>
        <w:tblCellMar>
          <w:top w:w="0" w:type="dxa"/>
          <w:left w:w="0" w:type="dxa"/>
          <w:bottom w:w="0" w:type="dxa"/>
          <w:right w:w="0" w:type="dxa"/>
        </w:tblCellMar>
      </w:tblPr>
      <w:tr>
        <w:trPr>
          <w:trHeight w:val="256"/>
        </w:trPr>
        <w:tc>
          <w:tcPr>
            <w:tcW w:w="60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24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Price and Sales Allowances</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Increased Promotional Spending</w:t>
            </w:r>
            <w:r>
              <w:rPr>
                <w:rFonts w:ascii="Arial" w:cs="Arial" w:eastAsia="Arial" w:hAnsi="Arial"/>
                <w:sz w:val="25"/>
                <w:szCs w:val="25"/>
                <w:color w:val="auto"/>
                <w:vertAlign w:val="superscript"/>
              </w:rPr>
              <w:t>(1)</w:t>
            </w: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3"/>
                <w:szCs w:val="23"/>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Currency</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1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(3)%</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(2)%</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6%</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3"/>
        </w:numPr>
        <w:rPr>
          <w:rFonts w:ascii="Arial" w:cs="Arial" w:eastAsia="Arial" w:hAnsi="Arial"/>
          <w:sz w:val="24"/>
          <w:szCs w:val="24"/>
          <w:color w:val="auto"/>
          <w:vertAlign w:val="superscript"/>
        </w:rPr>
      </w:pPr>
      <w:r>
        <w:rPr>
          <w:rFonts w:ascii="Arial" w:cs="Arial" w:eastAsia="Arial" w:hAnsi="Arial"/>
          <w:sz w:val="17"/>
          <w:szCs w:val="17"/>
          <w:color w:val="auto"/>
        </w:rPr>
        <w:t>Sum of individual amounts does not add due to rounding.</w:t>
      </w:r>
    </w:p>
    <w:p>
      <w:pPr>
        <w:spacing w:after="0" w:line="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Americas Simple Meals and Beverages, sales decreased 3% due to declines in soup and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partially offset by gains in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and </w:t>
      </w:r>
      <w:r>
        <w:rPr>
          <w:rFonts w:ascii="Arial" w:cs="Arial" w:eastAsia="Arial" w:hAnsi="Arial"/>
          <w:sz w:val="18"/>
          <w:szCs w:val="18"/>
          <w:i w:val="1"/>
          <w:iCs w:val="1"/>
          <w:color w:val="auto"/>
        </w:rPr>
        <w:t>Plum</w:t>
      </w:r>
      <w:r>
        <w:rPr>
          <w:rFonts w:ascii="Arial" w:cs="Arial" w:eastAsia="Arial" w:hAnsi="Arial"/>
          <w:sz w:val="18"/>
          <w:szCs w:val="18"/>
          <w:color w:val="auto"/>
        </w:rPr>
        <w:t xml:space="preserve"> products. U.S. soup sales decreased 5% primarily as a result of category declines, which were partly related to warmer weather, and the impact of our net price realization actions. Further details of U.S. soup include:</w:t>
      </w:r>
    </w:p>
    <w:p>
      <w:pPr>
        <w:spacing w:after="0" w:line="137"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condensed soups declined 4%.</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Sales of ready-to-serve soups declined 13%.</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Broth sales increased 10%.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sales decrease in ready-to-serve soups was also due to marketing execution issues on </w:t>
      </w:r>
      <w:r>
        <w:rPr>
          <w:rFonts w:ascii="Arial" w:cs="Arial" w:eastAsia="Arial" w:hAnsi="Arial"/>
          <w:sz w:val="18"/>
          <w:szCs w:val="18"/>
          <w:i w:val="1"/>
          <w:iCs w:val="1"/>
          <w:color w:val="auto"/>
        </w:rPr>
        <w:t>Chunky</w:t>
      </w:r>
      <w:r>
        <w:rPr>
          <w:rFonts w:ascii="Arial" w:cs="Arial" w:eastAsia="Arial" w:hAnsi="Arial"/>
          <w:sz w:val="18"/>
          <w:szCs w:val="18"/>
          <w:color w:val="auto"/>
        </w:rPr>
        <w:t xml:space="preserve"> soups.</w:t>
      </w:r>
    </w:p>
    <w:p>
      <w:pPr>
        <w:spacing w:after="0" w:line="17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In Global Biscuits and Snacks, sales decreased 2% primarily due to the impact of currency translation. Excluding the negative impact of currency translation, sales decreased due to declines in Kelsen, partially offset by gains in Pepperidge Farm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crackers, and soup and beverages in Australia. Excluding the negative impact of currency translation, sales of Arnott’s biscuits were comparable with gains in Indonesia offset by declines in sweet biscuit varieties in Australia. In 2016, promotional spending was increased to remain competitive and due in part to timing of promotional activities.</w:t>
      </w:r>
    </w:p>
    <w:p>
      <w:pPr>
        <w:spacing w:after="0" w:line="10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Campbell Fresh, sales increased 6% due to the acquisition of Garden Fresh Gourmet, which we acquired on June 29, 2015. Excluding the acquisition, sales declined reflecting a double-digit decrease in fresh carrots, partially offset by an 8% increase in refrigerated beverages and salad dressings. We were unable to meet demand for fresh carrots due to supply issues related to the adverse impact of weather conditions on crop yields. In 2016, promotional spending on refrigerated beverages was increased to remain competitive and to support new product launches.</w:t>
      </w: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10" w:right="2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Gross profit, defined as Net sales less Cost of products sold, decreased by $22 million in the current quarter. As a percent of sales, gross profit was 35.3% in the current quarter and 35.9% in the year-ago quarter. The 0.6% percentage-point overall decrease in gross margin percentage was due to the following factors: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spacing w:after="0"/>
              <w:rPr>
                <w:sz w:val="16"/>
                <w:szCs w:val="16"/>
                <w:color w:val="auto"/>
              </w:rPr>
            </w:pPr>
          </w:p>
        </w:tc>
        <w:tc>
          <w:tcPr>
            <w:tcW w:w="1480" w:type="dxa"/>
            <w:vAlign w:val="bottom"/>
          </w:tcPr>
          <w:p>
            <w:pPr>
              <w:ind w:left="280"/>
              <w:spacing w:after="0"/>
              <w:rPr>
                <w:sz w:val="20"/>
                <w:szCs w:val="20"/>
                <w:color w:val="auto"/>
              </w:rPr>
            </w:pPr>
            <w:r>
              <w:rPr>
                <w:rFonts w:ascii="Arial" w:cs="Arial" w:eastAsia="Arial" w:hAnsi="Arial"/>
                <w:sz w:val="14"/>
                <w:szCs w:val="14"/>
                <w:b w:val="1"/>
                <w:bCs w:val="1"/>
                <w:color w:val="auto"/>
              </w:rPr>
              <w:t>Margin Impact</w:t>
            </w:r>
          </w:p>
        </w:tc>
        <w:tc>
          <w:tcPr>
            <w:tcW w:w="0" w:type="dxa"/>
            <w:vAlign w:val="bottom"/>
          </w:tcPr>
          <w:p>
            <w:pPr>
              <w:spacing w:after="0"/>
              <w:rPr>
                <w:sz w:val="1"/>
                <w:szCs w:val="1"/>
                <w:color w:val="auto"/>
              </w:rPr>
            </w:pPr>
          </w:p>
        </w:tc>
      </w:tr>
      <w:tr>
        <w:trPr>
          <w:trHeight w:val="276"/>
        </w:trPr>
        <w:tc>
          <w:tcPr>
            <w:tcW w:w="9940" w:type="dxa"/>
            <w:vAlign w:val="bottom"/>
            <w:shd w:val="clear" w:color="auto" w:fill="CCEEFF"/>
          </w:tcPr>
          <w:p>
            <w:pPr>
              <w:ind w:left="40"/>
              <w:spacing w:after="0" w:line="276"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(1.6)%</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(1.0)</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Higher level of promotional spending</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(0.7)</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Impact of acquisition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(0.3)</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Mix</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0.4</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Higher selling prices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0.5</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 improvements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2.1</w:t>
            </w:r>
          </w:p>
        </w:tc>
        <w:tc>
          <w:tcPr>
            <w:tcW w:w="0" w:type="dxa"/>
            <w:vAlign w:val="bottom"/>
          </w:tcPr>
          <w:p>
            <w:pPr>
              <w:spacing w:after="0"/>
              <w:rPr>
                <w:sz w:val="1"/>
                <w:szCs w:val="1"/>
                <w:color w:val="auto"/>
              </w:rPr>
            </w:pPr>
          </w:p>
        </w:tc>
      </w:tr>
      <w:tr>
        <w:trPr>
          <w:trHeight w:val="237"/>
        </w:trPr>
        <w:tc>
          <w:tcPr>
            <w:tcW w:w="994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(0.6)%</w:t>
            </w:r>
          </w:p>
        </w:tc>
        <w:tc>
          <w:tcPr>
            <w:tcW w:w="0" w:type="dxa"/>
            <w:vAlign w:val="bottom"/>
          </w:tcPr>
          <w:p>
            <w:pPr>
              <w:spacing w:after="0"/>
              <w:rPr>
                <w:sz w:val="1"/>
                <w:szCs w:val="1"/>
                <w:color w:val="auto"/>
              </w:rPr>
            </w:pPr>
          </w:p>
        </w:tc>
      </w:tr>
      <w:tr>
        <w:trPr>
          <w:trHeight w:val="27"/>
        </w:trPr>
        <w:tc>
          <w:tcPr>
            <w:tcW w:w="994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940" w:type="dxa"/>
            <w:vAlign w:val="bottom"/>
            <w:vMerge w:val="continue"/>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94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hanging="332"/>
        <w:spacing w:after="0" w:line="216" w:lineRule="auto"/>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Includes a negative margin impact of 0.5 percentage points from higher carrot costs due to the adverse impact of weather conditions on crop yields and a positive margin impact of 0.2 percentage points from cost savings initiatives.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90"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 xml:space="preserve">Marketing and selling expenses as a percent of sales were 12.2% in 2016 compared to 11.2% in 2015. Marketing and selling expenses increased 7% in 2016 from 2015. The increase was primarily due to higher advertising and consumer promotion expenses (approximately 5 percentage points); higher selling and marketing overhead expenses (approximately 4 percentage points); and losses on benefit plan mark-to-market adjustments (approximately 2 percentage points), partially offset by benefits from cost savings initiatives (approximately 3 percentage points) and the impact of currency translation (approximately 1 percentage point). The increase in advertising and consumer promotion expenses was primarily in Pepperidge Farm and </w:t>
      </w:r>
      <w:r>
        <w:rPr>
          <w:rFonts w:ascii="Arial" w:cs="Arial" w:eastAsia="Arial" w:hAnsi="Arial"/>
          <w:sz w:val="16"/>
          <w:szCs w:val="16"/>
          <w:i w:val="1"/>
          <w:iCs w:val="1"/>
          <w:color w:val="auto"/>
        </w:rPr>
        <w:t>V8</w:t>
      </w:r>
      <w:r>
        <w:rPr>
          <w:rFonts w:ascii="Arial" w:cs="Arial" w:eastAsia="Arial" w:hAnsi="Arial"/>
          <w:sz w:val="16"/>
          <w:szCs w:val="16"/>
          <w:color w:val="auto"/>
        </w:rPr>
        <w:t xml:space="preserve"> beverages.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9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Administrative expenses as a percent of sales were 8.2% in 2016 compared to 7.5% in 2015. Administrative expenses increased 8% in 2016 from 2015. The increase was primarily due to higher incentive compensation and other benefit costs (approximately 6 percentage points); costs related to the implementation of the new organizational structure and cost savings initiatives (approximately 3 percentage points); losses on benefit plan mark-to-market adjustments (approximately 2 percentage points); inflation (approximately 2 percentage points); increased costs to support long-term innovation (approximately 1 percentage point); and the acquisition of Garden Fresh Gourmet (approximately 1 percentage point), partially offset by benefits from cost savings initiatives (approximately 8 percentage points).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Research and development expenses increased $1 million, or 3%, in 2016 from 2015. The increase was primarily due to losses on benefit plan mark-to-market adjustments (approximately 7 percentage points); increased costs to support long-term innovation (approximately 3 percentage points); higher incentive compensation and other benefit costs (approximately 3 percentage points); and inflation and other expense increases (approximately 3 percentage points), partially offset by benefits from cost savings initiatives (approximately 13 percentage points).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in 2016 included a $25 million gain from a settlement of a claim related to the Kelsen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decreased 3% in 2016 from 2015.</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14"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5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2"/>
              </w:rPr>
              <w:t>May 1, 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5"/>
              </w:rPr>
              <w:t>May 3, 2015</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223</w:t>
            </w:r>
          </w:p>
        </w:tc>
        <w:tc>
          <w:tcPr>
            <w:tcW w:w="102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2"/>
              </w:rPr>
              <w:t>1%</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93</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(8)</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3"/>
              </w:rPr>
              <w:t>(28)</w:t>
            </w:r>
          </w:p>
        </w:tc>
      </w:tr>
      <w:tr>
        <w:trPr>
          <w:trHeight w:val="237"/>
        </w:trPr>
        <w:tc>
          <w:tcPr>
            <w:tcW w:w="77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324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(3)%</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77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268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8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Earnings from Americas Simple Meals and Beverages increased 1%. The increase was primarily due to a higher gross margin percentage, benefiting from productivity improvements, partially offset by lower volumes and higher marketing and selling expenses.</w:t>
      </w:r>
    </w:p>
    <w:p>
      <w:pPr>
        <w:spacing w:after="0" w:line="13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from Global Biscuits and Snacks decreased 8%. The decrease was primarily due to a higher incentive compensation costs and the negative impact of currency translation.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Earnings from Campbell Fresh decreased 28% to $13 million. The decrease was primarily due to higher carrot costs, partially offset by productivity improvements. Carrot costs were negatively impacted in the quarter by the adverse impact of weather conditions on crop yields.</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2016, Corporate included $54 million of losses associated with benefit plan mark-to-market adjustments, costs of $13 million related to the implementation of our new organizational structure and cost savings initiatives and a $25 million gain from a settlement of a claim related to the Kelsen acquisition. In 2015, Corporate included $26 million of losses associated with benefit plan mark-to-market adjustments and costs of $9 million related to the implementation of our new organizational structure and cost savings initiatives. The remaining increase in expenses was primarily related to higher incentive compensation costs.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Interest expense was $29 million in 2016 and in 2015, reflecting higher average interest rates on the debt portfolio offset by lower levels of debt.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effective tax rate was 22.9% in 2016, compared to 30.4% in 2015. In 2016, we recognized a tax benefit of $20 million on $54 million of benefit plan mark-to-market losses and a $6 million tax benefit on $15 million of restructuring charges, implementation costs and other related costs. In 2016, the $25 million gain from a settlement of a claim related to the Kelsen acquisition was not subject to tax. In 2015, we recognized a tax benefit of $10 million on $26 million of benefit plan mark-to-market losses and a $7 million tax benefit on $18 million of restructuring charges and implementation costs. After adjusting for the items above, the remaining decrease in the effective tax rate was primarily due to lower taxes on foreign earnings, partially offset by the geographic mix of earnings.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NINE-MONTH 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14"/>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264"/>
        </w:trPr>
        <w:tc>
          <w:tcPr>
            <w:tcW w:w="708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22"/>
                <w:szCs w:val="22"/>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1, 2016</w:t>
            </w:r>
          </w:p>
        </w:tc>
        <w:tc>
          <w:tcPr>
            <w:tcW w:w="220" w:type="dxa"/>
            <w:vAlign w:val="bottom"/>
          </w:tcPr>
          <w:p>
            <w:pPr>
              <w:spacing w:after="0"/>
              <w:rPr>
                <w:sz w:val="22"/>
                <w:szCs w:val="22"/>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May 3, 2015</w:t>
            </w:r>
          </w:p>
        </w:tc>
        <w:tc>
          <w:tcPr>
            <w:tcW w:w="1360" w:type="dxa"/>
            <w:vAlign w:val="bottom"/>
          </w:tcPr>
          <w:p>
            <w:pPr>
              <w:ind w:left="36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3,538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3,641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220" w:type="dxa"/>
            <w:vAlign w:val="bottom"/>
          </w:tcPr>
          <w:p>
            <w:pPr>
              <w:spacing w:after="0"/>
              <w:rPr>
                <w:sz w:val="21"/>
                <w:szCs w:val="21"/>
                <w:color w:val="auto"/>
              </w:rPr>
            </w:pPr>
          </w:p>
        </w:tc>
        <w:tc>
          <w:tcPr>
            <w:tcW w:w="1180" w:type="dxa"/>
            <w:vAlign w:val="bottom"/>
          </w:tcPr>
          <w:p>
            <w:pPr>
              <w:jc w:val="right"/>
              <w:ind w:right="36"/>
              <w:spacing w:after="0"/>
              <w:rPr>
                <w:sz w:val="20"/>
                <w:szCs w:val="20"/>
                <w:color w:val="auto"/>
              </w:rPr>
            </w:pPr>
            <w:r>
              <w:rPr>
                <w:rFonts w:ascii="Arial" w:cs="Arial" w:eastAsia="Arial" w:hAnsi="Arial"/>
                <w:sz w:val="18"/>
                <w:szCs w:val="18"/>
                <w:b w:val="1"/>
                <w:bCs w:val="1"/>
                <w:color w:val="auto"/>
              </w:rPr>
              <w:t>1,942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(4)</w:t>
            </w: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794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734</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8</w:t>
            </w:r>
          </w:p>
        </w:tc>
      </w:tr>
      <w:tr>
        <w:trPr>
          <w:trHeight w:val="237"/>
        </w:trPr>
        <w:tc>
          <w:tcPr>
            <w:tcW w:w="70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b w:val="1"/>
                <w:bCs w:val="1"/>
                <w:color w:val="auto"/>
              </w:rPr>
              <w:t>6,274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6,389</w:t>
            </w:r>
          </w:p>
        </w:tc>
        <w:tc>
          <w:tcPr>
            <w:tcW w:w="120" w:type="dxa"/>
            <w:vAlign w:val="bottom"/>
          </w:tcPr>
          <w:p>
            <w:pPr>
              <w:spacing w:after="0"/>
              <w:rPr>
                <w:sz w:val="20"/>
                <w:szCs w:val="20"/>
                <w:color w:val="auto"/>
              </w:rPr>
            </w:pPr>
          </w:p>
        </w:tc>
        <w:tc>
          <w:tcPr>
            <w:tcW w:w="13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(2)%</w:t>
            </w:r>
          </w:p>
        </w:tc>
      </w:tr>
      <w:tr>
        <w:trPr>
          <w:trHeight w:val="27"/>
        </w:trPr>
        <w:tc>
          <w:tcPr>
            <w:tcW w:w="70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314" w:right="239" w:bottom="1440" w:gutter="0" w:footer="0" w:header="0"/>
          <w:type w:val="continuous"/>
        </w:sectPr>
      </w:pPr>
    </w:p>
    <w:bookmarkStart w:id="30" w:name="page31"/>
    <w:bookmarkEnd w:id="30"/>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Americas</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6"/>
              </w:rPr>
              <w:t>Global</w:t>
            </w: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Simple</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Biscuits</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tcPr>
          <w:p>
            <w:pPr>
              <w:spacing w:after="0"/>
              <w:rPr>
                <w:sz w:val="12"/>
                <w:szCs w:val="12"/>
                <w:color w:val="auto"/>
              </w:rPr>
            </w:pP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Meals and</w:t>
            </w:r>
          </w:p>
        </w:tc>
        <w:tc>
          <w:tcPr>
            <w:tcW w:w="13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6"/>
              </w:rPr>
              <w:t>and</w:t>
            </w:r>
          </w:p>
        </w:tc>
        <w:tc>
          <w:tcPr>
            <w:tcW w:w="12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Campbell Fresh</w:t>
            </w:r>
          </w:p>
        </w:tc>
        <w:tc>
          <w:tcPr>
            <w:tcW w:w="120" w:type="dxa"/>
            <w:vAlign w:val="bottom"/>
            <w:vMerge w:val="restart"/>
          </w:tcPr>
          <w:p>
            <w:pPr>
              <w:spacing w:after="0"/>
              <w:rPr>
                <w:sz w:val="12"/>
                <w:szCs w:val="12"/>
                <w:color w:val="auto"/>
              </w:rPr>
            </w:pPr>
          </w:p>
        </w:tc>
        <w:tc>
          <w:tcPr>
            <w:tcW w:w="124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xml:space="preserve">Beverages </w:t>
            </w:r>
            <w:r>
              <w:rPr>
                <w:rFonts w:ascii="Arial" w:cs="Arial" w:eastAsia="Arial" w:hAnsi="Arial"/>
                <w:sz w:val="8"/>
                <w:szCs w:val="8"/>
                <w:b w:val="1"/>
                <w:bCs w:val="1"/>
                <w:color w:val="auto"/>
                <w:w w:val="89"/>
              </w:rPr>
              <w:t>(2)</w:t>
            </w:r>
          </w:p>
        </w:tc>
        <w:tc>
          <w:tcPr>
            <w:tcW w:w="1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Snacks</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(3)%</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3"/>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Price and Sales Allowances</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Increased Promotional Spending</w:t>
            </w:r>
            <w:r>
              <w:rPr>
                <w:rFonts w:ascii="Arial" w:cs="Arial" w:eastAsia="Arial" w:hAnsi="Arial"/>
                <w:sz w:val="25"/>
                <w:szCs w:val="25"/>
                <w:color w:val="auto"/>
                <w:vertAlign w:val="superscript"/>
              </w:rPr>
              <w:t>(1)</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Currency</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(5)</w:t>
            </w:r>
          </w:p>
        </w:tc>
        <w:tc>
          <w:tcPr>
            <w:tcW w:w="120" w:type="dxa"/>
            <w:vAlign w:val="bottom"/>
          </w:tcPr>
          <w:p>
            <w:pPr>
              <w:spacing w:after="0"/>
              <w:rPr>
                <w:sz w:val="21"/>
                <w:szCs w:val="21"/>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(3)%</w:t>
            </w:r>
          </w:p>
        </w:tc>
        <w:tc>
          <w:tcPr>
            <w:tcW w:w="120" w:type="dxa"/>
            <w:vAlign w:val="bottom"/>
          </w:tcPr>
          <w:p>
            <w:pPr>
              <w:spacing w:after="0"/>
              <w:rPr>
                <w:sz w:val="20"/>
                <w:szCs w:val="20"/>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(4)%</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8%</w:t>
            </w:r>
          </w:p>
        </w:tc>
        <w:tc>
          <w:tcPr>
            <w:tcW w:w="120" w:type="dxa"/>
            <w:vAlign w:val="bottom"/>
          </w:tcPr>
          <w:p>
            <w:pPr>
              <w:spacing w:after="0"/>
              <w:rPr>
                <w:sz w:val="20"/>
                <w:szCs w:val="20"/>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(2)%</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060" w:type="dxa"/>
            <w:vAlign w:val="bottom"/>
            <w:vMerge w:val="continue"/>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w:t>
      </w:r>
    </w:p>
    <w:p>
      <w:pPr>
        <w:spacing w:after="0" w:line="55"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Sum of individual amounts does not add due to rounding.</w:t>
      </w:r>
    </w:p>
    <w:p>
      <w:pPr>
        <w:spacing w:after="0" w:line="83"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 xml:space="preserve">In Americas Simple Meals and Beverages, sales decreased 3%. Sales decreased due to declines in soup and </w:t>
      </w:r>
      <w:r>
        <w:rPr>
          <w:rFonts w:ascii="Arial" w:cs="Arial" w:eastAsia="Arial" w:hAnsi="Arial"/>
          <w:sz w:val="18"/>
          <w:szCs w:val="18"/>
          <w:i w:val="1"/>
          <w:iCs w:val="1"/>
          <w:color w:val="auto"/>
        </w:rPr>
        <w:t>V8</w:t>
      </w:r>
      <w:r>
        <w:rPr>
          <w:rFonts w:ascii="Arial" w:cs="Arial" w:eastAsia="Arial" w:hAnsi="Arial"/>
          <w:sz w:val="18"/>
          <w:szCs w:val="18"/>
          <w:color w:val="auto"/>
        </w:rPr>
        <w:t xml:space="preserve"> beverages, partially offset gains in </w:t>
      </w:r>
      <w:r>
        <w:rPr>
          <w:rFonts w:ascii="Arial" w:cs="Arial" w:eastAsia="Arial" w:hAnsi="Arial"/>
          <w:sz w:val="18"/>
          <w:szCs w:val="18"/>
          <w:i w:val="1"/>
          <w:iCs w:val="1"/>
          <w:color w:val="auto"/>
        </w:rPr>
        <w:t>Prego</w:t>
      </w:r>
      <w:r>
        <w:rPr>
          <w:rFonts w:ascii="Arial" w:cs="Arial" w:eastAsia="Arial" w:hAnsi="Arial"/>
          <w:sz w:val="18"/>
          <w:szCs w:val="18"/>
          <w:color w:val="auto"/>
        </w:rPr>
        <w:t xml:space="preserve"> pasta sauces, </w:t>
      </w:r>
      <w:r>
        <w:rPr>
          <w:rFonts w:ascii="Arial" w:cs="Arial" w:eastAsia="Arial" w:hAnsi="Arial"/>
          <w:sz w:val="18"/>
          <w:szCs w:val="18"/>
          <w:i w:val="1"/>
          <w:iCs w:val="1"/>
          <w:color w:val="auto"/>
        </w:rPr>
        <w:t>Plum</w:t>
      </w:r>
      <w:r>
        <w:rPr>
          <w:rFonts w:ascii="Arial" w:cs="Arial" w:eastAsia="Arial" w:hAnsi="Arial"/>
          <w:sz w:val="18"/>
          <w:szCs w:val="18"/>
          <w:color w:val="auto"/>
        </w:rPr>
        <w:t xml:space="preserve"> products and </w:t>
      </w:r>
      <w:r>
        <w:rPr>
          <w:rFonts w:ascii="Arial" w:cs="Arial" w:eastAsia="Arial" w:hAnsi="Arial"/>
          <w:sz w:val="18"/>
          <w:szCs w:val="18"/>
          <w:i w:val="1"/>
          <w:iCs w:val="1"/>
          <w:color w:val="auto"/>
        </w:rPr>
        <w:t>Pace</w:t>
      </w:r>
      <w:r>
        <w:rPr>
          <w:rFonts w:ascii="Arial" w:cs="Arial" w:eastAsia="Arial" w:hAnsi="Arial"/>
          <w:sz w:val="18"/>
          <w:szCs w:val="18"/>
          <w:color w:val="auto"/>
        </w:rPr>
        <w:t xml:space="preserve"> Mexican sauces. U.S. soup sales decreased 4% primarily as a result of the impact of our net price realization actions and category declines, which were partly related to warmer weather. Further details of U.S. soup include:</w:t>
      </w:r>
    </w:p>
    <w:p>
      <w:pPr>
        <w:spacing w:after="0" w:line="13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condensed soups increased 1%.</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Sales of ready-to-serve soups declined 15%.</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Broth sales were comparable to the prior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sales decrease in ready-to-serve soups was also due to marketing execution issues on </w:t>
      </w:r>
      <w:r>
        <w:rPr>
          <w:rFonts w:ascii="Arial" w:cs="Arial" w:eastAsia="Arial" w:hAnsi="Arial"/>
          <w:sz w:val="18"/>
          <w:szCs w:val="18"/>
          <w:i w:val="1"/>
          <w:iCs w:val="1"/>
          <w:color w:val="auto"/>
        </w:rPr>
        <w:t>Chunky</w:t>
      </w:r>
      <w:r>
        <w:rPr>
          <w:rFonts w:ascii="Arial" w:cs="Arial" w:eastAsia="Arial" w:hAnsi="Arial"/>
          <w:sz w:val="18"/>
          <w:szCs w:val="18"/>
          <w:color w:val="auto"/>
        </w:rPr>
        <w:t xml:space="preserve"> soups.</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In Global Biscuits and Snacks, sales decreased 4% due to the impact of currency translation. Excluding the negative impact of currency translation, segment sales increased due to gains in Pepperidge Farm </w:t>
      </w:r>
      <w:r>
        <w:rPr>
          <w:rFonts w:ascii="Arial" w:cs="Arial" w:eastAsia="Arial" w:hAnsi="Arial"/>
          <w:sz w:val="17"/>
          <w:szCs w:val="17"/>
          <w:i w:val="1"/>
          <w:iCs w:val="1"/>
          <w:color w:val="auto"/>
        </w:rPr>
        <w:t>Goldfish</w:t>
      </w:r>
      <w:r>
        <w:rPr>
          <w:rFonts w:ascii="Arial" w:cs="Arial" w:eastAsia="Arial" w:hAnsi="Arial"/>
          <w:sz w:val="17"/>
          <w:szCs w:val="17"/>
          <w:color w:val="auto"/>
        </w:rPr>
        <w:t xml:space="preserve"> crackers and fresh bakery products. Excluding the negative impact of currency translation, sales of Arnott’s biscuits were comparable to the prior year with gains in Australia offset by declines in Indonesia.</w:t>
      </w:r>
    </w:p>
    <w:p>
      <w:pPr>
        <w:spacing w:after="0" w:line="111"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In Campbell Fresh, sales increased 8% due to the acquisition of Garden Fresh Gourmet, which was acquired on June 29, 2015. Excluding the acquisition, sales declined reflecting lower sales in fresh carrots and carrot ingredients, partially offset by gains in refrigerated beverages and salad dressings.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Gross profit, defined as Net sales less Cost of products sold, increased by $14 million in 2016. As a percent of sales, gross profit was 35.6% in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34.7% in 2015. The 0.9 percentage-point overall increase in gross margin percentage was due to the following factors: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Margin Impact</w:t>
            </w:r>
          </w:p>
        </w:tc>
        <w:tc>
          <w:tcPr>
            <w:tcW w:w="0" w:type="dxa"/>
            <w:vAlign w:val="bottom"/>
          </w:tcPr>
          <w:p>
            <w:pPr>
              <w:spacing w:after="0"/>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Productivity improvements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1.9%</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Higher selling prices</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0.8</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Mix</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0.2</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Lower level of promotional spending</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87"/>
              </w:rPr>
              <w:t>0.1</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(0.3)</w:t>
            </w:r>
          </w:p>
        </w:tc>
        <w:tc>
          <w:tcPr>
            <w:tcW w:w="0" w:type="dxa"/>
            <w:vAlign w:val="bottom"/>
          </w:tcPr>
          <w:p>
            <w:pPr>
              <w:spacing w:after="0"/>
              <w:rPr>
                <w:sz w:val="1"/>
                <w:szCs w:val="1"/>
                <w:color w:val="auto"/>
              </w:rPr>
            </w:pP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Impact of acquisition</w:t>
            </w:r>
          </w:p>
        </w:tc>
        <w:tc>
          <w:tcPr>
            <w:tcW w:w="1480" w:type="dxa"/>
            <w:vAlign w:val="bottom"/>
          </w:tcPr>
          <w:p>
            <w:pPr>
              <w:jc w:val="center"/>
              <w:spacing w:after="0"/>
              <w:rPr>
                <w:sz w:val="20"/>
                <w:szCs w:val="20"/>
                <w:color w:val="auto"/>
              </w:rPr>
            </w:pPr>
            <w:r>
              <w:rPr>
                <w:rFonts w:ascii="Arial" w:cs="Arial" w:eastAsia="Arial" w:hAnsi="Arial"/>
                <w:sz w:val="18"/>
                <w:szCs w:val="18"/>
                <w:b w:val="1"/>
                <w:bCs w:val="1"/>
                <w:color w:val="auto"/>
                <w:w w:val="91"/>
              </w:rPr>
              <w:t>(0.3)</w:t>
            </w:r>
          </w:p>
        </w:tc>
        <w:tc>
          <w:tcPr>
            <w:tcW w:w="0" w:type="dxa"/>
            <w:vAlign w:val="bottom"/>
          </w:tcPr>
          <w:p>
            <w:pPr>
              <w:spacing w:after="0"/>
              <w:rPr>
                <w:sz w:val="1"/>
                <w:szCs w:val="1"/>
                <w:color w:val="auto"/>
              </w:rPr>
            </w:pPr>
          </w:p>
        </w:tc>
      </w:tr>
      <w:tr>
        <w:trPr>
          <w:trHeight w:val="27"/>
        </w:trPr>
        <w:tc>
          <w:tcPr>
            <w:tcW w:w="99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(1.5)</w:t>
            </w:r>
          </w:p>
        </w:tc>
        <w:tc>
          <w:tcPr>
            <w:tcW w:w="0" w:type="dxa"/>
            <w:vAlign w:val="bottom"/>
          </w:tcPr>
          <w:p>
            <w:pPr>
              <w:spacing w:after="0"/>
              <w:rPr>
                <w:sz w:val="1"/>
                <w:szCs w:val="1"/>
                <w:color w:val="auto"/>
              </w:rPr>
            </w:pPr>
          </w:p>
        </w:tc>
      </w:tr>
      <w:tr>
        <w:trPr>
          <w:trHeight w:val="237"/>
        </w:trPr>
        <w:tc>
          <w:tcPr>
            <w:tcW w:w="994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7"/>
              </w:rPr>
              <w:t>0.9%</w:t>
            </w:r>
          </w:p>
        </w:tc>
        <w:tc>
          <w:tcPr>
            <w:tcW w:w="0" w:type="dxa"/>
            <w:vAlign w:val="bottom"/>
          </w:tcPr>
          <w:p>
            <w:pPr>
              <w:spacing w:after="0"/>
              <w:rPr>
                <w:sz w:val="1"/>
                <w:szCs w:val="1"/>
                <w:color w:val="auto"/>
              </w:rPr>
            </w:pPr>
          </w:p>
        </w:tc>
      </w:tr>
      <w:tr>
        <w:trPr>
          <w:trHeight w:val="27"/>
        </w:trPr>
        <w:tc>
          <w:tcPr>
            <w:tcW w:w="994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9940" w:type="dxa"/>
            <w:vAlign w:val="bottom"/>
            <w:vMerge w:val="continue"/>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9940" w:type="dxa"/>
            <w:vAlign w:val="bottom"/>
            <w:vMerge w:val="continue"/>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19" w:lineRule="auto"/>
        <w:tabs>
          <w:tab w:leader="none" w:pos="340" w:val="left"/>
        </w:tabs>
        <w:numPr>
          <w:ilvl w:val="0"/>
          <w:numId w:val="49"/>
        </w:numPr>
        <w:rPr>
          <w:rFonts w:ascii="Arial" w:cs="Arial" w:eastAsia="Arial" w:hAnsi="Arial"/>
          <w:sz w:val="25"/>
          <w:szCs w:val="25"/>
          <w:color w:val="auto"/>
          <w:vertAlign w:val="superscript"/>
        </w:rPr>
      </w:pPr>
      <w:r>
        <w:rPr>
          <w:rFonts w:ascii="Arial" w:cs="Arial" w:eastAsia="Arial" w:hAnsi="Arial"/>
          <w:sz w:val="18"/>
          <w:szCs w:val="18"/>
          <w:color w:val="auto"/>
        </w:rPr>
        <w:t>Includes a positive margin impact of 0.6 percentage points from cost savings initiatives.</w:t>
      </w:r>
    </w:p>
    <w:p>
      <w:pPr>
        <w:spacing w:after="0" w:line="82" w:lineRule="exact"/>
        <w:rPr>
          <w:rFonts w:ascii="Arial" w:cs="Arial" w:eastAsia="Arial" w:hAnsi="Arial"/>
          <w:sz w:val="25"/>
          <w:szCs w:val="25"/>
          <w:color w:val="auto"/>
          <w:vertAlign w:val="superscript"/>
        </w:rPr>
      </w:pPr>
    </w:p>
    <w:p>
      <w:pPr>
        <w:spacing w:after="0"/>
        <w:rPr>
          <w:rFonts w:ascii="Arial" w:cs="Arial" w:eastAsia="Arial" w:hAnsi="Arial"/>
          <w:sz w:val="25"/>
          <w:szCs w:val="25"/>
          <w:color w:val="auto"/>
          <w:vertAlign w:val="superscript"/>
        </w:rPr>
      </w:pPr>
      <w:r>
        <w:rPr>
          <w:rFonts w:ascii="Arial" w:cs="Arial" w:eastAsia="Arial" w:hAnsi="Arial"/>
          <w:sz w:val="18"/>
          <w:szCs w:val="18"/>
          <w:b w:val="1"/>
          <w:bCs w:val="1"/>
          <w:i w:val="1"/>
          <w:iCs w:val="1"/>
          <w:color w:val="auto"/>
        </w:rPr>
        <w:t>Marketing and Selling Expenses</w:t>
      </w:r>
    </w:p>
    <w:p>
      <w:pPr>
        <w:spacing w:after="0" w:line="7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Marketing and selling expenses as a percent of sales were 10.8% in 2016 compared to 10.9% in 2015. Marketing and selling expenses decreased 3% in 2016 from 2015. The decrease was primarily due to benefits from cost savings initiatives (approximately 5 percentage points) and the impact of currency translation (approximately 2 percentage points), partially offset by losses on</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314" w:right="239" w:bottom="1440" w:gutter="0" w:footer="0" w:header="0"/>
          <w:type w:val="continuous"/>
        </w:sectPr>
      </w:pPr>
    </w:p>
    <w:bookmarkStart w:id="31" w:name="page32"/>
    <w:bookmarkEnd w:id="31"/>
    <w:p>
      <w:pPr>
        <w:ind w:right="1180"/>
        <w:spacing w:after="0" w:line="391" w:lineRule="auto"/>
        <w:rPr>
          <w:sz w:val="20"/>
          <w:szCs w:val="20"/>
          <w:color w:val="auto"/>
        </w:rPr>
      </w:pPr>
      <w:r>
        <w:rPr>
          <w:rFonts w:ascii="Arial" w:cs="Arial" w:eastAsia="Arial" w:hAnsi="Arial"/>
          <w:sz w:val="18"/>
          <w:szCs w:val="18"/>
          <w:color w:val="auto"/>
        </w:rPr>
        <w:t xml:space="preserve">benefit plan mark-to-market adjustments (approximately 3 percentage points) and higher selling expenses (approximately 1 percentage point). </w:t>
      </w:r>
      <w:r>
        <w:rPr>
          <w:rFonts w:ascii="Arial" w:cs="Arial" w:eastAsia="Arial" w:hAnsi="Arial"/>
          <w:sz w:val="18"/>
          <w:szCs w:val="18"/>
          <w:b w:val="1"/>
          <w:bCs w:val="1"/>
          <w:i w:val="1"/>
          <w:iCs w:val="1"/>
          <w:color w:val="auto"/>
        </w:rPr>
        <w:t>Administrative Expenses</w:t>
      </w:r>
    </w:p>
    <w:p>
      <w:pPr>
        <w:spacing w:after="0" w:line="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Administrative expenses as a percent of sales were 7.3% in 2016 compared to 6.4% in 2015. Administrative expenses increased 12% in 2016 from 2015. The increase was primarily due to costs related to the implementation of the new organizational structure and cost savings initiatives (approximately 6 percentage points); higher incentive compensation costs (approximately 6 percentage points); losses on benefit plan mark-to-market adjustments (approximately 5 percentage points) and inflation (approximately 2 percentage points), partially offset by benefits from cost savings initiatives (approximately 6 percentage points) and the impact of currency translation (approximately 2 percentage points).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Research and development expenses increased $3 million, or 4%, in 2016 from 2015. The increase was primarily due to losses on benefit plan mark-to-market adjustments (approximately 10 percentage points); increased costs to support long-term innovation (approximately 2 percentage points) and higher incentive compensation and other benefit costs (approximately 2 percentage points), partially offset by benefits from cost savings initiatives (approximately 11 percentage points).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in 2016 included a $25 million gain from a settlement of a claim related to the Kelsen acquisition.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increased 14% in 2016 from 2015.</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jc w:val="right"/>
              <w:ind w:right="592"/>
              <w:spacing w:after="0"/>
              <w:rPr>
                <w:sz w:val="20"/>
                <w:szCs w:val="20"/>
                <w:color w:val="auto"/>
              </w:rPr>
            </w:pPr>
            <w:r>
              <w:rPr>
                <w:rFonts w:ascii="Arial" w:cs="Arial" w:eastAsia="Arial" w:hAnsi="Arial"/>
                <w:sz w:val="14"/>
                <w:szCs w:val="14"/>
                <w:b w:val="1"/>
                <w:bCs w:val="1"/>
                <w:color w:val="auto"/>
              </w:rPr>
              <w:t>Nine Months Ended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64"/>
        </w:trPr>
        <w:tc>
          <w:tcPr>
            <w:tcW w:w="77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92"/>
              </w:rPr>
              <w:t>May 1, 2016</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5"/>
              </w:rPr>
              <w:t>May 3, 2015</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765</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4"/>
              </w:rPr>
              <w:t>15%</w:t>
            </w:r>
          </w:p>
        </w:tc>
      </w:tr>
      <w:tr>
        <w:trPr>
          <w:trHeight w:val="243"/>
        </w:trPr>
        <w:tc>
          <w:tcPr>
            <w:tcW w:w="77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260" w:type="dxa"/>
            <w:vAlign w:val="bottom"/>
          </w:tcPr>
          <w:p>
            <w:pPr>
              <w:spacing w:after="0"/>
              <w:rPr>
                <w:sz w:val="21"/>
                <w:szCs w:val="21"/>
                <w:color w:val="auto"/>
              </w:rPr>
            </w:pPr>
          </w:p>
        </w:tc>
        <w:tc>
          <w:tcPr>
            <w:tcW w:w="1000" w:type="dxa"/>
            <w:vAlign w:val="bottom"/>
          </w:tcPr>
          <w:p>
            <w:pPr>
              <w:jc w:val="right"/>
              <w:ind w:right="14"/>
              <w:spacing w:after="0"/>
              <w:rPr>
                <w:sz w:val="20"/>
                <w:szCs w:val="20"/>
                <w:color w:val="auto"/>
              </w:rPr>
            </w:pPr>
            <w:r>
              <w:rPr>
                <w:rFonts w:ascii="Arial" w:cs="Arial" w:eastAsia="Arial" w:hAnsi="Arial"/>
                <w:sz w:val="18"/>
                <w:szCs w:val="18"/>
                <w:b w:val="1"/>
                <w:bCs w:val="1"/>
                <w:color w:val="auto"/>
              </w:rPr>
              <w:t>341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306</w:t>
            </w:r>
          </w:p>
        </w:tc>
        <w:tc>
          <w:tcPr>
            <w:tcW w:w="10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11</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7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w:t>
            </w:r>
          </w:p>
        </w:tc>
        <w:tc>
          <w:tcPr>
            <w:tcW w:w="10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30</w:t>
            </w:r>
          </w:p>
        </w:tc>
      </w:tr>
      <w:tr>
        <w:trPr>
          <w:trHeight w:val="237"/>
        </w:trPr>
        <w:tc>
          <w:tcPr>
            <w:tcW w:w="77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1,271</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14%</w:t>
            </w:r>
          </w:p>
        </w:tc>
      </w:tr>
      <w:tr>
        <w:trPr>
          <w:trHeight w:val="27"/>
        </w:trPr>
        <w:tc>
          <w:tcPr>
            <w:tcW w:w="7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r>
      <w:tr>
        <w:trPr>
          <w:trHeight w:val="270"/>
        </w:trPr>
        <w:tc>
          <w:tcPr>
            <w:tcW w:w="778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tcPr>
          <w:p>
            <w:pPr>
              <w:spacing w:after="0"/>
              <w:rPr>
                <w:sz w:val="23"/>
                <w:szCs w:val="23"/>
                <w:color w:val="auto"/>
              </w:rPr>
            </w:pPr>
          </w:p>
        </w:tc>
        <w:tc>
          <w:tcPr>
            <w:tcW w:w="900" w:type="dxa"/>
            <w:vAlign w:val="bottom"/>
            <w:tcBorders>
              <w:bottom w:val="single" w:sz="8" w:color="CCEEFF"/>
            </w:tcBorders>
          </w:tcPr>
          <w:p>
            <w:pPr>
              <w:spacing w:after="0"/>
              <w:rPr>
                <w:sz w:val="23"/>
                <w:szCs w:val="23"/>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1,011</w:t>
            </w: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50"/>
        </w:numPr>
        <w:rPr>
          <w:rFonts w:ascii="Arial" w:cs="Arial" w:eastAsia="Arial" w:hAnsi="Arial"/>
          <w:sz w:val="25"/>
          <w:szCs w:val="25"/>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84"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Earnings from Americas Simple Meals and Beverages increased 15%. The increase was primarily due to a higher gross margin percentage, benefiting from increased net price realization and productivity improvements, as well as lower marketing and selling expenses, partially offset by volume declines. Advertising and consumer promotion expenses were lower in 2016.</w:t>
      </w:r>
    </w:p>
    <w:p>
      <w:pPr>
        <w:spacing w:after="0" w:line="13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Earnings from Global Biscuits and Snacks increased 11%. The increase was primarily due to a higher gross margin percentage, benefiting from productivity improvements and increased net price realization, as well as volume gains, partly offset by the negative impact of currency translation.</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Earnings from Campbell Fresh increased 30% from $40 million to $52 million. The increase was primarily due to a higher gross margin percentage and the impact of the acquisition of Garden Fresh Gourmet. The improvement in gross margin percentage reflected productivity improvements and the favorable mix impact from growth in refrigerated beverages, partially offset by higher carrot costs.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2016, Corporate included $175 million of losses associated with benefit plan mark-to-market adjustments, costs of $35 million related to the implementation of our new organizational structure and cost savings initiatives and a $25 million gain from a settlement of a claim related to the Kelsen acquisition. In 2015, Corporate included $26 million of losses associated with benefit plan mark-to-market adjustments and costs of $9 million related to the implementation of our new organizational structure and cost savings initiatives.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Interest expense increased to $86 million in 2016 from $81 million in 2015, reflecting higher average interest rates on the debt portfolio.</w:t>
      </w:r>
    </w:p>
    <w:p>
      <w:pPr>
        <w:sectPr>
          <w:pgSz w:w="11900" w:h="16838" w:orient="portrait"/>
          <w:cols w:equalWidth="0" w:num="1">
            <w:col w:w="11420"/>
          </w:cols>
          <w:pgMar w:left="240" w:top="1314"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314"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The effective tax rate was 29.5% in 2016, compared to 30.4% in 2015. In 2016, we recognized a tax benefit of $65 million on $175 million of benefit plan mark-to-market losses and a $25 million tax benefit on $67 million of restructuring charges, implementation costs and other related costs. In 2016, the $25 million gain from a settlement of a claim related to the Kelsen acquisition was not subject to tax. In 2015, we recognized a tax benefit of $10 million on $26 million of benefit plan mark-to-market losses and a $7 million tax benefit on $18 million of restructuring charges and implementation costs. After adjusting for the items above, the remaining increase in the effective tax rate was primarily due to the geographic mix of earnings, and lapping the favorable resolution of an intercompany pricing agreement between the U.S. and Canada in the prior year, partially offset by lower taxes on foreign earnings.</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January 29, 2015, we announced plans to implement a new enterprise design focused mainly on product categories. Under the new design, which we fully implemented at the beginning of 2016, our businesses are organized in the following divisions: Americas Simple Meals and Beverages, Global Biscuits and Snacks, and Campbell Fresh.</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support of the new enterprise design, we designed and implemented a new Integrated Global Services (IGS) organization to deliver shared services across the company. IGS, which became effective at the beginning of 2016, is expected to reduce costs while increasing our efficiency and effectiveness. We also streamlined our organizational structure. We are pursuing other initiatives to reduce costs and increase effectiveness, such as adopting zero-based budgeting over time.</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As part of these initiatives, we commenced a voluntary employee separation program available to certain U.S.-based salaried employees nearing retirement who met age, length-of-service and business unit/function criteria. A total of 471 employees elected the program. The electing employees remained with us through at least July 31, 2015, with some remaining beyond July 31. We also implemented an initiative to reduce overhead across the organization by eliminating approximately 245 positions. In the three- and nine-month periods ended May 1, 2016, we recorded a restructuring charge of $2 million and $35 million, respectively, related to these initiatives. In 2015, we recorded a restructuring charge of $102 million related to these initiatives. Of the amounts recorded in 2015, $9 million was recorded in the nine-month period ended May 3, 2015.</w:t>
      </w:r>
    </w:p>
    <w:p>
      <w:pPr>
        <w:spacing w:after="0" w:line="12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the three- and nine-month periods ended May 1, 2016, we also incurred charges of $13 million and $35 million, respectively, recorded in Administrative expenses related to the implementation of the new organizational structure and cost savings initiatives. In 2015, we incurred charges of $22 million recorded in Administrative expenses related to these initiatives. Of the amounts recorded in 2015, $9 million was recorded in the nine-month period ended May 3, 2015.</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the three- and nine-month periods ended May 1, 2016, the aggregate after-tax impact of restructuring charges, implementation costs and other related costs recorded was $9 million, or $.03 per share, and $44 million, or $.14 per share, respectively. In the three- and nine-month periods ended May 3, 2015, the aggregate after-tax impact of restructuring charges and implementation costs was $11 million, or $.04 per share. The aggregate after-tax impact of restructuring charges and implementation and other costs recorded in 2015 was $78 million, or $.25 per share. A summary of the pre-tax costs associated with the 2015 initiatives is as follows: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99"/>
              <w:spacing w:after="0"/>
              <w:rPr>
                <w:sz w:val="20"/>
                <w:szCs w:val="20"/>
                <w:color w:val="auto"/>
              </w:rPr>
            </w:pPr>
            <w:r>
              <w:rPr>
                <w:rFonts w:ascii="Arial" w:cs="Arial" w:eastAsia="Arial" w:hAnsi="Arial"/>
                <w:sz w:val="14"/>
                <w:szCs w:val="14"/>
                <w:b w:val="1"/>
                <w:bCs w:val="1"/>
                <w:color w:val="auto"/>
                <w:w w:val="89"/>
              </w:rPr>
              <w:t>Recognized</w:t>
            </w:r>
          </w:p>
        </w:tc>
        <w:tc>
          <w:tcPr>
            <w:tcW w:w="0" w:type="dxa"/>
            <w:vAlign w:val="bottom"/>
          </w:tcPr>
          <w:p>
            <w:pPr>
              <w:spacing w:after="0"/>
              <w:rPr>
                <w:sz w:val="1"/>
                <w:szCs w:val="1"/>
                <w:color w:val="auto"/>
              </w:rPr>
            </w:pPr>
          </w:p>
        </w:tc>
      </w:tr>
      <w:tr>
        <w:trPr>
          <w:trHeight w:val="149"/>
        </w:trPr>
        <w:tc>
          <w:tcPr>
            <w:tcW w:w="9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60" w:type="dxa"/>
            <w:vAlign w:val="bottom"/>
          </w:tcPr>
          <w:p>
            <w:pPr>
              <w:spacing w:after="0"/>
              <w:rPr>
                <w:sz w:val="12"/>
                <w:szCs w:val="12"/>
                <w:color w:val="auto"/>
              </w:rPr>
            </w:pPr>
          </w:p>
        </w:tc>
        <w:tc>
          <w:tcPr>
            <w:tcW w:w="134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192"/>
        </w:trPr>
        <w:tc>
          <w:tcPr>
            <w:tcW w:w="98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97"/>
              </w:rPr>
              <w:t>May 1, 2016</w:t>
            </w:r>
          </w:p>
        </w:tc>
        <w:tc>
          <w:tcPr>
            <w:tcW w:w="0" w:type="dxa"/>
            <w:vAlign w:val="bottom"/>
          </w:tcPr>
          <w:p>
            <w:pPr>
              <w:spacing w:after="0"/>
              <w:rPr>
                <w:sz w:val="1"/>
                <w:szCs w:val="1"/>
                <w:color w:val="auto"/>
              </w:rPr>
            </w:pPr>
          </w:p>
        </w:tc>
      </w:tr>
      <w:tr>
        <w:trPr>
          <w:trHeight w:val="250"/>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43"/>
        </w:trPr>
        <w:tc>
          <w:tcPr>
            <w:tcW w:w="9800" w:type="dxa"/>
            <w:vAlign w:val="bottom"/>
          </w:tcPr>
          <w:p>
            <w:pPr>
              <w:ind w:left="40"/>
              <w:spacing w:after="0"/>
              <w:rPr>
                <w:sz w:val="20"/>
                <w:szCs w:val="20"/>
                <w:color w:val="auto"/>
              </w:rPr>
            </w:pPr>
            <w:r>
              <w:rPr>
                <w:rFonts w:ascii="Arial" w:cs="Arial" w:eastAsia="Arial" w:hAnsi="Arial"/>
                <w:sz w:val="18"/>
                <w:szCs w:val="18"/>
                <w:color w:val="auto"/>
              </w:rPr>
              <w:t>Implementation costs and other related costs</w:t>
            </w:r>
          </w:p>
        </w:tc>
        <w:tc>
          <w:tcPr>
            <w:tcW w:w="260" w:type="dxa"/>
            <w:vAlign w:val="bottom"/>
          </w:tcPr>
          <w:p>
            <w:pPr>
              <w:spacing w:after="0"/>
              <w:rPr>
                <w:sz w:val="21"/>
                <w:szCs w:val="21"/>
                <w:color w:val="auto"/>
              </w:rPr>
            </w:pPr>
          </w:p>
        </w:tc>
        <w:tc>
          <w:tcPr>
            <w:tcW w:w="1340" w:type="dxa"/>
            <w:vAlign w:val="bottom"/>
          </w:tcPr>
          <w:p>
            <w:pPr>
              <w:jc w:val="right"/>
              <w:ind w:right="39"/>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
        </w:trPr>
        <w:tc>
          <w:tcPr>
            <w:tcW w:w="98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0"/>
        </w:trPr>
        <w:tc>
          <w:tcPr>
            <w:tcW w:w="98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The total estimated pre-tax costs for the 2015 initiatives are approximately $250 million to $325 million. We expect the costs to consist of approximately $150 million to $165 million in severance pay and benefits, and approximately $100 million to $160 million in implementation costs and other related costs. We expect the total pre-tax costs related to the 2015 initiatives will be associated with segments as follows: Americas Simple Meals and Beverages - approximately 31%; Global Biscuits and Snacks - approximately 35%; Campbell Fresh - approximately 3%; and Corporate - approximately 31%.</w:t>
      </w:r>
    </w:p>
    <w:p>
      <w:pPr>
        <w:spacing w:after="0" w:line="10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expect substantially all costs to be cash expenditures, except for $7 million of postretirement and pension curtailment costs incurred in 2015. We expect to incur the costs through 2018, and fund the costs through cash and short-term borrowings.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expect the 2015 initiatives to generate pre-tax savings of approximately $205 million to $225 million in 2016, and once fully implemented, annual ongoing savings of approximately $300 million beginning in 2018. In the nine-month period ended May 1, 2016, pre-tax savings were $110 million. In 2015, annual pre-tax savings were $85 million.</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314" w:right="239" w:bottom="1440" w:gutter="0" w:footer="0" w:header="0"/>
          <w:type w:val="continuous"/>
        </w:sectPr>
      </w:pPr>
    </w:p>
    <w:bookmarkStart w:id="33" w:name="page34"/>
    <w:bookmarkEnd w:id="33"/>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5"/>
              </w:rPr>
              <w:t>May 1, 2016</w:t>
            </w:r>
          </w:p>
        </w:tc>
        <w:tc>
          <w:tcPr>
            <w:tcW w:w="6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264"/>
        </w:trPr>
        <w:tc>
          <w:tcPr>
            <w:tcW w:w="640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2"/>
                <w:szCs w:val="22"/>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Nine Months Ended</w:t>
            </w:r>
          </w:p>
        </w:tc>
        <w:tc>
          <w:tcPr>
            <w:tcW w:w="160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Costs Incurred to Date</w:t>
            </w: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 Simple Meals and Beverages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40" w:type="dxa"/>
            <w:vAlign w:val="bottom"/>
          </w:tcPr>
          <w:p>
            <w:pPr>
              <w:spacing w:after="0"/>
              <w:rPr>
                <w:sz w:val="21"/>
                <w:szCs w:val="21"/>
                <w:color w:val="auto"/>
              </w:rPr>
            </w:pPr>
          </w:p>
        </w:tc>
        <w:tc>
          <w:tcPr>
            <w:tcW w:w="1480" w:type="dxa"/>
            <w:vAlign w:val="bottom"/>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40" w:type="dxa"/>
            <w:vAlign w:val="bottom"/>
          </w:tcPr>
          <w:p>
            <w:pPr>
              <w:jc w:val="right"/>
              <w:ind w:right="1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76"/>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w:t>
            </w:r>
          </w:p>
        </w:tc>
      </w:tr>
      <w:tr>
        <w:trPr>
          <w:trHeight w:val="20"/>
        </w:trPr>
        <w:tc>
          <w:tcPr>
            <w:tcW w:w="6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2014 Initiatives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nine-month period ended May 1, 2016, we recorded a reduction to restructuring charges of $3 million ($2 million after tax, or $.01 per share) related to the fiscal 2014 initiative to improve supply chain efficiency in Australia. As of January 31, 2016, we incurred substantially all of the costs related to the 2014 initiatives.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pre-tax costs associated with the 2014 initiatives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20" w:type="dxa"/>
            <w:vAlign w:val="bottom"/>
          </w:tcPr>
          <w:p>
            <w:pPr>
              <w:spacing w:after="0"/>
              <w:rPr>
                <w:sz w:val="14"/>
                <w:szCs w:val="14"/>
                <w:color w:val="auto"/>
              </w:rPr>
            </w:pPr>
          </w:p>
        </w:tc>
        <w:tc>
          <w:tcPr>
            <w:tcW w:w="15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 Program</w:t>
            </w:r>
            <w:r>
              <w:rPr>
                <w:rFonts w:ascii="Arial" w:cs="Arial" w:eastAsia="Arial" w:hAnsi="Arial"/>
                <w:sz w:val="8"/>
                <w:szCs w:val="8"/>
                <w:b w:val="1"/>
                <w:bCs w:val="1"/>
                <w:color w:val="auto"/>
              </w:rPr>
              <w:t>(1)</w:t>
            </w:r>
          </w:p>
        </w:tc>
        <w:tc>
          <w:tcPr>
            <w:tcW w:w="160" w:type="dxa"/>
            <w:vAlign w:val="bottom"/>
          </w:tcPr>
          <w:p>
            <w:pPr>
              <w:spacing w:after="0"/>
              <w:rPr>
                <w:sz w:val="14"/>
                <w:szCs w:val="14"/>
                <w:color w:val="auto"/>
              </w:rPr>
            </w:pPr>
          </w:p>
        </w:tc>
        <w:tc>
          <w:tcPr>
            <w:tcW w:w="15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 in Estimate</w:t>
            </w:r>
          </w:p>
        </w:tc>
        <w:tc>
          <w:tcPr>
            <w:tcW w:w="160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Recognized as of May 1,</w:t>
            </w:r>
          </w:p>
        </w:tc>
        <w:tc>
          <w:tcPr>
            <w:tcW w:w="0" w:type="dxa"/>
            <w:vAlign w:val="bottom"/>
          </w:tcPr>
          <w:p>
            <w:pPr>
              <w:spacing w:after="0"/>
              <w:rPr>
                <w:sz w:val="1"/>
                <w:szCs w:val="1"/>
                <w:color w:val="auto"/>
              </w:rPr>
            </w:pPr>
          </w:p>
        </w:tc>
      </w:tr>
      <w:tr>
        <w:trPr>
          <w:trHeight w:val="192"/>
        </w:trPr>
        <w:tc>
          <w:tcPr>
            <w:tcW w:w="64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64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Severance pay and benefits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Asset impairment</w:t>
            </w:r>
          </w:p>
        </w:tc>
        <w:tc>
          <w:tcPr>
            <w:tcW w:w="220" w:type="dxa"/>
            <w:vAlign w:val="bottom"/>
          </w:tcPr>
          <w:p>
            <w:pPr>
              <w:spacing w:after="0"/>
              <w:rPr>
                <w:sz w:val="21"/>
                <w:szCs w:val="21"/>
                <w:color w:val="auto"/>
              </w:rPr>
            </w:pPr>
          </w:p>
        </w:tc>
        <w:tc>
          <w:tcPr>
            <w:tcW w:w="1400" w:type="dxa"/>
            <w:vAlign w:val="bottom"/>
          </w:tcPr>
          <w:p>
            <w:pPr>
              <w:jc w:val="right"/>
              <w:ind w:right="34"/>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exit costs</w:t>
            </w:r>
          </w:p>
        </w:tc>
        <w:tc>
          <w:tcPr>
            <w:tcW w:w="22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64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w:t>
            </w: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13"/>
        </w:trPr>
        <w:tc>
          <w:tcPr>
            <w:tcW w:w="6400" w:type="dxa"/>
            <w:vAlign w:val="bottom"/>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Recognized as of August 2, 2015.</w:t>
            </w: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340"/>
        <w:spacing w:after="0"/>
        <w:rPr>
          <w:sz w:val="20"/>
          <w:szCs w:val="20"/>
          <w:color w:val="auto"/>
        </w:rPr>
      </w:pPr>
      <w:r>
        <w:rPr>
          <w:rFonts w:ascii="Arial" w:cs="Arial" w:eastAsia="Arial" w:hAnsi="Arial"/>
          <w:sz w:val="18"/>
          <w:szCs w:val="18"/>
          <w:color w:val="auto"/>
        </w:rPr>
        <w:t>See Note 7 to the Consolidated Financial Statements for additional information.</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and cash and cash equivalents. We believe that our sources of financing will be adequate to meet our future requirements.</w:t>
      </w:r>
    </w:p>
    <w:p>
      <w:pPr>
        <w:spacing w:after="0" w:line="12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generated cash from operations of $1.183 billion in 2016, compared to $971 million in 2015. The increase in 2016 was primarily due to higher cash earnings and lower working capital requirements, primarily inventories.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Capital expenditures were $225 million in 2016, compared to $242 million in 2015. Capital expenditures are expected to total approximately $350 million in 2016. Capital expenditures in 2016 included projects to expand: beverage and salad dressing capacity at Bolthouse Farms (approximately $22 million); biscuit capacity in Indonesia (approximately $10 million); warehouse capacity in North America (approximately $10 million); cracker capacity at Pepperidge Farm (approximately $7 million); and capacity in Malaysia (approximately $5 million); as well as the continued enhancement of our corporate headquarters (approximately $12 million) and the ongoing initiative to simplify the soup-making process in North America (also known as the soup common platform initiative) (approximately $3 million).</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Dividend payments were $294 million in 2016 and $297 million in 2015. We repurchased approximately 2 million shares at a cost of $118 million in 2016, and approximately 4 million shares at a cost of $192 million in 2015. See Note 13 to the Consolidated Financial Statements and “Unregistered Sales of Equity Securities and Use of Proceeds” for more information.</w:t>
      </w:r>
    </w:p>
    <w:p>
      <w:pPr>
        <w:spacing w:after="0" w:line="12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At May 1, 2016, we had $1.134 billion of short-term borrowings due within one year, of which $1.122 billion was comprised of commercial paper borrowings. As of May 1, 2016, we issued $47 million of standby letters of credit. We have a committed revolving credit facility totaling $2.2 billion that matures in December 2018. This facility remained unused at May 1, 2016, except for $3 million of standby letters of credit that we issued under it. This revolving credit facility supports our commercial paper programs and other general corporate purposes. We may also increase the commitment under the credit facility up to an additional $500 million, upon the agreement of either existing lenders or of additional banks not currently parties to the existing credit agreements.</w:t>
      </w:r>
    </w:p>
    <w:p>
      <w:pPr>
        <w:spacing w:after="0" w:line="13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September 2014, we filed a shelf registration statement with the Securities and Exchange Commission that registered an indeterminate amount of debt securities. Under the registration statement, we may issue debt securities from time to time, depending on market conditions.</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314" w:right="239" w:bottom="1440" w:gutter="0" w:footer="0" w:header="0"/>
          <w:type w:val="continuous"/>
        </w:sectPr>
      </w:pPr>
    </w:p>
    <w:bookmarkStart w:id="34" w:name="page35"/>
    <w:bookmarkEnd w:id="34"/>
    <w:p>
      <w:pPr>
        <w:ind w:left="340"/>
        <w:spacing w:after="0"/>
        <w:rPr>
          <w:sz w:val="20"/>
          <w:szCs w:val="20"/>
          <w:color w:val="auto"/>
        </w:rPr>
      </w:pPr>
      <w:r>
        <w:rPr>
          <w:rFonts w:ascii="Arial" w:cs="Arial" w:eastAsia="Arial" w:hAnsi="Arial"/>
          <w:sz w:val="18"/>
          <w:szCs w:val="18"/>
          <w:color w:val="auto"/>
        </w:rPr>
        <w:t>We are in compliance with the covenants contained in our revolving credit facilities and debt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2015 Annual Report on Form 10-K. The accounting policies we used in preparing these financial statements are substantially consistent with those we applied in our Annual Report on Form 10-K for the year ended August 2, 2015, with the exception of the changes in accounting policy related to our method of accounting for the recognition of actuarial gains and losses for defined benefit pension and postretirement plans and the calculation of expected return on pension plan assets as described in Note 1 to the Consolidated Financial Statements. Our significant accounting estimates are described in Management’s Discussion and Analysis included in the 2015 Annual Report on Form 10-K.</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This quarterly report contains “forward-looking” statements that reflect our current expectations regarding our future results of operations, economic performance, financial condition and achievements. We try, wherever possible, to identify these forward-looking statements by using words such as “anticipate,” “believe,” “estimate,” “expect,” “will” and similar expressions. One can also identify them by the fact that they do not relate strictly to historical or current facts. These statements reflect our current plans and expectations and are based on information currently available to us. They rely on a number of assumptions regarding future events and estimates which could be inaccurate and which are inherently subject to risks and uncertainties.</w:t>
      </w:r>
    </w:p>
    <w:p>
      <w:pPr>
        <w:spacing w:after="0" w:line="13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2015 Annual Report on Form 10-K, could affect our actual results and could cause such results to vary materially from those expressed in any forward-looking statements made by, or on behalf of, us:</w:t>
      </w:r>
    </w:p>
    <w:p>
      <w:pPr>
        <w:spacing w:after="0" w:line="46" w:lineRule="exact"/>
        <w:rPr>
          <w:sz w:val="20"/>
          <w:szCs w:val="20"/>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strong competitive response to our efforts to leverage our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changes in consumer demand for our products;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risks in the marketplace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achieve sales and earnings guidance, which is based on assumptions about sales volume, product mix, the development and success of new products, the impact of marketing, promotional and pricing actions, product costs and currency;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our efficiency and/or restructuring initiatives;</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our ability to successfully manage changes to our organizational structure and/or business processes, including our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practices and increased significance of certain of our key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new or changing inventory management practices by our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fluctuations in the supply of and inflation in energy, raw and packaging materials cost;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completing and integrating acquisitions, divestitures and other business portfolio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changes in currency exchange rates, tax rates, interest rates, debt and equity markets, inflation rates, economic conditions, law, regulation and other external factors;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impact of unforeseen business disruptions in one or more of our markets due to political instability, civil disobedience, terrorism, armed hostilities,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14"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Disclosures About Market Risk, in the 2015 Annual Report on Form 10-K. There have been no significant changes in our portfolio of financial instruments or market risk exposures from the 2015 year-end.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President and Chief Executive Officer and the Senior Vice President and Chief Financial Officer, have evaluated the effectiveness of our disclosure controls and procedures (as such term is defined in Rules 13a-15(e) and 15d-15(e) under the Securities Exchange Act of 1934, as amended) as of May 1, 2016 (Evaluation Date). Based on such evaluation, the President and Chief Executive Officer and the Senior Vice President and Chief Financial Officer have concluded that, as of the Evaluation Date, our disclosure controls and procedures are effective.</w:t>
      </w:r>
    </w:p>
    <w:p>
      <w:pPr>
        <w:spacing w:after="0" w:line="134"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materially affected, or were likely to materially affect, such control over financial reporting during the quarter ended May 1,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1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5"/>
              </w:rPr>
              <w:t>Approximate</w:t>
            </w: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Total Number of</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Issuer Purchases of Equity Securities</w:t>
            </w: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 Number</w:t>
            </w:r>
          </w:p>
        </w:tc>
        <w:tc>
          <w:tcPr>
            <w:tcW w:w="340" w:type="dxa"/>
            <w:vAlign w:val="bottom"/>
          </w:tcPr>
          <w:p>
            <w:pPr>
              <w:spacing w:after="0"/>
              <w:rPr>
                <w:sz w:val="13"/>
                <w:szCs w:val="13"/>
                <w:color w:val="auto"/>
              </w:rPr>
            </w:pPr>
          </w:p>
        </w:tc>
        <w:tc>
          <w:tcPr>
            <w:tcW w:w="14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0"/>
              </w:rPr>
              <w:t>Average</w:t>
            </w:r>
          </w:p>
        </w:tc>
        <w:tc>
          <w:tcPr>
            <w:tcW w:w="2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0"/>
              </w:rPr>
              <w:t>Shares Purchased</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be Purchased</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14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2040" w:type="dxa"/>
            <w:vAlign w:val="bottom"/>
            <w:gridSpan w:val="2"/>
          </w:tcPr>
          <w:p>
            <w:pPr>
              <w:jc w:val="center"/>
              <w:ind w:right="340"/>
              <w:spacing w:after="0" w:line="139" w:lineRule="exact"/>
              <w:rPr>
                <w:sz w:val="20"/>
                <w:szCs w:val="20"/>
                <w:color w:val="auto"/>
              </w:rPr>
            </w:pPr>
            <w:r>
              <w:rPr>
                <w:rFonts w:ascii="Arial" w:cs="Arial" w:eastAsia="Arial" w:hAnsi="Arial"/>
                <w:sz w:val="14"/>
                <w:szCs w:val="14"/>
                <w:b w:val="1"/>
                <w:bCs w:val="1"/>
                <w:color w:val="auto"/>
                <w:w w:val="93"/>
              </w:rPr>
              <w:t>as Part of Publicly</w:t>
            </w:r>
          </w:p>
        </w:tc>
        <w:tc>
          <w:tcPr>
            <w:tcW w:w="17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4"/>
              </w:rPr>
              <w:t>Under the Plans or</w:t>
            </w:r>
          </w:p>
        </w:tc>
        <w:tc>
          <w:tcPr>
            <w:tcW w:w="0" w:type="dxa"/>
            <w:vAlign w:val="bottom"/>
          </w:tcPr>
          <w:p>
            <w:pPr>
              <w:spacing w:after="0"/>
              <w:rPr>
                <w:sz w:val="1"/>
                <w:szCs w:val="1"/>
                <w:color w:val="auto"/>
              </w:rPr>
            </w:pPr>
          </w:p>
        </w:tc>
      </w:tr>
      <w:tr>
        <w:trPr>
          <w:trHeight w:val="149"/>
        </w:trPr>
        <w:tc>
          <w:tcPr>
            <w:tcW w:w="45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of Shares</w:t>
            </w:r>
          </w:p>
        </w:tc>
        <w:tc>
          <w:tcPr>
            <w:tcW w:w="340" w:type="dxa"/>
            <w:vAlign w:val="bottom"/>
          </w:tcPr>
          <w:p>
            <w:pPr>
              <w:spacing w:after="0"/>
              <w:rPr>
                <w:sz w:val="12"/>
                <w:szCs w:val="12"/>
                <w:color w:val="auto"/>
              </w:rPr>
            </w:pPr>
          </w:p>
        </w:tc>
        <w:tc>
          <w:tcPr>
            <w:tcW w:w="14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Price Paid</w:t>
            </w:r>
          </w:p>
        </w:tc>
        <w:tc>
          <w:tcPr>
            <w:tcW w:w="2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Programs</w:t>
            </w:r>
          </w:p>
        </w:tc>
        <w:tc>
          <w:tcPr>
            <w:tcW w:w="0" w:type="dxa"/>
            <w:vAlign w:val="bottom"/>
          </w:tcPr>
          <w:p>
            <w:pPr>
              <w:spacing w:after="0"/>
              <w:rPr>
                <w:sz w:val="1"/>
                <w:szCs w:val="1"/>
                <w:color w:val="auto"/>
              </w:rPr>
            </w:pPr>
          </w:p>
        </w:tc>
      </w:tr>
      <w:tr>
        <w:trPr>
          <w:trHeight w:val="158"/>
        </w:trPr>
        <w:tc>
          <w:tcPr>
            <w:tcW w:w="4580" w:type="dxa"/>
            <w:vAlign w:val="bottom"/>
            <w:gridSpan w:val="3"/>
            <w:vMerge w:val="continue"/>
          </w:tcPr>
          <w:p>
            <w:pPr>
              <w:spacing w:after="0"/>
              <w:rPr>
                <w:sz w:val="13"/>
                <w:szCs w:val="13"/>
                <w:color w:val="auto"/>
              </w:rPr>
            </w:pPr>
          </w:p>
        </w:tc>
        <w:tc>
          <w:tcPr>
            <w:tcW w:w="12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 xml:space="preserve">Purchased </w:t>
            </w:r>
            <w:r>
              <w:rPr>
                <w:rFonts w:ascii="Arial" w:cs="Arial" w:eastAsia="Arial" w:hAnsi="Arial"/>
                <w:sz w:val="8"/>
                <w:szCs w:val="8"/>
                <w:b w:val="1"/>
                <w:bCs w:val="1"/>
                <w:color w:val="auto"/>
                <w:w w:val="93"/>
              </w:rPr>
              <w:t>(1)</w:t>
            </w:r>
          </w:p>
        </w:tc>
        <w:tc>
          <w:tcPr>
            <w:tcW w:w="340" w:type="dxa"/>
            <w:vAlign w:val="bottom"/>
          </w:tcPr>
          <w:p>
            <w:pPr>
              <w:spacing w:after="0"/>
              <w:rPr>
                <w:sz w:val="13"/>
                <w:szCs w:val="13"/>
                <w:color w:val="auto"/>
              </w:rPr>
            </w:pPr>
          </w:p>
        </w:tc>
        <w:tc>
          <w:tcPr>
            <w:tcW w:w="1480" w:type="dxa"/>
            <w:vAlign w:val="bottom"/>
            <w:gridSpan w:val="2"/>
          </w:tcPr>
          <w:p>
            <w:pPr>
              <w:jc w:val="center"/>
              <w:ind w:right="380"/>
              <w:spacing w:after="0" w:line="158" w:lineRule="exact"/>
              <w:rPr>
                <w:sz w:val="20"/>
                <w:szCs w:val="20"/>
                <w:color w:val="auto"/>
              </w:rPr>
            </w:pPr>
            <w:r>
              <w:rPr>
                <w:rFonts w:ascii="Arial" w:cs="Arial" w:eastAsia="Arial" w:hAnsi="Arial"/>
                <w:sz w:val="14"/>
                <w:szCs w:val="14"/>
                <w:b w:val="1"/>
                <w:bCs w:val="1"/>
                <w:color w:val="auto"/>
                <w:w w:val="93"/>
              </w:rPr>
              <w:t xml:space="preserve">Per Share </w:t>
            </w:r>
            <w:r>
              <w:rPr>
                <w:rFonts w:ascii="Arial" w:cs="Arial" w:eastAsia="Arial" w:hAnsi="Arial"/>
                <w:sz w:val="8"/>
                <w:szCs w:val="8"/>
                <w:b w:val="1"/>
                <w:bCs w:val="1"/>
                <w:color w:val="auto"/>
                <w:w w:val="93"/>
              </w:rPr>
              <w:t>(2)</w:t>
            </w:r>
          </w:p>
        </w:tc>
        <w:tc>
          <w:tcPr>
            <w:tcW w:w="204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93"/>
              </w:rPr>
              <w:t xml:space="preserve">Programs </w:t>
            </w:r>
            <w:r>
              <w:rPr>
                <w:rFonts w:ascii="Arial" w:cs="Arial" w:eastAsia="Arial" w:hAnsi="Arial"/>
                <w:sz w:val="8"/>
                <w:szCs w:val="8"/>
                <w:b w:val="1"/>
                <w:bCs w:val="1"/>
                <w:color w:val="auto"/>
                <w:w w:val="93"/>
              </w:rPr>
              <w:t>(3)</w:t>
            </w:r>
          </w:p>
        </w:tc>
        <w:tc>
          <w:tcPr>
            <w:tcW w:w="17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8"/>
              </w:rPr>
              <w:t xml:space="preserve">($ in Millions) </w:t>
            </w:r>
            <w:r>
              <w:rPr>
                <w:rFonts w:ascii="Arial" w:cs="Arial" w:eastAsia="Arial" w:hAnsi="Arial"/>
                <w:sz w:val="8"/>
                <w:szCs w:val="8"/>
                <w:b w:val="1"/>
                <w:bCs w:val="1"/>
                <w:color w:val="auto"/>
                <w:w w:val="98"/>
              </w:rPr>
              <w:t>(3)</w:t>
            </w:r>
          </w:p>
        </w:tc>
        <w:tc>
          <w:tcPr>
            <w:tcW w:w="0" w:type="dxa"/>
            <w:vAlign w:val="bottom"/>
          </w:tcPr>
          <w:p>
            <w:pPr>
              <w:spacing w:after="0"/>
              <w:rPr>
                <w:sz w:val="1"/>
                <w:szCs w:val="1"/>
                <w:color w:val="auto"/>
              </w:rPr>
            </w:pPr>
          </w:p>
        </w:tc>
      </w:tr>
      <w:tr>
        <w:trPr>
          <w:trHeight w:val="21"/>
        </w:trPr>
        <w:tc>
          <w:tcPr>
            <w:tcW w:w="40" w:type="dxa"/>
            <w:vAlign w:val="bottom"/>
            <w:tcBorders>
              <w:bottom w:val="single" w:sz="8" w:color="BFE4FF"/>
            </w:tcBorders>
          </w:tcPr>
          <w:p>
            <w:pPr>
              <w:spacing w:after="0" w:line="20" w:lineRule="exact"/>
              <w:rPr>
                <w:sz w:val="1"/>
                <w:szCs w:val="1"/>
                <w:color w:val="auto"/>
              </w:rPr>
            </w:pPr>
          </w:p>
        </w:tc>
        <w:tc>
          <w:tcPr>
            <w:tcW w:w="400" w:type="dxa"/>
            <w:vAlign w:val="bottom"/>
            <w:tcBorders>
              <w:top w:val="single" w:sz="8" w:color="auto"/>
              <w:bottom w:val="single" w:sz="8" w:color="BFE4FF"/>
            </w:tcBorders>
          </w:tcPr>
          <w:p>
            <w:pPr>
              <w:spacing w:after="0" w:line="20" w:lineRule="exact"/>
              <w:rPr>
                <w:sz w:val="1"/>
                <w:szCs w:val="1"/>
                <w:color w:val="auto"/>
              </w:rPr>
            </w:pPr>
          </w:p>
        </w:tc>
        <w:tc>
          <w:tcPr>
            <w:tcW w:w="4140" w:type="dxa"/>
            <w:vAlign w:val="bottom"/>
            <w:tcBorders>
              <w:bottom w:val="single" w:sz="8" w:color="BFE4FF"/>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BFE4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BFE4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BFE4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580" w:type="dxa"/>
            <w:vAlign w:val="bottom"/>
            <w:tcBorders>
              <w:bottom w:val="single" w:sz="8" w:color="BFE4FF"/>
            </w:tcBorders>
            <w:gridSpan w:val="3"/>
            <w:shd w:val="clear" w:color="auto" w:fill="BFE4FF"/>
          </w:tcPr>
          <w:p>
            <w:pPr>
              <w:ind w:left="40"/>
              <w:spacing w:after="0"/>
              <w:rPr>
                <w:sz w:val="20"/>
                <w:szCs w:val="20"/>
                <w:color w:val="auto"/>
              </w:rPr>
            </w:pPr>
            <w:r>
              <w:rPr>
                <w:rFonts w:ascii="Arial" w:cs="Arial" w:eastAsia="Arial" w:hAnsi="Arial"/>
                <w:sz w:val="18"/>
                <w:szCs w:val="18"/>
                <w:b w:val="1"/>
                <w:bCs w:val="1"/>
                <w:color w:val="auto"/>
              </w:rPr>
              <w:t>2/1/16 - 2/29/16</w:t>
            </w:r>
          </w:p>
        </w:tc>
        <w:tc>
          <w:tcPr>
            <w:tcW w:w="128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BFE4FF"/>
            </w:tcBorders>
            <w:shd w:val="clear" w:color="auto" w:fill="BFE4FF"/>
          </w:tcPr>
          <w:p>
            <w:pPr>
              <w:spacing w:after="0"/>
              <w:rPr>
                <w:sz w:val="21"/>
                <w:szCs w:val="21"/>
                <w:color w:val="auto"/>
              </w:rPr>
            </w:pPr>
          </w:p>
        </w:tc>
        <w:tc>
          <w:tcPr>
            <w:tcW w:w="1480" w:type="dxa"/>
            <w:vAlign w:val="bottom"/>
            <w:tcBorders>
              <w:bottom w:val="single" w:sz="8" w:color="BFE4FF"/>
            </w:tcBorders>
            <w:gridSpan w:val="2"/>
            <w:shd w:val="clear" w:color="auto" w:fill="BFE4FF"/>
          </w:tcPr>
          <w:p>
            <w:pPr>
              <w:ind w:left="860"/>
              <w:spacing w:after="0"/>
              <w:rPr>
                <w:sz w:val="20"/>
                <w:szCs w:val="20"/>
                <w:color w:val="auto"/>
              </w:rPr>
            </w:pPr>
            <w:r>
              <w:rPr>
                <w:rFonts w:ascii="Arial" w:cs="Arial" w:eastAsia="Arial" w:hAnsi="Arial"/>
                <w:sz w:val="18"/>
                <w:szCs w:val="18"/>
                <w:color w:val="auto"/>
              </w:rPr>
              <w:t>—</w:t>
            </w:r>
          </w:p>
        </w:tc>
        <w:tc>
          <w:tcPr>
            <w:tcW w:w="2040" w:type="dxa"/>
            <w:vAlign w:val="bottom"/>
            <w:tcBorders>
              <w:bottom w:val="single" w:sz="8" w:color="BFE4FF"/>
            </w:tcBorders>
            <w:gridSpan w:val="2"/>
            <w:shd w:val="clear" w:color="auto" w:fill="BFE4FF"/>
          </w:tcPr>
          <w:p>
            <w:pPr>
              <w:jc w:val="right"/>
              <w:ind w:right="44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9"/>
              </w:rPr>
              <w:t>$500</w:t>
            </w:r>
          </w:p>
        </w:tc>
        <w:tc>
          <w:tcPr>
            <w:tcW w:w="0" w:type="dxa"/>
            <w:vAlign w:val="bottom"/>
          </w:tcPr>
          <w:p>
            <w:pPr>
              <w:spacing w:after="0"/>
              <w:rPr>
                <w:sz w:val="1"/>
                <w:szCs w:val="1"/>
                <w:color w:val="auto"/>
              </w:rPr>
            </w:pPr>
          </w:p>
        </w:tc>
      </w:tr>
      <w:tr>
        <w:trPr>
          <w:trHeight w:val="270"/>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3/1/16 - 3/30/16</w:t>
            </w:r>
          </w:p>
        </w:tc>
        <w:tc>
          <w:tcPr>
            <w:tcW w:w="1280" w:type="dxa"/>
            <w:vAlign w:val="bottom"/>
          </w:tcPr>
          <w:p>
            <w:pPr>
              <w:jc w:val="right"/>
              <w:ind w:right="38"/>
              <w:spacing w:after="0"/>
              <w:rPr>
                <w:sz w:val="20"/>
                <w:szCs w:val="20"/>
                <w:color w:val="auto"/>
              </w:rPr>
            </w:pPr>
            <w:r>
              <w:rPr>
                <w:rFonts w:ascii="Arial" w:cs="Arial" w:eastAsia="Arial" w:hAnsi="Arial"/>
                <w:sz w:val="18"/>
                <w:szCs w:val="18"/>
                <w:color w:val="auto"/>
              </w:rPr>
              <w:t>379,491</w:t>
            </w:r>
          </w:p>
        </w:tc>
        <w:tc>
          <w:tcPr>
            <w:tcW w:w="340" w:type="dxa"/>
            <w:vAlign w:val="bottom"/>
          </w:tcPr>
          <w:p>
            <w:pPr>
              <w:jc w:val="right"/>
              <w:ind w:right="117"/>
              <w:spacing w:after="0"/>
              <w:rPr>
                <w:sz w:val="20"/>
                <w:szCs w:val="20"/>
                <w:color w:val="auto"/>
              </w:rPr>
            </w:pPr>
            <w:r>
              <w:rPr>
                <w:rFonts w:ascii="Arial" w:cs="Arial" w:eastAsia="Arial" w:hAnsi="Arial"/>
                <w:sz w:val="13"/>
                <w:szCs w:val="13"/>
                <w:color w:val="auto"/>
                <w:w w:val="87"/>
              </w:rPr>
              <w:t>(4)</w:t>
            </w:r>
          </w:p>
        </w:tc>
        <w:tc>
          <w:tcPr>
            <w:tcW w:w="1480" w:type="dxa"/>
            <w:vAlign w:val="bottom"/>
            <w:gridSpan w:val="2"/>
          </w:tcPr>
          <w:p>
            <w:pPr>
              <w:ind w:left="620"/>
              <w:spacing w:after="0" w:line="270" w:lineRule="exact"/>
              <w:rPr>
                <w:sz w:val="20"/>
                <w:szCs w:val="20"/>
                <w:color w:val="auto"/>
              </w:rPr>
            </w:pPr>
            <w:r>
              <w:rPr>
                <w:rFonts w:ascii="Arial" w:cs="Arial" w:eastAsia="Arial" w:hAnsi="Arial"/>
                <w:sz w:val="18"/>
                <w:szCs w:val="18"/>
                <w:color w:val="auto"/>
              </w:rPr>
              <w:t xml:space="preserve">$63.22 </w:t>
            </w:r>
            <w:r>
              <w:rPr>
                <w:rFonts w:ascii="Arial" w:cs="Arial" w:eastAsia="Arial" w:hAnsi="Arial"/>
                <w:sz w:val="25"/>
                <w:szCs w:val="25"/>
                <w:color w:val="auto"/>
                <w:vertAlign w:val="superscript"/>
              </w:rPr>
              <w:t>(4)</w:t>
            </w:r>
          </w:p>
        </w:tc>
        <w:tc>
          <w:tcPr>
            <w:tcW w:w="1700" w:type="dxa"/>
            <w:vAlign w:val="bottom"/>
          </w:tcPr>
          <w:p>
            <w:pPr>
              <w:jc w:val="right"/>
              <w:ind w:right="20"/>
              <w:spacing w:after="0"/>
              <w:rPr>
                <w:sz w:val="20"/>
                <w:szCs w:val="20"/>
                <w:color w:val="auto"/>
              </w:rPr>
            </w:pPr>
            <w:r>
              <w:rPr>
                <w:rFonts w:ascii="Arial" w:cs="Arial" w:eastAsia="Arial" w:hAnsi="Arial"/>
                <w:sz w:val="18"/>
                <w:szCs w:val="18"/>
                <w:color w:val="auto"/>
              </w:rPr>
              <w:t>268,991</w:t>
            </w:r>
          </w:p>
        </w:tc>
        <w:tc>
          <w:tcPr>
            <w:tcW w:w="340" w:type="dxa"/>
            <w:vAlign w:val="bottom"/>
          </w:tcPr>
          <w:p>
            <w:pPr>
              <w:spacing w:after="0"/>
              <w:rPr>
                <w:sz w:val="23"/>
                <w:szCs w:val="23"/>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$483</w:t>
            </w:r>
          </w:p>
        </w:tc>
        <w:tc>
          <w:tcPr>
            <w:tcW w:w="0" w:type="dxa"/>
            <w:vAlign w:val="bottom"/>
          </w:tcPr>
          <w:p>
            <w:pPr>
              <w:spacing w:after="0"/>
              <w:rPr>
                <w:sz w:val="1"/>
                <w:szCs w:val="1"/>
                <w:color w:val="auto"/>
              </w:rPr>
            </w:pPr>
          </w:p>
        </w:tc>
      </w:tr>
      <w:tr>
        <w:trPr>
          <w:trHeight w:val="270"/>
        </w:trPr>
        <w:tc>
          <w:tcPr>
            <w:tcW w:w="4580" w:type="dxa"/>
            <w:vAlign w:val="bottom"/>
            <w:gridSpan w:val="3"/>
            <w:shd w:val="clear" w:color="auto" w:fill="BFE4FF"/>
          </w:tcPr>
          <w:p>
            <w:pPr>
              <w:ind w:left="40"/>
              <w:spacing w:after="0"/>
              <w:rPr>
                <w:sz w:val="20"/>
                <w:szCs w:val="20"/>
                <w:color w:val="auto"/>
              </w:rPr>
            </w:pPr>
            <w:r>
              <w:rPr>
                <w:rFonts w:ascii="Arial" w:cs="Arial" w:eastAsia="Arial" w:hAnsi="Arial"/>
                <w:sz w:val="18"/>
                <w:szCs w:val="18"/>
                <w:b w:val="1"/>
                <w:bCs w:val="1"/>
                <w:color w:val="auto"/>
              </w:rPr>
              <w:t>4/1/16 - 5/1/16</w:t>
            </w:r>
          </w:p>
        </w:tc>
        <w:tc>
          <w:tcPr>
            <w:tcW w:w="1280" w:type="dxa"/>
            <w:vAlign w:val="bottom"/>
            <w:shd w:val="clear" w:color="auto" w:fill="BFE4FF"/>
          </w:tcPr>
          <w:p>
            <w:pPr>
              <w:jc w:val="right"/>
              <w:ind w:right="38"/>
              <w:spacing w:after="0"/>
              <w:rPr>
                <w:sz w:val="20"/>
                <w:szCs w:val="20"/>
                <w:color w:val="auto"/>
              </w:rPr>
            </w:pPr>
            <w:r>
              <w:rPr>
                <w:rFonts w:ascii="Arial" w:cs="Arial" w:eastAsia="Arial" w:hAnsi="Arial"/>
                <w:sz w:val="18"/>
                <w:szCs w:val="18"/>
                <w:color w:val="auto"/>
              </w:rPr>
              <w:t>130,065</w:t>
            </w:r>
          </w:p>
        </w:tc>
        <w:tc>
          <w:tcPr>
            <w:tcW w:w="340" w:type="dxa"/>
            <w:vAlign w:val="bottom"/>
            <w:shd w:val="clear" w:color="auto" w:fill="BFE4FF"/>
          </w:tcPr>
          <w:p>
            <w:pPr>
              <w:jc w:val="right"/>
              <w:ind w:right="117"/>
              <w:spacing w:after="0"/>
              <w:rPr>
                <w:sz w:val="20"/>
                <w:szCs w:val="20"/>
                <w:color w:val="auto"/>
              </w:rPr>
            </w:pPr>
            <w:r>
              <w:rPr>
                <w:rFonts w:ascii="Arial" w:cs="Arial" w:eastAsia="Arial" w:hAnsi="Arial"/>
                <w:sz w:val="13"/>
                <w:szCs w:val="13"/>
                <w:color w:val="auto"/>
                <w:w w:val="87"/>
              </w:rPr>
              <w:t>(5)</w:t>
            </w:r>
          </w:p>
        </w:tc>
        <w:tc>
          <w:tcPr>
            <w:tcW w:w="1480" w:type="dxa"/>
            <w:vAlign w:val="bottom"/>
            <w:gridSpan w:val="2"/>
            <w:shd w:val="clear" w:color="auto" w:fill="BFE4FF"/>
          </w:tcPr>
          <w:p>
            <w:pPr>
              <w:ind w:left="620"/>
              <w:spacing w:after="0" w:line="270" w:lineRule="exact"/>
              <w:rPr>
                <w:sz w:val="20"/>
                <w:szCs w:val="20"/>
                <w:color w:val="auto"/>
              </w:rPr>
            </w:pPr>
            <w:r>
              <w:rPr>
                <w:rFonts w:ascii="Arial" w:cs="Arial" w:eastAsia="Arial" w:hAnsi="Arial"/>
                <w:sz w:val="18"/>
                <w:szCs w:val="18"/>
                <w:color w:val="auto"/>
              </w:rPr>
              <w:t xml:space="preserve">$64.74 </w:t>
            </w:r>
            <w:r>
              <w:rPr>
                <w:rFonts w:ascii="Arial" w:cs="Arial" w:eastAsia="Arial" w:hAnsi="Arial"/>
                <w:sz w:val="25"/>
                <w:szCs w:val="25"/>
                <w:color w:val="auto"/>
                <w:vertAlign w:val="superscript"/>
              </w:rPr>
              <w:t>(5)</w:t>
            </w:r>
          </w:p>
        </w:tc>
        <w:tc>
          <w:tcPr>
            <w:tcW w:w="1700" w:type="dxa"/>
            <w:vAlign w:val="bottom"/>
            <w:shd w:val="clear" w:color="auto" w:fill="BFE4FF"/>
          </w:tcPr>
          <w:p>
            <w:pPr>
              <w:jc w:val="right"/>
              <w:ind w:right="20"/>
              <w:spacing w:after="0"/>
              <w:rPr>
                <w:sz w:val="20"/>
                <w:szCs w:val="20"/>
                <w:color w:val="auto"/>
              </w:rPr>
            </w:pPr>
            <w:r>
              <w:rPr>
                <w:rFonts w:ascii="Arial" w:cs="Arial" w:eastAsia="Arial" w:hAnsi="Arial"/>
                <w:sz w:val="18"/>
                <w:szCs w:val="18"/>
                <w:color w:val="auto"/>
              </w:rPr>
              <w:t>123,565</w:t>
            </w:r>
          </w:p>
        </w:tc>
        <w:tc>
          <w:tcPr>
            <w:tcW w:w="340" w:type="dxa"/>
            <w:vAlign w:val="bottom"/>
            <w:shd w:val="clear" w:color="auto" w:fill="BFE4FF"/>
          </w:tcPr>
          <w:p>
            <w:pPr>
              <w:spacing w:after="0"/>
              <w:rPr>
                <w:sz w:val="23"/>
                <w:szCs w:val="23"/>
                <w:color w:val="auto"/>
              </w:rPr>
            </w:pPr>
          </w:p>
        </w:tc>
        <w:tc>
          <w:tcPr>
            <w:tcW w:w="170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9"/>
              </w:rPr>
              <w:t>$475</w:t>
            </w:r>
          </w:p>
        </w:tc>
        <w:tc>
          <w:tcPr>
            <w:tcW w:w="0" w:type="dxa"/>
            <w:vAlign w:val="bottom"/>
          </w:tcPr>
          <w:p>
            <w:pPr>
              <w:spacing w:after="0"/>
              <w:rPr>
                <w:sz w:val="1"/>
                <w:szCs w:val="1"/>
                <w:color w:val="auto"/>
              </w:rPr>
            </w:pPr>
          </w:p>
        </w:tc>
      </w:tr>
      <w:tr>
        <w:trPr>
          <w:trHeight w:val="237"/>
        </w:trPr>
        <w:tc>
          <w:tcPr>
            <w:tcW w:w="4580" w:type="dxa"/>
            <w:vAlign w:val="bottom"/>
            <w:gridSpan w:val="3"/>
          </w:tcPr>
          <w:p>
            <w:pPr>
              <w:ind w:left="40"/>
              <w:spacing w:after="0"/>
              <w:rPr>
                <w:sz w:val="20"/>
                <w:szCs w:val="20"/>
                <w:color w:val="auto"/>
              </w:rPr>
            </w:pPr>
            <w:r>
              <w:rPr>
                <w:rFonts w:ascii="Arial" w:cs="Arial" w:eastAsia="Arial" w:hAnsi="Arial"/>
                <w:sz w:val="18"/>
                <w:szCs w:val="18"/>
                <w:b w:val="1"/>
                <w:bCs w:val="1"/>
                <w:color w:val="auto"/>
              </w:rPr>
              <w:t>Total</w:t>
            </w:r>
          </w:p>
        </w:tc>
        <w:tc>
          <w:tcPr>
            <w:tcW w:w="128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509,556</w:t>
            </w:r>
          </w:p>
        </w:tc>
        <w:tc>
          <w:tcPr>
            <w:tcW w:w="340" w:type="dxa"/>
            <w:vAlign w:val="bottom"/>
          </w:tcPr>
          <w:p>
            <w:pPr>
              <w:spacing w:after="0"/>
              <w:rPr>
                <w:sz w:val="20"/>
                <w:szCs w:val="20"/>
                <w:color w:val="auto"/>
              </w:rPr>
            </w:pPr>
          </w:p>
        </w:tc>
        <w:tc>
          <w:tcPr>
            <w:tcW w:w="1140" w:type="dxa"/>
            <w:vAlign w:val="bottom"/>
            <w:tcBorders>
              <w:top w:val="single" w:sz="8" w:color="auto"/>
            </w:tcBorders>
          </w:tcPr>
          <w:p>
            <w:pPr>
              <w:ind w:left="620"/>
              <w:spacing w:after="0"/>
              <w:rPr>
                <w:sz w:val="20"/>
                <w:szCs w:val="20"/>
                <w:color w:val="auto"/>
              </w:rPr>
            </w:pPr>
            <w:r>
              <w:rPr>
                <w:rFonts w:ascii="Arial" w:cs="Arial" w:eastAsia="Arial" w:hAnsi="Arial"/>
                <w:sz w:val="18"/>
                <w:szCs w:val="18"/>
                <w:color w:val="auto"/>
                <w:w w:val="90"/>
              </w:rPr>
              <w:t>$63.61</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right"/>
              <w:ind w:right="20"/>
              <w:spacing w:after="0"/>
              <w:rPr>
                <w:sz w:val="20"/>
                <w:szCs w:val="20"/>
                <w:color w:val="auto"/>
              </w:rPr>
            </w:pPr>
            <w:r>
              <w:rPr>
                <w:rFonts w:ascii="Arial" w:cs="Arial" w:eastAsia="Arial" w:hAnsi="Arial"/>
                <w:sz w:val="18"/>
                <w:szCs w:val="18"/>
                <w:color w:val="auto"/>
              </w:rPr>
              <w:t>392,556</w:t>
            </w:r>
          </w:p>
        </w:tc>
        <w:tc>
          <w:tcPr>
            <w:tcW w:w="340" w:type="dxa"/>
            <w:vAlign w:val="bottom"/>
          </w:tcPr>
          <w:p>
            <w:pPr>
              <w:spacing w:after="0"/>
              <w:rPr>
                <w:sz w:val="20"/>
                <w:szCs w:val="20"/>
                <w:color w:val="auto"/>
              </w:rPr>
            </w:pPr>
          </w:p>
        </w:tc>
        <w:tc>
          <w:tcPr>
            <w:tcW w:w="17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$475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433959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339590" cy="26035"/>
                    </a:xfrm>
                    <a:prstGeom prst="rect">
                      <a:avLst/>
                    </a:prstGeom>
                    <a:noFill/>
                  </pic:spPr>
                </pic:pic>
              </a:graphicData>
            </a:graphic>
          </wp:anchor>
        </w:drawing>
      </w:r>
    </w:p>
    <w:p>
      <w:pPr>
        <w:spacing w:after="0" w:line="51"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w:t>
      </w:r>
    </w:p>
    <w:p>
      <w:pPr>
        <w:spacing w:after="0" w:line="68" w:lineRule="exact"/>
        <w:rPr>
          <w:sz w:val="20"/>
          <w:szCs w:val="20"/>
          <w:color w:val="auto"/>
        </w:rPr>
      </w:pPr>
    </w:p>
    <w:p>
      <w:pPr>
        <w:ind w:left="340" w:hanging="332"/>
        <w:spacing w:after="0" w:line="216" w:lineRule="auto"/>
        <w:tabs>
          <w:tab w:leader="none" w:pos="34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Includes 117,000 shares repurchased in open-market transactions to offset the dilutive impact to existing shareholders of issuances under stock compensation plans.</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Average price paid per share is calculated on a settlement basis and excludes commission.</w:t>
      </w:r>
    </w:p>
    <w:p>
      <w:pPr>
        <w:spacing w:after="0" w:line="56" w:lineRule="exact"/>
        <w:rPr>
          <w:rFonts w:ascii="Arial" w:cs="Arial" w:eastAsia="Arial" w:hAnsi="Arial"/>
          <w:sz w:val="25"/>
          <w:szCs w:val="25"/>
          <w:color w:val="auto"/>
          <w:vertAlign w:val="superscript"/>
        </w:rPr>
      </w:pPr>
    </w:p>
    <w:p>
      <w:pPr>
        <w:jc w:val="both"/>
        <w:ind w:left="340" w:hanging="332"/>
        <w:spacing w:after="0" w:line="227" w:lineRule="auto"/>
        <w:tabs>
          <w:tab w:leader="none" w:pos="34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During the third quarter of 2016, we had a publicly announced strategic share repurchase program. Under this program, which was announced on June 23, 2011, our Board of Directors authorized the purchase of up to $1 billion of our stock. The program has no expiration date. We also expect to continue our longstanding practice, under a separate 2016 authorization, of purchasing shares sufficient to offset shares issued under our incentive compensation plans.</w:t>
      </w:r>
    </w:p>
    <w:p>
      <w:pPr>
        <w:spacing w:after="0" w:line="43"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Includes 110,500 shares repurchased in open-market transactions at an average price of $63.34 to offset the dilutive impact to existing shareholders of issuances under stock compensation plans.</w:t>
      </w:r>
    </w:p>
    <w:p>
      <w:pPr>
        <w:spacing w:after="0" w:line="41" w:lineRule="exact"/>
        <w:rPr>
          <w:rFonts w:ascii="Arial" w:cs="Arial" w:eastAsia="Arial" w:hAnsi="Arial"/>
          <w:sz w:val="25"/>
          <w:szCs w:val="25"/>
          <w:color w:val="auto"/>
          <w:vertAlign w:val="superscript"/>
        </w:rPr>
      </w:pPr>
    </w:p>
    <w:p>
      <w:pPr>
        <w:ind w:left="340" w:hanging="332"/>
        <w:spacing w:after="0" w:line="216" w:lineRule="auto"/>
        <w:tabs>
          <w:tab w:leader="none" w:pos="340" w:val="left"/>
        </w:tabs>
        <w:numPr>
          <w:ilvl w:val="0"/>
          <w:numId w:val="54"/>
        </w:numPr>
        <w:rPr>
          <w:rFonts w:ascii="Arial" w:cs="Arial" w:eastAsia="Arial" w:hAnsi="Arial"/>
          <w:sz w:val="25"/>
          <w:szCs w:val="25"/>
          <w:color w:val="auto"/>
          <w:vertAlign w:val="superscript"/>
        </w:rPr>
      </w:pPr>
      <w:r>
        <w:rPr>
          <w:rFonts w:ascii="Arial" w:cs="Arial" w:eastAsia="Arial" w:hAnsi="Arial"/>
          <w:sz w:val="18"/>
          <w:szCs w:val="18"/>
          <w:color w:val="auto"/>
        </w:rPr>
        <w:t>Includes 6,500 shares repurchased in open-market transactions at an average price of $64.72 to offset the dilutive impact to existing shareholders of issuances under stock compensation plans.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31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56" w:lineRule="exact"/>
        <w:rPr>
          <w:sz w:val="20"/>
          <w:szCs w:val="20"/>
          <w:color w:val="auto"/>
        </w:rPr>
      </w:pPr>
    </w:p>
    <w:p>
      <w:pPr>
        <w:ind w:left="1180" w:hanging="1145"/>
        <w:spacing w:after="0" w:line="182" w:lineRule="auto"/>
        <w:tabs>
          <w:tab w:leader="none" w:pos="1180" w:val="left"/>
        </w:tabs>
        <w:numPr>
          <w:ilvl w:val="0"/>
          <w:numId w:val="55"/>
        </w:numPr>
        <w:rPr>
          <w:rFonts w:ascii="Arial" w:cs="Arial" w:eastAsia="Arial" w:hAnsi="Arial"/>
          <w:sz w:val="34"/>
          <w:szCs w:val="34"/>
          <w:color w:val="auto"/>
          <w:vertAlign w:val="subscript"/>
        </w:rPr>
      </w:pPr>
      <w:r>
        <w:rPr>
          <w:rFonts w:ascii="Arial" w:cs="Arial" w:eastAsia="Arial" w:hAnsi="Arial"/>
          <w:sz w:val="17"/>
          <w:szCs w:val="17"/>
          <w:color w:val="auto"/>
        </w:rPr>
        <w:t>Campbell's By-Laws, effective April 1, 2016, were filed with the SEC on a Form 8-K (SEC file number 1-3822) on March 24, 2016, and are incorporated herein by reference.</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00" w:type="dxa"/>
            <w:vAlign w:val="bottom"/>
          </w:tcPr>
          <w:p>
            <w:pPr>
              <w:spacing w:after="0"/>
              <w:rPr>
                <w:sz w:val="20"/>
                <w:szCs w:val="20"/>
                <w:color w:val="auto"/>
              </w:rPr>
            </w:pPr>
            <w:r>
              <w:rPr>
                <w:rFonts w:ascii="Arial" w:cs="Arial" w:eastAsia="Arial" w:hAnsi="Arial"/>
                <w:sz w:val="18"/>
                <w:szCs w:val="18"/>
                <w:color w:val="auto"/>
              </w:rPr>
              <w:t>31(a)</w:t>
            </w:r>
          </w:p>
        </w:tc>
        <w:tc>
          <w:tcPr>
            <w:tcW w:w="570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Rule 13a-14(a).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31(b)</w:t>
            </w:r>
          </w:p>
        </w:tc>
        <w:tc>
          <w:tcPr>
            <w:tcW w:w="570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Rule 13a-14(a).</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32(a)</w:t>
            </w:r>
          </w:p>
        </w:tc>
        <w:tc>
          <w:tcPr>
            <w:tcW w:w="5700" w:type="dxa"/>
            <w:vAlign w:val="bottom"/>
          </w:tcPr>
          <w:p>
            <w:pPr>
              <w:ind w:left="240"/>
              <w:spacing w:after="0"/>
              <w:rPr>
                <w:sz w:val="20"/>
                <w:szCs w:val="20"/>
                <w:color w:val="auto"/>
              </w:rPr>
            </w:pPr>
            <w:r>
              <w:rPr>
                <w:rFonts w:ascii="Arial" w:cs="Arial" w:eastAsia="Arial" w:hAnsi="Arial"/>
                <w:sz w:val="18"/>
                <w:szCs w:val="18"/>
                <w:color w:val="auto"/>
                <w:w w:val="95"/>
              </w:rPr>
              <w:t>Certification of Denise M. Morrison pursuant to 18 U.S.C. Section 1350.</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32(b)</w:t>
            </w:r>
          </w:p>
        </w:tc>
        <w:tc>
          <w:tcPr>
            <w:tcW w:w="5700" w:type="dxa"/>
            <w:vAlign w:val="bottom"/>
          </w:tcPr>
          <w:p>
            <w:pPr>
              <w:ind w:left="240"/>
              <w:spacing w:after="0"/>
              <w:rPr>
                <w:sz w:val="20"/>
                <w:szCs w:val="20"/>
                <w:color w:val="auto"/>
              </w:rPr>
            </w:pPr>
            <w:r>
              <w:rPr>
                <w:rFonts w:ascii="Arial" w:cs="Arial" w:eastAsia="Arial" w:hAnsi="Arial"/>
                <w:sz w:val="18"/>
                <w:szCs w:val="18"/>
                <w:color w:val="auto"/>
                <w:w w:val="91"/>
              </w:rPr>
              <w:t>Certification of Anthony P. DiSilvestro pursuant to 18 U.S.C. Section 1350.</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101.INS</w:t>
            </w:r>
          </w:p>
        </w:tc>
        <w:tc>
          <w:tcPr>
            <w:tcW w:w="570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101.SCH</w:t>
            </w:r>
          </w:p>
        </w:tc>
        <w:tc>
          <w:tcPr>
            <w:tcW w:w="5700" w:type="dxa"/>
            <w:vAlign w:val="bottom"/>
          </w:tcPr>
          <w:p>
            <w:pPr>
              <w:ind w:left="240"/>
              <w:spacing w:after="0"/>
              <w:rPr>
                <w:sz w:val="20"/>
                <w:szCs w:val="20"/>
                <w:color w:val="auto"/>
              </w:rPr>
            </w:pPr>
            <w:r>
              <w:rPr>
                <w:rFonts w:ascii="Arial" w:cs="Arial" w:eastAsia="Arial" w:hAnsi="Arial"/>
                <w:sz w:val="18"/>
                <w:szCs w:val="18"/>
                <w:color w:val="auto"/>
              </w:rPr>
              <w:t>XBRL Schema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101.CAL</w:t>
            </w:r>
          </w:p>
        </w:tc>
        <w:tc>
          <w:tcPr>
            <w:tcW w:w="5700" w:type="dxa"/>
            <w:vAlign w:val="bottom"/>
          </w:tcPr>
          <w:p>
            <w:pPr>
              <w:ind w:left="240"/>
              <w:spacing w:after="0"/>
              <w:rPr>
                <w:sz w:val="20"/>
                <w:szCs w:val="20"/>
                <w:color w:val="auto"/>
              </w:rPr>
            </w:pPr>
            <w:r>
              <w:rPr>
                <w:rFonts w:ascii="Arial" w:cs="Arial" w:eastAsia="Arial" w:hAnsi="Arial"/>
                <w:sz w:val="18"/>
                <w:szCs w:val="18"/>
                <w:color w:val="auto"/>
              </w:rPr>
              <w:t>XBRL Calculation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101.DEF</w:t>
            </w:r>
          </w:p>
        </w:tc>
        <w:tc>
          <w:tcPr>
            <w:tcW w:w="570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101.LAB</w:t>
            </w:r>
          </w:p>
        </w:tc>
        <w:tc>
          <w:tcPr>
            <w:tcW w:w="570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r>
      <w:tr>
        <w:trPr>
          <w:trHeight w:val="392"/>
        </w:trPr>
        <w:tc>
          <w:tcPr>
            <w:tcW w:w="900" w:type="dxa"/>
            <w:vAlign w:val="bottom"/>
          </w:tcPr>
          <w:p>
            <w:pPr>
              <w:spacing w:after="0"/>
              <w:rPr>
                <w:sz w:val="20"/>
                <w:szCs w:val="20"/>
                <w:color w:val="auto"/>
              </w:rPr>
            </w:pPr>
            <w:r>
              <w:rPr>
                <w:rFonts w:ascii="Arial" w:cs="Arial" w:eastAsia="Arial" w:hAnsi="Arial"/>
                <w:sz w:val="18"/>
                <w:szCs w:val="18"/>
                <w:color w:val="auto"/>
              </w:rPr>
              <w:t>101.PRE</w:t>
            </w:r>
          </w:p>
        </w:tc>
        <w:tc>
          <w:tcPr>
            <w:tcW w:w="570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r>
        <w:trPr>
          <w:trHeight w:val="918"/>
        </w:trPr>
        <w:tc>
          <w:tcPr>
            <w:tcW w:w="900" w:type="dxa"/>
            <w:vAlign w:val="bottom"/>
          </w:tcPr>
          <w:p>
            <w:pPr>
              <w:spacing w:after="0"/>
              <w:rPr>
                <w:sz w:val="24"/>
                <w:szCs w:val="24"/>
                <w:color w:val="auto"/>
              </w:rPr>
            </w:pPr>
          </w:p>
        </w:tc>
        <w:tc>
          <w:tcPr>
            <w:tcW w:w="5700" w:type="dxa"/>
            <w:vAlign w:val="bottom"/>
          </w:tcPr>
          <w:p>
            <w:pPr>
              <w:ind w:left="4680"/>
              <w:spacing w:after="0"/>
              <w:rPr>
                <w:sz w:val="20"/>
                <w:szCs w:val="20"/>
                <w:color w:val="auto"/>
              </w:rPr>
            </w:pPr>
            <w:r>
              <w:rPr>
                <w:rFonts w:ascii="Arial" w:cs="Arial" w:eastAsia="Arial" w:hAnsi="Arial"/>
                <w:sz w:val="18"/>
                <w:szCs w:val="18"/>
                <w:color w:val="auto"/>
              </w:rPr>
              <w:t>38</w:t>
            </w:r>
          </w:p>
        </w:tc>
      </w:tr>
    </w:tbl>
    <w:p>
      <w:pPr>
        <w:sectPr>
          <w:pgSz w:w="11900" w:h="16838" w:orient="portrait"/>
          <w:cols w:equalWidth="0" w:num="1">
            <w:col w:w="11300"/>
          </w:cols>
          <w:pgMar w:left="240" w:top="1310" w:right="359" w:bottom="1440" w:gutter="0" w:footer="0" w:header="0"/>
        </w:sectPr>
      </w:pPr>
    </w:p>
    <w:bookmarkStart w:id="38" w:name="page39"/>
    <w:bookmarkEnd w:id="38"/>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2016</w:t>
      </w:r>
    </w:p>
    <w:p>
      <w:pPr>
        <w:spacing w:after="0" w:line="383"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CAMPBELL SOUP COMPANY</w:t>
      </w:r>
    </w:p>
    <w:p>
      <w:pPr>
        <w:spacing w:after="0" w:line="364"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6"/>
          <w:szCs w:val="16"/>
          <w:color w:val="auto"/>
        </w:rPr>
        <w:t>Senior Vice President and Chief Financial Officer</w:t>
      </w:r>
    </w:p>
    <w:p>
      <w:pPr>
        <w:spacing w:after="0" w:line="200" w:lineRule="exact"/>
        <w:rPr>
          <w:sz w:val="20"/>
          <w:szCs w:val="20"/>
          <w:color w:val="auto"/>
        </w:rPr>
      </w:pPr>
    </w:p>
    <w:p>
      <w:pPr>
        <w:spacing w:after="0" w:line="318"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By: /s/ William J. O'Shea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31750</wp:posOffset>
            </wp:positionV>
            <wp:extent cx="260731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607310" cy="8890"/>
                    </a:xfrm>
                    <a:prstGeom prst="rect">
                      <a:avLst/>
                    </a:prstGeom>
                    <a:noFill/>
                  </pic:spPr>
                </pic:pic>
              </a:graphicData>
            </a:graphic>
          </wp:anchor>
        </w:drawing>
      </w:r>
    </w:p>
    <w:p>
      <w:pPr>
        <w:spacing w:after="0" w:line="57"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William J. O'Shea</w:t>
      </w:r>
    </w:p>
    <w:p>
      <w:pPr>
        <w:spacing w:after="0" w:line="63" w:lineRule="exact"/>
        <w:rPr>
          <w:sz w:val="20"/>
          <w:szCs w:val="20"/>
          <w:color w:val="auto"/>
        </w:rPr>
      </w:pPr>
    </w:p>
    <w:p>
      <w:pPr>
        <w:ind w:left="734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20"/>
          </w:cols>
          <w:pgMar w:left="240" w:top="1229" w:right="739" w:bottom="1440" w:gutter="0" w:footer="0" w:header="0"/>
        </w:sectPr>
      </w:pPr>
    </w:p>
    <w:bookmarkStart w:id="39" w:name="page40"/>
    <w:bookmarkEnd w:id="39"/>
    <w:p>
      <w:pPr>
        <w:jc w:val="center"/>
        <w:ind w:right="-39"/>
        <w:spacing w:after="0"/>
        <w:rPr>
          <w:sz w:val="20"/>
          <w:szCs w:val="20"/>
          <w:color w:val="auto"/>
        </w:rPr>
      </w:pPr>
      <w:r>
        <w:rPr>
          <w:rFonts w:ascii="Arial" w:cs="Arial" w:eastAsia="Arial" w:hAnsi="Arial"/>
          <w:sz w:val="18"/>
          <w:szCs w:val="18"/>
          <w:b w:val="1"/>
          <w:bCs w:val="1"/>
          <w:color w:val="auto"/>
        </w:rPr>
        <w:t>INDEX TO EXHIBITS</w:t>
      </w:r>
    </w:p>
    <w:p>
      <w:pPr>
        <w:spacing w:after="0" w:line="256" w:lineRule="exact"/>
        <w:rPr>
          <w:sz w:val="20"/>
          <w:szCs w:val="20"/>
          <w:color w:val="auto"/>
        </w:rPr>
      </w:pPr>
    </w:p>
    <w:p>
      <w:pPr>
        <w:ind w:left="1160" w:hanging="1158"/>
        <w:spacing w:after="0" w:line="182" w:lineRule="auto"/>
        <w:tabs>
          <w:tab w:leader="none" w:pos="1160" w:val="left"/>
        </w:tabs>
        <w:numPr>
          <w:ilvl w:val="0"/>
          <w:numId w:val="56"/>
        </w:numPr>
        <w:rPr>
          <w:rFonts w:ascii="Arial" w:cs="Arial" w:eastAsia="Arial" w:hAnsi="Arial"/>
          <w:sz w:val="34"/>
          <w:szCs w:val="34"/>
          <w:color w:val="auto"/>
          <w:vertAlign w:val="subscript"/>
        </w:rPr>
      </w:pPr>
      <w:r>
        <w:rPr>
          <w:rFonts w:ascii="Arial" w:cs="Arial" w:eastAsia="Arial" w:hAnsi="Arial"/>
          <w:sz w:val="17"/>
          <w:szCs w:val="17"/>
          <w:color w:val="auto"/>
        </w:rPr>
        <w:t>Campbell's By-Laws, effective April 1, 2016, were filed with the SEC on a Form 8-K (SEC file number 1-3822) on March 24, 2016, and are incorporated herein by reference.</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31(a)</w:t>
            </w:r>
          </w:p>
        </w:tc>
        <w:tc>
          <w:tcPr>
            <w:tcW w:w="5680" w:type="dxa"/>
            <w:vAlign w:val="bottom"/>
          </w:tcPr>
          <w:p>
            <w:pPr>
              <w:ind w:left="240"/>
              <w:spacing w:after="0"/>
              <w:rPr>
                <w:sz w:val="20"/>
                <w:szCs w:val="20"/>
                <w:color w:val="auto"/>
              </w:rPr>
            </w:pPr>
            <w:r>
              <w:rPr>
                <w:rFonts w:ascii="Arial" w:cs="Arial" w:eastAsia="Arial" w:hAnsi="Arial"/>
                <w:sz w:val="18"/>
                <w:szCs w:val="18"/>
                <w:color w:val="auto"/>
              </w:rPr>
              <w:t>Certification of Denise M. Morrison pursuant to Rule 13a-14(a).</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31(b)</w:t>
            </w:r>
          </w:p>
        </w:tc>
        <w:tc>
          <w:tcPr>
            <w:tcW w:w="5680" w:type="dxa"/>
            <w:vAlign w:val="bottom"/>
          </w:tcPr>
          <w:p>
            <w:pPr>
              <w:ind w:left="240"/>
              <w:spacing w:after="0"/>
              <w:rPr>
                <w:sz w:val="20"/>
                <w:szCs w:val="20"/>
                <w:color w:val="auto"/>
              </w:rPr>
            </w:pPr>
            <w:r>
              <w:rPr>
                <w:rFonts w:ascii="Arial" w:cs="Arial" w:eastAsia="Arial" w:hAnsi="Arial"/>
                <w:sz w:val="18"/>
                <w:szCs w:val="18"/>
                <w:color w:val="auto"/>
              </w:rPr>
              <w:t>Certification of Anthony P. DiSilvestro pursuant to Rule 13a-14(a).</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32(a)</w:t>
            </w:r>
          </w:p>
        </w:tc>
        <w:tc>
          <w:tcPr>
            <w:tcW w:w="5680" w:type="dxa"/>
            <w:vAlign w:val="bottom"/>
          </w:tcPr>
          <w:p>
            <w:pPr>
              <w:ind w:left="240"/>
              <w:spacing w:after="0"/>
              <w:rPr>
                <w:sz w:val="20"/>
                <w:szCs w:val="20"/>
                <w:color w:val="auto"/>
              </w:rPr>
            </w:pPr>
            <w:r>
              <w:rPr>
                <w:rFonts w:ascii="Arial" w:cs="Arial" w:eastAsia="Arial" w:hAnsi="Arial"/>
                <w:sz w:val="18"/>
                <w:szCs w:val="18"/>
                <w:color w:val="auto"/>
                <w:w w:val="95"/>
              </w:rPr>
              <w:t>Certification of Denise M. Morrison pursuant to 18 U.S.C. Section 1350.</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32(b)</w:t>
            </w:r>
          </w:p>
        </w:tc>
        <w:tc>
          <w:tcPr>
            <w:tcW w:w="5680" w:type="dxa"/>
            <w:vAlign w:val="bottom"/>
          </w:tcPr>
          <w:p>
            <w:pPr>
              <w:ind w:left="240"/>
              <w:spacing w:after="0"/>
              <w:rPr>
                <w:sz w:val="20"/>
                <w:szCs w:val="20"/>
                <w:color w:val="auto"/>
              </w:rPr>
            </w:pPr>
            <w:r>
              <w:rPr>
                <w:rFonts w:ascii="Arial" w:cs="Arial" w:eastAsia="Arial" w:hAnsi="Arial"/>
                <w:sz w:val="18"/>
                <w:szCs w:val="18"/>
                <w:color w:val="auto"/>
                <w:w w:val="91"/>
              </w:rPr>
              <w:t>Certification of Anthony P. DiSilvestro pursuant to 18 U.S.C. Section 1350.</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5680" w:type="dxa"/>
            <w:vAlign w:val="bottom"/>
          </w:tcPr>
          <w:p>
            <w:pPr>
              <w:ind w:left="240"/>
              <w:spacing w:after="0"/>
              <w:rPr>
                <w:sz w:val="20"/>
                <w:szCs w:val="20"/>
                <w:color w:val="auto"/>
              </w:rPr>
            </w:pPr>
            <w:r>
              <w:rPr>
                <w:rFonts w:ascii="Arial" w:cs="Arial" w:eastAsia="Arial" w:hAnsi="Arial"/>
                <w:sz w:val="18"/>
                <w:szCs w:val="18"/>
                <w:color w:val="auto"/>
              </w:rPr>
              <w:t>XBRL Instance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5680" w:type="dxa"/>
            <w:vAlign w:val="bottom"/>
          </w:tcPr>
          <w:p>
            <w:pPr>
              <w:ind w:left="240"/>
              <w:spacing w:after="0"/>
              <w:rPr>
                <w:sz w:val="20"/>
                <w:szCs w:val="20"/>
                <w:color w:val="auto"/>
              </w:rPr>
            </w:pPr>
            <w:r>
              <w:rPr>
                <w:rFonts w:ascii="Arial" w:cs="Arial" w:eastAsia="Arial" w:hAnsi="Arial"/>
                <w:sz w:val="18"/>
                <w:szCs w:val="18"/>
                <w:color w:val="auto"/>
              </w:rPr>
              <w:t>XBRL Schema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5680" w:type="dxa"/>
            <w:vAlign w:val="bottom"/>
          </w:tcPr>
          <w:p>
            <w:pPr>
              <w:ind w:left="240"/>
              <w:spacing w:after="0"/>
              <w:rPr>
                <w:sz w:val="20"/>
                <w:szCs w:val="20"/>
                <w:color w:val="auto"/>
              </w:rPr>
            </w:pPr>
            <w:r>
              <w:rPr>
                <w:rFonts w:ascii="Arial" w:cs="Arial" w:eastAsia="Arial" w:hAnsi="Arial"/>
                <w:sz w:val="18"/>
                <w:szCs w:val="18"/>
                <w:color w:val="auto"/>
              </w:rPr>
              <w:t>XBRL Calculation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5680" w:type="dxa"/>
            <w:vAlign w:val="bottom"/>
          </w:tcPr>
          <w:p>
            <w:pPr>
              <w:ind w:left="240"/>
              <w:spacing w:after="0"/>
              <w:rPr>
                <w:sz w:val="20"/>
                <w:szCs w:val="20"/>
                <w:color w:val="auto"/>
              </w:rPr>
            </w:pPr>
            <w:r>
              <w:rPr>
                <w:rFonts w:ascii="Arial" w:cs="Arial" w:eastAsia="Arial" w:hAnsi="Arial"/>
                <w:sz w:val="18"/>
                <w:szCs w:val="18"/>
                <w:color w:val="auto"/>
              </w:rPr>
              <w:t>XBRL Definition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5680" w:type="dxa"/>
            <w:vAlign w:val="bottom"/>
          </w:tcPr>
          <w:p>
            <w:pPr>
              <w:ind w:left="240"/>
              <w:spacing w:after="0"/>
              <w:rPr>
                <w:sz w:val="20"/>
                <w:szCs w:val="20"/>
                <w:color w:val="auto"/>
              </w:rPr>
            </w:pPr>
            <w:r>
              <w:rPr>
                <w:rFonts w:ascii="Arial" w:cs="Arial" w:eastAsia="Arial" w:hAnsi="Arial"/>
                <w:sz w:val="18"/>
                <w:szCs w:val="18"/>
                <w:color w:val="auto"/>
              </w:rPr>
              <w:t>XBRL Label Linkbase Document</w:t>
            </w:r>
          </w:p>
        </w:tc>
      </w:tr>
      <w:tr>
        <w:trPr>
          <w:trHeight w:val="405"/>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5680" w:type="dxa"/>
            <w:vAlign w:val="bottom"/>
          </w:tcPr>
          <w:p>
            <w:pPr>
              <w:ind w:left="240"/>
              <w:spacing w:after="0"/>
              <w:rPr>
                <w:sz w:val="20"/>
                <w:szCs w:val="20"/>
                <w:color w:val="auto"/>
              </w:rPr>
            </w:pPr>
            <w:r>
              <w:rPr>
                <w:rFonts w:ascii="Arial" w:cs="Arial" w:eastAsia="Arial" w:hAnsi="Arial"/>
                <w:sz w:val="18"/>
                <w:szCs w:val="18"/>
                <w:color w:val="auto"/>
              </w:rPr>
              <w:t>XBRL Presentation Linkbase Document</w:t>
            </w:r>
          </w:p>
        </w:tc>
      </w:tr>
      <w:tr>
        <w:trPr>
          <w:trHeight w:val="918"/>
        </w:trPr>
        <w:tc>
          <w:tcPr>
            <w:tcW w:w="920" w:type="dxa"/>
            <w:vAlign w:val="bottom"/>
          </w:tcPr>
          <w:p>
            <w:pPr>
              <w:spacing w:after="0"/>
              <w:rPr>
                <w:sz w:val="24"/>
                <w:szCs w:val="24"/>
                <w:color w:val="auto"/>
              </w:rPr>
            </w:pPr>
          </w:p>
        </w:tc>
        <w:tc>
          <w:tcPr>
            <w:tcW w:w="5680" w:type="dxa"/>
            <w:vAlign w:val="bottom"/>
          </w:tcPr>
          <w:p>
            <w:pPr>
              <w:ind w:left="4640"/>
              <w:spacing w:after="0"/>
              <w:rPr>
                <w:sz w:val="20"/>
                <w:szCs w:val="20"/>
                <w:color w:val="auto"/>
              </w:rPr>
            </w:pPr>
            <w:r>
              <w:rPr>
                <w:rFonts w:ascii="Arial" w:cs="Arial" w:eastAsia="Arial" w:hAnsi="Arial"/>
                <w:sz w:val="18"/>
                <w:szCs w:val="18"/>
                <w:color w:val="auto"/>
              </w:rPr>
              <w:t>40</w:t>
            </w:r>
          </w:p>
        </w:tc>
      </w:tr>
    </w:tbl>
    <w:p>
      <w:pPr>
        <w:sectPr>
          <w:pgSz w:w="11900" w:h="16838" w:orient="portrait"/>
          <w:cols w:equalWidth="0" w:num="1">
            <w:col w:w="11280"/>
          </w:cols>
          <w:pgMar w:left="300" w:top="1229" w:right="31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Denise M. Morrison, certify that:</w:t>
      </w:r>
    </w:p>
    <w:p>
      <w:pPr>
        <w:spacing w:after="0" w:line="171" w:lineRule="exact"/>
        <w:rPr>
          <w:sz w:val="20"/>
          <w:szCs w:val="20"/>
          <w:color w:val="auto"/>
        </w:rPr>
      </w:pPr>
    </w:p>
    <w:p>
      <w:pPr>
        <w:ind w:left="400" w:hanging="176"/>
        <w:spacing w:after="0"/>
        <w:tabs>
          <w:tab w:leader="none" w:pos="4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2016</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Denise M. Morrison</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5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5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5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June 7, 2016</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40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May 1, 2016 (the “Report”), I, Denise M. Morrison,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7, 2016</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Denise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Denise M. Morrison</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2">
            <w:col w:w="5100" w:space="440"/>
            <w:col w:w="5880"/>
          </w:cols>
          <w:pgMar w:left="240" w:top="580" w:right="2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16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May 1, 2016 (the “Report”), I, Anthony P. DiSilvestro, Senior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June 7, 2016</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1"/>
      <w:numFmt w:val="decimal"/>
      <w:start w:val="32"/>
    </w:lvl>
  </w:abstractNum>
  <w:abstractNum w:abstractNumId="1">
    <w:nsid w:val="7C3DBD3D"/>
    <w:multiLevelType w:val="hybridMultilevel"/>
    <w:lvl w:ilvl="0">
      <w:lvlJc w:val="left"/>
      <w:lvlText w:val="%1"/>
      <w:numFmt w:val="decimal"/>
      <w:start w:val="50"/>
    </w:lvl>
  </w:abstractNum>
  <w:abstractNum w:abstractNumId="2">
    <w:nsid w:val="737B8DDC"/>
    <w:multiLevelType w:val="hybridMultilevel"/>
    <w:lvl w:ilvl="0">
      <w:lvlJc w:val="left"/>
      <w:lvlText w:val="%1"/>
      <w:numFmt w:val="decimal"/>
      <w:start w:val="167"/>
    </w:lvl>
  </w:abstractNum>
  <w:abstractNum w:abstractNumId="3">
    <w:nsid w:val="6CEAF087"/>
    <w:multiLevelType w:val="hybridMultilevel"/>
    <w:lvl w:ilvl="0">
      <w:lvlJc w:val="left"/>
      <w:lvlText w:val="%1"/>
      <w:numFmt w:val="decimal"/>
      <w:start w:val="228"/>
    </w:lvl>
  </w:abstractNum>
  <w:abstractNum w:abstractNumId="4">
    <w:nsid w:val="22221A70"/>
    <w:multiLevelType w:val="hybridMultilevel"/>
    <w:lvl w:ilvl="0">
      <w:lvlJc w:val="left"/>
      <w:lvlText w:val="4"/>
      <w:numFmt w:val="bullet"/>
      <w:start w:val="1"/>
    </w:lvl>
  </w:abstractNum>
  <w:abstractNum w:abstractNumId="5">
    <w:nsid w:val="4516DDE9"/>
    <w:multiLevelType w:val="hybridMultilevel"/>
    <w:lvl w:ilvl="0">
      <w:lvlJc w:val="left"/>
      <w:lvlText w:val="2"/>
      <w:numFmt w:val="bullet"/>
      <w:start w:val="1"/>
    </w:lvl>
  </w:abstractNum>
  <w:abstractNum w:abstractNumId="6">
    <w:nsid w:val="3006C83E"/>
    <w:multiLevelType w:val="hybridMultilevel"/>
    <w:lvl w:ilvl="0">
      <w:lvlJc w:val="left"/>
      <w:lvlText w:val="5"/>
      <w:numFmt w:val="bullet"/>
      <w:start w:val="1"/>
    </w:lvl>
  </w:abstractNum>
  <w:abstractNum w:abstractNumId="7">
    <w:nsid w:val="614FD4A1"/>
    <w:multiLevelType w:val="hybridMultilevel"/>
    <w:lvl w:ilvl="0">
      <w:lvlJc w:val="left"/>
      <w:lvlText w:val="%1"/>
      <w:numFmt w:val="decimal"/>
      <w:start w:val="172"/>
    </w:lvl>
  </w:abstractNum>
  <w:abstractNum w:abstractNumId="8">
    <w:nsid w:val="419AC241"/>
    <w:multiLevelType w:val="hybridMultilevel"/>
    <w:lvl w:ilvl="0">
      <w:lvlJc w:val="left"/>
      <w:lvlText w:val="7"/>
      <w:numFmt w:val="bullet"/>
      <w:start w:val="1"/>
    </w:lvl>
  </w:abstractNum>
  <w:abstractNum w:abstractNumId="9">
    <w:nsid w:val="5577F8E1"/>
    <w:multiLevelType w:val="hybridMultilevel"/>
    <w:lvl w:ilvl="0">
      <w:lvlJc w:val="left"/>
      <w:lvlText w:val="(%1)"/>
      <w:numFmt w:val="decimal"/>
      <w:start w:val="87"/>
    </w:lvl>
  </w:abstractNum>
  <w:abstractNum w:abstractNumId="10">
    <w:nsid w:val="440BADFC"/>
    <w:multiLevelType w:val="hybridMultilevel"/>
    <w:lvl w:ilvl="0">
      <w:lvlJc w:val="left"/>
      <w:lvlText w:val="5"/>
      <w:numFmt w:val="bullet"/>
      <w:start w:val="1"/>
    </w:lvl>
  </w:abstractNum>
  <w:abstractNum w:abstractNumId="11">
    <w:nsid w:val="5072367"/>
    <w:multiLevelType w:val="hybridMultilevel"/>
    <w:lvl w:ilvl="0">
      <w:lvlJc w:val="left"/>
      <w:lvlText w:val="(%1)"/>
      <w:numFmt w:val="decimal"/>
      <w:start w:val="46"/>
    </w:lvl>
  </w:abstractNum>
  <w:abstractNum w:abstractNumId="12">
    <w:nsid w:val="3804823E"/>
    <w:multiLevelType w:val="hybridMultilevel"/>
    <w:lvl w:ilvl="0">
      <w:lvlJc w:val="left"/>
      <w:lvlText w:val="(%1)"/>
      <w:numFmt w:val="decimal"/>
      <w:start w:val="425"/>
    </w:lvl>
  </w:abstractNum>
  <w:abstractNum w:abstractNumId="13">
    <w:nsid w:val="77465F01"/>
    <w:multiLevelType w:val="hybridMultilevel"/>
    <w:lvl w:ilvl="0">
      <w:lvlJc w:val="left"/>
      <w:lvlText w:val="\emdash "/>
      <w:numFmt w:val="bullet"/>
      <w:start w:val="1"/>
    </w:lvl>
  </w:abstractNum>
  <w:abstractNum w:abstractNumId="14">
    <w:nsid w:val="7724C67E"/>
    <w:multiLevelType w:val="hybridMultilevel"/>
    <w:lvl w:ilvl="0">
      <w:lvlJc w:val="left"/>
      <w:lvlText w:val="(%1)"/>
      <w:numFmt w:val="decimal"/>
      <w:start w:val="294"/>
    </w:lvl>
  </w:abstractNum>
  <w:abstractNum w:abstractNumId="15">
    <w:nsid w:val="5C482A97"/>
    <w:multiLevelType w:val="hybridMultilevel"/>
    <w:lvl w:ilvl="0">
      <w:lvlJc w:val="left"/>
      <w:lvlText w:val="(%1)"/>
      <w:numFmt w:val="decimal"/>
      <w:start w:val="118"/>
    </w:lvl>
  </w:abstractNum>
  <w:abstractNum w:abstractNumId="16">
    <w:nsid w:val="2463B9EA"/>
    <w:multiLevelType w:val="hybridMultilevel"/>
    <w:lvl w:ilvl="0">
      <w:lvlJc w:val="left"/>
      <w:lvlText w:val="2"/>
      <w:numFmt w:val="bullet"/>
      <w:start w:val="1"/>
    </w:lvl>
  </w:abstractNum>
  <w:abstractNum w:abstractNumId="17">
    <w:nsid w:val="5E884ADC"/>
    <w:multiLevelType w:val="hybridMultilevel"/>
    <w:lvl w:ilvl="0">
      <w:lvlJc w:val="left"/>
      <w:lvlText w:val="7"/>
      <w:numFmt w:val="bullet"/>
      <w:start w:val="1"/>
    </w:lvl>
  </w:abstractNum>
  <w:abstractNum w:abstractNumId="18">
    <w:nsid w:val="51EAD36B"/>
    <w:multiLevelType w:val="hybridMultilevel"/>
    <w:lvl w:ilvl="0">
      <w:lvlJc w:val="left"/>
      <w:lvlText w:val="(%1)"/>
      <w:numFmt w:val="decimal"/>
      <w:start w:val="828"/>
    </w:lvl>
  </w:abstractNum>
  <w:abstractNum w:abstractNumId="19">
    <w:nsid w:val="2D517796"/>
    <w:multiLevelType w:val="hybridMultilevel"/>
    <w:lvl w:ilvl="0">
      <w:lvlJc w:val="left"/>
      <w:lvlText w:val="9"/>
      <w:numFmt w:val="bullet"/>
      <w:start w:val="1"/>
    </w:lvl>
  </w:abstractNum>
  <w:abstractNum w:abstractNumId="20">
    <w:nsid w:val="580BD78F"/>
    <w:multiLevelType w:val="hybridMultilevel"/>
    <w:lvl w:ilvl="0">
      <w:lvlJc w:val="left"/>
      <w:lvlText w:val="%1"/>
      <w:numFmt w:val="decimal"/>
      <w:start w:val="130"/>
    </w:lvl>
  </w:abstractNum>
  <w:abstractNum w:abstractNumId="21">
    <w:nsid w:val="153EA438"/>
    <w:multiLevelType w:val="hybridMultilevel"/>
    <w:lvl w:ilvl="0">
      <w:lvlJc w:val="left"/>
      <w:lvlText w:val="%1"/>
      <w:numFmt w:val="decimal"/>
      <w:start w:val="253"/>
    </w:lvl>
  </w:abstractNum>
  <w:abstractNum w:abstractNumId="22">
    <w:nsid w:val="3855585C"/>
    <w:multiLevelType w:val="hybridMultilevel"/>
    <w:lvl w:ilvl="0">
      <w:lvlJc w:val="left"/>
      <w:lvlText w:val="%1."/>
      <w:numFmt w:val="decimal"/>
      <w:start w:val="1"/>
    </w:lvl>
  </w:abstractNum>
  <w:abstractNum w:abstractNumId="23">
    <w:nsid w:val="70A64E2A"/>
    <w:multiLevelType w:val="hybridMultilevel"/>
    <w:lvl w:ilvl="0">
      <w:lvlJc w:val="left"/>
      <w:lvlText w:val="(%1)"/>
      <w:numFmt w:val="decimal"/>
      <w:start w:val="1"/>
    </w:lvl>
  </w:abstractNum>
  <w:abstractNum w:abstractNumId="24">
    <w:nsid w:val="6A2342EC"/>
    <w:multiLevelType w:val="hybridMultilevel"/>
    <w:lvl w:ilvl="0">
      <w:lvlJc w:val="left"/>
      <w:lvlText w:val="%1."/>
      <w:numFmt w:val="decimal"/>
      <w:start w:val="2"/>
    </w:lvl>
  </w:abstractNum>
  <w:abstractNum w:abstractNumId="25">
    <w:nsid w:val="2A487CB0"/>
    <w:multiLevelType w:val="hybridMultilevel"/>
    <w:lvl w:ilvl="0">
      <w:lvlJc w:val="left"/>
      <w:lvlText w:val="%1."/>
      <w:numFmt w:val="decimal"/>
      <w:start w:val="3"/>
    </w:lvl>
  </w:abstractNum>
  <w:abstractNum w:abstractNumId="26">
    <w:nsid w:val="1D4ED43B"/>
    <w:multiLevelType w:val="hybridMultilevel"/>
    <w:lvl w:ilvl="0">
      <w:lvlJc w:val="left"/>
      <w:lvlText w:val="%1."/>
      <w:numFmt w:val="decimal"/>
      <w:start w:val="4"/>
    </w:lvl>
  </w:abstractNum>
  <w:abstractNum w:abstractNumId="27">
    <w:nsid w:val="725A06FB"/>
    <w:multiLevelType w:val="hybridMultilevel"/>
    <w:lvl w:ilvl="0">
      <w:lvlJc w:val="left"/>
      <w:lvlText w:val="(%1)"/>
      <w:numFmt w:val="decimal"/>
      <w:start w:val="1"/>
    </w:lvl>
  </w:abstractNum>
  <w:abstractNum w:abstractNumId="28">
    <w:nsid w:val="2CD89A32"/>
    <w:multiLevelType w:val="hybridMultilevel"/>
    <w:lvl w:ilvl="0">
      <w:lvlJc w:val="left"/>
      <w:lvlText w:val="(%1)"/>
      <w:numFmt w:val="decimal"/>
      <w:start w:val="1"/>
    </w:lvl>
  </w:abstractNum>
  <w:abstractNum w:abstractNumId="29">
    <w:nsid w:val="57E4CCAF"/>
    <w:multiLevelType w:val="hybridMultilevel"/>
    <w:lvl w:ilvl="0">
      <w:lvlJc w:val="left"/>
      <w:lvlText w:val="%1."/>
      <w:numFmt w:val="decimal"/>
      <w:start w:val="5"/>
    </w:lvl>
  </w:abstractNum>
  <w:abstractNum w:abstractNumId="30">
    <w:nsid w:val="7A6D8D3C"/>
    <w:multiLevelType w:val="hybridMultilevel"/>
    <w:lvl w:ilvl="0">
      <w:lvlJc w:val="left"/>
      <w:lvlText w:val="%1."/>
      <w:numFmt w:val="decimal"/>
      <w:start w:val="6"/>
    </w:lvl>
  </w:abstractNum>
  <w:abstractNum w:abstractNumId="31">
    <w:nsid w:val="4B588F54"/>
    <w:multiLevelType w:val="hybridMultilevel"/>
    <w:lvl w:ilvl="0">
      <w:lvlJc w:val="left"/>
      <w:lvlText w:val="•"/>
      <w:numFmt w:val="bullet"/>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7"/>
    </w:lvl>
  </w:abstractNum>
  <w:abstractNum w:abstractNumId="34">
    <w:nsid w:val="38437FDB"/>
    <w:multiLevelType w:val="hybridMultilevel"/>
    <w:lvl w:ilvl="0">
      <w:lvlJc w:val="left"/>
      <w:lvlText w:val="(%1)"/>
      <w:numFmt w:val="decimal"/>
      <w:start w:val="1"/>
    </w:lvl>
  </w:abstractNum>
  <w:abstractNum w:abstractNumId="35">
    <w:nsid w:val="7644A45C"/>
    <w:multiLevelType w:val="hybridMultilevel"/>
    <w:lvl w:ilvl="0">
      <w:lvlJc w:val="left"/>
      <w:lvlText w:val="%1."/>
      <w:numFmt w:val="decimal"/>
      <w:start w:val="8"/>
    </w:lvl>
  </w:abstractNum>
  <w:abstractNum w:abstractNumId="36">
    <w:nsid w:val="32FFF902"/>
    <w:multiLevelType w:val="hybridMultilevel"/>
    <w:lvl w:ilvl="0">
      <w:lvlJc w:val="left"/>
      <w:lvlText w:val="%1."/>
      <w:numFmt w:val="decimal"/>
      <w:start w:val="9"/>
    </w:lvl>
  </w:abstractNum>
  <w:abstractNum w:abstractNumId="37">
    <w:nsid w:val="684A481A"/>
    <w:multiLevelType w:val="hybridMultilevel"/>
    <w:lvl w:ilvl="0">
      <w:lvlJc w:val="left"/>
      <w:lvlText w:val="%1."/>
      <w:numFmt w:val="decimal"/>
      <w:start w:val="12"/>
    </w:lvl>
    <w:lvl w:ilvl="1">
      <w:lvlJc w:val="left"/>
      <w:lvlText w:val="•"/>
      <w:numFmt w:val="bullet"/>
      <w:start w:val="1"/>
    </w:lvl>
  </w:abstractNum>
  <w:abstractNum w:abstractNumId="38">
    <w:nsid w:val="579478FE"/>
    <w:multiLevelType w:val="hybridMultilevel"/>
    <w:lvl w:ilvl="0">
      <w:lvlJc w:val="left"/>
      <w:lvlText w:val="(%1)"/>
      <w:numFmt w:val="decimal"/>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1)"/>
      <w:numFmt w:val="decimal"/>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
      <w:numFmt w:val="bullet"/>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1."/>
      <w:numFmt w:val="lowerLetter"/>
      <w:start w:val="1"/>
    </w:lvl>
  </w:abstractNum>
  <w:abstractNum w:abstractNumId="52">
    <w:nsid w:val="39386575"/>
    <w:multiLevelType w:val="hybridMultilevel"/>
    <w:lvl w:ilvl="0">
      <w:lvlJc w:val="left"/>
      <w:lvlText w:val="%1."/>
      <w:numFmt w:val="lowerLetter"/>
      <w:start w:val="2"/>
    </w:lvl>
  </w:abstractNum>
  <w:abstractNum w:abstractNumId="53">
    <w:nsid w:val="1CF10FD8"/>
    <w:multiLevelType w:val="hybridMultilevel"/>
    <w:lvl w:ilvl="0">
      <w:lvlJc w:val="left"/>
      <w:lvlText w:val="(%1)"/>
      <w:numFmt w:val="decimal"/>
      <w:start w:val="1"/>
    </w:lvl>
  </w:abstractNum>
  <w:abstractNum w:abstractNumId="54">
    <w:nsid w:val="180115BE"/>
    <w:multiLevelType w:val="hybridMultilevel"/>
    <w:lvl w:ilvl="0">
      <w:lvlJc w:val="left"/>
      <w:lvlText w:val="3"/>
      <w:numFmt w:val="bullet"/>
      <w:start w:val="1"/>
    </w:lvl>
  </w:abstractNum>
  <w:abstractNum w:abstractNumId="55">
    <w:nsid w:val="235BA861"/>
    <w:multiLevelType w:val="hybridMultilevel"/>
    <w:lvl w:ilvl="0">
      <w:lvlJc w:val="left"/>
      <w:lvlText w:val="3"/>
      <w:numFmt w:val="bullet"/>
      <w:start w:val="1"/>
    </w:lvl>
  </w:abstractNum>
  <w:abstractNum w:abstractNumId="56">
    <w:nsid w:val="47398C89"/>
    <w:multiLevelType w:val="hybridMultilevel"/>
    <w:lvl w:ilvl="0">
      <w:lvlJc w:val="left"/>
      <w:lvlText w:val="%1."/>
      <w:numFmt w:val="decimal"/>
      <w:start w:val="1"/>
    </w:lvl>
    <w:lvl w:ilvl="1">
      <w:lvlJc w:val="left"/>
      <w:lvlText w:val="%2)"/>
      <w:numFmt w:val="lowerLetter"/>
      <w:start w:val="1"/>
    </w:lvl>
  </w:abstractNum>
  <w:abstractNum w:abstractNumId="57">
    <w:nsid w:val="354FE9F9"/>
    <w:multiLevelType w:val="hybridMultilevel"/>
    <w:lvl w:ilvl="0">
      <w:lvlJc w:val="left"/>
      <w:lvlText w:val="%1."/>
      <w:numFmt w:val="decimal"/>
      <w:start w:val="1"/>
    </w:lvl>
    <w:lvl w:ilvl="1">
      <w:lvlJc w:val="left"/>
      <w:lvlText w:val="%2)"/>
      <w:numFmt w:val="lowerLetter"/>
      <w:start w:val="1"/>
    </w:lvl>
  </w:abstractNum>
  <w:abstractNum w:abstractNumId="58">
    <w:nsid w:val="15B5AF5C"/>
    <w:multiLevelType w:val="hybridMultilevel"/>
    <w:lvl w:ilvl="0">
      <w:lvlJc w:val="left"/>
      <w:lvlText w:val="(%1)"/>
      <w:numFmt w:val="decimal"/>
      <w:start w:val="1"/>
    </w:lvl>
  </w:abstractNum>
  <w:abstractNum w:abstractNumId="59">
    <w:nsid w:val="741226B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2019-12-29T10:25:04Z</dcterms:created>
  <dcterms:modified xsi:type="dcterms:W3CDTF">2019-12-29T10:25:04Z</dcterms:modified>
</cp:coreProperties>
</file>