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1035" w:right="239" w:bottom="1440" w:gutter="0" w:footer="0" w:header="0"/>
        </w:sectPr>
      </w:pPr>
    </w:p>
    <w:p>
      <w:pPr>
        <w:spacing w:after="0" w:line="272" w:lineRule="exact"/>
        <w:rPr>
          <w:sz w:val="24"/>
          <w:szCs w:val="24"/>
          <w:color w:val="auto"/>
        </w:rPr>
      </w:pPr>
    </w:p>
    <w:p>
      <w:pPr>
        <w:jc w:val="center"/>
        <w:ind w:right="4660"/>
        <w:spacing w:after="0"/>
        <w:rPr>
          <w:sz w:val="20"/>
          <w:szCs w:val="20"/>
          <w:color w:val="auto"/>
        </w:rPr>
      </w:pPr>
      <w:r>
        <w:rPr>
          <w:rFonts w:ascii="Arial" w:cs="Arial" w:eastAsia="Arial" w:hAnsi="Arial"/>
          <w:sz w:val="16"/>
          <w:szCs w:val="16"/>
          <w:b w:val="1"/>
          <w:bCs w:val="1"/>
          <w:color w:val="auto"/>
        </w:rPr>
        <w:t>For The Quarterly Period Ended</w:t>
      </w:r>
    </w:p>
    <w:p>
      <w:pPr>
        <w:spacing w:after="0" w:line="86" w:lineRule="exact"/>
        <w:rPr>
          <w:sz w:val="24"/>
          <w:szCs w:val="24"/>
          <w:color w:val="auto"/>
        </w:rPr>
      </w:pPr>
    </w:p>
    <w:p>
      <w:pPr>
        <w:jc w:val="center"/>
        <w:ind w:right="4660"/>
        <w:spacing w:after="0"/>
        <w:rPr>
          <w:sz w:val="20"/>
          <w:szCs w:val="20"/>
          <w:color w:val="auto"/>
        </w:rPr>
      </w:pPr>
      <w:r>
        <w:rPr>
          <w:rFonts w:ascii="Arial" w:cs="Arial" w:eastAsia="Arial" w:hAnsi="Arial"/>
          <w:sz w:val="18"/>
          <w:szCs w:val="18"/>
          <w:b w:val="1"/>
          <w:bCs w:val="1"/>
          <w:color w:val="auto"/>
        </w:rPr>
        <w:t>January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7510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1-3822</w:t>
      </w:r>
    </w:p>
    <w:p>
      <w:pPr>
        <w:spacing w:after="0" w:line="200" w:lineRule="exact"/>
        <w:rPr>
          <w:sz w:val="24"/>
          <w:szCs w:val="24"/>
          <w:color w:val="auto"/>
        </w:rPr>
      </w:pPr>
    </w:p>
    <w:p>
      <w:pPr>
        <w:sectPr>
          <w:pgSz w:w="11900" w:h="16838" w:orient="portrait"/>
          <w:cols w:equalWidth="0" w:num="2">
            <w:col w:w="8040" w:space="720"/>
            <w:col w:w="2660"/>
          </w:cols>
          <w:pgMar w:left="240" w:top="103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1035" w:right="239" w:bottom="1440" w:gutter="0" w:footer="0" w:header="0"/>
          <w:type w:val="continuous"/>
        </w:sectPr>
      </w:pPr>
    </w:p>
    <w:p>
      <w:pPr>
        <w:spacing w:after="0" w:line="91" w:lineRule="exact"/>
        <w:rPr>
          <w:sz w:val="24"/>
          <w:szCs w:val="24"/>
          <w:color w:val="auto"/>
        </w:rPr>
      </w:pPr>
    </w:p>
    <w:p>
      <w:pPr>
        <w:ind w:left="250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1035" w:right="239" w:bottom="1440" w:gutter="0" w:footer="0" w:header="0"/>
          <w:type w:val="continuous"/>
        </w:sectPr>
      </w:pPr>
    </w:p>
    <w:p>
      <w:pPr>
        <w:ind w:left="214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163" w:lineRule="exact"/>
        <w:rPr>
          <w:sz w:val="24"/>
          <w:szCs w:val="24"/>
          <w:color w:val="auto"/>
        </w:rPr>
      </w:pPr>
    </w:p>
    <w:p>
      <w:pPr>
        <w:sectPr>
          <w:pgSz w:w="11900" w:h="16838" w:orient="portrait"/>
          <w:cols w:equalWidth="0" w:num="2">
            <w:col w:w="6560" w:space="720"/>
            <w:col w:w="4140"/>
          </w:cols>
          <w:pgMar w:left="240" w:top="103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1035" w:right="239"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3" w:lineRule="exact"/>
        <w:rPr>
          <w:sz w:val="24"/>
          <w:szCs w:val="24"/>
          <w:color w:val="auto"/>
        </w:rPr>
      </w:pPr>
    </w:p>
    <w:p>
      <w:pPr>
        <w:ind w:left="1580"/>
        <w:spacing w:after="0"/>
        <w:tabs>
          <w:tab w:leader="none" w:pos="3840" w:val="left"/>
        </w:tabs>
        <w:rPr>
          <w:sz w:val="20"/>
          <w:szCs w:val="20"/>
          <w:color w:val="auto"/>
        </w:rPr>
      </w:pP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6"/>
          <w:szCs w:val="16"/>
          <w:b w:val="1"/>
          <w:bCs w:val="1"/>
          <w:color w:val="auto"/>
        </w:rPr>
        <w:t>Name of Each Exchange on Which Registered</w:t>
      </w:r>
    </w:p>
    <w:p>
      <w:pPr>
        <w:spacing w:after="0" w:line="67" w:lineRule="exact"/>
        <w:rPr>
          <w:sz w:val="24"/>
          <w:szCs w:val="24"/>
          <w:color w:val="auto"/>
        </w:rPr>
      </w:pPr>
    </w:p>
    <w:p>
      <w:pPr>
        <w:sectPr>
          <w:pgSz w:w="11900" w:h="16838" w:orient="portrait"/>
          <w:cols w:equalWidth="0" w:num="2">
            <w:col w:w="3020" w:space="480"/>
            <w:col w:w="7920"/>
          </w:cols>
          <w:pgMar w:left="240" w:top="1035" w:right="23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Capital Stock, par value $.0375</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Arial" w:cs="Arial" w:eastAsia="Arial" w:hAnsi="Arial"/>
          <w:sz w:val="16"/>
          <w:szCs w:val="16"/>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63" w:lineRule="exact"/>
        <w:rPr>
          <w:sz w:val="24"/>
          <w:szCs w:val="24"/>
          <w:color w:val="auto"/>
        </w:rPr>
      </w:pPr>
    </w:p>
    <w:p>
      <w:pPr>
        <w:sectPr>
          <w:pgSz w:w="11900" w:h="16838" w:orient="portrait"/>
          <w:cols w:equalWidth="0" w:num="3">
            <w:col w:w="4820" w:space="720"/>
            <w:col w:w="1880" w:space="720"/>
            <w:col w:w="3280"/>
          </w:cols>
          <w:pgMar w:left="240" w:top="103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1440" w:type="dxa"/>
        <w:tblCellMar>
          <w:top w:w="0" w:type="dxa"/>
          <w:left w:w="0" w:type="dxa"/>
          <w:bottom w:w="0" w:type="dxa"/>
          <w:right w:w="0" w:type="dxa"/>
        </w:tblCellMar>
      </w:tblPr>
      <w:tr>
        <w:trPr>
          <w:trHeight w:val="324"/>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1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44"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There were 301,744,623 shares of capital stock outstanding as of February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gridSpan w:val="5"/>
          </w:tcPr>
          <w:p>
            <w:pPr>
              <w:ind w:left="160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23"/>
        </w:trPr>
        <w:tc>
          <w:tcPr>
            <w:tcW w:w="4740" w:type="dxa"/>
            <w:vAlign w:val="bottom"/>
            <w:gridSpan w:val="1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1920" w:type="dxa"/>
            <w:vAlign w:val="bottom"/>
            <w:tcBorders>
              <w:top w:val="single" w:sz="8" w:color="auto"/>
            </w:tcBorders>
            <w:gridSpan w:val="3"/>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gridSpan w:val="3"/>
          </w:tcPr>
          <w:p>
            <w:pPr>
              <w:ind w:left="228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10"/>
        </w:trPr>
        <w:tc>
          <w:tcPr>
            <w:tcW w:w="820" w:type="dxa"/>
            <w:vAlign w:val="bottom"/>
            <w:tcBorders>
              <w:top w:val="single" w:sz="8" w:color="0000FF"/>
            </w:tcBorders>
          </w:tcPr>
          <w:p>
            <w:pPr>
              <w:spacing w:after="0"/>
              <w:rPr>
                <w:sz w:val="18"/>
                <w:szCs w:val="18"/>
                <w:color w:val="auto"/>
              </w:rPr>
            </w:pPr>
          </w:p>
        </w:tc>
        <w:tc>
          <w:tcPr>
            <w:tcW w:w="20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60" w:type="dxa"/>
            <w:vAlign w:val="bottom"/>
            <w:tcBorders>
              <w:top w:val="single" w:sz="8" w:color="0000FF"/>
            </w:tcBorders>
          </w:tcPr>
          <w:p>
            <w:pPr>
              <w:spacing w:after="0"/>
              <w:rPr>
                <w:sz w:val="18"/>
                <w:szCs w:val="18"/>
                <w:color w:val="auto"/>
              </w:rPr>
            </w:pPr>
          </w:p>
        </w:tc>
        <w:tc>
          <w:tcPr>
            <w:tcW w:w="4880" w:type="dxa"/>
            <w:vAlign w:val="bottom"/>
            <w:gridSpan w:val="6"/>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8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70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2. Management's Discussion and Analysis of Financial Condition and Results of Operations</w:t>
              </w:r>
            </w:hyperlink>
          </w:p>
        </w:tc>
        <w:tc>
          <w:tcPr>
            <w:tcW w:w="22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r>
      <w:tr>
        <w:trPr>
          <w:trHeight w:val="210"/>
        </w:trPr>
        <w:tc>
          <w:tcPr>
            <w:tcW w:w="820" w:type="dxa"/>
            <w:vAlign w:val="bottom"/>
          </w:tcPr>
          <w:p>
            <w:pPr>
              <w:spacing w:after="0"/>
              <w:rPr>
                <w:sz w:val="18"/>
                <w:szCs w:val="18"/>
                <w:color w:val="auto"/>
              </w:rPr>
            </w:pPr>
          </w:p>
        </w:tc>
        <w:tc>
          <w:tcPr>
            <w:tcW w:w="7000" w:type="dxa"/>
            <w:vAlign w:val="bottom"/>
            <w:gridSpan w:val="1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 xml:space="preserve">Item 3. Quantitative and Qualitative Disclosure About Market </w:t>
              </w:r>
            </w:hyperlink>
            <w:r>
              <w:rPr>
                <w:rFonts w:ascii="Arial" w:cs="Arial" w:eastAsia="Arial" w:hAnsi="Arial"/>
                <w:sz w:val="18"/>
                <w:szCs w:val="18"/>
                <w:color w:val="0000FF"/>
              </w:rPr>
              <w:t>Risk</w:t>
            </w:r>
          </w:p>
        </w:tc>
        <w:tc>
          <w:tcPr>
            <w:tcW w:w="2460" w:type="dxa"/>
            <w:vAlign w:val="bottom"/>
            <w:gridSpan w:val="3"/>
          </w:tcPr>
          <w:p>
            <w:pPr>
              <w:ind w:left="228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10"/>
        </w:trPr>
        <w:tc>
          <w:tcPr>
            <w:tcW w:w="820" w:type="dxa"/>
            <w:vAlign w:val="bottom"/>
          </w:tcPr>
          <w:p>
            <w:pPr>
              <w:spacing w:after="0"/>
              <w:rPr>
                <w:sz w:val="18"/>
                <w:szCs w:val="18"/>
                <w:color w:val="auto"/>
              </w:rPr>
            </w:pPr>
          </w:p>
        </w:tc>
        <w:tc>
          <w:tcPr>
            <w:tcW w:w="4840" w:type="dxa"/>
            <w:vAlign w:val="bottom"/>
            <w:tcBorders>
              <w:top w:val="single" w:sz="8" w:color="0000FF"/>
            </w:tcBorders>
            <w:gridSpan w:val="1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 Controls and Procedures</w:t>
              </w:r>
            </w:hyperlink>
          </w:p>
        </w:tc>
        <w:tc>
          <w:tcPr>
            <w:tcW w:w="2160" w:type="dxa"/>
            <w:vAlign w:val="bottom"/>
            <w:gridSpan w:val="3"/>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top w:val="single" w:sz="8" w:color="0000FF"/>
            </w:tcBorders>
            <w:gridSpan w:val="2"/>
          </w:tcPr>
          <w:p>
            <w:pPr>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0"/>
        </w:trPr>
        <w:tc>
          <w:tcPr>
            <w:tcW w:w="8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64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PART II - OTHER INFORMATION</w:t>
              </w:r>
            </w:hyperlink>
          </w:p>
        </w:tc>
        <w:tc>
          <w:tcPr>
            <w:tcW w:w="5180" w:type="dxa"/>
            <w:vAlign w:val="bottom"/>
            <w:gridSpan w:val="9"/>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10"/>
        </w:trPr>
        <w:tc>
          <w:tcPr>
            <w:tcW w:w="8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1.</w:t>
              </w:r>
            </w:hyperlink>
          </w:p>
        </w:tc>
        <w:tc>
          <w:tcPr>
            <w:tcW w:w="6480" w:type="dxa"/>
            <w:vAlign w:val="bottom"/>
            <w:gridSpan w:val="13"/>
          </w:tcPr>
          <w:p>
            <w:pPr>
              <w:ind w:left="40"/>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2460" w:type="dxa"/>
            <w:vAlign w:val="bottom"/>
            <w:gridSpan w:val="3"/>
          </w:tcPr>
          <w:p>
            <w:pPr>
              <w:ind w:left="2280"/>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10"/>
        </w:trPr>
        <w:tc>
          <w:tcPr>
            <w:tcW w:w="820" w:type="dxa"/>
            <w:vAlign w:val="bottom"/>
          </w:tcPr>
          <w:p>
            <w:pPr>
              <w:spacing w:after="0"/>
              <w:rPr>
                <w:sz w:val="18"/>
                <w:szCs w:val="18"/>
                <w:color w:val="auto"/>
              </w:rPr>
            </w:pPr>
          </w:p>
        </w:tc>
        <w:tc>
          <w:tcPr>
            <w:tcW w:w="1880" w:type="dxa"/>
            <w:vAlign w:val="bottom"/>
            <w:tcBorders>
              <w:top w:val="single" w:sz="8" w:color="0000FF"/>
            </w:tcBorders>
            <w:gridSpan w:val="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1A. Risk Factors</w:t>
              </w:r>
            </w:hyperlink>
          </w:p>
        </w:tc>
        <w:tc>
          <w:tcPr>
            <w:tcW w:w="5120" w:type="dxa"/>
            <w:vAlign w:val="bottom"/>
            <w:gridSpan w:val="8"/>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top w:val="single" w:sz="8" w:color="0000FF"/>
            </w:tcBorders>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0"/>
        </w:trPr>
        <w:tc>
          <w:tcPr>
            <w:tcW w:w="8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2.</w:t>
              </w:r>
            </w:hyperlink>
          </w:p>
        </w:tc>
        <w:tc>
          <w:tcPr>
            <w:tcW w:w="4380" w:type="dxa"/>
            <w:vAlign w:val="bottom"/>
            <w:tcBorders>
              <w:bottom w:val="single" w:sz="8" w:color="0000FF"/>
            </w:tcBorders>
            <w:gridSpan w:val="11"/>
          </w:tcPr>
          <w:p>
            <w:pPr>
              <w:ind w:left="4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Unregistered Sales of Equity Securities and Use of Proceeds</w:t>
              </w:r>
            </w:hyperlink>
          </w:p>
        </w:tc>
        <w:tc>
          <w:tcPr>
            <w:tcW w:w="210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10"/>
        </w:trPr>
        <w:tc>
          <w:tcPr>
            <w:tcW w:w="8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6.</w:t>
              </w:r>
            </w:hyperlink>
          </w:p>
        </w:tc>
        <w:tc>
          <w:tcPr>
            <w:tcW w:w="640" w:type="dxa"/>
            <w:vAlign w:val="bottom"/>
            <w:tcBorders>
              <w:bottom w:val="single" w:sz="8" w:color="0000FF"/>
            </w:tcBorders>
            <w:gridSpan w:val="2"/>
          </w:tcPr>
          <w:p>
            <w:pPr>
              <w:ind w:left="40"/>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Exhibits</w:t>
              </w:r>
            </w:hyperlink>
          </w:p>
        </w:tc>
        <w:tc>
          <w:tcPr>
            <w:tcW w:w="5840" w:type="dxa"/>
            <w:vAlign w:val="bottom"/>
            <w:gridSpan w:val="11"/>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10"/>
        </w:trPr>
        <w:tc>
          <w:tcPr>
            <w:tcW w:w="1720" w:type="dxa"/>
            <w:vAlign w:val="bottom"/>
            <w:tcBorders>
              <w:bottom w:val="single" w:sz="8" w:color="0000FF"/>
            </w:tcBorders>
            <w:gridSpan w:val="4"/>
          </w:tcPr>
          <w:p>
            <w:pPr>
              <w:spacing w:after="0"/>
              <w:rPr>
                <w:rFonts w:ascii="Arial" w:cs="Arial" w:eastAsia="Arial" w:hAnsi="Arial"/>
                <w:sz w:val="18"/>
                <w:szCs w:val="18"/>
                <w:color w:val="0000FF"/>
                <w:w w:val="98"/>
              </w:rPr>
            </w:pPr>
            <w:hyperlink w:anchor="page44">
              <w:r>
                <w:rPr>
                  <w:rFonts w:ascii="Arial" w:cs="Arial" w:eastAsia="Arial" w:hAnsi="Arial"/>
                  <w:sz w:val="18"/>
                  <w:szCs w:val="18"/>
                  <w:color w:val="0000FF"/>
                  <w:w w:val="98"/>
                </w:rPr>
                <w:t>INDEX TO EXHIBITS</w:t>
              </w:r>
            </w:hyperlink>
          </w:p>
        </w:tc>
        <w:tc>
          <w:tcPr>
            <w:tcW w:w="6100" w:type="dxa"/>
            <w:vAlign w:val="bottom"/>
            <w:gridSpan w:val="12"/>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r>
      <w:tr>
        <w:trPr>
          <w:trHeight w:val="210"/>
        </w:trPr>
        <w:tc>
          <w:tcPr>
            <w:tcW w:w="134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60" w:type="dxa"/>
            <w:vAlign w:val="bottom"/>
            <w:gridSpan w:val="3"/>
          </w:tcPr>
          <w:p>
            <w:pPr>
              <w:ind w:left="228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r>
      <w:tr>
        <w:trPr>
          <w:trHeight w:val="20"/>
        </w:trPr>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80"/>
          </w:cols>
          <w:pgMar w:left="260" w:top="878" w:right="1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0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26,</w:t>
            </w:r>
          </w:p>
        </w:tc>
        <w:tc>
          <w:tcPr>
            <w:tcW w:w="140" w:type="dxa"/>
            <w:vAlign w:val="bottom"/>
          </w:tcPr>
          <w:p>
            <w:pPr>
              <w:spacing w:after="0"/>
              <w:rPr>
                <w:sz w:val="13"/>
                <w:szCs w:val="13"/>
                <w:color w:val="auto"/>
              </w:rPr>
            </w:pPr>
          </w:p>
        </w:tc>
        <w:tc>
          <w:tcPr>
            <w:tcW w:w="10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40" w:type="dxa"/>
            <w:vAlign w:val="bottom"/>
          </w:tcPr>
          <w:p>
            <w:pPr>
              <w:spacing w:after="0"/>
              <w:rPr>
                <w:sz w:val="13"/>
                <w:szCs w:val="13"/>
                <w:color w:val="auto"/>
              </w:rPr>
            </w:pPr>
          </w:p>
        </w:tc>
        <w:tc>
          <w:tcPr>
            <w:tcW w:w="10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26,</w:t>
            </w:r>
          </w:p>
        </w:tc>
        <w:tc>
          <w:tcPr>
            <w:tcW w:w="140" w:type="dxa"/>
            <w:vAlign w:val="bottom"/>
          </w:tcPr>
          <w:p>
            <w:pPr>
              <w:spacing w:after="0"/>
              <w:rPr>
                <w:sz w:val="13"/>
                <w:szCs w:val="13"/>
                <w:color w:val="auto"/>
              </w:rPr>
            </w:pPr>
          </w:p>
        </w:tc>
        <w:tc>
          <w:tcPr>
            <w:tcW w:w="940" w:type="dxa"/>
            <w:vAlign w:val="bottom"/>
          </w:tcPr>
          <w:p>
            <w:pPr>
              <w:jc w:val="right"/>
              <w:ind w:right="91"/>
              <w:spacing w:after="0" w:line="153" w:lineRule="exact"/>
              <w:rPr>
                <w:sz w:val="20"/>
                <w:szCs w:val="20"/>
                <w:color w:val="auto"/>
              </w:rPr>
            </w:pPr>
            <w:r>
              <w:rPr>
                <w:rFonts w:ascii="Arial" w:cs="Arial" w:eastAsia="Arial" w:hAnsi="Arial"/>
                <w:sz w:val="14"/>
                <w:szCs w:val="14"/>
                <w:b w:val="1"/>
                <w:bCs w:val="1"/>
                <w:color w:val="auto"/>
                <w:w w:val="95"/>
              </w:rPr>
              <w:t>January 27,</w:t>
            </w:r>
          </w:p>
        </w:tc>
      </w:tr>
      <w:tr>
        <w:trPr>
          <w:trHeight w:val="192"/>
        </w:trPr>
        <w:tc>
          <w:tcPr>
            <w:tcW w:w="6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r>
      <w:tr>
        <w:trPr>
          <w:trHeight w:val="27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2,162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4,345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4,374</w:t>
            </w:r>
          </w:p>
        </w:tc>
      </w:tr>
      <w:tr>
        <w:trPr>
          <w:trHeight w:val="237"/>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products sold</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2,942</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Marketing and selling expenses</w:t>
            </w: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432</w:t>
            </w: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294</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43</w:t>
            </w: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expenses / (income)</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20</w:t>
            </w:r>
          </w:p>
        </w:tc>
      </w:tr>
      <w:tr>
        <w:trPr>
          <w:trHeight w:val="27"/>
        </w:trPr>
        <w:tc>
          <w:tcPr>
            <w:tcW w:w="6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1,812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3,723</w:t>
            </w:r>
          </w:p>
        </w:tc>
      </w:tr>
      <w:tr>
        <w:trPr>
          <w:trHeight w:val="237"/>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350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667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651</w:t>
            </w: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6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Taxes on earnings</w:t>
            </w: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114</w:t>
            </w:r>
          </w:p>
        </w:tc>
      </w:tr>
      <w:tr>
        <w:trPr>
          <w:trHeight w:val="27"/>
        </w:trPr>
        <w:tc>
          <w:tcPr>
            <w:tcW w:w="6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356</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1,037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1,034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6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r>
      <w:tr>
        <w:trPr>
          <w:trHeight w:val="243"/>
        </w:trPr>
        <w:tc>
          <w:tcPr>
            <w:tcW w:w="6780" w:type="dxa"/>
            <w:vAlign w:val="bottom"/>
          </w:tcPr>
          <w:p>
            <w:pPr>
              <w:ind w:left="120"/>
              <w:spacing w:after="0"/>
              <w:rPr>
                <w:sz w:val="20"/>
                <w:szCs w:val="20"/>
                <w:color w:val="auto"/>
              </w:rPr>
            </w:pPr>
            <w:r>
              <w:rPr>
                <w:rFonts w:ascii="Arial" w:cs="Arial" w:eastAsia="Arial" w:hAnsi="Arial"/>
                <w:sz w:val="18"/>
                <w:szCs w:val="18"/>
                <w:color w:val="auto"/>
              </w:rPr>
              <w:t>Less: Net earnings (loss) attributable to noncontrolling interests</w:t>
            </w:r>
          </w:p>
        </w:tc>
        <w:tc>
          <w:tcPr>
            <w:tcW w:w="1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 attributable to Campbell Soup Company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1,374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r>
      <w:tr>
        <w:trPr>
          <w:trHeight w:val="20"/>
        </w:trPr>
        <w:tc>
          <w:tcPr>
            <w:tcW w:w="6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Per Share — Basic</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3.43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6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 attributable to Campbell Soup Company</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4.00</w:t>
            </w: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4.56</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301</w:t>
            </w:r>
          </w:p>
        </w:tc>
      </w:tr>
      <w:tr>
        <w:trPr>
          <w:trHeight w:val="27"/>
        </w:trPr>
        <w:tc>
          <w:tcPr>
            <w:tcW w:w="6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1.18</w:t>
            </w:r>
          </w:p>
        </w:tc>
      </w:tr>
      <w:tr>
        <w:trPr>
          <w:trHeight w:val="27"/>
        </w:trPr>
        <w:tc>
          <w:tcPr>
            <w:tcW w:w="6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37"/>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(loss) attributable to Campbell Soup Company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3.97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4.53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w:t>
            </w:r>
          </w:p>
        </w:tc>
      </w:tr>
      <w:tr>
        <w:trPr>
          <w:trHeight w:val="27"/>
        </w:trPr>
        <w:tc>
          <w:tcPr>
            <w:tcW w:w="6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304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w:t>
            </w:r>
          </w:p>
        </w:tc>
      </w:tr>
      <w:tr>
        <w:trPr>
          <w:trHeight w:val="20"/>
        </w:trPr>
        <w:tc>
          <w:tcPr>
            <w:tcW w:w="6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8"/>
          <w:szCs w:val="18"/>
          <w:color w:val="auto"/>
        </w:rPr>
        <w:t xml:space="preserve"> Sum of the individual amounts may not add due to rounding</w:t>
      </w:r>
      <w:r>
        <w:rPr>
          <w:rFonts w:ascii="Arial" w:cs="Arial" w:eastAsia="Arial" w:hAnsi="Arial"/>
          <w:sz w:val="14"/>
          <w:szCs w:val="14"/>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9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January 26, 2020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6"/>
              </w:rPr>
              <w:t>January 27, 2019</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Tax</w:t>
            </w:r>
          </w:p>
        </w:tc>
        <w:tc>
          <w:tcPr>
            <w:tcW w:w="7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(expense)</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1,208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20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of currency translation adjustments realized upon disposal of</w:t>
            </w:r>
          </w:p>
        </w:tc>
        <w:tc>
          <w:tcPr>
            <w:tcW w:w="1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128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businesses</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800" w:type="dxa"/>
            <w:vAlign w:val="bottom"/>
          </w:tcPr>
          <w:p>
            <w:pPr>
              <w:ind w:left="12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Unrealized gains (losses) arising during the period</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5800" w:type="dxa"/>
            <w:vAlign w:val="bottom"/>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4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62"/>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124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130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1,338</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5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1,339</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5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5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January 26, 2020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6"/>
              </w:rPr>
              <w:t>January 27, 2019</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Tax</w:t>
            </w:r>
          </w:p>
        </w:tc>
        <w:tc>
          <w:tcPr>
            <w:tcW w:w="7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(expense)</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1,374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4"/>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Reclassification of currency translation adjustments realized upon disposal of</w:t>
            </w:r>
          </w:p>
        </w:tc>
        <w:tc>
          <w:tcPr>
            <w:tcW w:w="1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210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businesses</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800" w:type="dxa"/>
            <w:vAlign w:val="bottom"/>
          </w:tcPr>
          <w:p>
            <w:pPr>
              <w:ind w:left="12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Unrealized gains (losses) arising during period</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5800" w:type="dxa"/>
            <w:vAlign w:val="bottom"/>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40" w:type="dxa"/>
            <w:vAlign w:val="bottom"/>
          </w:tcPr>
          <w:p>
            <w:pPr>
              <w:spacing w:after="0"/>
              <w:rPr>
                <w:sz w:val="19"/>
                <w:szCs w:val="19"/>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62"/>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197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203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1,577</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5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1,577</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5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2"/>
              </w:rPr>
              <w:t>January 26, 2020</w:t>
            </w:r>
          </w:p>
        </w:tc>
        <w:tc>
          <w:tcPr>
            <w:tcW w:w="380" w:type="dxa"/>
            <w:vAlign w:val="bottom"/>
          </w:tcPr>
          <w:p>
            <w:pPr>
              <w:spacing w:after="0"/>
              <w:rPr>
                <w:sz w:val="14"/>
                <w:szCs w:val="14"/>
                <w:color w:val="auto"/>
              </w:rPr>
            </w:pPr>
          </w:p>
        </w:tc>
        <w:tc>
          <w:tcPr>
            <w:tcW w:w="1060" w:type="dxa"/>
            <w:vAlign w:val="bottom"/>
          </w:tcPr>
          <w:p>
            <w:pPr>
              <w:jc w:val="right"/>
              <w:ind w:right="331"/>
              <w:spacing w:after="0"/>
              <w:rPr>
                <w:sz w:val="20"/>
                <w:szCs w:val="20"/>
                <w:color w:val="auto"/>
              </w:rPr>
            </w:pPr>
            <w:r>
              <w:rPr>
                <w:rFonts w:ascii="Arial" w:cs="Arial" w:eastAsia="Arial" w:hAnsi="Arial"/>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58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660</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779</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59</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Current assets of discontinued operations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1,556</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Plant assets, net of depreciation</w:t>
            </w:r>
          </w:p>
        </w:tc>
        <w:tc>
          <w:tcPr>
            <w:tcW w:w="1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2,336</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3,988</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Other intangible assets, net of amortization</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3,373</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($73 as of 2020 and $76 as of 2019 attributable to variable interest entity)</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11,654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13,148</w:t>
            </w:r>
          </w:p>
        </w:tc>
        <w:tc>
          <w:tcPr>
            <w:tcW w:w="0" w:type="dxa"/>
            <w:vAlign w:val="bottom"/>
          </w:tcPr>
          <w:p>
            <w:pPr>
              <w:spacing w:after="0"/>
              <w:rPr>
                <w:sz w:val="1"/>
                <w:szCs w:val="1"/>
                <w:color w:val="auto"/>
              </w:rPr>
            </w:pP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borrowings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902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Payable to suppliers and others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923</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600</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Dividends payable</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108</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Current liabilities of discontinued operations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2,536</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Long-term debt</w:t>
            </w:r>
          </w:p>
        </w:tc>
        <w:tc>
          <w:tcPr>
            <w:tcW w:w="1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4,919</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956</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744</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9,155</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8"/>
                <w:szCs w:val="18"/>
                <w:b w:val="1"/>
                <w:bCs w:val="1"/>
                <w:color w:val="auto"/>
              </w:rPr>
              <w:t>Campbell Soup Company shareholders' equity</w:t>
            </w: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Preferred stock; authorized 40 shares; none issued</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374</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Earnings retained in the business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3,151</w:t>
            </w:r>
          </w:p>
        </w:tc>
        <w:tc>
          <w:tcPr>
            <w:tcW w:w="38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 stock in treasury, at cost</w:t>
            </w:r>
          </w:p>
        </w:tc>
        <w:tc>
          <w:tcPr>
            <w:tcW w:w="1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(1,048)</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30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2,494</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w:t>
            </w: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2,499</w:t>
            </w: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37"/>
        </w:trPr>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11,654</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13,148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2"/>
              </w:rPr>
              <w:t>Six Months Ended</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26,</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January 27, 2019</w:t>
            </w:r>
          </w:p>
        </w:tc>
        <w:tc>
          <w:tcPr>
            <w:tcW w:w="0" w:type="dxa"/>
            <w:vAlign w:val="bottom"/>
          </w:tcPr>
          <w:p>
            <w:pPr>
              <w:spacing w:after="0"/>
              <w:rPr>
                <w:sz w:val="1"/>
                <w:szCs w:val="1"/>
                <w:color w:val="auto"/>
              </w:rPr>
            </w:pPr>
          </w:p>
        </w:tc>
      </w:tr>
      <w:tr>
        <w:trPr>
          <w:trHeight w:val="192"/>
        </w:trPr>
        <w:tc>
          <w:tcPr>
            <w:tcW w:w="9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140" w:type="dxa"/>
            <w:vAlign w:val="bottom"/>
          </w:tcPr>
          <w:p>
            <w:pPr>
              <w:ind w:left="120"/>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1,374</w:t>
            </w:r>
          </w:p>
        </w:tc>
        <w:tc>
          <w:tcPr>
            <w:tcW w:w="12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earnings to operating cash flow</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140" w:type="dxa"/>
            <w:vAlign w:val="bottom"/>
          </w:tcPr>
          <w:p>
            <w:pPr>
              <w:ind w:left="340"/>
              <w:spacing w:after="0"/>
              <w:rPr>
                <w:sz w:val="20"/>
                <w:szCs w:val="20"/>
                <w:color w:val="auto"/>
              </w:rPr>
            </w:pPr>
            <w:r>
              <w:rPr>
                <w:rFonts w:ascii="Arial" w:cs="Arial" w:eastAsia="Arial" w:hAnsi="Arial"/>
                <w:sz w:val="14"/>
                <w:szCs w:val="14"/>
                <w:color w:val="auto"/>
              </w:rPr>
              <w:t>Impairment charges</w:t>
            </w:r>
          </w:p>
        </w:tc>
        <w:tc>
          <w:tcPr>
            <w:tcW w:w="1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Restructuring charges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7"/>
        </w:trPr>
        <w:tc>
          <w:tcPr>
            <w:tcW w:w="91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Pension and postretirement benefit income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7"/>
        </w:trPr>
        <w:tc>
          <w:tcPr>
            <w:tcW w:w="91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162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7"/>
        </w:trPr>
        <w:tc>
          <w:tcPr>
            <w:tcW w:w="9140" w:type="dxa"/>
            <w:vAlign w:val="bottom"/>
          </w:tcPr>
          <w:p>
            <w:pPr>
              <w:ind w:left="340"/>
              <w:spacing w:after="0"/>
              <w:rPr>
                <w:sz w:val="20"/>
                <w:szCs w:val="20"/>
                <w:color w:val="auto"/>
              </w:rPr>
            </w:pPr>
            <w:r>
              <w:rPr>
                <w:rFonts w:ascii="Arial" w:cs="Arial" w:eastAsia="Arial" w:hAnsi="Arial"/>
                <w:sz w:val="14"/>
                <w:szCs w:val="14"/>
                <w:color w:val="auto"/>
              </w:rPr>
              <w:t>Net gain on sales of businesses</w:t>
            </w: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(972)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9140" w:type="dxa"/>
            <w:vAlign w:val="bottom"/>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working capital, net of acquisition and divestitures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14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(112)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7"/>
        </w:trPr>
        <w:tc>
          <w:tcPr>
            <w:tcW w:w="9140" w:type="dxa"/>
            <w:vAlign w:val="bottom"/>
          </w:tcPr>
          <w:p>
            <w:pPr>
              <w:ind w:left="340"/>
              <w:spacing w:after="0"/>
              <w:rPr>
                <w:sz w:val="20"/>
                <w:szCs w:val="20"/>
                <w:color w:val="auto"/>
              </w:rPr>
            </w:pPr>
            <w:r>
              <w:rPr>
                <w:rFonts w:ascii="Arial" w:cs="Arial" w:eastAsia="Arial" w:hAnsi="Arial"/>
                <w:sz w:val="14"/>
                <w:szCs w:val="14"/>
                <w:color w:val="auto"/>
              </w:rPr>
              <w:t>Prepaid assets</w:t>
            </w: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97"/>
        </w:trPr>
        <w:tc>
          <w:tcPr>
            <w:tcW w:w="91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provided by operating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663</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96"/>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plant assets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7"/>
        </w:trPr>
        <w:tc>
          <w:tcPr>
            <w:tcW w:w="9140" w:type="dxa"/>
            <w:vAlign w:val="bottom"/>
          </w:tcPr>
          <w:p>
            <w:pPr>
              <w:ind w:left="120"/>
              <w:spacing w:after="0"/>
              <w:rPr>
                <w:sz w:val="20"/>
                <w:szCs w:val="20"/>
                <w:color w:val="auto"/>
              </w:rPr>
            </w:pPr>
            <w:r>
              <w:rPr>
                <w:rFonts w:ascii="Arial" w:cs="Arial" w:eastAsia="Arial" w:hAnsi="Arial"/>
                <w:sz w:val="14"/>
                <w:szCs w:val="14"/>
                <w:color w:val="auto"/>
              </w:rPr>
              <w:t>Purchases of route businesses</w:t>
            </w: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of route businesses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7"/>
        </w:trPr>
        <w:tc>
          <w:tcPr>
            <w:tcW w:w="9140" w:type="dxa"/>
            <w:vAlign w:val="bottom"/>
          </w:tcPr>
          <w:p>
            <w:pPr>
              <w:ind w:left="120"/>
              <w:spacing w:after="0"/>
              <w:rPr>
                <w:sz w:val="20"/>
                <w:szCs w:val="20"/>
                <w:color w:val="auto"/>
              </w:rPr>
            </w:pPr>
            <w:r>
              <w:rPr>
                <w:rFonts w:ascii="Arial" w:cs="Arial" w:eastAsia="Arial" w:hAnsi="Arial"/>
                <w:sz w:val="14"/>
                <w:szCs w:val="14"/>
                <w:color w:val="auto"/>
              </w:rPr>
              <w:t>Business acquired, net of cash acquired</w:t>
            </w:r>
          </w:p>
        </w:tc>
        <w:tc>
          <w:tcPr>
            <w:tcW w:w="1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of businesses, net of cash divested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1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2,368</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96"/>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3,680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197"/>
        </w:trPr>
        <w:tc>
          <w:tcPr>
            <w:tcW w:w="9140" w:type="dxa"/>
            <w:vAlign w:val="bottom"/>
          </w:tcPr>
          <w:p>
            <w:pPr>
              <w:ind w:left="120"/>
              <w:spacing w:after="0"/>
              <w:rPr>
                <w:sz w:val="20"/>
                <w:szCs w:val="20"/>
                <w:color w:val="auto"/>
              </w:rPr>
            </w:pPr>
            <w:r>
              <w:rPr>
                <w:rFonts w:ascii="Arial" w:cs="Arial" w:eastAsia="Arial" w:hAnsi="Arial"/>
                <w:sz w:val="14"/>
                <w:szCs w:val="14"/>
                <w:color w:val="auto"/>
              </w:rPr>
              <w:t>Short-term repayments</w:t>
            </w: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(4,350)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(3,274)</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repayments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140" w:type="dxa"/>
            <w:vAlign w:val="bottom"/>
          </w:tcPr>
          <w:p>
            <w:pPr>
              <w:ind w:left="120"/>
              <w:spacing w:after="0"/>
              <w:rPr>
                <w:sz w:val="20"/>
                <w:szCs w:val="20"/>
                <w:color w:val="auto"/>
              </w:rPr>
            </w:pPr>
            <w:r>
              <w:rPr>
                <w:rFonts w:ascii="Arial" w:cs="Arial" w:eastAsia="Arial" w:hAnsi="Arial"/>
                <w:sz w:val="14"/>
                <w:szCs w:val="14"/>
                <w:color w:val="auto"/>
              </w:rPr>
              <w:t>Dividends paid</w:t>
            </w: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(213)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stock issuances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140" w:type="dxa"/>
            <w:vAlign w:val="bottom"/>
          </w:tcPr>
          <w:p>
            <w:pPr>
              <w:ind w:left="120"/>
              <w:spacing w:after="0"/>
              <w:rPr>
                <w:sz w:val="20"/>
                <w:szCs w:val="20"/>
                <w:color w:val="auto"/>
              </w:rPr>
            </w:pPr>
            <w:r>
              <w:rPr>
                <w:rFonts w:ascii="Arial" w:cs="Arial" w:eastAsia="Arial" w:hAnsi="Arial"/>
                <w:sz w:val="14"/>
                <w:szCs w:val="14"/>
                <w:color w:val="auto"/>
              </w:rPr>
              <w:t>Payments related to tax withholding for stock-based compensation</w:t>
            </w:r>
          </w:p>
        </w:tc>
        <w:tc>
          <w:tcPr>
            <w:tcW w:w="12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related to extinguishment of debt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91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Payments of debt issuance costs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used in financing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(3,152)</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Effect of exchange rate changes on cash</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2"/>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7"/>
        </w:trPr>
        <w:tc>
          <w:tcPr>
            <w:tcW w:w="91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 beginning of period</w:t>
            </w:r>
          </w:p>
        </w:tc>
        <w:tc>
          <w:tcPr>
            <w:tcW w:w="12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discontinued operations — beginning of period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97"/>
        </w:trPr>
        <w:tc>
          <w:tcPr>
            <w:tcW w:w="9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and cash equivalents discontinued operations — end of period</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21"/>
        </w:trPr>
        <w:tc>
          <w:tcPr>
            <w:tcW w:w="9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58</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Campbell Soup Company Shareholders’ Equity</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3"/>
          </w:tcPr>
          <w:p>
            <w:pPr>
              <w:jc w:val="right"/>
              <w:ind w:right="308"/>
              <w:spacing w:after="0" w:line="153" w:lineRule="exact"/>
              <w:rPr>
                <w:sz w:val="20"/>
                <w:szCs w:val="20"/>
                <w:color w:val="auto"/>
              </w:rPr>
            </w:pPr>
            <w:r>
              <w:rPr>
                <w:rFonts w:ascii="Arial" w:cs="Arial" w:eastAsia="Arial" w:hAnsi="Arial"/>
                <w:sz w:val="14"/>
                <w:szCs w:val="14"/>
                <w:b w:val="1"/>
                <w:bCs w:val="1"/>
                <w:color w:val="auto"/>
              </w:rPr>
              <w:t>Capital Stock</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1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restart"/>
          </w:tcPr>
          <w:p>
            <w:pPr>
              <w:jc w:val="right"/>
              <w:ind w:right="49"/>
              <w:spacing w:after="0" w:line="149"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4"/>
                <w:szCs w:val="4"/>
                <w:color w:val="auto"/>
              </w:rPr>
            </w:pPr>
          </w:p>
        </w:tc>
        <w:tc>
          <w:tcPr>
            <w:tcW w:w="84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Retained in</w:t>
            </w:r>
          </w:p>
        </w:tc>
        <w:tc>
          <w:tcPr>
            <w:tcW w:w="1400" w:type="dxa"/>
            <w:vAlign w:val="bottom"/>
            <w:gridSpan w:val="2"/>
            <w:vMerge w:val="restart"/>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gridSpan w:val="2"/>
            <w:vMerge w:val="restart"/>
          </w:tcPr>
          <w:p>
            <w:pPr>
              <w:jc w:val="right"/>
              <w:ind w:right="528"/>
              <w:spacing w:after="0"/>
              <w:rPr>
                <w:sz w:val="20"/>
                <w:szCs w:val="20"/>
                <w:color w:val="auto"/>
              </w:rPr>
            </w:pPr>
            <w:r>
              <w:rPr>
                <w:rFonts w:ascii="Arial" w:cs="Arial" w:eastAsia="Arial" w:hAnsi="Arial"/>
                <w:sz w:val="14"/>
                <w:szCs w:val="14"/>
                <w:b w:val="1"/>
                <w:bCs w:val="1"/>
                <w:color w:val="auto"/>
                <w:w w:val="81"/>
              </w:rPr>
              <w:t>Issued</w:t>
            </w:r>
          </w:p>
        </w:tc>
        <w:tc>
          <w:tcPr>
            <w:tcW w:w="100" w:type="dxa"/>
            <w:vAlign w:val="bottom"/>
            <w:vMerge w:val="restart"/>
          </w:tcPr>
          <w:p>
            <w:pPr>
              <w:spacing w:after="0"/>
              <w:rPr>
                <w:sz w:val="6"/>
                <w:szCs w:val="6"/>
                <w:color w:val="auto"/>
              </w:rPr>
            </w:pPr>
          </w:p>
        </w:tc>
        <w:tc>
          <w:tcPr>
            <w:tcW w:w="158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80" w:type="dxa"/>
            <w:vAlign w:val="bottom"/>
            <w:tcBorders>
              <w:bottom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right"/>
              <w:ind w:right="169"/>
              <w:spacing w:after="0" w:line="111" w:lineRule="exact"/>
              <w:rPr>
                <w:sz w:val="20"/>
                <w:szCs w:val="20"/>
                <w:color w:val="auto"/>
              </w:rPr>
            </w:pPr>
            <w:r>
              <w:rPr>
                <w:rFonts w:ascii="Arial" w:cs="Arial" w:eastAsia="Arial" w:hAnsi="Arial"/>
                <w:sz w:val="12"/>
                <w:szCs w:val="12"/>
                <w:b w:val="1"/>
                <w:bCs w:val="1"/>
                <w:color w:val="auto"/>
              </w:rPr>
              <w:t>Paid-in</w:t>
            </w:r>
          </w:p>
        </w:tc>
        <w:tc>
          <w:tcPr>
            <w:tcW w:w="220" w:type="dxa"/>
            <w:vAlign w:val="bottom"/>
          </w:tcPr>
          <w:p>
            <w:pPr>
              <w:spacing w:after="0"/>
              <w:rPr>
                <w:sz w:val="9"/>
                <w:szCs w:val="9"/>
                <w:color w:val="auto"/>
              </w:rPr>
            </w:pPr>
          </w:p>
        </w:tc>
        <w:tc>
          <w:tcPr>
            <w:tcW w:w="840" w:type="dxa"/>
            <w:vAlign w:val="bottom"/>
          </w:tcPr>
          <w:p>
            <w:pPr>
              <w:jc w:val="center"/>
              <w:ind w:right="48"/>
              <w:spacing w:after="0" w:line="111" w:lineRule="exact"/>
              <w:rPr>
                <w:sz w:val="20"/>
                <w:szCs w:val="20"/>
                <w:color w:val="auto"/>
              </w:rPr>
            </w:pPr>
            <w:r>
              <w:rPr>
                <w:rFonts w:ascii="Arial" w:cs="Arial" w:eastAsia="Arial" w:hAnsi="Arial"/>
                <w:sz w:val="12"/>
                <w:szCs w:val="12"/>
                <w:b w:val="1"/>
                <w:bCs w:val="1"/>
                <w:color w:val="auto"/>
              </w:rPr>
              <w:t>the</w:t>
            </w:r>
          </w:p>
        </w:tc>
        <w:tc>
          <w:tcPr>
            <w:tcW w:w="220" w:type="dxa"/>
            <w:vAlign w:val="bottom"/>
          </w:tcPr>
          <w:p>
            <w:pPr>
              <w:spacing w:after="0"/>
              <w:rPr>
                <w:sz w:val="9"/>
                <w:szCs w:val="9"/>
                <w:color w:val="auto"/>
              </w:rPr>
            </w:pPr>
          </w:p>
        </w:tc>
        <w:tc>
          <w:tcPr>
            <w:tcW w:w="1180" w:type="dxa"/>
            <w:vAlign w:val="bottom"/>
          </w:tcPr>
          <w:p>
            <w:pPr>
              <w:jc w:val="center"/>
              <w:ind w:right="69"/>
              <w:spacing w:after="0" w:line="111" w:lineRule="exact"/>
              <w:rPr>
                <w:sz w:val="20"/>
                <w:szCs w:val="20"/>
                <w:color w:val="auto"/>
              </w:rPr>
            </w:pPr>
            <w:r>
              <w:rPr>
                <w:rFonts w:ascii="Arial" w:cs="Arial" w:eastAsia="Arial" w:hAnsi="Arial"/>
                <w:sz w:val="12"/>
                <w:szCs w:val="12"/>
                <w:b w:val="1"/>
                <w:bCs w:val="1"/>
                <w:color w:val="auto"/>
              </w:rPr>
              <w:t>Comprehensive</w:t>
            </w:r>
          </w:p>
        </w:tc>
        <w:tc>
          <w:tcPr>
            <w:tcW w:w="220" w:type="dxa"/>
            <w:vAlign w:val="bottom"/>
          </w:tcPr>
          <w:p>
            <w:pPr>
              <w:spacing w:after="0"/>
              <w:rPr>
                <w:sz w:val="9"/>
                <w:szCs w:val="9"/>
                <w:color w:val="auto"/>
              </w:rPr>
            </w:pPr>
          </w:p>
        </w:tc>
        <w:tc>
          <w:tcPr>
            <w:tcW w:w="1120" w:type="dxa"/>
            <w:vAlign w:val="bottom"/>
          </w:tcPr>
          <w:p>
            <w:pPr>
              <w:jc w:val="right"/>
              <w:ind w:right="89"/>
              <w:spacing w:after="0" w:line="111" w:lineRule="exact"/>
              <w:rPr>
                <w:sz w:val="20"/>
                <w:szCs w:val="20"/>
                <w:color w:val="auto"/>
              </w:rPr>
            </w:pPr>
            <w:r>
              <w:rPr>
                <w:rFonts w:ascii="Arial" w:cs="Arial" w:eastAsia="Arial" w:hAnsi="Arial"/>
                <w:sz w:val="12"/>
                <w:szCs w:val="12"/>
                <w:b w:val="1"/>
                <w:bCs w:val="1"/>
                <w:color w:val="auto"/>
              </w:rPr>
              <w:t>Noncontrolling</w:t>
            </w:r>
          </w:p>
        </w:tc>
        <w:tc>
          <w:tcPr>
            <w:tcW w:w="300" w:type="dxa"/>
            <w:vAlign w:val="bottom"/>
          </w:tcPr>
          <w:p>
            <w:pPr>
              <w:spacing w:after="0"/>
              <w:rPr>
                <w:sz w:val="9"/>
                <w:szCs w:val="9"/>
                <w:color w:val="auto"/>
              </w:rPr>
            </w:pPr>
          </w:p>
        </w:tc>
        <w:tc>
          <w:tcPr>
            <w:tcW w:w="860" w:type="dxa"/>
            <w:vAlign w:val="bottom"/>
          </w:tcPr>
          <w:p>
            <w:pPr>
              <w:jc w:val="right"/>
              <w:ind w:right="308"/>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Interests</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October 28, 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Other comprehensive income (loss)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7"/>
        </w:trPr>
        <w:tc>
          <w:tcPr>
            <w:tcW w:w="2160" w:type="dxa"/>
            <w:vAlign w:val="bottom"/>
          </w:tcPr>
          <w:p>
            <w:pPr>
              <w:ind w:left="20"/>
              <w:spacing w:after="0"/>
              <w:rPr>
                <w:sz w:val="20"/>
                <w:szCs w:val="20"/>
                <w:color w:val="auto"/>
              </w:rPr>
            </w:pPr>
            <w:r>
              <w:rPr>
                <w:rFonts w:ascii="Arial" w:cs="Arial" w:eastAsia="Arial" w:hAnsi="Arial"/>
                <w:sz w:val="14"/>
                <w:szCs w:val="14"/>
                <w:color w:val="auto"/>
              </w:rPr>
              <w:t>Dividends ($.35 per share)</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Treasury stock issued under</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management incentive and stock</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1"/>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27, 2019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29, 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160" w:type="dxa"/>
            <w:vAlign w:val="bottom"/>
          </w:tcPr>
          <w:p>
            <w:pPr>
              <w:ind w:left="20"/>
              <w:spacing w:after="0" w:line="137" w:lineRule="exact"/>
              <w:rPr>
                <w:sz w:val="20"/>
                <w:szCs w:val="20"/>
                <w:color w:val="auto"/>
              </w:rPr>
            </w:pPr>
            <w:r>
              <w:rPr>
                <w:rFonts w:ascii="Arial" w:cs="Arial" w:eastAsia="Arial" w:hAnsi="Arial"/>
                <w:sz w:val="14"/>
                <w:szCs w:val="14"/>
                <w:color w:val="auto"/>
              </w:rPr>
              <w:t>Cumulative effect of changes in</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accounting principle:</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7"/>
        </w:trPr>
        <w:tc>
          <w:tcPr>
            <w:tcW w:w="2160" w:type="dxa"/>
            <w:vAlign w:val="bottom"/>
          </w:tcPr>
          <w:p>
            <w:pPr>
              <w:ind w:left="180"/>
              <w:spacing w:after="0"/>
              <w:rPr>
                <w:sz w:val="20"/>
                <w:szCs w:val="20"/>
                <w:color w:val="auto"/>
              </w:rPr>
            </w:pPr>
            <w:r>
              <w:rPr>
                <w:rFonts w:ascii="Arial" w:cs="Arial" w:eastAsia="Arial" w:hAnsi="Arial"/>
                <w:sz w:val="14"/>
                <w:szCs w:val="14"/>
                <w:color w:val="auto"/>
              </w:rPr>
              <w:t>Stranded tax effects</w:t>
            </w:r>
            <w:r>
              <w:rPr>
                <w:rFonts w:ascii="Arial" w:cs="Arial" w:eastAsia="Arial" w:hAnsi="Arial"/>
                <w:sz w:val="9"/>
                <w:szCs w:val="9"/>
                <w:color w:val="auto"/>
              </w:rPr>
              <w:t>(1)</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(loss)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7"/>
        </w:trPr>
        <w:tc>
          <w:tcPr>
            <w:tcW w:w="2160" w:type="dxa"/>
            <w:vAlign w:val="bottom"/>
          </w:tcPr>
          <w:p>
            <w:pPr>
              <w:ind w:left="20"/>
              <w:spacing w:after="0"/>
              <w:rPr>
                <w:sz w:val="20"/>
                <w:szCs w:val="20"/>
                <w:color w:val="auto"/>
              </w:rPr>
            </w:pPr>
            <w:r>
              <w:rPr>
                <w:rFonts w:ascii="Arial" w:cs="Arial" w:eastAsia="Arial" w:hAnsi="Arial"/>
                <w:sz w:val="14"/>
                <w:szCs w:val="14"/>
                <w:color w:val="auto"/>
                <w:w w:val="95"/>
              </w:rPr>
              <w:t>Other comprehensive income (loss)</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7"/>
                <w:szCs w:val="17"/>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($.70 per share)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7"/>
        </w:trPr>
        <w:tc>
          <w:tcPr>
            <w:tcW w:w="2160" w:type="dxa"/>
            <w:vAlign w:val="bottom"/>
          </w:tcPr>
          <w:p>
            <w:pPr>
              <w:ind w:left="20"/>
              <w:spacing w:after="0"/>
              <w:rPr>
                <w:sz w:val="20"/>
                <w:szCs w:val="20"/>
                <w:color w:val="auto"/>
              </w:rPr>
            </w:pPr>
            <w:r>
              <w:rPr>
                <w:rFonts w:ascii="Arial" w:cs="Arial" w:eastAsia="Arial" w:hAnsi="Arial"/>
                <w:sz w:val="14"/>
                <w:szCs w:val="14"/>
                <w:color w:val="auto"/>
              </w:rPr>
              <w:t>Treasury stock purchased</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issued under</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management incentive and stock</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option plans</w:t>
            </w:r>
          </w:p>
        </w:tc>
        <w:tc>
          <w:tcPr>
            <w:tcW w:w="6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at January 27, 2019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October 27, 2019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1,208</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1,208</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Divestiture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Other comprehensive income</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131</w:t>
            </w:r>
          </w:p>
        </w:tc>
        <w:tc>
          <w:tcPr>
            <w:tcW w:w="220" w:type="dxa"/>
            <w:vAlign w:val="bottom"/>
          </w:tcPr>
          <w:p>
            <w:pPr>
              <w:spacing w:after="0"/>
              <w:rPr>
                <w:sz w:val="13"/>
                <w:szCs w:val="13"/>
                <w:color w:val="auto"/>
              </w:rPr>
            </w:pPr>
          </w:p>
        </w:tc>
        <w:tc>
          <w:tcPr>
            <w:tcW w:w="112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192"/>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(loss)</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Dividends ($.35 per share)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197"/>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96"/>
              </w:rPr>
              <w:t>management incentive and stock</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18</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 plans</w:t>
            </w:r>
          </w:p>
        </w:tc>
        <w:tc>
          <w:tcPr>
            <w:tcW w:w="6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January 26, 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3,151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2,499</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28, 2019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1,374</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1,374</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Divestiture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Other comprehensive income</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203</w:t>
            </w:r>
          </w:p>
        </w:tc>
        <w:tc>
          <w:tcPr>
            <w:tcW w:w="220" w:type="dxa"/>
            <w:vAlign w:val="bottom"/>
          </w:tcPr>
          <w:p>
            <w:pPr>
              <w:spacing w:after="0"/>
              <w:rPr>
                <w:sz w:val="13"/>
                <w:szCs w:val="13"/>
                <w:color w:val="auto"/>
              </w:rPr>
            </w:pPr>
          </w:p>
        </w:tc>
        <w:tc>
          <w:tcPr>
            <w:tcW w:w="11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203</w:t>
            </w:r>
          </w:p>
        </w:tc>
        <w:tc>
          <w:tcPr>
            <w:tcW w:w="0" w:type="dxa"/>
            <w:vAlign w:val="bottom"/>
          </w:tcPr>
          <w:p>
            <w:pPr>
              <w:spacing w:after="0"/>
              <w:rPr>
                <w:sz w:val="1"/>
                <w:szCs w:val="1"/>
                <w:color w:val="auto"/>
              </w:rPr>
            </w:pPr>
          </w:p>
        </w:tc>
      </w:tr>
      <w:tr>
        <w:trPr>
          <w:trHeight w:val="192"/>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(loss)</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Dividends ($.70 per share)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w:t>
            </w:r>
          </w:p>
        </w:tc>
        <w:tc>
          <w:tcPr>
            <w:tcW w:w="0" w:type="dxa"/>
            <w:vAlign w:val="bottom"/>
          </w:tcPr>
          <w:p>
            <w:pPr>
              <w:spacing w:after="0"/>
              <w:rPr>
                <w:sz w:val="1"/>
                <w:szCs w:val="1"/>
                <w:color w:val="auto"/>
              </w:rPr>
            </w:pPr>
          </w:p>
        </w:tc>
      </w:tr>
      <w:tr>
        <w:trPr>
          <w:trHeight w:val="197"/>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96"/>
              </w:rPr>
              <w:t>management incentive and stock</w:t>
            </w: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2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w:t>
            </w: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 plans</w:t>
            </w:r>
          </w:p>
        </w:tc>
        <w:tc>
          <w:tcPr>
            <w:tcW w:w="6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January 26, 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3,151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2,499</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60" w:hanging="152"/>
        <w:spacing w:after="0"/>
        <w:tabs>
          <w:tab w:leader="none" w:pos="160" w:val="left"/>
        </w:tabs>
        <w:numPr>
          <w:ilvl w:val="0"/>
          <w:numId w:val="1"/>
        </w:numPr>
        <w:rPr>
          <w:rFonts w:ascii="Arial" w:cs="Arial" w:eastAsia="Arial" w:hAnsi="Arial"/>
          <w:sz w:val="9"/>
          <w:szCs w:val="9"/>
          <w:color w:val="auto"/>
        </w:rPr>
      </w:pPr>
      <w:r>
        <w:rPr>
          <w:rFonts w:ascii="Arial" w:cs="Arial" w:eastAsia="Arial" w:hAnsi="Arial"/>
          <w:sz w:val="14"/>
          <w:szCs w:val="14"/>
          <w:color w:val="auto"/>
        </w:rPr>
        <w:t>See Note 2 for additional detail.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See Note 3 for a discussion of Discontinued Operations.</w:t>
      </w:r>
    </w:p>
    <w:p>
      <w:pPr>
        <w:spacing w:after="0" w:line="6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28, 2019, except as described below and in Note 2.</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August 2, 2020. There will be 53 weeks in 2020. There were 52 weeks in 2019.</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At the beginning of the first quarter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we adopted new guidance on accounting for leases. We determine if an agreement is or contains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at inception by evaluating if an identified asset exists that we control for a period of time. When a lease exists, we record a right-of-use (ROU) asset and a corresponding lease liability on our Consolidated Balance Sheet. ROU assets represent our right to use an underlying asset for the lease term and the corresponding liabilities represent an obligation to make lease payments during the term. We have elected not to record leases with a term of 12 months or less on our Consolidated Balance Sheet.</w:t>
      </w:r>
    </w:p>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on our Consolidated Balance Sheet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over the lease term and is recorded in Interest expense (based on a front-loaded interest expense pattern).</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2 and 11 for additional information.</w:t>
      </w:r>
    </w:p>
    <w:p>
      <w:pPr>
        <w:spacing w:after="0" w:line="86" w:lineRule="exact"/>
        <w:rPr>
          <w:sz w:val="20"/>
          <w:szCs w:val="20"/>
          <w:color w:val="auto"/>
        </w:rPr>
      </w:pPr>
    </w:p>
    <w:p>
      <w:pPr>
        <w:ind w:left="340" w:right="8440" w:hanging="332"/>
        <w:spacing w:after="0" w:line="407" w:lineRule="auto"/>
        <w:tabs>
          <w:tab w:leader="none" w:pos="19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u w:val="single" w:color="auto"/>
          <w:color w:val="auto"/>
        </w:rPr>
        <w:t>Recently Adopted</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2014, the Financial Accounting Standards Board (FASB) issued revised guidance on the recognition of revenue from contracts with customers. We adopted the guidance in the first quarter of 2019, effective on July 30, 2018,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 w:name="page9"/>
    <w:bookmarkEnd w:id="8"/>
    <w:p>
      <w:pPr>
        <w:jc w:val="both"/>
        <w:ind w:firstLine="324"/>
        <w:spacing w:after="0" w:line="289"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most leases on the balance sheet but will recognize expenses similar to current lease accounting. The guidance is effective for fiscal years, and interim periods within those years, beginning after December 15, 2018. In July 2018, the FASB issued an adoption approach that allows entities to apply the new guidance and recognize a cumulative-effect adjustment to the opening balance of retained earnings in the period of adoption without restating prior periods. We adopted the new guidance at the beginning of 2020 using this transition method. We elected to apply a package of practical expedients, which allowed us to not reassess prior conclusions related to contracts containing leases, lease classification, and initial direct costs. Adoption of the new guidance resulted in the recognition of operating lease ROU assets of $259 and operating lease liabilities of $254, with the difference between the assets and liabilities primarily due to below market assets, deferred rent and prepaid rent. In addition, we derecognized $20 of an asset and liability associated with a build-to-suit lease arrangement. The adoption did not have a material impact on consolidated net earnings or cash flows. See Note 11 for additional information.</w:t>
      </w:r>
    </w:p>
    <w:p>
      <w:pPr>
        <w:spacing w:after="0" w:line="3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4 for additional information.</w:t>
      </w:r>
    </w:p>
    <w:p>
      <w:pPr>
        <w:spacing w:after="0" w:line="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We adopted the new guidance at the beginning of the first quarter of 2020. The adoption did not have a material impact on our consolidated financial statements.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6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 years. Early adoption is permitted. Certain disclosures in the guidance must be applied on a retrospective basis, while others must be applied on a prospective basis. We are currently evaluating the impact that the new guidance will have on our disclosures.</w:t>
      </w:r>
    </w:p>
    <w:p>
      <w:pPr>
        <w:spacing w:after="0" w:line="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are currently evaluating the impact that the new guidance will have on our consolidated financial statements.</w:t>
      </w:r>
    </w:p>
    <w:p>
      <w:pPr>
        <w:spacing w:after="0" w:line="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The guidance is effective for fiscal years beginning after December 15, 2020, and interim periods within those years. Early adoption is permitted. We are currently evaluating the impact that the new guidance will have on our consolidated financial statements.</w:t>
      </w:r>
    </w:p>
    <w:p>
      <w:pPr>
        <w:spacing w:after="0" w:line="399" w:lineRule="exact"/>
        <w:rPr>
          <w:sz w:val="20"/>
          <w:szCs w:val="20"/>
          <w:color w:val="auto"/>
        </w:rPr>
      </w:pPr>
    </w:p>
    <w:p>
      <w:pPr>
        <w:ind w:right="9600" w:firstLine="8"/>
        <w:spacing w:after="0" w:line="398"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Divestitures </w:t>
      </w:r>
      <w:r>
        <w:rPr>
          <w:rFonts w:ascii="Arial" w:cs="Arial" w:eastAsia="Arial" w:hAnsi="Arial"/>
          <w:sz w:val="16"/>
          <w:szCs w:val="16"/>
          <w:i w:val="1"/>
          <w:iCs w:val="1"/>
          <w:color w:val="auto"/>
        </w:rPr>
        <w:t>Discontinued Operations</w:t>
      </w:r>
    </w:p>
    <w:p>
      <w:pPr>
        <w:spacing w:after="0" w:line="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25, 2019, we sold our U.S. refrigerated soup business, and on April 25, 2019, we sold our Garden Fresh Gourmet business. Proceeds were $55, subject to customary purchase price adjustments. On June 16, 2019, we sold our Bolthouse Farms business. Proceeds were $500.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9" w:name="page10"/>
    <w:bookmarkEnd w:id="9"/>
    <w:p>
      <w:pPr>
        <w:jc w:val="both"/>
        <w:ind w:firstLine="324"/>
        <w:spacing w:after="0" w:line="273" w:lineRule="auto"/>
        <w:rPr>
          <w:sz w:val="20"/>
          <w:szCs w:val="20"/>
          <w:color w:val="auto"/>
        </w:rPr>
      </w:pPr>
      <w:r>
        <w:rPr>
          <w:rFonts w:ascii="Arial" w:cs="Arial" w:eastAsia="Arial" w:hAnsi="Arial"/>
          <w:sz w:val="17"/>
          <w:szCs w:val="17"/>
          <w:color w:val="auto"/>
        </w:rPr>
        <w:t>We completed the sale of our Kelsen business on September 23, 2019, for $322, subject to customary purchase price adjustments. We also completed the sale of our Arnott’s business and certain other international operations, including the simple meals and shelf-stable beverages businesses in Australia and Asia Pacific (the Arnott's and other international operations), on December 23, 2019, for $2,286, subject to customary purchase price adjustments.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Three Months Ended</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Six Months Ended</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Campbell International</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Campbell Fresh</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5"/>
              </w:rPr>
              <w:t>Campbell International</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Campbell Fresh</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26, 2020</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January 27, 2019</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January 27, 2019</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January 26, 2020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27, 2019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27, 2019</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136</w:t>
            </w:r>
          </w:p>
        </w:tc>
        <w:tc>
          <w:tcPr>
            <w:tcW w:w="80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6"/>
              </w:rPr>
              <w:t>311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359</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taxes from operations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w:t>
            </w:r>
          </w:p>
        </w:tc>
        <w:tc>
          <w:tcPr>
            <w:tcW w:w="80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53</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Taxes on earnings (loss) from operations</w:t>
            </w:r>
          </w:p>
        </w:tc>
        <w:tc>
          <w:tcPr>
            <w:tcW w:w="28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Gain (loss) on sale of businesses / costs associated with</w:t>
            </w:r>
          </w:p>
        </w:tc>
        <w:tc>
          <w:tcPr>
            <w:tcW w:w="28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1,036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the businesses</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Tax expense (benefit) on sale / costs associated with</w:t>
            </w:r>
          </w:p>
        </w:tc>
        <w:tc>
          <w:tcPr>
            <w:tcW w:w="280" w:type="dxa"/>
            <w:vAlign w:val="bottom"/>
          </w:tcPr>
          <w:p>
            <w:pPr>
              <w:spacing w:after="0"/>
              <w:rPr>
                <w:sz w:val="19"/>
                <w:szCs w:val="19"/>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selling the businesses</w:t>
            </w:r>
          </w:p>
        </w:tc>
        <w:tc>
          <w:tcPr>
            <w:tcW w:w="2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1,037</w:t>
            </w:r>
          </w:p>
        </w:tc>
        <w:tc>
          <w:tcPr>
            <w:tcW w:w="8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1,034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sale of the Arnott's and other international operations resulted in a substantial capital gain for tax purposes. We were able to utilize capital losses, which were offset with valuation allowances as of July 28, 2019, to offset the capital gain.</w:t>
      </w:r>
    </w:p>
    <w:p>
      <w:pPr>
        <w:spacing w:after="0" w:line="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second quarter of 2019, we performed interim impairment assessments on the intangible and tangible assets of the Campbell Fresh businesses. We revised our future outlook for earnings and cash flows for each of these businesses as the divestiture process progressed and we received initial indications of value. In Bolthouse Farms carrot and carrot ingredients, we recorded impairment charges of $18 on the trademark, $40 on customer relationships, $15 on technology and $104 on plant assets. In Bolthouse Farms refrigerated beverages and salad dressings, we recorded impairment charges of $74 on the trademark, $22 on customer relationships, and $9 on plant assets. In Garden Fresh Gourmet, we recorded impairment charges of $23 on the trademark, $39 on customer relationships, and $2 on plant assets. In the first quarter of 2019, we recorded an impairment charge of $14 on the U.S. refrigerated soup plant assets in Campbell Fresh.</w:t>
      </w:r>
    </w:p>
    <w:p>
      <w:pPr>
        <w:spacing w:after="0" w:line="5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the terms of the sale of the Arnott's and other international operations, we entered into a long-term licensing arrangement for the exclusive rights to certain Campbell brands in certain non-U.S. markets. We provide certain transition services to support the divested businesses.</w:t>
      </w:r>
    </w:p>
    <w:p>
      <w:pPr>
        <w:spacing w:after="0" w:line="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assets and liabilities of Campbell International have been reflected as assets and liabilities of discontinued operations in the Consolidated Balance Sheet as of July 28, 2019. The assets and liabilities were as follows:</w:t>
      </w:r>
    </w:p>
    <w:tbl>
      <w:tblPr>
        <w:tblLayout w:type="fixed"/>
        <w:tblInd w:w="0" w:type="dxa"/>
        <w:tblCellMar>
          <w:top w:w="0" w:type="dxa"/>
          <w:left w:w="0" w:type="dxa"/>
          <w:bottom w:w="0" w:type="dxa"/>
          <w:right w:w="0" w:type="dxa"/>
        </w:tblCellMar>
      </w:tblPr>
      <w:tr>
        <w:trPr>
          <w:trHeight w:val="192"/>
        </w:trPr>
        <w:tc>
          <w:tcPr>
            <w:tcW w:w="10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July 28, 2019</w:t>
            </w: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135</w:t>
            </w:r>
          </w:p>
        </w:tc>
      </w:tr>
      <w:tr>
        <w:trPr>
          <w:trHeight w:val="27"/>
        </w:trPr>
        <w:tc>
          <w:tcPr>
            <w:tcW w:w="10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10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10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428</w:t>
            </w:r>
          </w:p>
        </w:tc>
      </w:tr>
      <w:tr>
        <w:trPr>
          <w:trHeight w:val="237"/>
        </w:trPr>
        <w:tc>
          <w:tcPr>
            <w:tcW w:w="10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assets, net of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340</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661</w:t>
            </w:r>
          </w:p>
        </w:tc>
      </w:tr>
      <w:tr>
        <w:trPr>
          <w:trHeight w:val="27"/>
        </w:trPr>
        <w:tc>
          <w:tcPr>
            <w:tcW w:w="10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31</w:t>
            </w:r>
          </w:p>
        </w:tc>
      </w:tr>
      <w:tr>
        <w:trPr>
          <w:trHeight w:val="27"/>
        </w:trPr>
        <w:tc>
          <w:tcPr>
            <w:tcW w:w="10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10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1,595</w:t>
            </w:r>
          </w:p>
        </w:tc>
      </w:tr>
      <w:tr>
        <w:trPr>
          <w:trHeight w:val="20"/>
        </w:trPr>
        <w:tc>
          <w:tcPr>
            <w:tcW w:w="10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10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b w:val="1"/>
                <w:bCs w:val="1"/>
                <w:color w:val="auto"/>
              </w:rPr>
              <w:t>July 28, 2019</w:t>
            </w:r>
          </w:p>
        </w:tc>
      </w:tr>
      <w:tr>
        <w:trPr>
          <w:trHeight w:val="256"/>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232</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Payable to suppliers and others</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109</w:t>
            </w:r>
          </w:p>
        </w:tc>
      </w:tr>
      <w:tr>
        <w:trPr>
          <w:trHeight w:val="27"/>
        </w:trPr>
        <w:tc>
          <w:tcPr>
            <w:tcW w:w="10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14</w:t>
            </w:r>
          </w:p>
        </w:tc>
      </w:tr>
      <w:tr>
        <w:trPr>
          <w:trHeight w:val="27"/>
        </w:trPr>
        <w:tc>
          <w:tcPr>
            <w:tcW w:w="10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10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469</w:t>
            </w:r>
          </w:p>
        </w:tc>
      </w:tr>
      <w:tr>
        <w:trPr>
          <w:trHeight w:val="237"/>
        </w:trPr>
        <w:tc>
          <w:tcPr>
            <w:tcW w:w="10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5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r>
      <w:tr>
        <w:trPr>
          <w:trHeight w:val="243"/>
        </w:trPr>
        <w:tc>
          <w:tcPr>
            <w:tcW w:w="1014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32</w:t>
            </w:r>
          </w:p>
        </w:tc>
      </w:tr>
      <w:tr>
        <w:trPr>
          <w:trHeight w:val="27"/>
        </w:trPr>
        <w:tc>
          <w:tcPr>
            <w:tcW w:w="10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r>
      <w:tr>
        <w:trPr>
          <w:trHeight w:val="237"/>
        </w:trPr>
        <w:tc>
          <w:tcPr>
            <w:tcW w:w="1014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534</w:t>
            </w:r>
          </w:p>
        </w:tc>
      </w:tr>
      <w:tr>
        <w:trPr>
          <w:trHeight w:val="27"/>
        </w:trPr>
        <w:tc>
          <w:tcPr>
            <w:tcW w:w="10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10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depreciation and amortization, capital expenditures, sale proceeds and significant noncash operating items of Campbell Fresh and Campbell International were as follows:</w:t>
      </w: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8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18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January 27, 2019</w:t>
            </w:r>
          </w:p>
        </w:tc>
      </w:tr>
      <w:tr>
        <w:trPr>
          <w:trHeight w:val="236"/>
        </w:trPr>
        <w:tc>
          <w:tcPr>
            <w:tcW w:w="8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discontinued operating activities: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72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360</w:t>
            </w:r>
          </w:p>
        </w:tc>
      </w:tr>
      <w:tr>
        <w:trPr>
          <w:trHeight w:val="27"/>
        </w:trPr>
        <w:tc>
          <w:tcPr>
            <w:tcW w:w="8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r>
      <w:tr>
        <w:trPr>
          <w:trHeight w:val="243"/>
        </w:trPr>
        <w:tc>
          <w:tcPr>
            <w:tcW w:w="8720" w:type="dxa"/>
            <w:vAlign w:val="bottom"/>
          </w:tcPr>
          <w:p>
            <w:pPr>
              <w:ind w:left="120"/>
              <w:spacing w:after="0"/>
              <w:rPr>
                <w:sz w:val="20"/>
                <w:szCs w:val="20"/>
                <w:color w:val="auto"/>
              </w:rPr>
            </w:pPr>
            <w:r>
              <w:rPr>
                <w:rFonts w:ascii="Arial" w:cs="Arial" w:eastAsia="Arial" w:hAnsi="Arial"/>
                <w:sz w:val="18"/>
                <w:szCs w:val="18"/>
                <w:color w:val="auto"/>
              </w:rPr>
              <w:t>Net gain on sales of discontinued operations businesses</w:t>
            </w:r>
          </w:p>
        </w:tc>
        <w:tc>
          <w:tcPr>
            <w:tcW w:w="12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b w:val="1"/>
                <w:bCs w:val="1"/>
                <w:color w:val="auto"/>
              </w:rPr>
              <w:t>1,036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97"/>
        </w:trPr>
        <w:tc>
          <w:tcPr>
            <w:tcW w:w="8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discontinued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34</w:t>
            </w:r>
          </w:p>
        </w:tc>
      </w:tr>
      <w:tr>
        <w:trPr>
          <w:trHeight w:val="27"/>
        </w:trPr>
        <w:tc>
          <w:tcPr>
            <w:tcW w:w="8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of discontinued operations businesses, net of cash divested</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2,462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8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w:t>
      </w:r>
    </w:p>
    <w:p>
      <w:pPr>
        <w:spacing w:after="0" w:line="5" w:lineRule="exact"/>
        <w:rPr>
          <w:sz w:val="20"/>
          <w:szCs w:val="20"/>
          <w:color w:val="auto"/>
        </w:rPr>
      </w:pPr>
    </w:p>
    <w:p>
      <w:pPr>
        <w:ind w:right="1960" w:firstLine="8"/>
        <w:spacing w:after="0" w:line="301" w:lineRule="auto"/>
        <w:tabs>
          <w:tab w:leader="none" w:pos="312"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xml:space="preserve">Depreciation and amortization are no longer recognized once businesses are classified as held for sale/discontinued operations. </w:t>
      </w:r>
      <w:r>
        <w:rPr>
          <w:rFonts w:ascii="Arial" w:cs="Arial" w:eastAsia="Arial" w:hAnsi="Arial"/>
          <w:sz w:val="18"/>
          <w:szCs w:val="18"/>
          <w:i w:val="1"/>
          <w:iCs w:val="1"/>
          <w:color w:val="auto"/>
        </w:rPr>
        <w:t>Other Divestitures</w:t>
      </w:r>
    </w:p>
    <w:p>
      <w:pPr>
        <w:jc w:val="both"/>
        <w:ind w:firstLine="324"/>
        <w:spacing w:after="0" w:line="297" w:lineRule="auto"/>
        <w:rPr>
          <w:sz w:val="20"/>
          <w:szCs w:val="20"/>
          <w:color w:val="auto"/>
        </w:rPr>
      </w:pPr>
      <w:r>
        <w:rPr>
          <w:rFonts w:ascii="Arial" w:cs="Arial" w:eastAsia="Arial" w:hAnsi="Arial"/>
          <w:sz w:val="16"/>
          <w:szCs w:val="16"/>
          <w:color w:val="auto"/>
        </w:rPr>
        <w:t>On October 11, 2019, we completed the sale of our European chips business for £63, or $77. The European chips business had net sales of $25 for the six-month period ended January 26, 2020. The European chips business had net sales of $32 for the three-month period and $60 for the six-month period ended January 27, 2019. Earnings were not material in either period. The results of the European chips business through the date of sale were reflected in continuing operations within the Snacks reportable segment. The pre-tax loss recognized in the first quarter on the sale was $64, which included the impact of allocated goodwill and foreign currency translation adjustments. For tax purposes, the capital loss on the sale was offset by a valuation allowance.</w:t>
      </w:r>
    </w:p>
    <w:p>
      <w:pPr>
        <w:spacing w:after="0" w:line="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second quarter of 2020, we recognized a $19 tax benefit in continuing operations as we were able to use the capital loss on this sale to offset a portion of the capital gain from the sale of the Arnott's and other international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Accumulated Other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0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 (Losses) on</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4"/>
                <w:szCs w:val="14"/>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56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Postretirement Benefit</w:t>
            </w:r>
          </w:p>
        </w:tc>
        <w:tc>
          <w:tcPr>
            <w:tcW w:w="1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r>
              <w:rPr>
                <w:rFonts w:ascii="Arial" w:cs="Arial" w:eastAsia="Arial" w:hAnsi="Arial"/>
                <w:sz w:val="9"/>
                <w:szCs w:val="9"/>
                <w:b w:val="1"/>
                <w:bCs w:val="1"/>
                <w:color w:val="auto"/>
                <w:w w:val="91"/>
              </w:rPr>
              <w:t>(1)</w:t>
            </w:r>
          </w:p>
        </w:tc>
        <w:tc>
          <w:tcPr>
            <w:tcW w:w="10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Cash Flow Hedges</w:t>
            </w:r>
            <w:r>
              <w:rPr>
                <w:rFonts w:ascii="Arial" w:cs="Arial" w:eastAsia="Arial" w:hAnsi="Arial"/>
                <w:sz w:val="9"/>
                <w:szCs w:val="9"/>
                <w:b w:val="1"/>
                <w:bCs w:val="1"/>
                <w:color w:val="auto"/>
                <w:w w:val="90"/>
              </w:rPr>
              <w:t>(2)</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Plan Adjustments</w:t>
            </w:r>
            <w:r>
              <w:rPr>
                <w:rFonts w:ascii="Arial" w:cs="Arial" w:eastAsia="Arial" w:hAnsi="Arial"/>
                <w:sz w:val="9"/>
                <w:szCs w:val="9"/>
                <w:b w:val="1"/>
                <w:bCs w:val="1"/>
                <w:color w:val="auto"/>
                <w:w w:val="94"/>
              </w:rPr>
              <w:t>(3)</w:t>
            </w:r>
          </w:p>
        </w:tc>
        <w:tc>
          <w:tcPr>
            <w:tcW w:w="140" w:type="dxa"/>
            <w:vAlign w:val="bottom"/>
          </w:tcPr>
          <w:p>
            <w:pPr>
              <w:spacing w:after="0"/>
              <w:rPr>
                <w:sz w:val="16"/>
                <w:szCs w:val="16"/>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6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29,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center"/>
              <w:ind w:left="753"/>
              <w:spacing w:after="0"/>
              <w:rPr>
                <w:sz w:val="20"/>
                <w:szCs w:val="20"/>
                <w:color w:val="auto"/>
              </w:rPr>
            </w:pPr>
            <w:r>
              <w:rPr>
                <w:rFonts w:ascii="Arial" w:cs="Arial" w:eastAsia="Arial" w:hAnsi="Arial"/>
                <w:sz w:val="18"/>
                <w:szCs w:val="18"/>
                <w:color w:val="auto"/>
                <w:w w:val="89"/>
              </w:rPr>
              <w:t>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4"/>
        </w:trPr>
        <w:tc>
          <w:tcPr>
            <w:tcW w:w="5200" w:type="dxa"/>
            <w:vAlign w:val="bottom"/>
          </w:tcPr>
          <w:p>
            <w:pPr>
              <w:ind w:left="120"/>
              <w:spacing w:after="0"/>
              <w:rPr>
                <w:sz w:val="20"/>
                <w:szCs w:val="20"/>
                <w:color w:val="auto"/>
              </w:rPr>
            </w:pPr>
            <w:r>
              <w:rPr>
                <w:rFonts w:ascii="Arial" w:cs="Arial" w:eastAsia="Arial" w:hAnsi="Arial"/>
                <w:sz w:val="18"/>
                <w:szCs w:val="18"/>
                <w:color w:val="auto"/>
              </w:rPr>
              <w:t>Cumulative effect of a change in accounting principle</w:t>
            </w:r>
            <w:r>
              <w:rPr>
                <w:rFonts w:ascii="Arial" w:cs="Arial" w:eastAsia="Arial" w:hAnsi="Arial"/>
                <w:sz w:val="23"/>
                <w:szCs w:val="23"/>
                <w:color w:val="auto"/>
                <w:vertAlign w:val="superscript"/>
              </w:rPr>
              <w:t>(4)</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center"/>
              <w:ind w:left="753"/>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653"/>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Amounts reclassified from accumulated other comprehensive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income (loss)</w:t>
            </w: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left="753"/>
              <w:spacing w:after="0"/>
              <w:rPr>
                <w:sz w:val="20"/>
                <w:szCs w:val="20"/>
                <w:color w:val="auto"/>
              </w:rPr>
            </w:pPr>
            <w:r>
              <w:rPr>
                <w:rFonts w:ascii="Arial" w:cs="Arial" w:eastAsia="Arial" w:hAnsi="Arial"/>
                <w:sz w:val="18"/>
                <w:szCs w:val="18"/>
                <w:color w:val="auto"/>
                <w:w w:val="93"/>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ind w:left="753"/>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5200" w:type="dxa"/>
            <w:vAlign w:val="bottom"/>
          </w:tcPr>
          <w:p>
            <w:pPr>
              <w:ind w:left="20"/>
              <w:spacing w:after="0"/>
              <w:rPr>
                <w:sz w:val="20"/>
                <w:szCs w:val="20"/>
                <w:color w:val="auto"/>
              </w:rPr>
            </w:pPr>
            <w:r>
              <w:rPr>
                <w:rFonts w:ascii="Arial" w:cs="Arial" w:eastAsia="Arial" w:hAnsi="Arial"/>
                <w:sz w:val="18"/>
                <w:szCs w:val="18"/>
                <w:color w:val="auto"/>
              </w:rPr>
              <w:t>Balance at January 27,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center"/>
              <w:ind w:left="753"/>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Balance at July 28,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753"/>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653"/>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76"/>
        </w:trPr>
        <w:tc>
          <w:tcPr>
            <w:tcW w:w="5200" w:type="dxa"/>
            <w:vAlign w:val="bottom"/>
          </w:tcPr>
          <w:p>
            <w:pPr>
              <w:ind w:left="220"/>
              <w:spacing w:after="0" w:line="176" w:lineRule="exact"/>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60" w:type="dxa"/>
            <w:vAlign w:val="bottom"/>
          </w:tcPr>
          <w:p>
            <w:pPr>
              <w:spacing w:after="0"/>
              <w:rPr>
                <w:sz w:val="15"/>
                <w:szCs w:val="15"/>
                <w:color w:val="auto"/>
              </w:rPr>
            </w:pPr>
          </w:p>
        </w:tc>
        <w:tc>
          <w:tcPr>
            <w:tcW w:w="130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340" w:type="dxa"/>
            <w:vAlign w:val="bottom"/>
            <w:vMerge w:val="restart"/>
          </w:tcPr>
          <w:p>
            <w:pPr>
              <w:jc w:val="center"/>
              <w:ind w:left="753"/>
              <w:spacing w:after="0"/>
              <w:rPr>
                <w:sz w:val="20"/>
                <w:szCs w:val="20"/>
                <w:color w:val="auto"/>
              </w:rPr>
            </w:pPr>
            <w:r>
              <w:rPr>
                <w:rFonts w:ascii="Arial" w:cs="Arial" w:eastAsia="Arial" w:hAnsi="Arial"/>
                <w:sz w:val="18"/>
                <w:szCs w:val="18"/>
                <w:b w:val="1"/>
                <w:bCs w:val="1"/>
                <w:color w:val="auto"/>
                <w:w w:val="93"/>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199</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line="230" w:lineRule="exact"/>
              <w:rPr>
                <w:sz w:val="20"/>
                <w:szCs w:val="20"/>
                <w:color w:val="auto"/>
              </w:rPr>
            </w:pPr>
            <w:r>
              <w:rPr>
                <w:rFonts w:ascii="Arial" w:cs="Arial" w:eastAsia="Arial" w:hAnsi="Arial"/>
                <w:sz w:val="18"/>
                <w:szCs w:val="18"/>
                <w:b w:val="1"/>
                <w:bCs w:val="1"/>
                <w:color w:val="auto"/>
              </w:rPr>
              <w:t>income (loss)</w:t>
            </w:r>
            <w:r>
              <w:rPr>
                <w:rFonts w:ascii="Arial" w:cs="Arial" w:eastAsia="Arial" w:hAnsi="Arial"/>
                <w:sz w:val="23"/>
                <w:szCs w:val="23"/>
                <w:b w:val="1"/>
                <w:bCs w:val="1"/>
                <w:color w:val="auto"/>
                <w:vertAlign w:val="superscript"/>
              </w:rPr>
              <w:t>(5)</w:t>
            </w: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center"/>
              <w:ind w:left="753"/>
              <w:spacing w:after="0"/>
              <w:rPr>
                <w:sz w:val="20"/>
                <w:szCs w:val="20"/>
                <w:color w:val="auto"/>
              </w:rPr>
            </w:pPr>
            <w:r>
              <w:rPr>
                <w:rFonts w:ascii="Arial" w:cs="Arial" w:eastAsia="Arial" w:hAnsi="Arial"/>
                <w:sz w:val="18"/>
                <w:szCs w:val="18"/>
                <w:b w:val="1"/>
                <w:bCs w:val="1"/>
                <w:color w:val="auto"/>
                <w:w w:val="93"/>
              </w:rPr>
              <w:t>(11)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6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Balance at January 26,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center"/>
              <w:ind w:left="753"/>
              <w:spacing w:after="0"/>
              <w:rPr>
                <w:sz w:val="20"/>
                <w:szCs w:val="20"/>
                <w:color w:val="auto"/>
              </w:rPr>
            </w:pPr>
            <w:r>
              <w:rPr>
                <w:rFonts w:ascii="Arial" w:cs="Arial" w:eastAsia="Arial" w:hAnsi="Arial"/>
                <w:sz w:val="18"/>
                <w:szCs w:val="18"/>
                <w:b w:val="1"/>
                <w:bCs w:val="1"/>
                <w:color w:val="auto"/>
                <w:w w:val="89"/>
              </w:rPr>
              <w:t>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ind w:left="320" w:hanging="312"/>
        <w:spacing w:after="0" w:line="218"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Included a tax expense of $4 as of July 28, 2019, and January 27, 2019, and $6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Included a tax benefit of $1 as of January 26, 2020, $2 as of July 28, 2019, $1 as of January 27, 2019, and $4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Included a tax expense of $5 as of January 26, 2020, $8 as of July 28, 2019, $12 as of January 27, 2019, and $25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Reflects the adoption of the FASB guidance on stranded tax effects. See Note 2 for additional information.</w:t>
      </w:r>
    </w:p>
    <w:p>
      <w:pPr>
        <w:ind w:left="340" w:right="4380" w:hanging="332"/>
        <w:spacing w:after="0" w:line="270"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Reflects amounts reclassified from sale of businesses. See Note 3 for additional information. Amounts related to noncontrolling interests were not material.</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985" w:right="29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Details about Accumulated Other Comprehensive Income</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January 26, 2020</w:t>
            </w:r>
          </w:p>
        </w:tc>
        <w:tc>
          <w:tcPr>
            <w:tcW w:w="120" w:type="dxa"/>
            <w:vAlign w:val="bottom"/>
            <w:vMerge w:val="restart"/>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January 27,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26,</w:t>
            </w:r>
          </w:p>
        </w:tc>
        <w:tc>
          <w:tcPr>
            <w:tcW w:w="120" w:type="dxa"/>
            <w:vAlign w:val="bottom"/>
          </w:tcPr>
          <w:p>
            <w:pPr>
              <w:spacing w:after="0"/>
              <w:rPr>
                <w:sz w:val="13"/>
                <w:szCs w:val="13"/>
                <w:color w:val="auto"/>
              </w:rPr>
            </w:pPr>
          </w:p>
        </w:tc>
        <w:tc>
          <w:tcPr>
            <w:tcW w:w="90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3"/>
              </w:rPr>
              <w:t>January 27,</w:t>
            </w:r>
          </w:p>
        </w:tc>
        <w:tc>
          <w:tcPr>
            <w:tcW w:w="100" w:type="dxa"/>
            <w:vAlign w:val="bottom"/>
          </w:tcPr>
          <w:p>
            <w:pPr>
              <w:spacing w:after="0"/>
              <w:rPr>
                <w:sz w:val="13"/>
                <w:szCs w:val="13"/>
                <w:color w:val="auto"/>
              </w:rPr>
            </w:pPr>
          </w:p>
        </w:tc>
        <w:tc>
          <w:tcPr>
            <w:tcW w:w="2680" w:type="dxa"/>
            <w:vAlign w:val="bottom"/>
          </w:tcPr>
          <w:p>
            <w:pPr>
              <w:ind w:left="160"/>
              <w:spacing w:after="0" w:line="153" w:lineRule="exact"/>
              <w:rPr>
                <w:sz w:val="20"/>
                <w:szCs w:val="20"/>
                <w:color w:val="auto"/>
              </w:rPr>
            </w:pPr>
            <w:r>
              <w:rPr>
                <w:rFonts w:ascii="Arial" w:cs="Arial" w:eastAsia="Arial" w:hAnsi="Arial"/>
                <w:sz w:val="14"/>
                <w:szCs w:val="14"/>
                <w:b w:val="1"/>
                <w:bCs w:val="1"/>
                <w:color w:val="auto"/>
                <w:w w:val="97"/>
              </w:rPr>
              <w:t>Location of (Gain) Loss Recognized in</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(Loss) Components</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gridSpan w:val="2"/>
          </w:tcPr>
          <w:p>
            <w:pPr>
              <w:ind w:left="120"/>
              <w:spacing w:after="0"/>
              <w:rPr>
                <w:sz w:val="20"/>
                <w:szCs w:val="20"/>
                <w:color w:val="auto"/>
              </w:rPr>
            </w:pPr>
            <w:r>
              <w:rPr>
                <w:rFonts w:ascii="Arial" w:cs="Arial" w:eastAsia="Arial" w:hAnsi="Arial"/>
                <w:sz w:val="18"/>
                <w:szCs w:val="18"/>
                <w:color w:val="auto"/>
                <w:w w:val="98"/>
              </w:rPr>
              <w:t>Currency translation (gains) losses realized upon</w:t>
            </w:r>
          </w:p>
        </w:tc>
        <w:tc>
          <w:tcPr>
            <w:tcW w:w="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20"/>
              <w:spacing w:after="0"/>
              <w:rPr>
                <w:sz w:val="20"/>
                <w:szCs w:val="20"/>
                <w:color w:val="auto"/>
              </w:rPr>
            </w:pPr>
            <w:r>
              <w:rPr>
                <w:rFonts w:ascii="Arial" w:cs="Arial" w:eastAsia="Arial" w:hAnsi="Arial"/>
                <w:sz w:val="18"/>
                <w:szCs w:val="18"/>
                <w:color w:val="auto"/>
              </w:rPr>
              <w:t>disposal of businesses</w:t>
            </w:r>
          </w:p>
        </w:tc>
        <w:tc>
          <w:tcPr>
            <w:tcW w:w="3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Currency translation (gains) losses realized upon</w:t>
            </w:r>
          </w:p>
        </w:tc>
        <w:tc>
          <w:tcPr>
            <w:tcW w:w="3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Earnings (loss) from discontinued</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disposal of businesses</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7"/>
        </w:trPr>
        <w:tc>
          <w:tcPr>
            <w:tcW w:w="398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8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128</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(Gains) losses on cash flow hedges: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spacing w:after="0"/>
              <w:rPr>
                <w:sz w:val="19"/>
                <w:szCs w:val="19"/>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w w:val="98"/>
              </w:rPr>
              <w:t>Earnings (loss) from discontinued</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Forward starting interest rate swaps</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98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8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Prior service credit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3980" w:type="dxa"/>
            <w:vAlign w:val="bottom"/>
            <w:gridSpan w:val="2"/>
          </w:tcPr>
          <w:p>
            <w:pPr>
              <w:jc w:val="right"/>
              <w:ind w:right="120"/>
              <w:spacing w:after="0"/>
              <w:rPr>
                <w:sz w:val="20"/>
                <w:szCs w:val="20"/>
                <w:color w:val="auto"/>
              </w:rPr>
            </w:pPr>
            <w:r>
              <w:rPr>
                <w:rFonts w:ascii="Arial" w:cs="Arial" w:eastAsia="Arial" w:hAnsi="Arial"/>
                <w:sz w:val="18"/>
                <w:szCs w:val="18"/>
                <w:color w:val="auto"/>
              </w:rPr>
              <w:t>Tax expense (benefit)</w:t>
            </w:r>
          </w:p>
        </w:tc>
        <w:tc>
          <w:tcPr>
            <w:tcW w:w="3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(Gain) loss, net of tax</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840" w:firstLine="8"/>
        <w:spacing w:after="0" w:line="362"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the carrying amount of goodwill by business segment:</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6"/>
                <w:szCs w:val="16"/>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50"/>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at July 28, 2019</w:t>
            </w:r>
          </w:p>
        </w:tc>
        <w:tc>
          <w:tcPr>
            <w:tcW w:w="50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4,017</w:t>
            </w:r>
          </w:p>
        </w:tc>
      </w:tr>
      <w:tr>
        <w:trPr>
          <w:trHeight w:val="270"/>
        </w:trPr>
        <w:tc>
          <w:tcPr>
            <w:tcW w:w="7180" w:type="dxa"/>
            <w:vAlign w:val="bottom"/>
          </w:tcPr>
          <w:p>
            <w:pPr>
              <w:spacing w:after="0"/>
              <w:rPr>
                <w:sz w:val="20"/>
                <w:szCs w:val="20"/>
                <w:color w:val="auto"/>
              </w:rPr>
            </w:pPr>
            <w:r>
              <w:rPr>
                <w:rFonts w:ascii="Arial" w:cs="Arial" w:eastAsia="Arial" w:hAnsi="Arial"/>
                <w:sz w:val="18"/>
                <w:szCs w:val="18"/>
                <w:b w:val="1"/>
                <w:bCs w:val="1"/>
                <w:color w:val="auto"/>
              </w:rPr>
              <w:t>Divestiture</w:t>
            </w:r>
            <w:r>
              <w:rPr>
                <w:rFonts w:ascii="Arial" w:cs="Arial" w:eastAsia="Arial" w:hAnsi="Arial"/>
                <w:sz w:val="23"/>
                <w:szCs w:val="23"/>
                <w:b w:val="1"/>
                <w:bCs w:val="1"/>
                <w:color w:val="auto"/>
                <w:vertAlign w:val="superscript"/>
              </w:rPr>
              <w:t>(1)</w:t>
            </w:r>
          </w:p>
        </w:tc>
        <w:tc>
          <w:tcPr>
            <w:tcW w:w="50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(34)</w:t>
            </w:r>
          </w:p>
        </w:tc>
      </w:tr>
      <w:tr>
        <w:trPr>
          <w:trHeight w:val="270"/>
        </w:trPr>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w:t>
            </w:r>
          </w:p>
        </w:tc>
      </w:tr>
      <w:tr>
        <w:trPr>
          <w:trHeight w:val="237"/>
        </w:trPr>
        <w:tc>
          <w:tcPr>
            <w:tcW w:w="7180" w:type="dxa"/>
            <w:vAlign w:val="bottom"/>
          </w:tcPr>
          <w:p>
            <w:pPr>
              <w:spacing w:after="0"/>
              <w:rPr>
                <w:sz w:val="20"/>
                <w:szCs w:val="20"/>
                <w:color w:val="auto"/>
              </w:rPr>
            </w:pPr>
            <w:r>
              <w:rPr>
                <w:rFonts w:ascii="Arial" w:cs="Arial" w:eastAsia="Arial" w:hAnsi="Arial"/>
                <w:sz w:val="18"/>
                <w:szCs w:val="18"/>
                <w:b w:val="1"/>
                <w:bCs w:val="1"/>
                <w:color w:val="auto"/>
              </w:rPr>
              <w:t>Net balance at January 26, 2020</w:t>
            </w: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3,010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17145</wp:posOffset>
            </wp:positionV>
            <wp:extent cx="265874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342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w:t>
      </w:r>
    </w:p>
    <w:p>
      <w:pPr>
        <w:spacing w:after="0" w:line="70" w:lineRule="exact"/>
        <w:rPr>
          <w:sz w:val="20"/>
          <w:szCs w:val="20"/>
          <w:color w:val="auto"/>
        </w:rPr>
      </w:pPr>
    </w:p>
    <w:p>
      <w:pPr>
        <w:ind w:left="5620" w:right="2760" w:hanging="5612"/>
        <w:spacing w:after="0" w:line="853" w:lineRule="auto"/>
        <w:tabs>
          <w:tab w:leader="none" w:pos="316"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On October 11, 2019, we completed the sale of our European chips business. See Note 3 for additional information.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-372110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26, 2020</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4"/>
              </w:rPr>
              <w:t>July 28, 2019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vMerge w:val="restart"/>
          </w:tcPr>
          <w:p>
            <w:pPr>
              <w:spacing w:after="0"/>
              <w:rPr>
                <w:sz w:val="13"/>
                <w:szCs w:val="13"/>
                <w:color w:val="auto"/>
              </w:rPr>
            </w:pPr>
          </w:p>
        </w:tc>
        <w:tc>
          <w:tcPr>
            <w:tcW w:w="164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w w:val="99"/>
              </w:rPr>
              <w:t>Estimated Useful Lives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00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02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to</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b w:val="1"/>
                <w:bCs w:val="1"/>
                <w:color w:val="auto"/>
              </w:rPr>
              <w:t>851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(89)</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53"/>
              <w:spacing w:after="0"/>
              <w:rPr>
                <w:sz w:val="20"/>
                <w:szCs w:val="20"/>
                <w:color w:val="auto"/>
              </w:rPr>
            </w:pPr>
            <w:r>
              <w:rPr>
                <w:rFonts w:ascii="Arial" w:cs="Arial" w:eastAsia="Arial" w:hAnsi="Arial"/>
                <w:sz w:val="18"/>
                <w:szCs w:val="18"/>
                <w:b w:val="1"/>
                <w:bCs w:val="1"/>
                <w:color w:val="auto"/>
              </w:rPr>
              <w:t>762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(70)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 to</w:t>
            </w:r>
          </w:p>
        </w:tc>
        <w:tc>
          <w:tcPr>
            <w:tcW w:w="7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680" w:type="dxa"/>
            <w:vAlign w:val="bottom"/>
            <w:gridSpan w:val="2"/>
          </w:tcPr>
          <w:p>
            <w:pPr>
              <w:ind w:left="120"/>
              <w:spacing w:after="0"/>
              <w:rPr>
                <w:sz w:val="20"/>
                <w:szCs w:val="20"/>
                <w:color w:val="auto"/>
              </w:rPr>
            </w:pPr>
            <w:r>
              <w:rPr>
                <w:rFonts w:ascii="Arial" w:cs="Arial" w:eastAsia="Arial" w:hAnsi="Arial"/>
                <w:sz w:val="18"/>
                <w:szCs w:val="18"/>
                <w:color w:val="auto"/>
              </w:rPr>
              <w:t>Total amortizable intangible assets</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865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(103)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20"/>
              <w:spacing w:after="0"/>
              <w:rPr>
                <w:sz w:val="20"/>
                <w:szCs w:val="20"/>
                <w:color w:val="auto"/>
              </w:rPr>
            </w:pPr>
            <w:r>
              <w:rPr>
                <w:rFonts w:ascii="Arial" w:cs="Arial" w:eastAsia="Arial" w:hAnsi="Arial"/>
                <w:sz w:val="18"/>
                <w:szCs w:val="18"/>
                <w:color w:val="auto"/>
              </w:rPr>
              <w:t>Trademarks</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b w:val="1"/>
                <w:bCs w:val="1"/>
                <w:color w:val="auto"/>
              </w:rPr>
              <w:t>2,611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intangible assets</w:t>
            </w:r>
          </w:p>
        </w:tc>
        <w:tc>
          <w:tcPr>
            <w:tcW w:w="4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3,373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Non-amortizable intangible assets consist of trademarks. As of January 26, 2020, trademarks primarily included $1,978 associated with Snyder's-Lance, $280 associated with Pacific Foods and $292 related to </w:t>
      </w:r>
      <w:r>
        <w:rPr>
          <w:rFonts w:ascii="Arial" w:cs="Arial" w:eastAsia="Arial" w:hAnsi="Arial"/>
          <w:sz w:val="18"/>
          <w:szCs w:val="18"/>
          <w:i w:val="1"/>
          <w:iCs w:val="1"/>
          <w:color w:val="auto"/>
        </w:rPr>
        <w:t>Pace</w:t>
      </w:r>
      <w:r>
        <w:rPr>
          <w:rFonts w:ascii="Arial" w:cs="Arial" w:eastAsia="Arial" w:hAnsi="Arial"/>
          <w:sz w:val="18"/>
          <w:szCs w:val="18"/>
          <w:color w:val="auto"/>
        </w:rPr>
        <w:t>. Other amortizable intangible assets consist of recipes, non-compete agreements, trademarks and patents.</w:t>
      </w:r>
    </w:p>
    <w:p>
      <w:pPr>
        <w:spacing w:after="0" w:line="6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Amortization of intangible assets in Earnings from continuing operations was $22 and 23 for the six-month periods ended January 26, 2020, and January 27, 2019, respectively. Amortization expense for the next 5 years is estimated to be $45 in 2020 and $44 in 2021 through 2024.</w:t>
      </w:r>
    </w:p>
    <w:p>
      <w:pPr>
        <w:spacing w:after="0" w:line="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assets in Earnings (loss) from discontinued operations was $7 for the six-month period ended January 27, 2019. See Note 3 for additional information on discontinued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 Information</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the second quarter of 2019, we had four operating segments based primarily on product type, and three reportable segments. The operating segments were Meals &amp; Beverages; U.S. snacking; international biscuits and snacks; and Campbell Fresh. The U.S. snacking operating segment was aggregated with the international biscuits and snacks operating segment to form the Global Biscuits and Snacks reportable segment. The operating segments were aggregated based on similar economic characteristics, products, production processes, types or classes of customers, distribution methods, and regulatory environment.</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 3, we sold our businesses in Campbell Fresh during 2019. Beginning in the third quarter of 2019, we have reflected the results of these businesses as discontinued operations in the Consolidated Statements of Earnings for all periods presented. Prior periods have been adjusted to conform to the current presentation. A portion of the U.S. refrigerated soup business historically included in Campbell Fresh was retained, and is reported as part of foodservice in Meals &amp; Beverages.</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Within our international biscuits and snacks operating segment, we sold our Kelsen business on September 23, 2019, and the Arnott’s and other international operations on December 23, 2019.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reportable segments are as follows:</w:t>
      </w:r>
    </w:p>
    <w:p>
      <w:pPr>
        <w:spacing w:after="0" w:line="90"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Meals &amp; Beverages, which includes the retail and foodservice businesses in the U.S. and Canada. The segment includes the following products: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condensed and ready-to-serve soups;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broth and stocks;</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broth, soups and non-dairy beverages;</w:t>
      </w:r>
      <w:r>
        <w:rPr>
          <w:rFonts w:ascii="Arial" w:cs="Arial" w:eastAsia="Arial" w:hAnsi="Arial"/>
          <w:sz w:val="18"/>
          <w:szCs w:val="18"/>
          <w:i w:val="1"/>
          <w:iCs w:val="1"/>
          <w:color w:val="auto"/>
        </w:rPr>
        <w:t xml:space="preserve"> Prego </w:t>
      </w:r>
      <w:r>
        <w:rPr>
          <w:rFonts w:ascii="Arial" w:cs="Arial" w:eastAsia="Arial" w:hAnsi="Arial"/>
          <w:sz w:val="18"/>
          <w:szCs w:val="18"/>
          <w:color w:val="auto"/>
        </w:rPr>
        <w:t>pasta sauces;</w:t>
      </w:r>
      <w:r>
        <w:rPr>
          <w:rFonts w:ascii="Arial" w:cs="Arial" w:eastAsia="Arial" w:hAnsi="Arial"/>
          <w:sz w:val="18"/>
          <w:szCs w:val="18"/>
          <w:i w:val="1"/>
          <w:iCs w:val="1"/>
          <w:color w:val="auto"/>
        </w:rPr>
        <w:t xml:space="preserve"> Pace </w:t>
      </w:r>
      <w:r>
        <w:rPr>
          <w:rFonts w:ascii="Arial" w:cs="Arial" w:eastAsia="Arial" w:hAnsi="Arial"/>
          <w:sz w:val="18"/>
          <w:szCs w:val="18"/>
          <w:color w:val="auto"/>
        </w:rPr>
        <w:t>Mexican sauces;</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gravies, pasta, beans and dinner sauces;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canned poultry;</w:t>
      </w:r>
      <w:r>
        <w:rPr>
          <w:rFonts w:ascii="Arial" w:cs="Arial" w:eastAsia="Arial" w:hAnsi="Arial"/>
          <w:sz w:val="18"/>
          <w:szCs w:val="18"/>
          <w:i w:val="1"/>
          <w:iCs w:val="1"/>
          <w:color w:val="auto"/>
        </w:rPr>
        <w:t xml:space="preserve"> Plum </w:t>
      </w:r>
      <w:r>
        <w:rPr>
          <w:rFonts w:ascii="Arial" w:cs="Arial" w:eastAsia="Arial" w:hAnsi="Arial"/>
          <w:sz w:val="18"/>
          <w:szCs w:val="18"/>
          <w:color w:val="auto"/>
        </w:rPr>
        <w:t>baby food and snacks;</w:t>
      </w:r>
      <w:r>
        <w:rPr>
          <w:rFonts w:ascii="Arial" w:cs="Arial" w:eastAsia="Arial" w:hAnsi="Arial"/>
          <w:sz w:val="18"/>
          <w:szCs w:val="18"/>
          <w:i w:val="1"/>
          <w:iCs w:val="1"/>
          <w:color w:val="auto"/>
        </w:rPr>
        <w:t xml:space="preserve"> V8 </w:t>
      </w:r>
      <w:r>
        <w:rPr>
          <w:rFonts w:ascii="Arial" w:cs="Arial" w:eastAsia="Arial" w:hAnsi="Arial"/>
          <w:sz w:val="18"/>
          <w:szCs w:val="18"/>
          <w:color w:val="auto"/>
        </w:rPr>
        <w:t>juices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and</w:t>
      </w:r>
    </w:p>
    <w:p>
      <w:pPr>
        <w:spacing w:after="0" w:line="65" w:lineRule="exact"/>
        <w:rPr>
          <w:rFonts w:ascii="Arial" w:cs="Arial" w:eastAsia="Arial" w:hAnsi="Arial"/>
          <w:sz w:val="18"/>
          <w:szCs w:val="18"/>
          <w:color w:val="auto"/>
        </w:rPr>
      </w:pPr>
    </w:p>
    <w:p>
      <w:pPr>
        <w:jc w:val="both"/>
        <w:ind w:left="660" w:hanging="328"/>
        <w:spacing w:after="0" w:line="30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Snacks, which consists of Pepperidge Farm cookies, crackers, fresh bakery and frozen products in U.S. retail, including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cookies and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and </w:t>
      </w:r>
      <w:r>
        <w:rPr>
          <w:rFonts w:ascii="Arial" w:cs="Arial" w:eastAsia="Arial" w:hAnsi="Arial"/>
          <w:sz w:val="16"/>
          <w:szCs w:val="16"/>
          <w:i w:val="1"/>
          <w:iCs w:val="1"/>
          <w:color w:val="auto"/>
        </w:rPr>
        <w:t>Snyder’s of Hanover</w:t>
      </w:r>
      <w:r>
        <w:rPr>
          <w:rFonts w:ascii="Arial" w:cs="Arial" w:eastAsia="Arial" w:hAnsi="Arial"/>
          <w:sz w:val="16"/>
          <w:szCs w:val="16"/>
          <w:color w:val="auto"/>
        </w:rPr>
        <w:t xml:space="preserve"> pretzels, </w:t>
      </w:r>
      <w:r>
        <w:rPr>
          <w:rFonts w:ascii="Arial" w:cs="Arial" w:eastAsia="Arial" w:hAnsi="Arial"/>
          <w:sz w:val="16"/>
          <w:szCs w:val="16"/>
          <w:i w:val="1"/>
          <w:iCs w:val="1"/>
          <w:color w:val="auto"/>
        </w:rPr>
        <w:t>Lance</w:t>
      </w:r>
      <w:r>
        <w:rPr>
          <w:rFonts w:ascii="Arial" w:cs="Arial" w:eastAsia="Arial" w:hAnsi="Arial"/>
          <w:sz w:val="16"/>
          <w:szCs w:val="16"/>
          <w:color w:val="auto"/>
        </w:rPr>
        <w:t xml:space="preserve"> sandwich crackers, </w:t>
      </w:r>
      <w:r>
        <w:rPr>
          <w:rFonts w:ascii="Arial" w:cs="Arial" w:eastAsia="Arial" w:hAnsi="Arial"/>
          <w:sz w:val="16"/>
          <w:szCs w:val="16"/>
          <w:i w:val="1"/>
          <w:iCs w:val="1"/>
          <w:color w:val="auto"/>
        </w:rPr>
        <w:t>Cape Cod</w:t>
      </w:r>
      <w:r>
        <w:rPr>
          <w:rFonts w:ascii="Arial" w:cs="Arial" w:eastAsia="Arial" w:hAnsi="Arial"/>
          <w:sz w:val="16"/>
          <w:szCs w:val="16"/>
          <w:color w:val="auto"/>
        </w:rPr>
        <w:t xml:space="preserve"> and </w:t>
      </w:r>
      <w:r>
        <w:rPr>
          <w:rFonts w:ascii="Arial" w:cs="Arial" w:eastAsia="Arial" w:hAnsi="Arial"/>
          <w:sz w:val="16"/>
          <w:szCs w:val="16"/>
          <w:i w:val="1"/>
          <w:iCs w:val="1"/>
          <w:color w:val="auto"/>
        </w:rPr>
        <w:t>Kettle Brand</w:t>
      </w:r>
      <w:r>
        <w:rPr>
          <w:rFonts w:ascii="Arial" w:cs="Arial" w:eastAsia="Arial" w:hAnsi="Arial"/>
          <w:sz w:val="16"/>
          <w:szCs w:val="16"/>
          <w:color w:val="auto"/>
        </w:rPr>
        <w:t xml:space="preserve"> potato chips, </w:t>
      </w:r>
      <w:r>
        <w:rPr>
          <w:rFonts w:ascii="Arial" w:cs="Arial" w:eastAsia="Arial" w:hAnsi="Arial"/>
          <w:sz w:val="16"/>
          <w:szCs w:val="16"/>
          <w:i w:val="1"/>
          <w:iCs w:val="1"/>
          <w:color w:val="auto"/>
        </w:rPr>
        <w:t>Late July</w:t>
      </w:r>
      <w:r>
        <w:rPr>
          <w:rFonts w:ascii="Arial" w:cs="Arial" w:eastAsia="Arial" w:hAnsi="Arial"/>
          <w:sz w:val="16"/>
          <w:szCs w:val="16"/>
          <w:color w:val="auto"/>
        </w:rPr>
        <w:t xml:space="preserve"> snacks, </w:t>
      </w:r>
      <w:r>
        <w:rPr>
          <w:rFonts w:ascii="Arial" w:cs="Arial" w:eastAsia="Arial" w:hAnsi="Arial"/>
          <w:sz w:val="16"/>
          <w:szCs w:val="16"/>
          <w:i w:val="1"/>
          <w:iCs w:val="1"/>
          <w:color w:val="auto"/>
        </w:rPr>
        <w:t>Snack Factory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Pretzel Crisps, Pop Secret </w:t>
      </w:r>
      <w:r>
        <w:rPr>
          <w:rFonts w:ascii="Arial" w:cs="Arial" w:eastAsia="Arial" w:hAnsi="Arial"/>
          <w:sz w:val="16"/>
          <w:szCs w:val="16"/>
          <w:color w:val="auto"/>
        </w:rPr>
        <w:t>popcorn,</w:t>
      </w:r>
      <w:r>
        <w:rPr>
          <w:rFonts w:ascii="Arial" w:cs="Arial" w:eastAsia="Arial" w:hAnsi="Arial"/>
          <w:sz w:val="16"/>
          <w:szCs w:val="16"/>
          <w:i w:val="1"/>
          <w:iCs w:val="1"/>
          <w:color w:val="auto"/>
        </w:rPr>
        <w:t xml:space="preserve"> Emerald </w:t>
      </w:r>
      <w:r>
        <w:rPr>
          <w:rFonts w:ascii="Arial" w:cs="Arial" w:eastAsia="Arial" w:hAnsi="Arial"/>
          <w:sz w:val="16"/>
          <w:szCs w:val="16"/>
          <w:color w:val="auto"/>
        </w:rPr>
        <w:t>nuts, and other snacking products in the U.S. and Canada. The segment includes the retail business in</w:t>
      </w:r>
      <w:r>
        <w:rPr>
          <w:rFonts w:ascii="Arial" w:cs="Arial" w:eastAsia="Arial" w:hAnsi="Arial"/>
          <w:sz w:val="16"/>
          <w:szCs w:val="16"/>
          <w:i w:val="1"/>
          <w:iCs w:val="1"/>
          <w:color w:val="auto"/>
        </w:rPr>
        <w:t xml:space="preserve"> </w:t>
      </w:r>
      <w:r>
        <w:rPr>
          <w:rFonts w:ascii="Arial" w:cs="Arial" w:eastAsia="Arial" w:hAnsi="Arial"/>
          <w:sz w:val="16"/>
          <w:szCs w:val="16"/>
          <w:color w:val="auto"/>
        </w:rPr>
        <w:t>Latin America. The segment also includes the results of our European chips business, which was sold on October 11, 2019.</w:t>
      </w:r>
    </w:p>
    <w:p>
      <w:pPr>
        <w:spacing w:after="0" w:line="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Through the fourth quarter of 2019, our retail business in Latin America was managed as part of the Meals &amp; Beverages segment. Beginning in 2020, it is managed as part of the Snacks segment. Segment results have been adjusted retrospectively to reflect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4" w:name="page15"/>
    <w:bookmarkEnd w:id="14"/>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2"/>
              </w:rPr>
              <w:t>January 27,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January 27, 2019</w:t>
            </w:r>
          </w:p>
        </w:tc>
        <w:tc>
          <w:tcPr>
            <w:tcW w:w="0" w:type="dxa"/>
            <w:vAlign w:val="bottom"/>
          </w:tcPr>
          <w:p>
            <w:pPr>
              <w:spacing w:after="0"/>
              <w:rPr>
                <w:sz w:val="1"/>
                <w:szCs w:val="1"/>
                <w:color w:val="auto"/>
              </w:rPr>
            </w:pPr>
          </w:p>
        </w:tc>
      </w:tr>
      <w:tr>
        <w:trPr>
          <w:trHeight w:val="236"/>
        </w:trPr>
        <w:tc>
          <w:tcPr>
            <w:tcW w:w="580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200" w:type="dxa"/>
            <w:vAlign w:val="bottom"/>
            <w:tcBorders>
              <w:top w:val="single" w:sz="8" w:color="auto"/>
              <w:bottom w:val="single" w:sz="8" w:color="BFE4FF"/>
            </w:tcBorders>
            <w:shd w:val="clear" w:color="auto" w:fill="BFE4FF"/>
          </w:tcPr>
          <w:p>
            <w:pPr>
              <w:spacing w:after="0"/>
              <w:rPr>
                <w:sz w:val="20"/>
                <w:szCs w:val="20"/>
                <w:color w:val="auto"/>
              </w:rPr>
            </w:pP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080" w:type="dxa"/>
            <w:vAlign w:val="bottom"/>
            <w:tcBorders>
              <w:top w:val="single" w:sz="8" w:color="auto"/>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200" w:type="dxa"/>
            <w:vAlign w:val="bottom"/>
            <w:tcBorders>
              <w:top w:val="single" w:sz="8" w:color="auto"/>
              <w:bottom w:val="single" w:sz="8" w:color="BFE4FF"/>
            </w:tcBorders>
            <w:shd w:val="clear" w:color="auto" w:fill="BFE4FF"/>
          </w:tcPr>
          <w:p>
            <w:pPr>
              <w:spacing w:after="0"/>
              <w:rPr>
                <w:sz w:val="20"/>
                <w:szCs w:val="20"/>
                <w:color w:val="auto"/>
              </w:rPr>
            </w:pP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200" w:type="dxa"/>
            <w:vAlign w:val="bottom"/>
            <w:tcBorders>
              <w:top w:val="single" w:sz="8" w:color="auto"/>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20"/>
              <w:spacing w:after="0"/>
              <w:rPr>
                <w:sz w:val="20"/>
                <w:szCs w:val="20"/>
                <w:color w:val="auto"/>
              </w:rPr>
            </w:pPr>
            <w:r>
              <w:rPr>
                <w:rFonts w:ascii="Arial" w:cs="Arial" w:eastAsia="Arial" w:hAnsi="Arial"/>
                <w:sz w:val="18"/>
                <w:szCs w:val="18"/>
                <w:color w:val="auto"/>
              </w:rPr>
              <w:t>Meals &amp; Beverages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6"/>
              <w:spacing w:after="0"/>
              <w:rPr>
                <w:sz w:val="20"/>
                <w:szCs w:val="20"/>
                <w:color w:val="auto"/>
              </w:rPr>
            </w:pPr>
            <w:r>
              <w:rPr>
                <w:rFonts w:ascii="Arial" w:cs="Arial" w:eastAsia="Arial" w:hAnsi="Arial"/>
                <w:sz w:val="18"/>
                <w:szCs w:val="18"/>
                <w:b w:val="1"/>
                <w:bCs w:val="1"/>
                <w:color w:val="auto"/>
              </w:rPr>
              <w:t>1,224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1,222</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6"/>
              <w:spacing w:after="0"/>
              <w:rPr>
                <w:sz w:val="20"/>
                <w:szCs w:val="20"/>
                <w:color w:val="auto"/>
              </w:rPr>
            </w:pPr>
            <w:r>
              <w:rPr>
                <w:rFonts w:ascii="Arial" w:cs="Arial" w:eastAsia="Arial" w:hAnsi="Arial"/>
                <w:sz w:val="18"/>
                <w:szCs w:val="18"/>
                <w:b w:val="1"/>
                <w:bCs w:val="1"/>
                <w:color w:val="auto"/>
              </w:rPr>
              <w:t>2,418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Snacks</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938</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56"/>
              <w:spacing w:after="0"/>
              <w:rPr>
                <w:sz w:val="20"/>
                <w:szCs w:val="20"/>
                <w:color w:val="auto"/>
              </w:rPr>
            </w:pPr>
            <w:r>
              <w:rPr>
                <w:rFonts w:ascii="Arial" w:cs="Arial" w:eastAsia="Arial" w:hAnsi="Arial"/>
                <w:sz w:val="18"/>
                <w:szCs w:val="18"/>
                <w:b w:val="1"/>
                <w:bCs w:val="1"/>
                <w:color w:val="auto"/>
              </w:rPr>
              <w:t>1,927</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43"/>
        </w:trPr>
        <w:tc>
          <w:tcPr>
            <w:tcW w:w="580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8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BFE4FF"/>
            </w:tcBorders>
            <w:shd w:val="clear" w:color="auto" w:fill="BFE4FF"/>
          </w:tcPr>
          <w:p>
            <w:pPr>
              <w:jc w:val="right"/>
              <w:ind w:right="56"/>
              <w:spacing w:after="0"/>
              <w:rPr>
                <w:sz w:val="20"/>
                <w:szCs w:val="20"/>
                <w:color w:val="auto"/>
              </w:rPr>
            </w:pPr>
            <w:r>
              <w:rPr>
                <w:rFonts w:ascii="Arial" w:cs="Arial" w:eastAsia="Arial" w:hAnsi="Arial"/>
                <w:sz w:val="18"/>
                <w:szCs w:val="18"/>
                <w:b w:val="1"/>
                <w:bCs w:val="1"/>
                <w:color w:val="auto"/>
              </w:rPr>
              <w:t>2,162</w:t>
            </w:r>
          </w:p>
        </w:tc>
        <w:tc>
          <w:tcPr>
            <w:tcW w:w="12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2,172</w:t>
            </w:r>
          </w:p>
        </w:tc>
        <w:tc>
          <w:tcPr>
            <w:tcW w:w="340" w:type="dxa"/>
            <w:vAlign w:val="bottom"/>
            <w:tcBorders>
              <w:bottom w:val="single" w:sz="8" w:color="BFE4FF"/>
            </w:tcBorders>
            <w:gridSpan w:val="3"/>
            <w:shd w:val="clear" w:color="auto" w:fill="BFE4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BFE4FF"/>
            </w:tcBorders>
            <w:shd w:val="clear" w:color="auto" w:fill="BFE4FF"/>
          </w:tcPr>
          <w:p>
            <w:pPr>
              <w:jc w:val="right"/>
              <w:ind w:right="56"/>
              <w:spacing w:after="0"/>
              <w:rPr>
                <w:sz w:val="20"/>
                <w:szCs w:val="20"/>
                <w:color w:val="auto"/>
              </w:rPr>
            </w:pPr>
            <w:r>
              <w:rPr>
                <w:rFonts w:ascii="Arial" w:cs="Arial" w:eastAsia="Arial" w:hAnsi="Arial"/>
                <w:sz w:val="18"/>
                <w:szCs w:val="18"/>
                <w:b w:val="1"/>
                <w:bCs w:val="1"/>
                <w:color w:val="auto"/>
              </w:rPr>
              <w:t>4,345</w:t>
            </w:r>
          </w:p>
        </w:tc>
        <w:tc>
          <w:tcPr>
            <w:tcW w:w="12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0"/>
        </w:trPr>
        <w:tc>
          <w:tcPr>
            <w:tcW w:w="58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2"/>
              </w:rPr>
              <w:t>January 27,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January 27, 2019</w:t>
            </w:r>
          </w:p>
        </w:tc>
        <w:tc>
          <w:tcPr>
            <w:tcW w:w="0" w:type="dxa"/>
            <w:vAlign w:val="bottom"/>
          </w:tcPr>
          <w:p>
            <w:pPr>
              <w:spacing w:after="0"/>
              <w:rPr>
                <w:sz w:val="1"/>
                <w:szCs w:val="1"/>
                <w:color w:val="auto"/>
              </w:rPr>
            </w:pPr>
          </w:p>
        </w:tc>
      </w:tr>
      <w:tr>
        <w:trPr>
          <w:trHeight w:val="236"/>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20"/>
              <w:spacing w:after="0"/>
              <w:rPr>
                <w:sz w:val="20"/>
                <w:szCs w:val="20"/>
                <w:color w:val="auto"/>
              </w:rPr>
            </w:pPr>
            <w:r>
              <w:rPr>
                <w:rFonts w:ascii="Arial" w:cs="Arial" w:eastAsia="Arial" w:hAnsi="Arial"/>
                <w:sz w:val="18"/>
                <w:szCs w:val="18"/>
                <w:color w:val="auto"/>
              </w:rPr>
              <w:t>Meals &amp; Beverages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6"/>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6"/>
              <w:spacing w:after="0"/>
              <w:rPr>
                <w:sz w:val="20"/>
                <w:szCs w:val="20"/>
                <w:color w:val="auto"/>
              </w:rPr>
            </w:pPr>
            <w:r>
              <w:rPr>
                <w:rFonts w:ascii="Arial" w:cs="Arial" w:eastAsia="Arial" w:hAnsi="Arial"/>
                <w:sz w:val="18"/>
                <w:szCs w:val="18"/>
                <w:b w:val="1"/>
                <w:bCs w:val="1"/>
                <w:color w:val="auto"/>
              </w:rPr>
              <w:t>524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Snacks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6"/>
              <w:spacing w:after="0"/>
              <w:rPr>
                <w:sz w:val="20"/>
                <w:szCs w:val="20"/>
                <w:color w:val="auto"/>
              </w:rPr>
            </w:pPr>
            <w:r>
              <w:rPr>
                <w:rFonts w:ascii="Arial" w:cs="Arial" w:eastAsia="Arial" w:hAnsi="Arial"/>
                <w:sz w:val="18"/>
                <w:szCs w:val="18"/>
                <w:b w:val="1"/>
                <w:bCs w:val="1"/>
                <w:color w:val="auto"/>
              </w:rPr>
              <w:t>350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6"/>
              <w:spacing w:after="0"/>
              <w:rPr>
                <w:sz w:val="20"/>
                <w:szCs w:val="20"/>
                <w:color w:val="auto"/>
              </w:rPr>
            </w:pPr>
            <w:r>
              <w:rPr>
                <w:rFonts w:ascii="Arial" w:cs="Arial" w:eastAsia="Arial" w:hAnsi="Arial"/>
                <w:sz w:val="18"/>
                <w:szCs w:val="18"/>
                <w:b w:val="1"/>
                <w:bCs w:val="1"/>
                <w:color w:val="auto"/>
              </w:rPr>
              <w:t>667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58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8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38"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unallocated items. Pension benefit settlement adjustments are include in Corporate. There were settlement gains of $11 in the three- and six-month periods ended January 26, 2020. Included in the six-month period ended January 26, 2020, was a loss on the sale of our European chips business of $64. Costs related to the cost savings initiatives were $18 and $22 in the three-month periods and $26 and $49 in the six-month periods ended January 26, 2020, and January 27, 2019, respectively.</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See Note 7 for additional information.</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sales based on product categories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27, 2019</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January 27, 2019</w:t>
            </w:r>
          </w:p>
        </w:tc>
      </w:tr>
      <w:tr>
        <w:trPr>
          <w:trHeight w:val="236"/>
        </w:trPr>
        <w:tc>
          <w:tcPr>
            <w:tcW w:w="58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20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22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200" w:type="dxa"/>
            <w:vAlign w:val="bottom"/>
            <w:tcBorders>
              <w:top w:val="single" w:sz="8" w:color="auto"/>
              <w:bottom w:val="single" w:sz="8" w:color="BFE4FF"/>
            </w:tcBorders>
            <w:shd w:val="clear" w:color="auto" w:fill="BFE4FF"/>
          </w:tcPr>
          <w:p>
            <w:pPr>
              <w:spacing w:after="0"/>
              <w:rPr>
                <w:sz w:val="20"/>
                <w:szCs w:val="20"/>
                <w:color w:val="auto"/>
              </w:rPr>
            </w:pP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auto"/>
              <w:bottom w:val="single" w:sz="8" w:color="BFE4FF"/>
            </w:tcBorders>
            <w:shd w:val="clear" w:color="auto" w:fill="BFE4FF"/>
          </w:tcPr>
          <w:p>
            <w:pPr>
              <w:spacing w:after="0"/>
              <w:rPr>
                <w:sz w:val="20"/>
                <w:szCs w:val="20"/>
                <w:color w:val="auto"/>
              </w:rPr>
            </w:pPr>
          </w:p>
        </w:tc>
        <w:tc>
          <w:tcPr>
            <w:tcW w:w="1200" w:type="dxa"/>
            <w:vAlign w:val="bottom"/>
            <w:tcBorders>
              <w:top w:val="single" w:sz="8" w:color="auto"/>
              <w:bottom w:val="single" w:sz="8" w:color="BFE4FF"/>
            </w:tcBorders>
            <w:shd w:val="clear" w:color="auto" w:fill="BFE4FF"/>
          </w:tcPr>
          <w:p>
            <w:pPr>
              <w:spacing w:after="0"/>
              <w:rPr>
                <w:sz w:val="20"/>
                <w:szCs w:val="20"/>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Soup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74"/>
              <w:spacing w:after="0"/>
              <w:rPr>
                <w:sz w:val="20"/>
                <w:szCs w:val="20"/>
                <w:color w:val="auto"/>
              </w:rPr>
            </w:pPr>
            <w:r>
              <w:rPr>
                <w:rFonts w:ascii="Arial" w:cs="Arial" w:eastAsia="Arial" w:hAnsi="Arial"/>
                <w:sz w:val="18"/>
                <w:szCs w:val="18"/>
                <w:b w:val="1"/>
                <w:bCs w:val="1"/>
                <w:color w:val="auto"/>
              </w:rPr>
              <w:t>755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74"/>
              <w:spacing w:after="0"/>
              <w:rPr>
                <w:sz w:val="20"/>
                <w:szCs w:val="20"/>
                <w:color w:val="auto"/>
              </w:rPr>
            </w:pPr>
            <w:r>
              <w:rPr>
                <w:rFonts w:ascii="Arial" w:cs="Arial" w:eastAsia="Arial" w:hAnsi="Arial"/>
                <w:sz w:val="18"/>
                <w:szCs w:val="18"/>
                <w:b w:val="1"/>
                <w:bCs w:val="1"/>
                <w:color w:val="auto"/>
              </w:rPr>
              <w:t>1,463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1,492</w:t>
            </w:r>
          </w:p>
        </w:tc>
      </w:tr>
      <w:tr>
        <w:trPr>
          <w:trHeight w:val="27"/>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Snacks</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b w:val="1"/>
                <w:bCs w:val="1"/>
                <w:color w:val="auto"/>
              </w:rPr>
              <w:t>955</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b w:val="1"/>
                <w:bCs w:val="1"/>
                <w:color w:val="auto"/>
              </w:rPr>
              <w:t>1,965</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1,955</w:t>
            </w: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Other simple meals</w:t>
            </w:r>
          </w:p>
        </w:tc>
        <w:tc>
          <w:tcPr>
            <w:tcW w:w="12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b w:val="1"/>
                <w:bCs w:val="1"/>
                <w:color w:val="auto"/>
              </w:rPr>
              <w:t>562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559</w:t>
            </w:r>
          </w:p>
        </w:tc>
      </w:tr>
      <w:tr>
        <w:trPr>
          <w:trHeight w:val="27"/>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Beverages</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b w:val="1"/>
                <w:bCs w:val="1"/>
                <w:color w:val="auto"/>
              </w:rPr>
              <w:t>173</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367</w:t>
            </w:r>
          </w:p>
        </w:tc>
      </w:tr>
      <w:tr>
        <w:trPr>
          <w:trHeight w:val="243"/>
        </w:trPr>
        <w:tc>
          <w:tcPr>
            <w:tcW w:w="582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w:t>
            </w:r>
          </w:p>
        </w:tc>
      </w:tr>
      <w:tr>
        <w:trPr>
          <w:trHeight w:val="27"/>
        </w:trPr>
        <w:tc>
          <w:tcPr>
            <w:tcW w:w="58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5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b w:val="1"/>
                <w:bCs w:val="1"/>
                <w:color w:val="auto"/>
              </w:rPr>
              <w:t>2,162</w:t>
            </w:r>
          </w:p>
        </w:tc>
        <w:tc>
          <w:tcPr>
            <w:tcW w:w="10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b w:val="1"/>
                <w:bCs w:val="1"/>
                <w:color w:val="auto"/>
              </w:rPr>
              <w:t>4,345</w:t>
            </w:r>
          </w:p>
        </w:tc>
        <w:tc>
          <w:tcPr>
            <w:tcW w:w="10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BFE4FF"/>
            </w:tcBorders>
            <w:shd w:val="clear" w:color="auto" w:fill="BFE4FF"/>
          </w:tcPr>
          <w:p>
            <w:pPr>
              <w:jc w:val="right"/>
              <w:ind w:right="73"/>
              <w:spacing w:after="0"/>
              <w:rPr>
                <w:sz w:val="20"/>
                <w:szCs w:val="20"/>
                <w:color w:val="auto"/>
              </w:rPr>
            </w:pPr>
            <w:r>
              <w:rPr>
                <w:rFonts w:ascii="Arial" w:cs="Arial" w:eastAsia="Arial" w:hAnsi="Arial"/>
                <w:sz w:val="18"/>
                <w:szCs w:val="18"/>
                <w:color w:val="auto"/>
              </w:rPr>
              <w:t>4,374</w:t>
            </w:r>
          </w:p>
        </w:tc>
      </w:tr>
      <w:tr>
        <w:trPr>
          <w:trHeight w:val="20"/>
        </w:trPr>
        <w:tc>
          <w:tcPr>
            <w:tcW w:w="58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03"/>
        <w:spacing w:after="0" w:line="277" w:lineRule="auto"/>
        <w:rPr>
          <w:sz w:val="20"/>
          <w:szCs w:val="20"/>
          <w:color w:val="auto"/>
        </w:rPr>
      </w:pPr>
      <w:r>
        <w:rPr>
          <w:rFonts w:ascii="Arial" w:cs="Arial" w:eastAsia="Arial" w:hAnsi="Arial"/>
          <w:sz w:val="18"/>
          <w:szCs w:val="18"/>
          <w:color w:val="auto"/>
        </w:rPr>
        <w:t>Soup includes various soup, broths and stock products. Snacks include cookies, pretzels, crackers, popcorn, nuts, potato chips, tortilla chips and other salty snacks and baked products. Other simple meals include sauces and Plum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Restructuring Charges and Cost Savings Initiatives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26, 2020</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27,</w:t>
            </w:r>
          </w:p>
        </w:tc>
        <w:tc>
          <w:tcPr>
            <w:tcW w:w="14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26, 2020</w:t>
            </w: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27,</w:t>
            </w:r>
          </w:p>
        </w:tc>
        <w:tc>
          <w:tcPr>
            <w:tcW w:w="180" w:type="dxa"/>
            <w:vAlign w:val="bottom"/>
          </w:tcPr>
          <w:p>
            <w:pPr>
              <w:spacing w:after="0"/>
              <w:rPr>
                <w:sz w:val="14"/>
                <w:szCs w:val="14"/>
                <w:color w:val="auto"/>
              </w:rPr>
            </w:pPr>
          </w:p>
        </w:tc>
        <w:tc>
          <w:tcPr>
            <w:tcW w:w="1380" w:type="dxa"/>
            <w:vAlign w:val="bottom"/>
          </w:tcPr>
          <w:p>
            <w:pPr>
              <w:jc w:val="right"/>
              <w:ind w:right="194"/>
              <w:spacing w:after="0"/>
              <w:rPr>
                <w:sz w:val="20"/>
                <w:szCs w:val="20"/>
                <w:color w:val="auto"/>
              </w:rPr>
            </w:pPr>
            <w:r>
              <w:rPr>
                <w:rFonts w:ascii="Arial" w:cs="Arial" w:eastAsia="Arial" w:hAnsi="Arial"/>
                <w:sz w:val="14"/>
                <w:szCs w:val="14"/>
                <w:b w:val="1"/>
                <w:bCs w:val="1"/>
                <w:color w:val="auto"/>
                <w:w w:val="93"/>
              </w:rPr>
              <w:t>Recognized as of</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January 26, 2020</w:t>
            </w:r>
          </w:p>
        </w:tc>
        <w:tc>
          <w:tcPr>
            <w:tcW w:w="0" w:type="dxa"/>
            <w:vAlign w:val="bottom"/>
          </w:tcPr>
          <w:p>
            <w:pPr>
              <w:spacing w:after="0"/>
              <w:rPr>
                <w:sz w:val="1"/>
                <w:szCs w:val="1"/>
                <w:color w:val="auto"/>
              </w:rPr>
            </w:pPr>
          </w:p>
        </w:tc>
      </w:tr>
      <w:tr>
        <w:trPr>
          <w:trHeight w:val="245"/>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4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(loss) from discontinued operations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4"/>
              </w:rPr>
              <w:t>January 26, 2020</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January 27,</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January 26,</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January 27,</w:t>
            </w:r>
          </w:p>
        </w:tc>
        <w:tc>
          <w:tcPr>
            <w:tcW w:w="160" w:type="dxa"/>
            <w:vAlign w:val="bottom"/>
          </w:tcPr>
          <w:p>
            <w:pPr>
              <w:spacing w:after="0"/>
              <w:rPr>
                <w:sz w:val="14"/>
                <w:szCs w:val="14"/>
                <w:color w:val="auto"/>
              </w:rPr>
            </w:pPr>
          </w:p>
        </w:tc>
        <w:tc>
          <w:tcPr>
            <w:tcW w:w="1420" w:type="dxa"/>
            <w:vAlign w:val="bottom"/>
          </w:tcPr>
          <w:p>
            <w:pPr>
              <w:jc w:val="center"/>
              <w:ind w:right="82"/>
              <w:spacing w:after="0"/>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January 26, 2020</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238"/>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$19 of severance pay and benefits and $4 of implementation costs and other related costs.</w:t>
      </w:r>
    </w:p>
    <w:p>
      <w:pPr>
        <w:spacing w:after="0" w:line="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the initiatives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Recognized as of</w:t>
            </w:r>
          </w:p>
        </w:tc>
      </w:tr>
      <w:tr>
        <w:trPr>
          <w:trHeight w:val="192"/>
        </w:trPr>
        <w:tc>
          <w:tcPr>
            <w:tcW w:w="9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January 26, 2020</w:t>
            </w:r>
          </w:p>
        </w:tc>
      </w:tr>
      <w:tr>
        <w:trPr>
          <w:trHeight w:val="27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215</w:t>
            </w: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21"/>
                <w:szCs w:val="21"/>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65</w:t>
            </w:r>
          </w:p>
        </w:tc>
      </w:tr>
      <w:tr>
        <w:trPr>
          <w:trHeight w:val="27"/>
        </w:trPr>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328</w:t>
            </w:r>
          </w:p>
        </w:tc>
      </w:tr>
      <w:tr>
        <w:trPr>
          <w:trHeight w:val="264"/>
        </w:trPr>
        <w:tc>
          <w:tcPr>
            <w:tcW w:w="98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608</w:t>
            </w:r>
          </w:p>
        </w:tc>
      </w:tr>
      <w:tr>
        <w:trPr>
          <w:trHeight w:val="21"/>
        </w:trPr>
        <w:tc>
          <w:tcPr>
            <w:tcW w:w="9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$660 to $685 and we expect to incur the costs through 2021. This estimate will be updated as costs for the expanded initiatives are developed.</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associated with continuing operations that have been identified to date to consist of the following: approximately $215 to $220 in severance pay and benefits; approximately $65 in asset impairment and accelerated depreciation; and approximately $380 to $400 in implementation costs and other related costs. We expect these pre-tax costs to be associated with our segments as follows: Meals &amp; Beverages - approximately 33%; Snacks - approximately 42%; and Corporate - approximately 25%.</w:t>
      </w:r>
    </w:p>
    <w:p>
      <w:pPr>
        <w:spacing w:after="0" w:line="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Of the aggregate $660 to $685 of pre-tax costs associated with continuing operations identified to date, we expect approximately $585 to $610 will be cash expenditures. In addition, we expect to invest approximately $395 in capital expenditures through 2021, of which we invested approximately $300 as of January 26, 2020. The capital expenditures primarily relate to the U.S. warehouse optimization project, implementation of an SAP enterprise-resource planning system for Snyder's-Lance, improvement of quality, safety and cost structure across the Snyder’s-Lance manufacturing network, optimization of information technology infrastructure and applications, transition of production of the Toronto manufacturing</w:t>
      </w:r>
    </w:p>
    <w:p>
      <w:pPr>
        <w:sectPr>
          <w:pgSz w:w="11900" w:h="16838" w:orient="portrait"/>
          <w:cols w:equalWidth="0" w:num="1">
            <w:col w:w="11420"/>
          </w:cols>
          <w:pgMar w:left="240" w:top="986"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type w:val="continuous"/>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facility to our U.S. thermal plants, insourcing of manufacturing for certain simple meal products, and optimization of the Snyder’s-Lance warehouse and distribution network.</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January 26, 2020,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Implementation</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10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7"/>
              </w:rPr>
              <w:t>Severance Pay</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Costs and Other</w:t>
            </w:r>
          </w:p>
        </w:tc>
        <w:tc>
          <w:tcPr>
            <w:tcW w:w="12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Related</w:t>
            </w:r>
          </w:p>
        </w:tc>
        <w:tc>
          <w:tcPr>
            <w:tcW w:w="120" w:type="dxa"/>
            <w:vAlign w:val="bottom"/>
          </w:tcPr>
          <w:p>
            <w:pPr>
              <w:spacing w:after="0"/>
              <w:rPr>
                <w:sz w:val="13"/>
                <w:szCs w:val="13"/>
                <w:color w:val="auto"/>
              </w:rPr>
            </w:pPr>
          </w:p>
        </w:tc>
        <w:tc>
          <w:tcPr>
            <w:tcW w:w="16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Impairment/Accelerated</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and Benefits</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Costs</w:t>
            </w:r>
            <w:r>
              <w:rPr>
                <w:rFonts w:ascii="Arial" w:cs="Arial" w:eastAsia="Arial" w:hAnsi="Arial"/>
                <w:sz w:val="9"/>
                <w:szCs w:val="9"/>
                <w:b w:val="1"/>
                <w:bCs w:val="1"/>
                <w:color w:val="auto"/>
                <w:w w:val="88"/>
              </w:rPr>
              <w:t>(3)</w:t>
            </w: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Depreciation</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balance at July 28, 2019</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20"/>
              <w:spacing w:after="0"/>
              <w:rPr>
                <w:sz w:val="20"/>
                <w:szCs w:val="20"/>
                <w:color w:val="auto"/>
              </w:rPr>
            </w:pPr>
            <w:r>
              <w:rPr>
                <w:rFonts w:ascii="Arial" w:cs="Arial" w:eastAsia="Arial" w:hAnsi="Arial"/>
                <w:sz w:val="18"/>
                <w:szCs w:val="18"/>
                <w:b w:val="1"/>
                <w:bCs w:val="1"/>
                <w:color w:val="auto"/>
              </w:rPr>
              <w:t>2020 charges</w:t>
            </w:r>
          </w:p>
        </w:tc>
        <w:tc>
          <w:tcPr>
            <w:tcW w:w="14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b w:val="1"/>
                <w:bCs w:val="1"/>
                <w:color w:val="auto"/>
              </w:rPr>
              <w:t>10</w:t>
            </w:r>
          </w:p>
        </w:tc>
        <w:tc>
          <w:tcPr>
            <w:tcW w:w="142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24</w:t>
            </w:r>
          </w:p>
        </w:tc>
        <w:tc>
          <w:tcPr>
            <w:tcW w:w="164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2020 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Accrued balance at January 26, 2020</w:t>
            </w:r>
            <w:r>
              <w:rPr>
                <w:rFonts w:ascii="Arial" w:cs="Arial" w:eastAsia="Arial" w:hAnsi="Arial"/>
                <w:sz w:val="23"/>
                <w:szCs w:val="23"/>
                <w:b w:val="1"/>
                <w:bCs w:val="1"/>
                <w:color w:val="auto"/>
                <w:vertAlign w:val="superscript"/>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$8 of severance pay and benefits recorded in Other liabilities in the Consolidated Balance Sheet.</w:t>
      </w:r>
    </w:p>
    <w:p>
      <w:pPr>
        <w:spacing w:after="0" w:line="1" w:lineRule="exact"/>
        <w:rPr>
          <w:rFonts w:ascii="Arial" w:cs="Arial" w:eastAsia="Arial" w:hAnsi="Arial"/>
          <w:sz w:val="23"/>
          <w:szCs w:val="23"/>
          <w:color w:val="auto"/>
          <w:vertAlign w:val="superscript"/>
        </w:rPr>
      </w:pPr>
    </w:p>
    <w:p>
      <w:pPr>
        <w:ind w:left="180" w:hanging="172"/>
        <w:spacing w:after="0" w:line="213"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$4 of severance pay and benefits recorded in Other liabilities in the Consolidated Balance Sheet.</w:t>
      </w:r>
    </w:p>
    <w:p>
      <w:pPr>
        <w:spacing w:after="0" w:line="1" w:lineRule="exact"/>
        <w:rPr>
          <w:rFonts w:ascii="Arial" w:cs="Arial" w:eastAsia="Arial" w:hAnsi="Arial"/>
          <w:sz w:val="21"/>
          <w:szCs w:val="21"/>
          <w:color w:val="auto"/>
          <w:vertAlign w:val="superscript"/>
        </w:rPr>
      </w:pPr>
    </w:p>
    <w:p>
      <w:pPr>
        <w:ind w:left="660" w:hanging="652"/>
        <w:spacing w:after="0" w:line="268" w:lineRule="auto"/>
        <w:tabs>
          <w:tab w:leader="none" w:pos="177"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reserves included in Current liabilities of discontinued operations were $1 at July 28, 2019.</w:t>
      </w:r>
    </w:p>
    <w:p>
      <w:pPr>
        <w:spacing w:after="0" w:line="1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January 26, 2020</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Six Months</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Costs Incurred to Date</w:t>
            </w: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64"/>
        </w:trPr>
        <w:tc>
          <w:tcPr>
            <w:tcW w:w="65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(EPS)</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six-month periods ended January 26, 2020, excludes approximately 1 million stock options that would have been antidilutive. The earnings per share calculation for the three- and six-month periods ended January 27, 2019, excludes approximately 2 million stock options that would have been antidilutive.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1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own a 60% controlling interest in a joint venture formed with Swire Pacific Limited in China. We also own a 99.8% interest in Acre Venture Partners, L.P. (Acre), a limited partnership formed to make venture capital investments in innovative new companies in food and food-related industries. See Note 14 for additional information.</w:t>
      </w:r>
    </w:p>
    <w:p>
      <w:pPr>
        <w:spacing w:after="0" w:line="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Pension and Postretirement Benefits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6"/>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8"/>
              </w:rPr>
              <w:t>Six Months Ended</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Pension</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w w:val="95"/>
              </w:rPr>
              <w:t>Postretirement</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Pension</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Postretirement</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26, 2020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27, 2019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26, 2020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January 27, 2019</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January 26, 2020</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January 27, 2019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26, 2020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27, 2019</w:t>
            </w:r>
          </w:p>
        </w:tc>
        <w:tc>
          <w:tcPr>
            <w:tcW w:w="0" w:type="dxa"/>
            <w:vAlign w:val="bottom"/>
          </w:tcPr>
          <w:p>
            <w:pPr>
              <w:spacing w:after="0"/>
              <w:rPr>
                <w:sz w:val="1"/>
                <w:szCs w:val="1"/>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center"/>
              <w:ind w:left="133"/>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ind w:right="7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Expected return on plan</w:t>
            </w:r>
          </w:p>
        </w:tc>
        <w:tc>
          <w:tcPr>
            <w:tcW w:w="4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3"/>
              </w:rPr>
              <w:t>(71)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vMerge w:val="continue"/>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Amortization of prior</w:t>
            </w:r>
          </w:p>
        </w:tc>
        <w:tc>
          <w:tcPr>
            <w:tcW w:w="400" w:type="dxa"/>
            <w:vAlign w:val="bottom"/>
          </w:tcPr>
          <w:p>
            <w:pPr>
              <w:spacing w:after="0"/>
              <w:rPr>
                <w:sz w:val="19"/>
                <w:szCs w:val="19"/>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 gain</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820" w:type="dxa"/>
            <w:vAlign w:val="bottom"/>
          </w:tcPr>
          <w:p>
            <w:pPr>
              <w:ind w:left="20"/>
              <w:spacing w:after="0"/>
              <w:rPr>
                <w:sz w:val="20"/>
                <w:szCs w:val="20"/>
                <w:color w:val="auto"/>
              </w:rPr>
            </w:pPr>
            <w:r>
              <w:rPr>
                <w:rFonts w:ascii="Arial" w:cs="Arial" w:eastAsia="Arial" w:hAnsi="Arial"/>
                <w:sz w:val="18"/>
                <w:szCs w:val="18"/>
                <w:color w:val="auto"/>
              </w:rPr>
              <w:t>Net periodic benefit</w:t>
            </w:r>
          </w:p>
        </w:tc>
        <w:tc>
          <w:tcPr>
            <w:tcW w:w="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66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8"/>
                <w:szCs w:val="18"/>
                <w:color w:val="auto"/>
              </w:rPr>
            </w:pPr>
          </w:p>
        </w:tc>
        <w:tc>
          <w:tcPr>
            <w:tcW w:w="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vMerge w:val="restart"/>
          </w:tcPr>
          <w:p>
            <w:pPr>
              <w:jc w:val="center"/>
              <w:ind w:left="93"/>
              <w:spacing w:after="0"/>
              <w:rPr>
                <w:sz w:val="20"/>
                <w:szCs w:val="20"/>
                <w:color w:val="auto"/>
              </w:rPr>
            </w:pPr>
            <w:r>
              <w:rPr>
                <w:rFonts w:ascii="Arial" w:cs="Arial" w:eastAsia="Arial" w:hAnsi="Arial"/>
                <w:sz w:val="18"/>
                <w:szCs w:val="18"/>
                <w:color w:val="auto"/>
                <w:w w:val="93"/>
              </w:rPr>
              <w:t>(19)</w:t>
            </w:r>
          </w:p>
        </w:tc>
        <w:tc>
          <w:tcPr>
            <w:tcW w:w="100" w:type="dxa"/>
            <w:vAlign w:val="bottom"/>
          </w:tcPr>
          <w:p>
            <w:pPr>
              <w:spacing w:after="0"/>
              <w:rPr>
                <w:sz w:val="18"/>
                <w:szCs w:val="18"/>
                <w:color w:val="auto"/>
              </w:rPr>
            </w:pPr>
          </w:p>
        </w:tc>
        <w:tc>
          <w:tcPr>
            <w:tcW w:w="6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5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1820" w:type="dxa"/>
            <w:vAlign w:val="bottom"/>
          </w:tcPr>
          <w:p>
            <w:pPr>
              <w:ind w:left="20"/>
              <w:spacing w:after="0"/>
              <w:rPr>
                <w:sz w:val="20"/>
                <w:szCs w:val="20"/>
                <w:color w:val="auto"/>
              </w:rPr>
            </w:pPr>
            <w:r>
              <w:rPr>
                <w:rFonts w:ascii="Arial" w:cs="Arial" w:eastAsia="Arial" w:hAnsi="Arial"/>
                <w:sz w:val="18"/>
                <w:szCs w:val="18"/>
                <w:color w:val="auto"/>
              </w:rPr>
              <w:t>expense (income)</w:t>
            </w:r>
          </w:p>
        </w:tc>
        <w:tc>
          <w:tcPr>
            <w:tcW w:w="40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settlement gain of $11 for the three- and six-month periods ended January 26, 2020, resulted from the level of lump sum distributions associated with a Canadian pension plan and a U.S. pension plan.</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periodic pension benefit expense (income) associated with discontinued operations was not material for the three- and six-month periods ended January 26, 2020, and January 27, 2019.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lease warehouse and distribution facilities, office space, manufacturing facilities, equipment and vehicles, primarily through operating leases.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Leases recorded on our Consolidated Balance Sheet have remaining terms primarily from 1 to 15 years.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fleet leases generally include residual value guarantees that are assessed at lease inception in determining ROU assets and corresponding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other significant restrictions or covenants are included in our leases.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January 26, 2020</w:t>
            </w: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7"/>
                <w:szCs w:val="17"/>
                <w:color w:val="auto"/>
              </w:rPr>
            </w:pPr>
          </w:p>
        </w:tc>
        <w:tc>
          <w:tcPr>
            <w:tcW w:w="136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Six Months Ended</w:t>
            </w:r>
          </w:p>
        </w:tc>
      </w:tr>
      <w:tr>
        <w:trPr>
          <w:trHeight w:val="250"/>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Finance lease - amortization of ROU assets</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b w:val="1"/>
                <w:bCs w:val="1"/>
                <w:color w:val="auto"/>
              </w:rPr>
              <w:t>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20</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b w:val="1"/>
                <w:bCs w:val="1"/>
                <w:color w:val="auto"/>
              </w:rPr>
              <w:t>86</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145</w:t>
            </w:r>
          </w:p>
        </w:tc>
      </w:tr>
      <w:tr>
        <w:trPr>
          <w:trHeight w:val="21"/>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labor and other overhead included in our service contracts with embedded leases.</w:t>
      </w:r>
    </w:p>
    <w:p>
      <w:pPr>
        <w:spacing w:after="0" w:line="82"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7"/>
          <w:szCs w:val="17"/>
          <w:color w:val="auto"/>
        </w:rPr>
        <w:t>Total lease cost includes $2 and $4 for the three- and six-month periods ended January 26, 2020, respectively,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The following table summarizes the lease amounts recorded in the Consolidated Balance Sheet: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b w:val="1"/>
                <w:bCs w:val="1"/>
                <w:color w:val="auto"/>
                <w:w w:val="92"/>
              </w:rPr>
              <w:t>January 26, 2020</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7"/>
                <w:szCs w:val="17"/>
                <w:color w:val="auto"/>
              </w:rPr>
            </w:pPr>
          </w:p>
        </w:tc>
        <w:tc>
          <w:tcPr>
            <w:tcW w:w="10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Finance</w:t>
            </w:r>
          </w:p>
        </w:tc>
        <w:tc>
          <w:tcPr>
            <w:tcW w:w="0" w:type="dxa"/>
            <w:vAlign w:val="bottom"/>
          </w:tcPr>
          <w:p>
            <w:pPr>
              <w:spacing w:after="0"/>
              <w:rPr>
                <w:sz w:val="1"/>
                <w:szCs w:val="1"/>
                <w:color w:val="auto"/>
              </w:rPr>
            </w:pPr>
          </w:p>
        </w:tc>
      </w:tr>
      <w:tr>
        <w:trPr>
          <w:trHeight w:val="236"/>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Plant assets, net of depreciation</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73"/>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628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Weighted-average lease terms and discount rates were as follows:</w:t>
            </w: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753"/>
              <w:spacing w:after="0"/>
              <w:rPr>
                <w:sz w:val="20"/>
                <w:szCs w:val="20"/>
                <w:color w:val="auto"/>
              </w:rPr>
            </w:pPr>
            <w:r>
              <w:rPr>
                <w:rFonts w:ascii="Arial" w:cs="Arial" w:eastAsia="Arial" w:hAnsi="Arial"/>
                <w:sz w:val="14"/>
                <w:szCs w:val="14"/>
                <w:b w:val="1"/>
                <w:bCs w:val="1"/>
                <w:color w:val="auto"/>
              </w:rPr>
              <w:t>January 26, 2020</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7"/>
                <w:szCs w:val="17"/>
                <w:color w:val="auto"/>
              </w:rPr>
            </w:pPr>
          </w:p>
        </w:tc>
        <w:tc>
          <w:tcPr>
            <w:tcW w:w="1060" w:type="dxa"/>
            <w:vAlign w:val="bottom"/>
          </w:tcPr>
          <w:p>
            <w:pPr>
              <w:jc w:val="right"/>
              <w:ind w:right="333"/>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term in years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594"/>
        </w:trPr>
        <w:tc>
          <w:tcPr>
            <w:tcW w:w="6280" w:type="dxa"/>
            <w:vAlign w:val="bottom"/>
          </w:tcPr>
          <w:p>
            <w:pPr>
              <w:ind w:left="340"/>
              <w:spacing w:after="0"/>
              <w:rPr>
                <w:sz w:val="20"/>
                <w:szCs w:val="20"/>
                <w:color w:val="auto"/>
              </w:rPr>
            </w:pPr>
            <w:r>
              <w:rPr>
                <w:rFonts w:ascii="Arial" w:cs="Arial" w:eastAsia="Arial" w:hAnsi="Arial"/>
                <w:sz w:val="18"/>
                <w:szCs w:val="18"/>
                <w:color w:val="auto"/>
              </w:rPr>
              <w:t>Future minimum lease payments were as follows: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6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January 26, 2020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33"/>
              <w:spacing w:after="0"/>
              <w:rPr>
                <w:sz w:val="20"/>
                <w:szCs w:val="20"/>
                <w:color w:val="auto"/>
              </w:rPr>
            </w:pPr>
            <w:r>
              <w:rPr>
                <w:rFonts w:ascii="Arial" w:cs="Arial" w:eastAsia="Arial" w:hAnsi="Arial"/>
                <w:sz w:val="14"/>
                <w:szCs w:val="14"/>
                <w:b w:val="1"/>
                <w:bCs w:val="1"/>
                <w:color w:val="auto"/>
                <w:w w:val="92"/>
              </w:rPr>
              <w:t>July 28, 2019</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New Guidance</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jc w:val="center"/>
              <w:ind w:right="33"/>
              <w:spacing w:after="0"/>
              <w:rPr>
                <w:sz w:val="20"/>
                <w:szCs w:val="20"/>
                <w:color w:val="auto"/>
              </w:rPr>
            </w:pPr>
            <w:r>
              <w:rPr>
                <w:rFonts w:ascii="Arial" w:cs="Arial" w:eastAsia="Arial" w:hAnsi="Arial"/>
                <w:sz w:val="14"/>
                <w:szCs w:val="14"/>
                <w:b w:val="1"/>
                <w:bCs w:val="1"/>
                <w:color w:val="auto"/>
                <w:w w:val="91"/>
              </w:rPr>
              <w:t>Previous Guidance</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Continuing</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Continuing</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Discontinued</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Operating</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undiscounted lease payments</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292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56"/>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3"/>
            <w:vMerge w:val="restart"/>
          </w:tcPr>
          <w:p>
            <w:pPr>
              <w:jc w:val="right"/>
              <w:ind w:right="220"/>
              <w:spacing w:after="0"/>
              <w:rPr>
                <w:sz w:val="20"/>
                <w:szCs w:val="20"/>
                <w:color w:val="auto"/>
              </w:rPr>
            </w:pPr>
            <w:r>
              <w:rPr>
                <w:rFonts w:ascii="Arial" w:cs="Arial" w:eastAsia="Arial" w:hAnsi="Arial"/>
                <w:sz w:val="18"/>
                <w:szCs w:val="18"/>
                <w:b w:val="1"/>
                <w:bCs w:val="1"/>
                <w:color w:val="auto"/>
                <w:w w:val="88"/>
              </w:rPr>
              <w:t>—</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lease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2020, we expect to record an operating lease liability of $4 for an 8-year lease that has not yet commenced and is not included in the future minimum lease payments table.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Supplemental cash flow and other information related to leases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Six Months Ended</w:t>
            </w:r>
          </w:p>
        </w:tc>
      </w:tr>
      <w:tr>
        <w:trPr>
          <w:trHeight w:val="196"/>
        </w:trPr>
        <w:tc>
          <w:tcPr>
            <w:tcW w:w="9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January 26, 2020</w:t>
            </w:r>
          </w:p>
        </w:tc>
      </w:tr>
      <w:tr>
        <w:trPr>
          <w:trHeight w:val="21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3"/>
        </w:trPr>
        <w:tc>
          <w:tcPr>
            <w:tcW w:w="990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38</w:t>
            </w: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990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99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w:t>
            </w:r>
          </w:p>
        </w:tc>
      </w:tr>
      <w:tr>
        <w:trPr>
          <w:trHeight w:val="270"/>
        </w:trPr>
        <w:tc>
          <w:tcPr>
            <w:tcW w:w="99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w:t>
            </w:r>
          </w:p>
        </w:tc>
      </w:tr>
      <w:tr>
        <w:trPr>
          <w:trHeight w:val="250"/>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 divested with businesses sold:</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99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18</w:t>
            </w: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r>
      <w:tr>
        <w:trPr>
          <w:trHeight w:val="243"/>
        </w:trPr>
        <w:tc>
          <w:tcPr>
            <w:tcW w:w="9900" w:type="dxa"/>
            <w:vAlign w:val="bottom"/>
          </w:tcPr>
          <w:p>
            <w:pPr>
              <w:ind w:left="20"/>
              <w:spacing w:after="0"/>
              <w:rPr>
                <w:sz w:val="20"/>
                <w:szCs w:val="20"/>
                <w:color w:val="auto"/>
              </w:rPr>
            </w:pPr>
            <w:r>
              <w:rPr>
                <w:rFonts w:ascii="Arial" w:cs="Arial" w:eastAsia="Arial" w:hAnsi="Arial"/>
                <w:sz w:val="18"/>
                <w:szCs w:val="18"/>
                <w:color w:val="auto"/>
              </w:rPr>
              <w:t>Lease liabilities derecognized upon adoption:</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9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Build-to-suit lease commitment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r>
      <w:tr>
        <w:trPr>
          <w:trHeight w:val="27"/>
        </w:trPr>
        <w:tc>
          <w:tcPr>
            <w:tcW w:w="9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right="7640" w:hanging="332"/>
        <w:spacing w:after="0" w:line="367" w:lineRule="auto"/>
        <w:tabs>
          <w:tab w:leader="none" w:pos="28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Short-term Borrowings and Long-term Debt </w:t>
      </w:r>
      <w:r>
        <w:rPr>
          <w:rFonts w:ascii="Arial" w:cs="Arial" w:eastAsia="Arial" w:hAnsi="Arial"/>
          <w:sz w:val="16"/>
          <w:szCs w:val="16"/>
          <w:color w:val="auto"/>
        </w:rPr>
        <w:t>Short-term borrowings consist of the following:</w:t>
      </w: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January 26,</w:t>
            </w:r>
          </w:p>
        </w:tc>
        <w:tc>
          <w:tcPr>
            <w:tcW w:w="320" w:type="dxa"/>
            <w:vAlign w:val="bottom"/>
          </w:tcPr>
          <w:p>
            <w:pPr>
              <w:spacing w:after="0"/>
              <w:rPr>
                <w:sz w:val="12"/>
                <w:szCs w:val="12"/>
                <w:color w:val="auto"/>
              </w:rPr>
            </w:pPr>
          </w:p>
        </w:tc>
        <w:tc>
          <w:tcPr>
            <w:tcW w:w="1220" w:type="dxa"/>
            <w:vAlign w:val="bottom"/>
          </w:tcPr>
          <w:p>
            <w:pPr>
              <w:jc w:val="right"/>
              <w:ind w:right="454"/>
              <w:spacing w:after="0" w:line="149" w:lineRule="exact"/>
              <w:rPr>
                <w:sz w:val="20"/>
                <w:szCs w:val="20"/>
                <w:color w:val="auto"/>
              </w:rPr>
            </w:pPr>
            <w:r>
              <w:rPr>
                <w:rFonts w:ascii="Arial" w:cs="Arial" w:eastAsia="Arial" w:hAnsi="Arial"/>
                <w:sz w:val="14"/>
                <w:szCs w:val="14"/>
                <w:b w:val="1"/>
                <w:bCs w:val="1"/>
                <w:color w:val="auto"/>
              </w:rPr>
              <w:t>July 28,</w:t>
            </w:r>
          </w:p>
        </w:tc>
      </w:tr>
      <w:tr>
        <w:trPr>
          <w:trHeight w:val="192"/>
        </w:trPr>
        <w:tc>
          <w:tcPr>
            <w:tcW w:w="8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853</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Notes</w:t>
            </w:r>
          </w:p>
        </w:tc>
        <w:tc>
          <w:tcPr>
            <w:tcW w:w="2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500</w:t>
            </w:r>
          </w:p>
        </w:tc>
      </w:tr>
      <w:tr>
        <w:trPr>
          <w:trHeight w:val="27"/>
        </w:trPr>
        <w:tc>
          <w:tcPr>
            <w:tcW w:w="8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Build-to-suit lease commitment</w:t>
            </w:r>
          </w:p>
        </w:tc>
        <w:tc>
          <w:tcPr>
            <w:tcW w:w="24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20</w:t>
            </w:r>
          </w:p>
        </w:tc>
      </w:tr>
      <w:tr>
        <w:trPr>
          <w:trHeight w:val="27"/>
        </w:trPr>
        <w:tc>
          <w:tcPr>
            <w:tcW w:w="8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37"/>
        </w:trPr>
        <w:tc>
          <w:tcPr>
            <w:tcW w:w="8200" w:type="dxa"/>
            <w:vAlign w:val="bottom"/>
          </w:tcPr>
          <w:p>
            <w:pPr>
              <w:ind w:left="22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1,371</w:t>
            </w:r>
          </w:p>
        </w:tc>
      </w:tr>
      <w:tr>
        <w:trPr>
          <w:trHeight w:val="27"/>
        </w:trPr>
        <w:tc>
          <w:tcPr>
            <w:tcW w:w="8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5620" w:right="4860" w:hanging="5612"/>
        <w:spacing w:after="0" w:line="917" w:lineRule="auto"/>
        <w:tabs>
          <w:tab w:leader="none" w:pos="316"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Includes unamortized net discount/premium on debt issuances and debt issuance costs.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color w:val="auto"/>
        </w:rPr>
        <w:t>Long-term debt consists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 of</w:t>
            </w:r>
          </w:p>
        </w:tc>
        <w:tc>
          <w:tcPr>
            <w:tcW w:w="204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Rate</w:t>
            </w: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January 26, 2020</w:t>
            </w:r>
          </w:p>
        </w:tc>
        <w:tc>
          <w:tcPr>
            <w:tcW w:w="240" w:type="dxa"/>
            <w:vAlign w:val="bottom"/>
          </w:tcPr>
          <w:p>
            <w:pPr>
              <w:spacing w:after="0"/>
              <w:rPr>
                <w:sz w:val="14"/>
                <w:szCs w:val="1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July 28,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00" w:type="dxa"/>
            <w:vAlign w:val="bottom"/>
            <w:gridSpan w:val="2"/>
            <w:vMerge w:val="continue"/>
          </w:tcPr>
          <w:p>
            <w:pPr>
              <w:spacing w:after="0"/>
              <w:rPr>
                <w:sz w:val="13"/>
                <w:szCs w:val="13"/>
                <w:color w:val="auto"/>
              </w:rPr>
            </w:pPr>
          </w:p>
        </w:tc>
        <w:tc>
          <w:tcPr>
            <w:tcW w:w="13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Maturity</w:t>
            </w:r>
          </w:p>
        </w:tc>
        <w:tc>
          <w:tcPr>
            <w:tcW w:w="204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92"/>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Variable</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Variable</w:t>
            </w: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Term Loan</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Variable</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920" w:type="dxa"/>
            <w:vAlign w:val="bottom"/>
          </w:tcPr>
          <w:p>
            <w:pPr>
              <w:jc w:val="center"/>
              <w:ind w:right="31"/>
              <w:spacing w:after="0"/>
              <w:rPr>
                <w:sz w:val="20"/>
                <w:szCs w:val="20"/>
                <w:color w:val="auto"/>
              </w:rPr>
            </w:pPr>
            <w:r>
              <w:rPr>
                <w:rFonts w:ascii="Arial" w:cs="Arial" w:eastAsia="Arial" w:hAnsi="Arial"/>
                <w:sz w:val="18"/>
                <w:szCs w:val="18"/>
                <w:color w:val="auto"/>
                <w:w w:val="93"/>
              </w:rPr>
              <w:t>3.30%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Debentures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920" w:type="dxa"/>
            <w:vAlign w:val="bottom"/>
          </w:tcPr>
          <w:p>
            <w:pPr>
              <w:jc w:val="center"/>
              <w:ind w:right="31"/>
              <w:spacing w:after="0"/>
              <w:rPr>
                <w:sz w:val="20"/>
                <w:szCs w:val="20"/>
                <w:color w:val="auto"/>
              </w:rPr>
            </w:pPr>
            <w:r>
              <w:rPr>
                <w:rFonts w:ascii="Arial" w:cs="Arial" w:eastAsia="Arial" w:hAnsi="Arial"/>
                <w:sz w:val="18"/>
                <w:szCs w:val="18"/>
                <w:color w:val="auto"/>
                <w:w w:val="93"/>
              </w:rPr>
              <w:t>8.88%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3"/>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1"/>
                <w:szCs w:val="21"/>
                <w:color w:val="auto"/>
              </w:rPr>
            </w:pPr>
          </w:p>
        </w:tc>
        <w:tc>
          <w:tcPr>
            <w:tcW w:w="1920" w:type="dxa"/>
            <w:vAlign w:val="bottom"/>
          </w:tcPr>
          <w:p>
            <w:pPr>
              <w:jc w:val="center"/>
              <w:ind w:right="31"/>
              <w:spacing w:after="0"/>
              <w:rPr>
                <w:sz w:val="20"/>
                <w:szCs w:val="20"/>
                <w:color w:val="auto"/>
              </w:rPr>
            </w:pPr>
            <w:r>
              <w:rPr>
                <w:rFonts w:ascii="Arial" w:cs="Arial" w:eastAsia="Arial" w:hAnsi="Arial"/>
                <w:sz w:val="18"/>
                <w:szCs w:val="18"/>
                <w:color w:val="auto"/>
                <w:w w:val="93"/>
              </w:rPr>
              <w:t>3.65%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566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3"/>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21"/>
                <w:szCs w:val="21"/>
                <w:color w:val="auto"/>
              </w:rPr>
            </w:pPr>
          </w:p>
        </w:tc>
        <w:tc>
          <w:tcPr>
            <w:tcW w:w="1920" w:type="dxa"/>
            <w:vAlign w:val="bottom"/>
          </w:tcPr>
          <w:p>
            <w:pPr>
              <w:jc w:val="center"/>
              <w:ind w:right="31"/>
              <w:spacing w:after="0"/>
              <w:rPr>
                <w:sz w:val="20"/>
                <w:szCs w:val="20"/>
                <w:color w:val="auto"/>
              </w:rPr>
            </w:pPr>
            <w:r>
              <w:rPr>
                <w:rFonts w:ascii="Arial" w:cs="Arial" w:eastAsia="Arial" w:hAnsi="Arial"/>
                <w:sz w:val="18"/>
                <w:szCs w:val="18"/>
                <w:color w:val="auto"/>
                <w:w w:val="93"/>
              </w:rPr>
              <w:t>3.30%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3"/>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2042</w:t>
            </w:r>
          </w:p>
        </w:tc>
        <w:tc>
          <w:tcPr>
            <w:tcW w:w="100" w:type="dxa"/>
            <w:vAlign w:val="bottom"/>
          </w:tcPr>
          <w:p>
            <w:pPr>
              <w:spacing w:after="0"/>
              <w:rPr>
                <w:sz w:val="21"/>
                <w:szCs w:val="21"/>
                <w:color w:val="auto"/>
              </w:rPr>
            </w:pPr>
          </w:p>
        </w:tc>
        <w:tc>
          <w:tcPr>
            <w:tcW w:w="1920" w:type="dxa"/>
            <w:vAlign w:val="bottom"/>
          </w:tcPr>
          <w:p>
            <w:pPr>
              <w:jc w:val="center"/>
              <w:ind w:right="31"/>
              <w:spacing w:after="0"/>
              <w:rPr>
                <w:sz w:val="20"/>
                <w:szCs w:val="20"/>
                <w:color w:val="auto"/>
              </w:rPr>
            </w:pPr>
            <w:r>
              <w:rPr>
                <w:rFonts w:ascii="Arial" w:cs="Arial" w:eastAsia="Arial" w:hAnsi="Arial"/>
                <w:sz w:val="18"/>
                <w:szCs w:val="18"/>
                <w:color w:val="auto"/>
                <w:w w:val="93"/>
              </w:rPr>
              <w:t>3.80%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3"/>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5,419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Total long-term debt</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4,919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8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January 22, 2020, we completed the redemption of all $500 outstanding aggregate principal amount of our 4.25% Senior Notes due 2021. On January 24, 2020, we settled the tender offers to purchase $1,200 in aggregate principal amount of certain senior unsecured debt, comprised of $329 of 3.30% Senior Notes due 2021, $634 of 3.65% Senior Notes due 2023, and $237 of 3.80% Senior Notes due 2042. The total consideration for the redemption and the tender offers was $1,765 and the total carrying amount of the purchased notes was $1,691, resulting in a loss of $75 (including $65 of premium, as well as accrued fees and other costs associated with the tender offers) which was recorded in Interest expense in the Consolidated Statement of Earnings. In addition, we paid accrued and unpaid interest on the purchased notes through the dates of settlement.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January 26, 2020, or July 28, 2019.</w:t>
      </w:r>
    </w:p>
    <w:p>
      <w:pPr>
        <w:spacing w:after="0" w:line="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also exposed to credit risk from our customers. During 2019, our largest customer accounted for approximately 20% of consolidated net sales from continuing operations. Our five largest customers accounted for approximately 43% of our consolidated net sales from continuing operations in 2019.</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$94 at January 26, 2020, and $146 at July 28, 2019, of which $80 at July 28, 2019 relates to discontinued operations.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$53 at January 26, 2020, and $177 at July 28, 2019, of which $3 at July 28, 2019, relates to discontinued operations. There were no cross-currency swap contracts outstanding as of January 26, 2020, or July 28, 2019.</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In conjunction with the debt redemption and tender offer, we entered into $900 of treasury rate lock agreements in the three-month period ended January 26, 2020, which resulted in a gain of $3. There were no forward starting interest rate swaps or treasury rate lock contracts outstanding as of January 26, 2020, or July 28, 2019.</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aluminum, cocoa, corn, soybean meal,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January 26, 2020, or July 28, 2019. The notional amount of commodity contracts not designated as accounting hedges was $136 at January 26, 2020, and $183 at July 28, 2019, of which $3 at July 28, 2019, relates to discontinued operations.</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$76 as of January 26, 2020, and $27 as of July 28, 2019. Unrealized gains (losses) and settlements are included in Cost of products sold in our Consolidated Statements of Earnings.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Institutional Plus Shares,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were $31 as of January 26, 2020, and July 28, 2019.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2" w:name="page23"/>
    <w:bookmarkEnd w:id="22"/>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January 26, 2020, and July 28, 2019: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gridSpan w:val="3"/>
            <w:vMerge w:val="restart"/>
          </w:tcPr>
          <w:p>
            <w:pPr>
              <w:ind w:left="126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14"/>
                <w:szCs w:val="14"/>
                <w:color w:val="auto"/>
              </w:rPr>
            </w:pPr>
          </w:p>
        </w:tc>
        <w:tc>
          <w:tcPr>
            <w:tcW w:w="13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January 26, 2020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July 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 Derivatives</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42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Foreign exchange forward contracts</w:t>
            </w:r>
          </w:p>
        </w:tc>
        <w:tc>
          <w:tcPr>
            <w:tcW w:w="4420" w:type="dxa"/>
            <w:vAlign w:val="bottom"/>
            <w:tcBorders>
              <w:bottom w:val="single" w:sz="8" w:color="CCEEFF"/>
            </w:tcBorders>
            <w:gridSpan w:val="4"/>
            <w:shd w:val="clear" w:color="auto" w:fill="CCEEFF"/>
          </w:tcPr>
          <w:p>
            <w:pPr>
              <w:jc w:val="center"/>
              <w:ind w:right="2940"/>
              <w:spacing w:after="0"/>
              <w:rPr>
                <w:sz w:val="20"/>
                <w:szCs w:val="20"/>
                <w:color w:val="auto"/>
              </w:rPr>
            </w:pPr>
            <w:r>
              <w:rPr>
                <w:rFonts w:ascii="Arial" w:cs="Arial" w:eastAsia="Arial" w:hAnsi="Arial"/>
                <w:sz w:val="18"/>
                <w:szCs w:val="18"/>
                <w:color w:val="auto"/>
                <w:w w:val="88"/>
              </w:rPr>
              <w:t>Other current assets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Commodity derivative contracts</w:t>
            </w:r>
          </w:p>
        </w:tc>
        <w:tc>
          <w:tcPr>
            <w:tcW w:w="4420" w:type="dxa"/>
            <w:vAlign w:val="bottom"/>
            <w:gridSpan w:val="4"/>
          </w:tcPr>
          <w:p>
            <w:pPr>
              <w:jc w:val="center"/>
              <w:ind w:right="2940"/>
              <w:spacing w:after="0"/>
              <w:rPr>
                <w:sz w:val="20"/>
                <w:szCs w:val="20"/>
                <w:color w:val="auto"/>
              </w:rPr>
            </w:pPr>
            <w:r>
              <w:rPr>
                <w:rFonts w:ascii="Arial" w:cs="Arial" w:eastAsia="Arial" w:hAnsi="Arial"/>
                <w:sz w:val="18"/>
                <w:szCs w:val="18"/>
                <w:color w:val="auto"/>
                <w:w w:val="88"/>
              </w:rPr>
              <w:t>Other current assets</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compensation derivative contracts</w:t>
            </w:r>
          </w:p>
        </w:tc>
        <w:tc>
          <w:tcPr>
            <w:tcW w:w="4420" w:type="dxa"/>
            <w:vAlign w:val="bottom"/>
            <w:tcBorders>
              <w:bottom w:val="single" w:sz="8" w:color="CCEEFF"/>
            </w:tcBorders>
            <w:gridSpan w:val="4"/>
            <w:shd w:val="clear" w:color="auto" w:fill="CCEEFF"/>
          </w:tcPr>
          <w:p>
            <w:pPr>
              <w:jc w:val="center"/>
              <w:ind w:right="2940"/>
              <w:spacing w:after="0"/>
              <w:rPr>
                <w:sz w:val="20"/>
                <w:szCs w:val="20"/>
                <w:color w:val="auto"/>
              </w:rPr>
            </w:pPr>
            <w:r>
              <w:rPr>
                <w:rFonts w:ascii="Arial" w:cs="Arial" w:eastAsia="Arial" w:hAnsi="Arial"/>
                <w:sz w:val="18"/>
                <w:szCs w:val="18"/>
                <w:color w:val="auto"/>
                <w:w w:val="88"/>
              </w:rPr>
              <w:t>Other current assets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Foreign exchange forward contracts</w:t>
            </w:r>
          </w:p>
        </w:tc>
        <w:tc>
          <w:tcPr>
            <w:tcW w:w="4420" w:type="dxa"/>
            <w:vAlign w:val="bottom"/>
            <w:gridSpan w:val="4"/>
          </w:tcPr>
          <w:p>
            <w:pPr>
              <w:jc w:val="center"/>
              <w:ind w:right="2940"/>
              <w:spacing w:after="0"/>
              <w:rPr>
                <w:sz w:val="20"/>
                <w:szCs w:val="20"/>
                <w:color w:val="auto"/>
              </w:rPr>
            </w:pPr>
            <w:r>
              <w:rPr>
                <w:rFonts w:ascii="Arial" w:cs="Arial" w:eastAsia="Arial" w:hAnsi="Arial"/>
                <w:sz w:val="18"/>
                <w:szCs w:val="18"/>
                <w:color w:val="auto"/>
                <w:w w:val="88"/>
              </w:rPr>
              <w:t>Other current assets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Total asset derivatives</w:t>
            </w: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9"/>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gridSpan w:val="3"/>
            <w:vMerge w:val="restart"/>
          </w:tcPr>
          <w:p>
            <w:pPr>
              <w:ind w:left="128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January 26, 2020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July 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Liability Derivatives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2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jc w:val="center"/>
              <w:ind w:right="3020"/>
              <w:spacing w:after="0"/>
              <w:rPr>
                <w:sz w:val="20"/>
                <w:szCs w:val="20"/>
                <w:color w:val="auto"/>
              </w:rPr>
            </w:pPr>
            <w:r>
              <w:rPr>
                <w:rFonts w:ascii="Arial" w:cs="Arial" w:eastAsia="Arial" w:hAnsi="Arial"/>
                <w:sz w:val="18"/>
                <w:szCs w:val="18"/>
                <w:color w:val="auto"/>
                <w:w w:val="94"/>
              </w:rPr>
              <w:t>Accrued liabilities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4380" w:type="dxa"/>
            <w:vAlign w:val="bottom"/>
            <w:gridSpan w:val="3"/>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Commodity derivative contracts</w:t>
            </w:r>
          </w:p>
        </w:tc>
        <w:tc>
          <w:tcPr>
            <w:tcW w:w="4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jc w:val="center"/>
              <w:ind w:right="3020"/>
              <w:spacing w:after="0"/>
              <w:rPr>
                <w:sz w:val="20"/>
                <w:szCs w:val="20"/>
                <w:color w:val="auto"/>
              </w:rPr>
            </w:pPr>
            <w:r>
              <w:rPr>
                <w:rFonts w:ascii="Arial" w:cs="Arial" w:eastAsia="Arial" w:hAnsi="Arial"/>
                <w:sz w:val="18"/>
                <w:szCs w:val="18"/>
                <w:color w:val="auto"/>
                <w:w w:val="94"/>
              </w:rPr>
              <w:t>Accrued liabilities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4380" w:type="dxa"/>
            <w:vAlign w:val="bottom"/>
            <w:gridSpan w:val="3"/>
          </w:tcPr>
          <w:p>
            <w:pPr>
              <w:jc w:val="center"/>
              <w:ind w:right="3020"/>
              <w:spacing w:after="0"/>
              <w:rPr>
                <w:sz w:val="20"/>
                <w:szCs w:val="20"/>
                <w:color w:val="auto"/>
              </w:rPr>
            </w:pPr>
            <w:r>
              <w:rPr>
                <w:rFonts w:ascii="Arial" w:cs="Arial" w:eastAsia="Arial" w:hAnsi="Arial"/>
                <w:sz w:val="18"/>
                <w:szCs w:val="18"/>
                <w:color w:val="auto"/>
                <w:w w:val="94"/>
              </w:rPr>
              <w:t>Accrued liabilities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liability derivatives</w:t>
            </w: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January 26, 2020, and July 28, 2019, would be adjusted as detailed in the following table:</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January 26, 2020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28,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180" w:type="dxa"/>
            <w:vAlign w:val="bottom"/>
          </w:tcPr>
          <w:p>
            <w:pPr>
              <w:spacing w:after="0"/>
              <w:rPr>
                <w:sz w:val="12"/>
                <w:szCs w:val="12"/>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 liability derivatives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82"/>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24"/>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56"/>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8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The cash margin account balance was not material at January 26, 2020, and was $7 at July 28, 2019, which was included in Other 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3" w:name="page24"/>
    <w:bookmarkEnd w:id="23"/>
    <w:p>
      <w:pPr>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six-month periods ended January 26, 2020, and January 27, 2019, in other comprehensive income (loss) (OCI) and the Consolidated Statements of Earnings:</w:t>
      </w:r>
    </w:p>
    <w:p>
      <w:pPr>
        <w:spacing w:after="0" w:line="81"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Total Cash-Flow Hedge</w:t>
      </w:r>
    </w:p>
    <w:p>
      <w:pPr>
        <w:spacing w:after="0" w:line="4"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13335</wp:posOffset>
            </wp:positionV>
            <wp:extent cx="2058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26,</w:t>
            </w:r>
          </w:p>
        </w:tc>
        <w:tc>
          <w:tcPr>
            <w:tcW w:w="280" w:type="dxa"/>
            <w:vAlign w:val="bottom"/>
          </w:tcPr>
          <w:p>
            <w:pPr>
              <w:spacing w:after="0"/>
              <w:rPr>
                <w:sz w:val="14"/>
                <w:szCs w:val="14"/>
                <w:color w:val="auto"/>
              </w:rPr>
            </w:pPr>
          </w:p>
        </w:tc>
        <w:tc>
          <w:tcPr>
            <w:tcW w:w="1320" w:type="dxa"/>
            <w:vAlign w:val="bottom"/>
          </w:tcPr>
          <w:p>
            <w:pPr>
              <w:jc w:val="center"/>
              <w:ind w:right="193"/>
              <w:spacing w:after="0"/>
              <w:rPr>
                <w:sz w:val="20"/>
                <w:szCs w:val="20"/>
                <w:color w:val="auto"/>
              </w:rPr>
            </w:pPr>
            <w:r>
              <w:rPr>
                <w:rFonts w:ascii="Arial" w:cs="Arial" w:eastAsia="Arial" w:hAnsi="Arial"/>
                <w:sz w:val="14"/>
                <w:szCs w:val="14"/>
                <w:b w:val="1"/>
                <w:bCs w:val="1"/>
                <w:color w:val="auto"/>
                <w:w w:val="93"/>
              </w:rPr>
              <w:t>January 27,</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56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OCI derivative gain (loss) at beginning of quarter</w:t>
            </w: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8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from discontinued</w:t>
            </w: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vMerge w:val="continue"/>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center"/>
              <w:ind w:left="8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OCI derivative gain (loss) at end of quarter</w:t>
            </w:r>
          </w:p>
        </w:tc>
        <w:tc>
          <w:tcPr>
            <w:tcW w:w="2600" w:type="dxa"/>
            <w:vAlign w:val="bottom"/>
            <w:gridSpan w:val="3"/>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center"/>
              <w:ind w:left="77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shd w:val="clear" w:color="auto" w:fill="CCEEFF"/>
          </w:tcPr>
          <w:p>
            <w:pPr>
              <w:spacing w:after="0"/>
              <w:rPr>
                <w:sz w:val="24"/>
                <w:szCs w:val="24"/>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OCI derivative gain (loss) at beginning of year</w:t>
            </w: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8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from discontinued</w:t>
            </w:r>
          </w:p>
        </w:tc>
        <w:tc>
          <w:tcPr>
            <w:tcW w:w="12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ind w:left="8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3"/>
          </w:tcPr>
          <w:p>
            <w:pPr>
              <w:ind w:left="10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center"/>
              <w:ind w:left="8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OCI derivative gain (loss) at end of quarter</w:t>
            </w:r>
          </w:p>
        </w:tc>
        <w:tc>
          <w:tcPr>
            <w:tcW w:w="286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$2.</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effect of our derivative instruments designated as cash-flow hedges for the three- and six-month periods ended January 26, 2020, and January 27, 2019, in the Consolidated Statements of Earnings: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Six Months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tcPr>
          <w:p>
            <w:pPr>
              <w:jc w:val="right"/>
              <w:ind w:right="108"/>
              <w:spacing w:after="0" w:line="153" w:lineRule="exact"/>
              <w:rPr>
                <w:sz w:val="20"/>
                <w:szCs w:val="20"/>
                <w:color w:val="auto"/>
              </w:rPr>
            </w:pPr>
            <w:r>
              <w:rPr>
                <w:rFonts w:ascii="Arial" w:cs="Arial" w:eastAsia="Arial" w:hAnsi="Arial"/>
                <w:sz w:val="14"/>
                <w:szCs w:val="14"/>
                <w:b w:val="1"/>
                <w:bCs w:val="1"/>
                <w:color w:val="auto"/>
              </w:rPr>
              <w:t>January 26,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January 27,</w:t>
            </w:r>
          </w:p>
        </w:tc>
        <w:tc>
          <w:tcPr>
            <w:tcW w:w="140" w:type="dxa"/>
            <w:vAlign w:val="bottom"/>
          </w:tcPr>
          <w:p>
            <w:pPr>
              <w:spacing w:after="0"/>
              <w:rPr>
                <w:sz w:val="13"/>
                <w:szCs w:val="13"/>
                <w:color w:val="auto"/>
              </w:rPr>
            </w:pPr>
          </w:p>
        </w:tc>
        <w:tc>
          <w:tcPr>
            <w:tcW w:w="2260" w:type="dxa"/>
            <w:vAlign w:val="bottom"/>
            <w:gridSpan w:val="6"/>
          </w:tcPr>
          <w:p>
            <w:pPr>
              <w:ind w:left="640"/>
              <w:spacing w:after="0" w:line="153" w:lineRule="exact"/>
              <w:rPr>
                <w:sz w:val="20"/>
                <w:szCs w:val="20"/>
                <w:color w:val="auto"/>
              </w:rPr>
            </w:pPr>
            <w:r>
              <w:rPr>
                <w:rFonts w:ascii="Arial" w:cs="Arial" w:eastAsia="Arial" w:hAnsi="Arial"/>
                <w:sz w:val="14"/>
                <w:szCs w:val="14"/>
                <w:b w:val="1"/>
                <w:bCs w:val="1"/>
                <w:color w:val="auto"/>
              </w:rPr>
              <w:t>January 26,</w:t>
            </w:r>
          </w:p>
        </w:tc>
        <w:tc>
          <w:tcPr>
            <w:tcW w:w="140" w:type="dxa"/>
            <w:vAlign w:val="bottom"/>
          </w:tcPr>
          <w:p>
            <w:pPr>
              <w:spacing w:after="0"/>
              <w:rPr>
                <w:sz w:val="13"/>
                <w:szCs w:val="13"/>
                <w:color w:val="auto"/>
              </w:rPr>
            </w:pPr>
          </w:p>
        </w:tc>
        <w:tc>
          <w:tcPr>
            <w:tcW w:w="96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January 27,</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w w:val="96"/>
              </w:rPr>
              <w:t>2020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2020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center"/>
              <w:ind w:right="528"/>
              <w:spacing w:after="0" w:line="153" w:lineRule="exact"/>
              <w:rPr>
                <w:sz w:val="20"/>
                <w:szCs w:val="20"/>
                <w:color w:val="auto"/>
              </w:rPr>
            </w:pPr>
            <w:r>
              <w:rPr>
                <w:rFonts w:ascii="Arial" w:cs="Arial" w:eastAsia="Arial" w:hAnsi="Arial"/>
                <w:sz w:val="14"/>
                <w:szCs w:val="14"/>
                <w:b w:val="1"/>
                <w:bCs w:val="1"/>
                <w:color w:val="auto"/>
                <w:w w:val="92"/>
              </w:rPr>
              <w:t>Earnings (Loss)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Earnings (Loss)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9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Discontinued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Interest Expense</w:t>
            </w:r>
          </w:p>
        </w:tc>
        <w:tc>
          <w:tcPr>
            <w:tcW w:w="100" w:type="dxa"/>
            <w:vAlign w:val="bottom"/>
            <w:vMerge w:val="restart"/>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Interest Expense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Discontinued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Operations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1,037</w:t>
            </w:r>
          </w:p>
        </w:tc>
        <w:tc>
          <w:tcPr>
            <w:tcW w:w="72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loss on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Amount of (gain) loss reclassified from OCI to</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vMerge w:val="restart"/>
          </w:tcPr>
          <w:p>
            <w:pPr>
              <w:jc w:val="right"/>
              <w:ind w:right="308"/>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earnings</w:t>
            </w:r>
          </w:p>
        </w:tc>
        <w:tc>
          <w:tcPr>
            <w:tcW w:w="1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Amount excluded from effectiveness testing recognized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vMerge w:val="restart"/>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 earnings using an amortization approach</w:t>
            </w: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4" w:name="page25"/>
    <w:bookmarkEnd w:id="24"/>
    <w:p>
      <w:pPr>
        <w:jc w:val="both"/>
        <w:ind w:firstLine="324"/>
        <w:spacing w:after="0" w:line="277" w:lineRule="auto"/>
        <w:rPr>
          <w:sz w:val="20"/>
          <w:szCs w:val="20"/>
          <w:color w:val="auto"/>
        </w:rPr>
      </w:pPr>
      <w:r>
        <w:rPr>
          <w:rFonts w:ascii="Arial" w:cs="Arial" w:eastAsia="Arial" w:hAnsi="Arial"/>
          <w:sz w:val="18"/>
          <w:szCs w:val="18"/>
          <w:color w:val="auto"/>
        </w:rPr>
        <w:t>The following table shows the effects of our derivative instruments not designated as hedges for the three- and six-month periods ended January 26, 2020, and January 27, 2019, in the Consolidated Statements of Earnings: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w w:val="93"/>
              </w:rPr>
              <w:t>Amount of (Gain) Loss Recognized in Earnings on Derivatives</w:t>
            </w:r>
          </w:p>
        </w:tc>
        <w:tc>
          <w:tcPr>
            <w:tcW w:w="420" w:type="dxa"/>
            <w:vAlign w:val="bottom"/>
            <w:tcBorders>
              <w:bottom w:val="single" w:sz="8" w:color="auto"/>
            </w:tcBorders>
          </w:tcPr>
          <w:p>
            <w:pPr>
              <w:spacing w:after="0"/>
              <w:rPr>
                <w:sz w:val="16"/>
                <w:szCs w:val="16"/>
                <w:color w:val="auto"/>
              </w:rPr>
            </w:pPr>
          </w:p>
        </w:tc>
      </w:tr>
      <w:tr>
        <w:trPr>
          <w:trHeight w:val="196"/>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2"/>
          </w:tcPr>
          <w:p>
            <w:pPr>
              <w:ind w:left="540"/>
              <w:spacing w:after="0"/>
              <w:rPr>
                <w:sz w:val="20"/>
                <w:szCs w:val="20"/>
                <w:color w:val="auto"/>
              </w:rPr>
            </w:pPr>
            <w:r>
              <w:rPr>
                <w:rFonts w:ascii="Arial" w:cs="Arial" w:eastAsia="Arial" w:hAnsi="Arial"/>
                <w:sz w:val="14"/>
                <w:szCs w:val="14"/>
                <w:b w:val="1"/>
                <w:bCs w:val="1"/>
                <w:color w:val="auto"/>
              </w:rPr>
              <w:t>Location of (Gain) Loss</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9"/>
              </w:rPr>
              <w:t>Three Months Ended</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7"/>
                <w:szCs w:val="17"/>
                <w:color w:val="auto"/>
              </w:rPr>
            </w:pPr>
          </w:p>
        </w:tc>
      </w:tr>
      <w:tr>
        <w:trPr>
          <w:trHeight w:val="197"/>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not Designated as Hedges</w:t>
            </w:r>
          </w:p>
        </w:tc>
        <w:tc>
          <w:tcPr>
            <w:tcW w:w="100" w:type="dxa"/>
            <w:vAlign w:val="bottom"/>
            <w:tcBorders>
              <w:bottom w:val="single" w:sz="8" w:color="CCEEFF"/>
            </w:tcBorders>
          </w:tcPr>
          <w:p>
            <w:pPr>
              <w:spacing w:after="0"/>
              <w:rPr>
                <w:sz w:val="17"/>
                <w:szCs w:val="17"/>
                <w:color w:val="auto"/>
              </w:rPr>
            </w:pPr>
          </w:p>
        </w:tc>
        <w:tc>
          <w:tcPr>
            <w:tcW w:w="25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Recognized in Earnings</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26, 2020</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January 27, 2019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January 26, 2020</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January 27, 2019</w:t>
            </w:r>
          </w:p>
        </w:tc>
      </w:tr>
      <w:tr>
        <w:trPr>
          <w:trHeight w:val="250"/>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Commodity derivative contracts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1"/>
                <w:szCs w:val="21"/>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center"/>
              <w:ind w:left="253"/>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derivative contracts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43"/>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Treasury rate lock contracts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800" w:type="dxa"/>
            <w:vAlign w:val="bottom"/>
          </w:tcPr>
          <w:p>
            <w:pPr>
              <w:ind w:left="48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center"/>
              <w:ind w:left="253"/>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89"/>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 loss at end of quarter</w:t>
            </w:r>
          </w:p>
        </w:tc>
        <w:tc>
          <w:tcPr>
            <w:tcW w:w="2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b w:val="1"/>
                <w:bCs w:val="1"/>
                <w:color w:val="auto"/>
                <w:w w:val="99"/>
              </w:rPr>
              <w:t>(9)</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Entity</w:t>
      </w:r>
    </w:p>
    <w:p>
      <w:pPr>
        <w:spacing w:after="0" w:line="1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January 26, 2020, we funded $85 of the capital commitment. On August 29, 2018, we provided notice of termination of the investment period and have no obligation to make any further capital contributions to Acre for new investments, but are required to pay obligations made prior to the notice of termination, the management fee and permitted partnership expenses.</w:t>
      </w:r>
    </w:p>
    <w:p>
      <w:pPr>
        <w:spacing w:after="0" w:line="3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$73 and $76 as of January 26, 2020, and July 28, 2019,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January 26, 2020, or July 28,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9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January 26, 2020, and July 28, 2019, consistent with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2460" w:type="dxa"/>
            <w:vAlign w:val="bottom"/>
            <w:gridSpan w:val="10"/>
          </w:tcPr>
          <w:p>
            <w:pPr>
              <w:jc w:val="center"/>
              <w:ind w:left="515"/>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2480" w:type="dxa"/>
            <w:vAlign w:val="bottom"/>
            <w:gridSpan w:val="9"/>
          </w:tcPr>
          <w:p>
            <w:pPr>
              <w:jc w:val="center"/>
              <w:ind w:left="535"/>
              <w:spacing w:after="0"/>
              <w:rPr>
                <w:sz w:val="20"/>
                <w:szCs w:val="20"/>
                <w:color w:val="auto"/>
              </w:rPr>
            </w:pPr>
            <w:r>
              <w:rPr>
                <w:rFonts w:ascii="Arial" w:cs="Arial" w:eastAsia="Arial" w:hAnsi="Arial"/>
                <w:sz w:val="14"/>
                <w:szCs w:val="14"/>
                <w:b w:val="1"/>
                <w:bCs w:val="1"/>
                <w:color w:val="auto"/>
                <w:w w:val="93"/>
              </w:rPr>
              <w:t>Fair Value Measurements at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00" w:type="dxa"/>
            <w:vAlign w:val="bottom"/>
            <w:gridSpan w:val="9"/>
            <w:vMerge w:val="restart"/>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January 26, 2020 Using</w:t>
            </w: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July 28, 2019 Using</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00" w:type="dxa"/>
            <w:vAlign w:val="bottom"/>
            <w:gridSpan w:val="9"/>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center"/>
              <w:ind w:right="260"/>
              <w:spacing w:after="0" w:line="125" w:lineRule="exact"/>
              <w:rPr>
                <w:sz w:val="20"/>
                <w:szCs w:val="20"/>
                <w:color w:val="auto"/>
              </w:rPr>
            </w:pPr>
            <w:r>
              <w:rPr>
                <w:rFonts w:ascii="Arial" w:cs="Arial" w:eastAsia="Arial" w:hAnsi="Arial"/>
                <w:sz w:val="14"/>
                <w:szCs w:val="14"/>
                <w:b w:val="1"/>
                <w:bCs w:val="1"/>
                <w:color w:val="auto"/>
                <w:w w:val="93"/>
              </w:rPr>
              <w:t>January 26,</w:t>
            </w: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3"/>
              </w:rPr>
              <w:t>July 28,</w:t>
            </w: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1"/>
              </w:rPr>
              <w:t>Assets</w:t>
            </w:r>
          </w:p>
        </w:tc>
        <w:tc>
          <w:tcPr>
            <w:tcW w:w="13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Foreign exchange</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4"/>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440" w:type="dxa"/>
            <w:vAlign w:val="bottom"/>
            <w:gridSpan w:val="4"/>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80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Commodity derivative</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80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5"/>
                <w:szCs w:val="15"/>
                <w:color w:val="auto"/>
              </w:rPr>
            </w:pP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gridSpan w:val="3"/>
          </w:tcPr>
          <w:p>
            <w:pPr>
              <w:ind w:left="100"/>
              <w:spacing w:after="0" w:line="230" w:lineRule="exact"/>
              <w:rPr>
                <w:sz w:val="20"/>
                <w:szCs w:val="20"/>
                <w:color w:val="auto"/>
              </w:rPr>
            </w:pPr>
            <w:r>
              <w:rPr>
                <w:rFonts w:ascii="Arial" w:cs="Arial" w:eastAsia="Arial" w:hAnsi="Arial"/>
                <w:sz w:val="18"/>
                <w:szCs w:val="18"/>
                <w:color w:val="auto"/>
                <w:w w:val="96"/>
              </w:rPr>
              <w:t>derivative contracts</w:t>
            </w:r>
            <w:r>
              <w:rPr>
                <w:rFonts w:ascii="Arial" w:cs="Arial" w:eastAsia="Arial" w:hAnsi="Arial"/>
                <w:sz w:val="23"/>
                <w:szCs w:val="23"/>
                <w:color w:val="auto"/>
                <w:w w:val="96"/>
                <w:vertAlign w:val="superscript"/>
              </w:rPr>
              <w:t>(3)</w:t>
            </w: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80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80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80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Fair value option</w:t>
            </w:r>
          </w:p>
        </w:tc>
        <w:tc>
          <w:tcPr>
            <w:tcW w:w="140" w:type="dxa"/>
            <w:vAlign w:val="bottom"/>
          </w:tcPr>
          <w:p>
            <w:pPr>
              <w:spacing w:after="0"/>
              <w:rPr>
                <w:sz w:val="15"/>
                <w:szCs w:val="15"/>
                <w:color w:val="auto"/>
              </w:rPr>
            </w:pP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73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ind w:left="5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3"/>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(5)</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1"/>
              </w:rPr>
              <w:t>Total assets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86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24"/>
                <w:szCs w:val="24"/>
                <w:color w:val="auto"/>
              </w:rPr>
            </w:pPr>
          </w:p>
        </w:tc>
        <w:tc>
          <w:tcPr>
            <w:tcW w:w="2460" w:type="dxa"/>
            <w:vAlign w:val="bottom"/>
            <w:gridSpan w:val="10"/>
          </w:tcPr>
          <w:p>
            <w:pPr>
              <w:jc w:val="center"/>
              <w:ind w:left="515"/>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24"/>
                <w:szCs w:val="24"/>
                <w:color w:val="auto"/>
              </w:rPr>
            </w:pPr>
          </w:p>
        </w:tc>
        <w:tc>
          <w:tcPr>
            <w:tcW w:w="2480" w:type="dxa"/>
            <w:vAlign w:val="bottom"/>
            <w:gridSpan w:val="9"/>
          </w:tcPr>
          <w:p>
            <w:pPr>
              <w:jc w:val="center"/>
              <w:ind w:left="555"/>
              <w:spacing w:after="0"/>
              <w:rPr>
                <w:sz w:val="20"/>
                <w:szCs w:val="20"/>
                <w:color w:val="auto"/>
              </w:rPr>
            </w:pPr>
            <w:r>
              <w:rPr>
                <w:rFonts w:ascii="Arial" w:cs="Arial" w:eastAsia="Arial" w:hAnsi="Arial"/>
                <w:sz w:val="14"/>
                <w:szCs w:val="14"/>
                <w:b w:val="1"/>
                <w:bCs w:val="1"/>
                <w:color w:val="auto"/>
                <w:w w:val="92"/>
              </w:rPr>
              <w:t>Fair Value Measurements at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00" w:type="dxa"/>
            <w:vAlign w:val="bottom"/>
            <w:gridSpan w:val="9"/>
            <w:vMerge w:val="restart"/>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January 26, 2020 Using</w:t>
            </w: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July 28, 2019 Using</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00" w:type="dxa"/>
            <w:vAlign w:val="bottom"/>
            <w:gridSpan w:val="9"/>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center"/>
              <w:ind w:right="240"/>
              <w:spacing w:after="0" w:line="125" w:lineRule="exact"/>
              <w:rPr>
                <w:sz w:val="20"/>
                <w:szCs w:val="20"/>
                <w:color w:val="auto"/>
              </w:rPr>
            </w:pPr>
            <w:r>
              <w:rPr>
                <w:rFonts w:ascii="Arial" w:cs="Arial" w:eastAsia="Arial" w:hAnsi="Arial"/>
                <w:sz w:val="14"/>
                <w:szCs w:val="14"/>
                <w:b w:val="1"/>
                <w:bCs w:val="1"/>
                <w:color w:val="auto"/>
                <w:w w:val="95"/>
              </w:rPr>
              <w:t>January 26,</w:t>
            </w: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3"/>
              </w:rPr>
              <w:t>July 28,</w:t>
            </w: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18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Foreign exchange</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440" w:type="dxa"/>
            <w:vAlign w:val="bottom"/>
            <w:gridSpan w:val="4"/>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18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Commodity derivative</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180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8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15"/>
                <w:szCs w:val="15"/>
                <w:color w:val="auto"/>
              </w:rPr>
            </w:pPr>
          </w:p>
        </w:tc>
        <w:tc>
          <w:tcPr>
            <w:tcW w:w="94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107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58"/>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55"/>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tcBorders>
              <w:bottom w:val="single" w:sz="8" w:color="CCEEFF"/>
            </w:tcBorders>
            <w:gridSpan w:val="3"/>
          </w:tcPr>
          <w:p>
            <w:pPr>
              <w:ind w:left="120"/>
              <w:spacing w:after="0" w:line="230" w:lineRule="exact"/>
              <w:rPr>
                <w:sz w:val="20"/>
                <w:szCs w:val="20"/>
                <w:color w:val="auto"/>
              </w:rPr>
            </w:pPr>
            <w:r>
              <w:rPr>
                <w:rFonts w:ascii="Arial" w:cs="Arial" w:eastAsia="Arial" w:hAnsi="Arial"/>
                <w:sz w:val="18"/>
                <w:szCs w:val="18"/>
                <w:color w:val="auto"/>
              </w:rPr>
              <w:t>obligation</w:t>
            </w:r>
            <w:r>
              <w:rPr>
                <w:rFonts w:ascii="Arial" w:cs="Arial" w:eastAsia="Arial" w:hAnsi="Arial"/>
                <w:sz w:val="23"/>
                <w:szCs w:val="23"/>
                <w:color w:val="auto"/>
                <w:vertAlign w:val="superscript"/>
              </w:rPr>
              <w:t>(4)</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at fair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113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44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98</w:t>
            </w:r>
          </w:p>
        </w:tc>
        <w:tc>
          <w:tcPr>
            <w:tcW w:w="3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w:t>
            </w:r>
          </w:p>
        </w:tc>
        <w:tc>
          <w:tcPr>
            <w:tcW w:w="14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440" w:type="dxa"/>
            <w:vAlign w:val="bottom"/>
            <w:gridSpan w:val="4"/>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340" w:type="dxa"/>
            <w:vAlign w:val="bottom"/>
            <w:gridSpan w:val="3"/>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ind w:left="320" w:hanging="312"/>
        <w:spacing w:after="0" w:line="221"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2" w:lineRule="exact"/>
        <w:rPr>
          <w:rFonts w:ascii="Arial" w:cs="Arial" w:eastAsia="Arial" w:hAnsi="Arial"/>
          <w:sz w:val="23"/>
          <w:szCs w:val="23"/>
          <w:color w:val="auto"/>
          <w:vertAlign w:val="superscript"/>
        </w:rPr>
      </w:pPr>
    </w:p>
    <w:p>
      <w:pPr>
        <w:ind w:left="340" w:right="60" w:hanging="332"/>
        <w:spacing w:after="0" w:line="242" w:lineRule="auto"/>
        <w:tabs>
          <w:tab w:leader="none" w:pos="32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on LIBOR and equity index swap rates.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2" w:lineRule="exact"/>
        <w:rPr>
          <w:rFonts w:ascii="Arial" w:cs="Arial" w:eastAsia="Arial" w:hAnsi="Arial"/>
          <w:sz w:val="23"/>
          <w:szCs w:val="23"/>
          <w:color w:val="auto"/>
          <w:vertAlign w:val="superscript"/>
        </w:rPr>
      </w:pPr>
    </w:p>
    <w:p>
      <w:pPr>
        <w:ind w:left="340" w:right="60" w:hanging="332"/>
        <w:spacing w:after="0" w:line="233"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Primarily represents investments in equity securities that are not readily marketable and are accounted for under the fair value option. The investments were funded by Acre. See Note 14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89" w:right="259" w:bottom="1440" w:gutter="0" w:footer="0" w:header="0"/>
        </w:sectPr>
      </w:pPr>
    </w:p>
    <w:bookmarkStart w:id="26" w:name="page27"/>
    <w:bookmarkEnd w:id="26"/>
    <w:p>
      <w:pPr>
        <w:ind w:left="340"/>
        <w:spacing w:after="0"/>
        <w:rPr>
          <w:sz w:val="20"/>
          <w:szCs w:val="20"/>
          <w:color w:val="auto"/>
        </w:rPr>
      </w:pPr>
      <w:r>
        <w:rPr>
          <w:rFonts w:ascii="Arial" w:cs="Arial" w:eastAsia="Arial" w:hAnsi="Arial"/>
          <w:sz w:val="16"/>
          <w:szCs w:val="16"/>
          <w:color w:val="auto"/>
        </w:rPr>
        <w:t>The following table summarizes the changes in fair value of Level 3 assets for the six-month periods ended January 26, 2020, and January 27, 2019: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rPr>
              <w:t>January 27, 2019</w:t>
            </w:r>
          </w:p>
        </w:tc>
      </w:tr>
      <w:tr>
        <w:trPr>
          <w:trHeight w:val="250"/>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year</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77</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Gains (losses)</w:t>
            </w: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(7)</w:t>
            </w: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quarter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70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equivalents of continuing operations were $8 at January 26, 2020. Cash equivalents of discontinued operations were $19 at July 28, 2019. Cash equivalents represent fair value as these highly liquid investments have an original maturity of three months or less. Fair value of cash equivalents is based on Level 2 inputs.</w:t>
      </w:r>
    </w:p>
    <w:p>
      <w:pPr>
        <w:spacing w:after="0" w:line="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short- and long-term debt of continuing operations was $6,204 at January 26, 2020, and $8,642 at July 28, 2019. The carrying value was $5,821 at January 26, 2020, and $8,474 at July 28, 2019. The fair value and carrying value of short- and long-term debt of discontinued operations was $238 at July 28, 2019. The fair value of long-term debt is principally estimated using Level 2 inputs based on quoted market prices or pricing models using current market rates.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Repurchases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January 26, 2020.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2020, we issued time-lapse restricted stock units and TSR performance restricted stock units. We have not issued stock options, FCF performance restricted stock units, or EPS performance restricted stock units in 2020.</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January 27, 2019</w:t>
            </w:r>
          </w:p>
        </w:tc>
        <w:tc>
          <w:tcPr>
            <w:tcW w:w="1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26, 2020</w:t>
            </w:r>
          </w:p>
        </w:tc>
        <w:tc>
          <w:tcPr>
            <w:tcW w:w="100" w:type="dxa"/>
            <w:vAlign w:val="bottom"/>
          </w:tcPr>
          <w:p>
            <w:pPr>
              <w:spacing w:after="0"/>
              <w:rPr>
                <w:sz w:val="17"/>
                <w:szCs w:val="17"/>
                <w:color w:val="auto"/>
              </w:rPr>
            </w:pPr>
          </w:p>
        </w:tc>
        <w:tc>
          <w:tcPr>
            <w:tcW w:w="118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January 27, 2019</w:t>
            </w:r>
          </w:p>
        </w:tc>
      </w:tr>
      <w:tr>
        <w:trPr>
          <w:trHeight w:val="25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79"/>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9"/>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5</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Total pre-tax stock-based compensation expense and tax-related benefits recognized in Earnings (loss) from discontinued operations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56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2"/>
              </w:rPr>
              <w:t>January 26,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January 27, 2019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January 26, 2020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January 27, 2019</w:t>
            </w: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1</w:t>
            </w:r>
          </w:p>
        </w:tc>
      </w:tr>
      <w:tr>
        <w:trPr>
          <w:trHeight w:val="905"/>
        </w:trPr>
        <w:tc>
          <w:tcPr>
            <w:tcW w:w="4560" w:type="dxa"/>
            <w:vAlign w:val="bottom"/>
          </w:tcPr>
          <w:p>
            <w:pPr>
              <w:spacing w:after="0"/>
              <w:rPr>
                <w:sz w:val="24"/>
                <w:szCs w:val="24"/>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 summarizes stock option activity as of January 26, 2020:</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(Options in</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(In years)</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28, 2019</w:t>
            </w: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46.17</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26, 2020</w:t>
            </w: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46.12</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January 26, 2020</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vMerge w:val="continue"/>
          </w:tcPr>
          <w:p>
            <w:pPr>
              <w:spacing w:after="0"/>
              <w:rPr>
                <w:sz w:val="18"/>
                <w:szCs w:val="18"/>
                <w:color w:val="auto"/>
              </w:rPr>
            </w:pPr>
          </w:p>
        </w:tc>
        <w:tc>
          <w:tcPr>
            <w:tcW w:w="1540" w:type="dxa"/>
            <w:vAlign w:val="bottom"/>
          </w:tcPr>
          <w:p>
            <w:pPr>
              <w:jc w:val="right"/>
              <w:ind w:right="76"/>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8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options exercised during the six-month period ended January 26, 2020 was $1. No options were exercised during the six-month period ended January 27, 2019.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and grant-date fair value for grants in 2019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3"/>
              </w:rPr>
              <w:t>2.79%</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ind w:right="53"/>
              <w:spacing w:after="0"/>
              <w:rPr>
                <w:sz w:val="20"/>
                <w:szCs w:val="20"/>
                <w:color w:val="auto"/>
              </w:rPr>
            </w:pPr>
            <w:r>
              <w:rPr>
                <w:rFonts w:ascii="Arial" w:cs="Arial" w:eastAsia="Arial" w:hAnsi="Arial"/>
                <w:sz w:val="18"/>
                <w:szCs w:val="18"/>
                <w:color w:val="auto"/>
                <w:w w:val="93"/>
              </w:rPr>
              <w:t>3.84%</w:t>
            </w:r>
          </w:p>
        </w:tc>
      </w:tr>
      <w:tr>
        <w:trPr>
          <w:trHeight w:val="27"/>
        </w:trPr>
        <w:tc>
          <w:tcPr>
            <w:tcW w:w="10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1"/>
              </w:rPr>
              <w:t>25.28%</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 years</w:t>
            </w:r>
          </w:p>
        </w:tc>
      </w:tr>
      <w:tr>
        <w:trPr>
          <w:trHeight w:val="27"/>
        </w:trPr>
        <w:tc>
          <w:tcPr>
            <w:tcW w:w="10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10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2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88"/>
              </w:rPr>
              <w:t>$6.27</w:t>
            </w:r>
          </w:p>
        </w:tc>
      </w:tr>
      <w:tr>
        <w:trPr>
          <w:trHeight w:val="27"/>
        </w:trPr>
        <w:tc>
          <w:tcPr>
            <w:tcW w:w="10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January 26, 2020, total remaining unearned compensation related to nonvested stock options was $2, which will be amortized over the weighted-average remaining service period of 1.8 years.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and FCF performance restricted stock units as of January 26,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4"/>
                <w:szCs w:val="14"/>
                <w:color w:val="auto"/>
              </w:rPr>
            </w:pPr>
          </w:p>
        </w:tc>
        <w:tc>
          <w:tcPr>
            <w:tcW w:w="18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9"/>
              </w:rPr>
              <w:t>Weighted-Average Grant-</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52"/>
        </w:trPr>
        <w:tc>
          <w:tcPr>
            <w:tcW w:w="7720" w:type="dxa"/>
            <w:vAlign w:val="bottom"/>
          </w:tcPr>
          <w:p>
            <w:pPr>
              <w:spacing w:after="0"/>
              <w:rPr>
                <w:sz w:val="13"/>
                <w:szCs w:val="13"/>
                <w:color w:val="auto"/>
              </w:rPr>
            </w:pPr>
          </w:p>
        </w:tc>
        <w:tc>
          <w:tcPr>
            <w:tcW w:w="18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units in thousands)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28, 2019</w:t>
            </w:r>
          </w:p>
        </w:tc>
        <w:tc>
          <w:tcPr>
            <w:tcW w:w="17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ind w:right="57"/>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26, 2020</w:t>
            </w:r>
          </w:p>
        </w:tc>
        <w:tc>
          <w:tcPr>
            <w:tcW w:w="17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23 thousand EPS performance target grants outstanding at January 26, 2020, with a grant-date fair value of $46.82. The actual number of EPS performance restricted stock units issued at the vesting date could be either 0% or 100% of the initial grant, depending on actual performance achieved. We estimate expense based on the number of awards expected to vest.</w:t>
      </w:r>
    </w:p>
    <w:p>
      <w:pPr>
        <w:spacing w:after="0" w:line="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we issued approximately 388 thousand FCF performance restricted stock units for which vesting is contingent upon achievement of free cash flow (defined as Net cash provided by operating activities less capital expenditures and certain investing and financing activities) compared to annual operating plan objectives over a three-year period. An annual objective will be established each fiscal year for three consecutive years. Performance against these objectives will be averaged at the end</w:t>
      </w:r>
    </w:p>
    <w:p>
      <w:pPr>
        <w:sectPr>
          <w:pgSz w:w="11900" w:h="16838" w:orient="portrait"/>
          <w:cols w:equalWidth="0" w:num="1">
            <w:col w:w="11420"/>
          </w:cols>
          <w:pgMar w:left="240" w:top="9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will be based upon the quoted price of our stock at the date of grant. We will expense FCF performance restricted stock units over the requisite service period of each objective. As of January 26, 2020, we have granted 258 thousand of the issued FCF performance restricted stock units, which are included in the table above. There were 182 thousand FCF performance target grants outstanding at January 26, 2020, with a weighted-average grant-date fair value of $42.16.</w:t>
      </w:r>
    </w:p>
    <w:p>
      <w:pPr>
        <w:spacing w:after="0" w:line="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January 26, 2020, total remaining unearned compensation related to nonvested time-lapse restricted stock units, EPS performance restricted stock units and FCF performance restricted units was $53, which will be amortized over the weighted-average remaining service period of 1.9 years. The fair value of restricted stock units vested during the six-month periods ended January 26, 2020, and January 27, 2019, was $32, and $24, respectively. The weighted-average grant-date fair value of the restricted stock units granted during the six-month period ended January 27, 2019 was $36.35.</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January 26,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52"/>
        </w:trPr>
        <w:tc>
          <w:tcPr>
            <w:tcW w:w="7960" w:type="dxa"/>
            <w:vAlign w:val="bottom"/>
          </w:tcPr>
          <w:p>
            <w:pPr>
              <w:spacing w:after="0"/>
              <w:rPr>
                <w:sz w:val="13"/>
                <w:szCs w:val="13"/>
                <w:color w:val="auto"/>
              </w:rPr>
            </w:pPr>
          </w:p>
        </w:tc>
        <w:tc>
          <w:tcPr>
            <w:tcW w:w="17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 in thousands)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28, 2019</w:t>
            </w:r>
          </w:p>
        </w:tc>
        <w:tc>
          <w:tcPr>
            <w:tcW w:w="1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7"/>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26, 2020</w:t>
            </w:r>
          </w:p>
        </w:tc>
        <w:tc>
          <w:tcPr>
            <w:tcW w:w="1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assumptions used in the Monte Carlo simulation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b w:val="1"/>
                <w:bCs w:val="1"/>
                <w:color w:val="auto"/>
                <w:w w:val="93"/>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93"/>
              </w:rPr>
              <w:t>2.80%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ind w:right="54"/>
              <w:spacing w:after="0"/>
              <w:rPr>
                <w:sz w:val="20"/>
                <w:szCs w:val="20"/>
                <w:color w:val="auto"/>
              </w:rPr>
            </w:pPr>
            <w:r>
              <w:rPr>
                <w:rFonts w:ascii="Arial" w:cs="Arial" w:eastAsia="Arial" w:hAnsi="Arial"/>
                <w:sz w:val="18"/>
                <w:szCs w:val="18"/>
                <w:b w:val="1"/>
                <w:bCs w:val="1"/>
                <w:color w:val="auto"/>
                <w:w w:val="93"/>
              </w:rPr>
              <w:t>2.95%</w:t>
            </w:r>
          </w:p>
        </w:tc>
        <w:tc>
          <w:tcPr>
            <w:tcW w:w="120" w:type="dxa"/>
            <w:vAlign w:val="bottom"/>
          </w:tcPr>
          <w:p>
            <w:pPr>
              <w:spacing w:after="0"/>
              <w:rPr>
                <w:sz w:val="21"/>
                <w:szCs w:val="21"/>
                <w:color w:val="auto"/>
              </w:rPr>
            </w:pPr>
          </w:p>
        </w:tc>
        <w:tc>
          <w:tcPr>
            <w:tcW w:w="1260" w:type="dxa"/>
            <w:vAlign w:val="bottom"/>
          </w:tcPr>
          <w:p>
            <w:pPr>
              <w:jc w:val="center"/>
              <w:ind w:right="54"/>
              <w:spacing w:after="0"/>
              <w:rPr>
                <w:sz w:val="20"/>
                <w:szCs w:val="20"/>
                <w:color w:val="auto"/>
              </w:rPr>
            </w:pPr>
            <w:r>
              <w:rPr>
                <w:rFonts w:ascii="Arial" w:cs="Arial" w:eastAsia="Arial" w:hAnsi="Arial"/>
                <w:sz w:val="18"/>
                <w:szCs w:val="18"/>
                <w:color w:val="auto"/>
                <w:w w:val="93"/>
              </w:rPr>
              <w:t>3.79%</w:t>
            </w:r>
          </w:p>
        </w:tc>
      </w:tr>
      <w:tr>
        <w:trPr>
          <w:trHeight w:val="27"/>
        </w:trPr>
        <w:tc>
          <w:tcPr>
            <w:tcW w:w="8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b w:val="1"/>
                <w:bCs w:val="1"/>
                <w:color w:val="auto"/>
                <w:w w:val="98"/>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91"/>
              </w:rPr>
              <w:t>24.50%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3 years</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3 years</w:t>
            </w:r>
          </w:p>
        </w:tc>
      </w:tr>
    </w:tbl>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compensation expense on a straight-line basis over the service period, except for awards issued to retirement eligible participants, which we expense on an accelerated basis. As of January 26, 2020, total remaining unearned compensation related to TSR performance restricted stock units was $34, which will be amortized over the weighted-average remaining service period of 2.2 years. In the first quarter of 2020, recipients of TSR performance restricted stock units earned 0% of the initial grants based upon our TSR ranking in a performance peer group during a three-year period ended July 26, 2019. In the first quarter of 2019, recipients of TSR performance restricted stock units earned 0% of the initial grants based upon our TSR ranking in a performance peer group during a three-year period ended July 27, 2018. The weighted-average grant-date fair value of the TSR performance restricted stock units granted during 2019 was $31.29.</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tax benefits of $1 in the six-month period ended January 26, 2020, and the excess tax deficiencies of $2 in the six-month period ended January 27, 2019, on the exercise of stock options and vested restricted stock were presented as cash flows from operating activities. Cash received from the exercise of stock options was $4 for the six-month period ended January 26, 2020, and is reflected in cash flows from financing activities in the Consolidated Statements of Cash Flows.</w:t>
      </w:r>
    </w:p>
    <w:p>
      <w:pPr>
        <w:spacing w:after="0" w:line="61" w:lineRule="exact"/>
        <w:rPr>
          <w:sz w:val="20"/>
          <w:szCs w:val="20"/>
          <w:color w:val="auto"/>
        </w:rPr>
      </w:pPr>
    </w:p>
    <w:p>
      <w:pPr>
        <w:ind w:right="8600" w:firstLine="8"/>
        <w:spacing w:after="0" w:line="398" w:lineRule="auto"/>
        <w:tabs>
          <w:tab w:leader="none" w:pos="27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Regulatory and Litigation Matters</w:t>
      </w:r>
    </w:p>
    <w:p>
      <w:pPr>
        <w:spacing w:after="0" w:line="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29" w:name="page30"/>
    <w:bookmarkEnd w:id="29"/>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January 7, 2019, three purported shareholder class action lawsuits pending in the United States District Court for the District of New Jersey were consolidated under the caption, </w:t>
      </w:r>
      <w:r>
        <w:rPr>
          <w:rFonts w:ascii="Arial" w:cs="Arial" w:eastAsia="Arial" w:hAnsi="Arial"/>
          <w:sz w:val="16"/>
          <w:szCs w:val="16"/>
          <w:i w:val="1"/>
          <w:iCs w:val="1"/>
          <w:color w:val="auto"/>
        </w:rPr>
        <w:t>In re Campbell Soup Company Securities Litigation</w:t>
      </w:r>
      <w:r>
        <w:rPr>
          <w:rFonts w:ascii="Arial" w:cs="Arial" w:eastAsia="Arial" w:hAnsi="Arial"/>
          <w:sz w:val="16"/>
          <w:szCs w:val="16"/>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consolidated complaint seeks unspecified monetary damages and other relief. On April 30, 2019, the defendants filed a motion to dismiss the consolidated complaint. We are vigorously defending against the Action.</w:t>
      </w:r>
    </w:p>
    <w:p>
      <w:pPr>
        <w:spacing w:after="0" w:line="4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26, 2020.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19. Supplemental Financial Statement Data</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Balance Sheets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January 26, 2020</w:t>
            </w:r>
          </w:p>
        </w:tc>
        <w:tc>
          <w:tcPr>
            <w:tcW w:w="240" w:type="dxa"/>
            <w:vAlign w:val="bottom"/>
          </w:tcPr>
          <w:p>
            <w:pPr>
              <w:spacing w:after="0"/>
              <w:rPr>
                <w:sz w:val="24"/>
                <w:szCs w:val="24"/>
                <w:color w:val="auto"/>
              </w:rPr>
            </w:pPr>
          </w:p>
        </w:tc>
        <w:tc>
          <w:tcPr>
            <w:tcW w:w="1000" w:type="dxa"/>
            <w:vAlign w:val="bottom"/>
          </w:tcPr>
          <w:p>
            <w:pPr>
              <w:jc w:val="center"/>
              <w:ind w:right="153"/>
              <w:spacing w:after="0"/>
              <w:rPr>
                <w:sz w:val="20"/>
                <w:szCs w:val="20"/>
                <w:color w:val="auto"/>
              </w:rPr>
            </w:pPr>
            <w:r>
              <w:rPr>
                <w:rFonts w:ascii="Arial" w:cs="Arial" w:eastAsia="Arial" w:hAnsi="Arial"/>
                <w:sz w:val="14"/>
                <w:szCs w:val="14"/>
                <w:b w:val="1"/>
                <w:bCs w:val="1"/>
                <w:color w:val="auto"/>
                <w:w w:val="93"/>
              </w:rPr>
              <w:t>July 28,</w:t>
            </w: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30"/>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20"/>
              <w:spacing w:after="0"/>
              <w:rPr>
                <w:sz w:val="20"/>
                <w:szCs w:val="20"/>
                <w:color w:val="auto"/>
              </w:rPr>
            </w:pPr>
            <w:r>
              <w:rPr>
                <w:rFonts w:ascii="Arial" w:cs="Arial" w:eastAsia="Arial" w:hAnsi="Arial"/>
                <w:sz w:val="18"/>
                <w:szCs w:val="18"/>
                <w:color w:val="auto"/>
              </w:rPr>
              <w:t>Raw materials, containers and supplies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rPr>
              <w:t>294</w:t>
            </w:r>
          </w:p>
        </w:tc>
        <w:tc>
          <w:tcPr>
            <w:tcW w:w="12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Finished products</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485</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779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6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1"/>
        </w:trPr>
        <w:tc>
          <w:tcPr>
            <w:tcW w:w="6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Statements of Earnings</w:t>
            </w: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26, 2020</w:t>
            </w: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27, 2019</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26, 2020</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January 27, 2019</w:t>
            </w:r>
          </w:p>
        </w:tc>
        <w:tc>
          <w:tcPr>
            <w:tcW w:w="0" w:type="dxa"/>
            <w:vAlign w:val="bottom"/>
          </w:tcPr>
          <w:p>
            <w:pPr>
              <w:spacing w:after="0"/>
              <w:rPr>
                <w:sz w:val="1"/>
                <w:szCs w:val="1"/>
                <w:color w:val="auto"/>
              </w:rPr>
            </w:pPr>
          </w:p>
        </w:tc>
      </w:tr>
      <w:tr>
        <w:trPr>
          <w:trHeight w:val="236"/>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jc w:val="right"/>
              <w:ind w:right="19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73"/>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periodic benefit income other than the 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140" w:type="dxa"/>
            <w:vAlign w:val="bottom"/>
          </w:tcPr>
          <w:p>
            <w:pPr>
              <w:ind w:left="120"/>
              <w:spacing w:after="0"/>
              <w:rPr>
                <w:sz w:val="20"/>
                <w:szCs w:val="20"/>
                <w:color w:val="auto"/>
              </w:rPr>
            </w:pPr>
            <w:r>
              <w:rPr>
                <w:rFonts w:ascii="Arial" w:cs="Arial" w:eastAsia="Arial" w:hAnsi="Arial"/>
                <w:sz w:val="18"/>
                <w:szCs w:val="18"/>
                <w:color w:val="auto"/>
              </w:rPr>
              <w:t>Investment (gains) / losses</w:t>
            </w:r>
          </w:p>
        </w:tc>
        <w:tc>
          <w:tcPr>
            <w:tcW w:w="38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sale of business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1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1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-143510</wp:posOffset>
            </wp:positionV>
            <wp:extent cx="3353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See Note 3 for additional information.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30" w:name="page31"/>
    <w:bookmarkEnd w:id="30"/>
    <w:p>
      <w:pPr>
        <w:ind w:right="4140"/>
        <w:spacing w:after="0" w:line="354"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28, 2019, including but not limited to "Part I - Item 1A. Risk Factors" and "Part II - Item 7. Management's Discussion and Analysis of Financial Condition and Results of Operations."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we sold our U.S. refrigerated soup business, our Garden Fresh Gourmet business and our Bolthouse Farms business. We have reflected the results of operations of these businesses as discontinued operations in the Consolidated Statements of Earnings. These businesses were historically included in the Campbell Fresh reportable segment. A portion of the U.S. refrigerated soup business historically included in Campbell Fresh was retained, and is reported in Meals &amp; Beverages.</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completed the sale of our Kelsen business on September 23, 2019, for $322 million, subject to customary purchase price adjustments. We completed the sale of our Arnott’s business and certain other international operations, including the simple meals and shelf-stable beverages businesses in Australia and Asia Pacific (the Arnott's and other international operations), on December 23, 2019, for $2.286 billion, subject to customary purchase price adjustments. We have reflected the results of operations of the Kelsen business and the Arnott’s and other international operations (collectively referred to as Campbell International) as discontinued operations in the Consolidated Statements of Earnings. These businesses were historically included in the Snacks reportable segment.</w:t>
      </w:r>
    </w:p>
    <w:p>
      <w:pPr>
        <w:spacing w:after="0" w:line="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on October 11, 2019, we completed the sale of our European chips business for £63 million, or $77 million. The results of the business through the date of sale were reflected in continuing operations within the Snacks reportable segment. See Notes 3 and 6 to the Consolidated Financial Statements for additional information on these divestitures and reportable segments.</w:t>
      </w:r>
    </w:p>
    <w:p>
      <w:pPr>
        <w:spacing w:after="0" w:line="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the sale of the Arnott's and other international operations, we completed the redemption of all $500 million outstanding aggregate principal amount of our 4.25% Senior Notes due 2021. In addition, we settled several tender offers to purchase $1.200 billion in aggregate principal amount of certain other unsecured debt. See "Management's Discussion and Analysis of Financial Condition and Results of Operations - Liquidity and Capital Resources" for additional information regarding our debt reduction activities.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the fourth quarter of 2019, our simple meals and shelf-stable beverages business in Latin America was managed as part of the Meals &amp; Beverages segment. Beginning in 2020, our business in Latin America is managed as part of the Snacks segment. Segment results have been adjusted to conform to the current presentation.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noted above, in 2019, we reflected the results of operations of Campbell Fresh and Campbell International as discontinued operations in the Consolidated Statements of Earnings for all periods presented.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04"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sales were comparable in 2020 at $2.162 billion, primarily due to gains in Snacks, offset by the impact of the divestiture of the European chips business.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expense increased to $149 million in 2020 from $91 million in 2019. The current year included a loss of $75 million related to the extinguishment of debt. After adjusting for this item, interest expense declined primarily due to lower levels of debt.</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from continuing operations per share were $.56 in 2020, compared to $.58 a year ago. The current and prior year included expenses of $.16 and $.07 per share, respectively, from items impacting comparability as discussed below.</w:t>
      </w:r>
    </w:p>
    <w:p>
      <w:pPr>
        <w:spacing w:after="0" w:line="4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Earnings from discontinued operations per share were $3.41 in the 2020, compared to Loss per share of $.78 a year ago. The current year included gains of $3.37 per share and the prior year included expenses of $.90 per share from items impacting comparability as discussed below.</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31" w:name="page32"/>
    <w:bookmarkEnd w:id="31"/>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flows from operations were $663 million in 2020, compared to $846 million in 2019. The decline was primarily due to changes in accrued liabilities, principally incentive compensation and interest.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90" w:lineRule="exact"/>
        <w:rPr>
          <w:sz w:val="20"/>
          <w:szCs w:val="20"/>
          <w:color w:val="auto"/>
        </w:rPr>
      </w:pPr>
    </w:p>
    <w:p>
      <w:pPr>
        <w:jc w:val="both"/>
        <w:ind w:left="660" w:hanging="328"/>
        <w:spacing w:after="0" w:line="26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implemented several cost savings initiatives in recent years. In the second quarter of 2020, we recorded a pre-tax restructuring charge of $7 million and implementation costs and other related costs of $13 million in Administrative expenses, $2 million in Cost of products sold, $2 million in Marketing and selling expenses, and $1 million in Research and development expenses (aggregate impact of $19 million after tax, or $.06 per share) related to these initiatives. Year-to-date in 2020, we recorded a pre-tax restructuring charge of $10 million and implementation costs and other related costs of $21 million in Administrative expenses, $2 million in Cost of products sold, $2 million in Marketing and selling expenses, and $1 million in Research and development expenses (aggregate impact of $27 million after tax, or $.09 per share) related to these initiatives. In the second quarter of 2019, we recorded a pre-tax restructuring charge of $2 million and implementation costs and other related costs of $10 million in Administrative expenses, $9 million in Cost of products sold, $2 million in Marketing and selling expenses and $1 million in Research and development expenses (aggregate impact of $18 million after tax, or $.06 per share) related to these initiatives. Year-to-date in 2019, we recorded a pre-tax restructuring charge of $20 million and implementation costs and other related costs of $23 million in Administrative expenses, $21 million in Cost of products sold, $4 million in Marketing and selling expenses and $1 million in Research and development expenses (aggregate impact of $52 million after tax, or $.17 per share) related to these initiatives. See Note 7 to the Consolidated Financial Statements and "Restructuring Charges and Cost Savings Initiatives" for additional information;</w:t>
      </w:r>
    </w:p>
    <w:p>
      <w:pPr>
        <w:spacing w:after="0" w:line="65"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second quarter of 2020, we recorded a loss in Interest expense of $75 million ($57 million after tax, or $.19 per share) on the extinguishment of debt;</w:t>
      </w:r>
    </w:p>
    <w:p>
      <w:pPr>
        <w:spacing w:after="0" w:line="48"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second quarter of 2020, we recognized a pre-tax pension settlement gain in Other expenses / (income) of $11 million ($8 million after tax, or $.03 per share) associated with U.S. and Canadian pension plans. The settlement resulted from the level of lump sum distributions from the plans' assets in 2020;</w:t>
      </w:r>
    </w:p>
    <w:p>
      <w:pPr>
        <w:spacing w:after="0" w:line="46"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second quarter of 2020, we recognized a tax benefit of $19 million ($.06 per share) on the sale of our European chips business. Year-to-date in 2020, we recorded a loss in Other expenses / (income) of $64 million ($41 million after tax, or $.14 per share) on the sale of our European chips business; and</w:t>
      </w:r>
    </w:p>
    <w:p>
      <w:pPr>
        <w:spacing w:after="0" w:line="59"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2019, we reflected the impact on taxes of the enactment of the Tax Cuts and Jobs Act (the Act) that was signed into law in December 2017. In the second quarter of 2019, we recorded a tax charge of $2 million ($.01 per share) related to a transition tax on unremitted foreign earnings.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90" w:lineRule="exact"/>
        <w:rPr>
          <w:sz w:val="20"/>
          <w:szCs w:val="20"/>
          <w:color w:val="auto"/>
        </w:rPr>
      </w:pPr>
    </w:p>
    <w:p>
      <w:pPr>
        <w:jc w:val="both"/>
        <w:ind w:left="6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second quarter of 2020, we recognized pre-tax gains of $1.087 billion associated with the sale of the Arnott's and other international operations. In addition, we recorded tax expense of $4 million associated with the sale of the Kelsen business. The aggregate impact was $1.025 billion after tax, or $3.37 per share. Year-to-date in 2020, we recognized pre-tax net gains of $1.036 billion ($998 million after tax, or $3.29 per share) associated with the sale of Campbell International. In the second quarter of 2019, we incurred pre-tax costs of $10 million ($8 million after tax, or $.03 per share) associated with planned divestiture of the Campbell Fresh and Campbell International businesses. Year-to-date in 2019, we incurred pre-tax costs of $12 million ($9 million after tax, or $.03 per share) associated with planned divestiture of the Campbell Fresh and Campbell International businesses;</w:t>
      </w:r>
    </w:p>
    <w:p>
      <w:pPr>
        <w:spacing w:after="0" w:line="12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Year-to-date in 2019, we recorded a pre-tax and after-tax restructuring charge of $1 million related to the cost savings initiatives. See Note 7 to the Consolidated Financial Statements and "Restructuring Charges and Cost Savings Initiatives" for additional information; and</w:t>
      </w:r>
    </w:p>
    <w:p>
      <w:pPr>
        <w:spacing w:after="0" w:line="24" w:lineRule="exact"/>
        <w:rPr>
          <w:rFonts w:ascii="Arial" w:cs="Arial" w:eastAsia="Arial" w:hAnsi="Arial"/>
          <w:sz w:val="17"/>
          <w:szCs w:val="17"/>
          <w:color w:val="auto"/>
        </w:rPr>
      </w:pPr>
    </w:p>
    <w:p>
      <w:pPr>
        <w:jc w:val="both"/>
        <w:ind w:left="660" w:hanging="328"/>
        <w:spacing w:after="0" w:line="29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second quarter of 2019, interim impairment assessments were performed on the intangible and tangible assets within Campbell Fresh, which included Garden Fresh Gourmet, Bolthouse Farms carrot and carrot ingredients and Bolthouse Farms refrigerated beverages and salad dressings, as we continued to pursue the divestiture of these businesses. We revised our future outlook for earnings and cash flows for each of these businesses as the divestiture process progressed. We recorded non-cash impairment charges of $104 million on the tangible assets and $73 million on the intangible assets of Bolthouse Farms carrot and carrot ingredients; $96 million on the intangible assets and $9 million on the tangible assets of Bolthouse Farms refrigerated beverages and salad dressings; and $62 million on the intangible assets and $2 million on the tangible assets of Garden Fresh Gourmet. The aggregate impact of the impairment charges was $346 million ($264 million after tax, or $.87 per share).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32" w:name="page33"/>
    <w:bookmarkEnd w:id="32"/>
    <w:p>
      <w:pPr>
        <w:ind w:left="620" w:right="200"/>
        <w:spacing w:after="0" w:line="264" w:lineRule="auto"/>
        <w:rPr>
          <w:sz w:val="20"/>
          <w:szCs w:val="20"/>
          <w:color w:val="auto"/>
        </w:rPr>
      </w:pPr>
      <w:r>
        <w:rPr>
          <w:rFonts w:ascii="Arial" w:cs="Arial" w:eastAsia="Arial" w:hAnsi="Arial"/>
          <w:sz w:val="18"/>
          <w:szCs w:val="18"/>
          <w:color w:val="auto"/>
        </w:rPr>
        <w:t>In the first quarter of 2019, we recorded a non-cash impairment charge of $14 million ($11 million after tax, or $.04 per share) on our U.S. refrigerated soup plant assets. Year-to-date in 2019, total non-cash impairment charges recorded were $360 million ($275 million after tax, or $.91 per share).</w:t>
      </w:r>
    </w:p>
    <w:p>
      <w:pPr>
        <w:spacing w:after="0" w:line="3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items impacting comparability are summarized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96"/>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January 26,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January 27, 2019</w:t>
            </w:r>
          </w:p>
        </w:tc>
      </w:tr>
      <w:tr>
        <w:trPr>
          <w:trHeight w:val="166"/>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EPS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9"/>
              </w:rPr>
              <w:t>EPS</w:t>
            </w:r>
          </w:p>
        </w:tc>
      </w:tr>
      <w:tr>
        <w:trPr>
          <w:trHeight w:val="206"/>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7"/>
              </w:rPr>
              <w:t>Impact</w:t>
            </w:r>
          </w:p>
        </w:tc>
      </w:tr>
      <w:tr>
        <w:trPr>
          <w:trHeight w:val="295"/>
        </w:trPr>
        <w:tc>
          <w:tcPr>
            <w:tcW w:w="70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171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040" w:type="dxa"/>
            <w:vAlign w:val="bottom"/>
            <w:gridSpan w:val="3"/>
          </w:tcPr>
          <w:p>
            <w:pPr>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1,037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9"/>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(loss)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1,208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16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Pension settlement gain</w:t>
            </w:r>
          </w:p>
        </w:tc>
        <w:tc>
          <w:tcPr>
            <w:tcW w:w="1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Tax benefit associated with divestiture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Tax reform</w:t>
            </w:r>
          </w:p>
        </w:tc>
        <w:tc>
          <w:tcPr>
            <w:tcW w:w="16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1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Impact of items on Earnings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0"/>
        </w:trPr>
        <w:tc>
          <w:tcPr>
            <w:tcW w:w="18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Discontinued operations:</w:t>
            </w:r>
          </w:p>
        </w:tc>
        <w:tc>
          <w:tcPr>
            <w:tcW w:w="5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Gains (charges) associated with divestitures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1,025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73"/>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64"/>
        </w:trPr>
        <w:tc>
          <w:tcPr>
            <w:tcW w:w="7040" w:type="dxa"/>
            <w:vAlign w:val="bottom"/>
            <w:gridSpan w:val="3"/>
          </w:tcPr>
          <w:p>
            <w:pPr>
              <w:spacing w:after="0"/>
              <w:rPr>
                <w:sz w:val="20"/>
                <w:szCs w:val="20"/>
                <w:color w:val="auto"/>
              </w:rPr>
            </w:pPr>
            <w:r>
              <w:rPr>
                <w:rFonts w:ascii="Arial" w:cs="Arial" w:eastAsia="Arial" w:hAnsi="Arial"/>
                <w:sz w:val="18"/>
                <w:szCs w:val="18"/>
                <w:color w:val="auto"/>
              </w:rPr>
              <w:t>Impact of items on Earnings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1,025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r>
      <w:tr>
        <w:trPr>
          <w:trHeight w:val="21"/>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8"/>
        </w:trPr>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January 26,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January 27, 2019</w:t>
            </w:r>
          </w:p>
        </w:tc>
      </w:tr>
      <w:tr>
        <w:trPr>
          <w:trHeight w:val="166"/>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EPS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9"/>
              </w:rPr>
              <w:t>EPS</w:t>
            </w:r>
          </w:p>
        </w:tc>
      </w:tr>
      <w:tr>
        <w:trPr>
          <w:trHeight w:val="206"/>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800" w:type="dxa"/>
            <w:vAlign w:val="bottom"/>
          </w:tcPr>
          <w:p>
            <w:pPr>
              <w:jc w:val="center"/>
              <w:ind w:right="112"/>
              <w:spacing w:after="0"/>
              <w:rPr>
                <w:sz w:val="20"/>
                <w:szCs w:val="20"/>
                <w:color w:val="auto"/>
              </w:rPr>
            </w:pPr>
            <w:r>
              <w:rPr>
                <w:rFonts w:ascii="Arial" w:cs="Arial" w:eastAsia="Arial" w:hAnsi="Arial"/>
                <w:sz w:val="14"/>
                <w:szCs w:val="14"/>
                <w:b w:val="1"/>
                <w:bCs w:val="1"/>
                <w:color w:val="auto"/>
                <w:w w:val="97"/>
              </w:rPr>
              <w:t>Impact</w:t>
            </w:r>
          </w:p>
        </w:tc>
      </w:tr>
      <w:tr>
        <w:trPr>
          <w:trHeight w:val="295"/>
        </w:trPr>
        <w:tc>
          <w:tcPr>
            <w:tcW w:w="70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340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1.18</w:t>
            </w:r>
          </w:p>
        </w:tc>
      </w:tr>
      <w:tr>
        <w:trPr>
          <w:trHeight w:val="20"/>
        </w:trPr>
        <w:tc>
          <w:tcPr>
            <w:tcW w:w="704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040" w:type="dxa"/>
            <w:vAlign w:val="bottom"/>
            <w:gridSpan w:val="3"/>
          </w:tcPr>
          <w:p>
            <w:pPr>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1,034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w:t>
            </w: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9"/>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1,374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4.53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w:t>
            </w:r>
          </w:p>
        </w:tc>
      </w:tr>
      <w:tr>
        <w:trPr>
          <w:trHeight w:val="20"/>
        </w:trPr>
        <w:tc>
          <w:tcPr>
            <w:tcW w:w="704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16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70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Pension settlement gain</w:t>
            </w:r>
          </w:p>
        </w:tc>
        <w:tc>
          <w:tcPr>
            <w:tcW w:w="1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Charges associated with divestiture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Tax reform</w:t>
            </w:r>
          </w:p>
        </w:tc>
        <w:tc>
          <w:tcPr>
            <w:tcW w:w="16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704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Impact of items on Earnings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0"/>
        </w:trPr>
        <w:tc>
          <w:tcPr>
            <w:tcW w:w="704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0"/>
        </w:trPr>
        <w:tc>
          <w:tcPr>
            <w:tcW w:w="18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Discontinued operations:</w:t>
            </w:r>
          </w:p>
        </w:tc>
        <w:tc>
          <w:tcPr>
            <w:tcW w:w="5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Gains (charges) associated with divestitures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998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73"/>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70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gridSpan w:val="3"/>
          </w:tcPr>
          <w:p>
            <w:pPr>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704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7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Impact of items on Earnings (loss)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998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89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895" w:right="259" w:bottom="1440" w:gutter="0" w:footer="0" w:header="0"/>
          <w:type w:val="continuous"/>
        </w:sectPr>
      </w:pPr>
    </w:p>
    <w:bookmarkStart w:id="33" w:name="page34"/>
    <w:bookmarkEnd w:id="33"/>
    <w:p>
      <w:pPr>
        <w:jc w:val="both"/>
        <w:ind w:firstLine="324"/>
        <w:spacing w:after="0" w:line="264" w:lineRule="auto"/>
        <w:rPr>
          <w:sz w:val="20"/>
          <w:szCs w:val="20"/>
          <w:color w:val="auto"/>
        </w:rPr>
      </w:pPr>
      <w:r>
        <w:rPr>
          <w:rFonts w:ascii="Arial" w:cs="Arial" w:eastAsia="Arial" w:hAnsi="Arial"/>
          <w:sz w:val="18"/>
          <w:szCs w:val="18"/>
          <w:color w:val="auto"/>
        </w:rPr>
        <w:t>Earnings from continuing operations were $171 million ($.56 per share) in the current quarter, compared to $176 million ($.58 per share) in the year-ago quarter. After adjusting for items impacting comparability, earnings from continuing operations increased reflecting an improved gross profit performance and lower interest expense, partially offset by increased marketing investment.</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Earnings from continuing operations were $340 million ($1.12 per share) in the six-month period this year, compared to $356 million ($1.18 per share) in the year-ago period. After adjusting for items impacting comparability, earnings from continuing operations increased reflecting lower interest expense, an improved gross profit performance, higher other income, and lower administrative expenses, partially offset by increased marketing investment.</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"Discontinued Operations"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7"/>
        </w:trPr>
        <w:tc>
          <w:tcPr>
            <w:tcW w:w="690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26, 2020</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27, 2019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ind w:left="340"/>
              <w:spacing w:after="0"/>
              <w:rPr>
                <w:sz w:val="20"/>
                <w:szCs w:val="20"/>
                <w:color w:val="auto"/>
              </w:rPr>
            </w:pPr>
            <w:r>
              <w:rPr>
                <w:rFonts w:ascii="Arial" w:cs="Arial" w:eastAsia="Arial" w:hAnsi="Arial"/>
                <w:sz w:val="14"/>
                <w:szCs w:val="14"/>
                <w:b w:val="1"/>
                <w:bCs w:val="1"/>
                <w:color w:val="auto"/>
              </w:rPr>
              <w:t>% Change</w:t>
            </w:r>
            <w:r>
              <w:rPr>
                <w:rFonts w:ascii="Arial" w:cs="Arial" w:eastAsia="Arial" w:hAnsi="Arial"/>
                <w:sz w:val="9"/>
                <w:szCs w:val="9"/>
                <w:b w:val="1"/>
                <w:bCs w:val="1"/>
                <w:color w:val="auto"/>
              </w:rPr>
              <w:t>(1)</w:t>
            </w:r>
          </w:p>
        </w:tc>
      </w:tr>
      <w:tr>
        <w:trPr>
          <w:trHeight w:val="250"/>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Snacks</w:t>
            </w:r>
          </w:p>
        </w:tc>
        <w:tc>
          <w:tcPr>
            <w:tcW w:w="4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938</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ind w:left="580"/>
              <w:spacing w:after="0"/>
              <w:rPr>
                <w:sz w:val="20"/>
                <w:szCs w:val="20"/>
                <w:color w:val="auto"/>
              </w:rPr>
            </w:pPr>
            <w:r>
              <w:rPr>
                <w:rFonts w:ascii="Arial" w:cs="Arial" w:eastAsia="Arial" w:hAnsi="Arial"/>
                <w:sz w:val="18"/>
                <w:szCs w:val="18"/>
                <w:color w:val="auto"/>
              </w:rPr>
              <w:t>(1)</w:t>
            </w:r>
          </w:p>
        </w:tc>
      </w:tr>
      <w:tr>
        <w:trPr>
          <w:trHeight w:val="27"/>
        </w:trPr>
        <w:tc>
          <w:tcPr>
            <w:tcW w:w="6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n/m</w:t>
            </w:r>
          </w:p>
        </w:tc>
      </w:tr>
      <w:tr>
        <w:trPr>
          <w:trHeight w:val="237"/>
        </w:trPr>
        <w:tc>
          <w:tcPr>
            <w:tcW w:w="6900" w:type="dxa"/>
            <w:vAlign w:val="bottom"/>
          </w:tcPr>
          <w:p>
            <w:pPr>
              <w:spacing w:after="0"/>
              <w:rPr>
                <w:sz w:val="20"/>
                <w:szCs w:val="20"/>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2,162</w:t>
            </w:r>
          </w:p>
        </w:tc>
        <w:tc>
          <w:tcPr>
            <w:tcW w:w="80" w:type="dxa"/>
            <w:vAlign w:val="bottom"/>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17145</wp:posOffset>
            </wp:positionV>
            <wp:extent cx="286448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64485" cy="342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n/m - Not meaningful.</w:t>
      </w:r>
    </w:p>
    <w:p>
      <w:pPr>
        <w:spacing w:after="0" w:line="82"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8"/>
          <w:szCs w:val="18"/>
          <w:color w:val="auto"/>
        </w:rPr>
        <w:t>An analysis of percent change of net sales by reportable segment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Meals &amp; Beverages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Snacks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16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8"/>
                <w:szCs w:val="18"/>
                <w:color w:val="auto"/>
                <w:w w:val="92"/>
              </w:rPr>
              <w:t>1%</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520" w:type="dxa"/>
            <w:vAlign w:val="bottom"/>
          </w:tcPr>
          <w:p>
            <w:pPr>
              <w:jc w:val="center"/>
              <w:ind w:right="53"/>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ind w:right="53"/>
              <w:spacing w:after="0"/>
              <w:rPr>
                <w:sz w:val="20"/>
                <w:szCs w:val="20"/>
                <w:color w:val="auto"/>
              </w:rPr>
            </w:pPr>
            <w:r>
              <w:rPr>
                <w:rFonts w:ascii="Arial" w:cs="Arial" w:eastAsia="Arial" w:hAnsi="Arial"/>
                <w:sz w:val="18"/>
                <w:szCs w:val="18"/>
                <w:color w:val="auto"/>
                <w:w w:val="99"/>
              </w:rPr>
              <w:t>1</w:t>
            </w:r>
          </w:p>
        </w:tc>
      </w:tr>
      <w:tr>
        <w:trPr>
          <w:trHeight w:val="27"/>
        </w:trPr>
        <w:tc>
          <w:tcPr>
            <w:tcW w:w="6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 Promotional Spending</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6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60" w:type="dxa"/>
            <w:vAlign w:val="bottom"/>
          </w:tcPr>
          <w:p>
            <w:pPr>
              <w:ind w:left="620"/>
              <w:spacing w:after="0"/>
              <w:rPr>
                <w:sz w:val="20"/>
                <w:szCs w:val="20"/>
                <w:color w:val="auto"/>
              </w:rPr>
            </w:pPr>
            <w:r>
              <w:rPr>
                <w:rFonts w:ascii="Arial" w:cs="Arial" w:eastAsia="Arial" w:hAnsi="Arial"/>
                <w:sz w:val="18"/>
                <w:szCs w:val="18"/>
                <w:color w:val="auto"/>
              </w:rPr>
              <w:t>(1)</w:t>
            </w:r>
          </w:p>
        </w:tc>
      </w:tr>
      <w:tr>
        <w:trPr>
          <w:trHeight w:val="27"/>
        </w:trPr>
        <w:tc>
          <w:tcPr>
            <w:tcW w:w="66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6600" w:type="dxa"/>
            <w:vAlign w:val="bottom"/>
          </w:tcPr>
          <w:p>
            <w:pPr>
              <w:spacing w:after="0"/>
              <w:rPr>
                <w:sz w:val="24"/>
                <w:szCs w:val="24"/>
                <w:color w:val="auto"/>
              </w:rPr>
            </w:pPr>
          </w:p>
        </w:tc>
        <w:tc>
          <w:tcPr>
            <w:tcW w:w="16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9"/>
              </w:rPr>
              <w:t>—%</w:t>
            </w:r>
          </w:p>
        </w:tc>
      </w:tr>
      <w:tr>
        <w:trPr>
          <w:trHeight w:val="20"/>
        </w:trPr>
        <w:tc>
          <w:tcPr>
            <w:tcW w:w="66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Meals &amp; Beverages, sales were comparable primarily due to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U.S. soup, partially offset by declines in beverages. Sales of U.S. soup increased 1% due to gains in condensed soups and broth, partially offset by declines in ready-to-serve soups.</w:t>
      </w:r>
    </w:p>
    <w:p>
      <w:pPr>
        <w:spacing w:after="0" w:line="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Snacks, sales decreased 1% reflecting a 3-point negative impact from the sale of the European chips business. Excluding the divestiture, sales increased reflecting gains in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Pepperidge Farm cookies, as well as gains in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and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potato chips, partially offset by declines in fresh bakery products and partner brands within the Snyder's-Lance portfolio. Partner brands, which consist of third-party branded products that we sell, declined as we continued our planned prioritization of select partners to reduce complexity and improve execution.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$36 million in 2020 from 2019. As a percent of sales, gross profit was 34.3% in 2020, 32.5% in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1.8 percentage-point increase in gross profit percentage was due to the following factors: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Margin Impact</w:t>
            </w: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95"/>
              </w:rPr>
              <w:t>1.4</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95"/>
              </w:rPr>
              <w:t>0.8</w:t>
            </w:r>
          </w:p>
        </w:tc>
      </w:tr>
      <w:tr>
        <w:trPr>
          <w:trHeight w:val="27"/>
        </w:trPr>
        <w:tc>
          <w:tcPr>
            <w:tcW w:w="10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Mix</w:t>
            </w:r>
          </w:p>
        </w:tc>
        <w:tc>
          <w:tcPr>
            <w:tcW w:w="12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95"/>
              </w:rPr>
              <w:t>0.7</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Lower restructuring-related costs</w:t>
            </w: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95"/>
              </w:rPr>
              <w:t>0.3</w:t>
            </w:r>
          </w:p>
        </w:tc>
      </w:tr>
      <w:tr>
        <w:trPr>
          <w:trHeight w:val="27"/>
        </w:trPr>
        <w:tc>
          <w:tcPr>
            <w:tcW w:w="10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0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3"/>
                <w:szCs w:val="23"/>
                <w:color w:val="auto"/>
                <w:vertAlign w:val="superscript"/>
              </w:rPr>
              <w:t>(1)</w:t>
            </w:r>
          </w:p>
        </w:tc>
        <w:tc>
          <w:tcPr>
            <w:tcW w:w="126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(0.7)</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Pr>
          <w:p>
            <w:pPr>
              <w:jc w:val="right"/>
              <w:ind w:right="412"/>
              <w:spacing w:after="0"/>
              <w:rPr>
                <w:sz w:val="20"/>
                <w:szCs w:val="20"/>
                <w:color w:val="auto"/>
              </w:rPr>
            </w:pPr>
            <w:r>
              <w:rPr>
                <w:rFonts w:ascii="Arial" w:cs="Arial" w:eastAsia="Arial" w:hAnsi="Arial"/>
                <w:sz w:val="18"/>
                <w:szCs w:val="18"/>
                <w:b w:val="1"/>
                <w:bCs w:val="1"/>
                <w:color w:val="auto"/>
              </w:rPr>
              <w:t>(0.7)</w:t>
            </w:r>
          </w:p>
        </w:tc>
      </w:tr>
      <w:tr>
        <w:trPr>
          <w:trHeight w:val="27"/>
        </w:trPr>
        <w:tc>
          <w:tcPr>
            <w:tcW w:w="10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10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97"/>
              </w:rPr>
              <w:t>1.8%</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a positive margin impact of 0.9 from cost savings initiatives, which was more than offset by cost inflation and other factors.</w:t>
      </w:r>
    </w:p>
    <w:p>
      <w:pPr>
        <w:spacing w:after="0" w:line="8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Marketing and Selling Expenses</w:t>
      </w:r>
    </w:p>
    <w:p>
      <w:pPr>
        <w:spacing w:after="0" w:line="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Marketing and selling expenses as a percent of sales were 11.0% in 2020 compared to 10.2% in 2019. Marketing and selling expenses increased 7% in 2020 from 2019. The increase was primarily due to higher advertising and consumer promotion expenses (approximately 8 percentage points) and higher costs related to marketing overhead (approximately 4 percentage points), partially offset by increased benefits from cost savings initiatives (approximately 5 percentage points). The increase in advertising and consumer promotion expenses was primarily in Meals &amp; Beverages due to increased support of U.S. soup.</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6.8% in 2020 compared to 6.7% in 2019. Administrative expenses increased 1% in 2020 from 2019. The increase was primarily due to higher incentive compensation (approximately 4 percentage points); higher benefit costs (approximately 4 percentage points); higher inflation and general administrative costs (approximately 3 percentage points); and higher costs associated with costs savings initiatives (approximately 2 percentage points), partially offset by increased benefits from cost savings initiatives (approximately 9 percentage points) and costs associated with the proxy contest in the prior year (approximately 3 percentage points).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was $22 million in 2020 compared to Other income of $8 million in 2019. The increase was primarily due to an $11 million pension settlement and higher net periodic benefit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2% in 2020 from 2019.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7"/>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27, 2019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242</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253</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(4)</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Snacks</w:t>
            </w:r>
          </w:p>
        </w:tc>
        <w:tc>
          <w:tcPr>
            <w:tcW w:w="520" w:type="dxa"/>
            <w:vAlign w:val="bottom"/>
          </w:tcPr>
          <w:p>
            <w:pPr>
              <w:spacing w:after="0"/>
              <w:rPr>
                <w:sz w:val="21"/>
                <w:szCs w:val="21"/>
                <w:color w:val="auto"/>
              </w:rPr>
            </w:pPr>
          </w:p>
        </w:tc>
        <w:tc>
          <w:tcPr>
            <w:tcW w:w="960" w:type="dxa"/>
            <w:vAlign w:val="bottom"/>
          </w:tcPr>
          <w:p>
            <w:pPr>
              <w:jc w:val="right"/>
              <w:ind w:right="153"/>
              <w:spacing w:after="0"/>
              <w:rPr>
                <w:sz w:val="20"/>
                <w:szCs w:val="20"/>
                <w:color w:val="auto"/>
              </w:rPr>
            </w:pPr>
            <w:r>
              <w:rPr>
                <w:rFonts w:ascii="Arial" w:cs="Arial" w:eastAsia="Arial" w:hAnsi="Arial"/>
                <w:sz w:val="18"/>
                <w:szCs w:val="18"/>
                <w:b w:val="1"/>
                <w:bCs w:val="1"/>
                <w:color w:val="auto"/>
              </w:rPr>
              <w:t>136</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132</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3</w:t>
            </w:r>
          </w:p>
        </w:tc>
      </w:tr>
      <w:tr>
        <w:trPr>
          <w:trHeight w:val="27"/>
        </w:trPr>
        <w:tc>
          <w:tcPr>
            <w:tcW w:w="7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378</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385</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52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53"/>
              <w:spacing w:after="0"/>
              <w:rPr>
                <w:sz w:val="20"/>
                <w:szCs w:val="20"/>
                <w:color w:val="auto"/>
              </w:rPr>
            </w:pPr>
            <w:r>
              <w:rPr>
                <w:rFonts w:ascii="Arial" w:cs="Arial" w:eastAsia="Arial" w:hAnsi="Arial"/>
                <w:sz w:val="18"/>
                <w:szCs w:val="18"/>
                <w:b w:val="1"/>
                <w:bCs w:val="1"/>
                <w:color w:val="auto"/>
              </w:rPr>
              <w:t>350</w:t>
            </w:r>
          </w:p>
        </w:tc>
        <w:tc>
          <w:tcPr>
            <w:tcW w:w="14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17145</wp:posOffset>
            </wp:positionV>
            <wp:extent cx="197231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2310" cy="342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color w:val="auto"/>
        </w:rPr>
        <w:t>Operating earnings from Meals &amp; Beverages decreased 4%. The decrease was primarily due to increased marketing support and higher administrative costs, partially offset by improved gross profit performance.</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earnings from Snacks increased 3%. The increase was primarily due to improved gross profit performance, partially offset by increased marketing support.</w:t>
      </w:r>
    </w:p>
    <w:p>
      <w:pPr>
        <w:spacing w:after="0" w:line="3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Corporate in 2020 included costs of $18 million related to costs savings initiatives and a pension settlement gain of $11 million. Corporate in 2019 included costs of $22 million related to cost savings initiatives. Excluding these amounts, the remaining decrease in expenses primarily reflects lower administrative costs and higher net periodic benefit income.</w:t>
      </w:r>
    </w:p>
    <w:p>
      <w:pPr>
        <w:sectPr>
          <w:pgSz w:w="11900" w:h="16838" w:orient="portrait"/>
          <w:cols w:equalWidth="0" w:num="1">
            <w:col w:w="11420"/>
          </w:cols>
          <w:pgMar w:left="240" w:top="9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expense increased to $149 million in 2020 from $91 million in 2019. The increase in interest expense was due to a loss on extinguishment of debt of $75 million, partially offset by lower levels of debt as we used the net proceeds from the businesses sold to reduce debt.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0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effective tax rate was 16.2% in 2020 and 24.8% in 2019. The effective tax rate decreased in 2020 as we recognized a $19 million tax benefit in the second quarter on the $64 million loss on the sale of the European chips business recognized in the first quarter. We were able to use the capital loss on the sale of the European chips business to offset a portion of the capital gain from the sale of the Arnott's and other international operations.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DISCUSSION AND ANALYSIS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234"/>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3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January 26, 2020</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January 27, 2019</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4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Snacks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1,927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center"/>
              <w:ind w:right="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4,345</w:t>
            </w:r>
          </w:p>
        </w:tc>
        <w:tc>
          <w:tcPr>
            <w:tcW w:w="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4,374</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
        </w:trPr>
        <w:tc>
          <w:tcPr>
            <w:tcW w:w="66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60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6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00" w:type="dxa"/>
            <w:vAlign w:val="bottom"/>
          </w:tcPr>
          <w:p>
            <w:pPr>
              <w:spacing w:after="0"/>
              <w:rPr>
                <w:sz w:val="19"/>
                <w:szCs w:val="19"/>
                <w:color w:val="auto"/>
              </w:rPr>
            </w:pPr>
          </w:p>
        </w:tc>
        <w:tc>
          <w:tcPr>
            <w:tcW w:w="1840" w:type="dxa"/>
            <w:vAlign w:val="bottom"/>
            <w:gridSpan w:val="6"/>
          </w:tcPr>
          <w:p>
            <w:pPr>
              <w:ind w:left="180"/>
              <w:spacing w:after="0"/>
              <w:rPr>
                <w:sz w:val="20"/>
                <w:szCs w:val="20"/>
                <w:color w:val="auto"/>
              </w:rPr>
            </w:pPr>
            <w:r>
              <w:rPr>
                <w:rFonts w:ascii="Arial" w:cs="Arial" w:eastAsia="Arial" w:hAnsi="Arial"/>
                <w:sz w:val="14"/>
                <w:szCs w:val="14"/>
                <w:b w:val="1"/>
                <w:bCs w:val="1"/>
                <w:color w:val="auto"/>
              </w:rPr>
              <w:t>Meals &amp; Beverages</w:t>
            </w:r>
          </w:p>
        </w:tc>
        <w:tc>
          <w:tcPr>
            <w:tcW w:w="840" w:type="dxa"/>
            <w:vAlign w:val="bottom"/>
          </w:tcPr>
          <w:p>
            <w:pPr>
              <w:ind w:left="340"/>
              <w:spacing w:after="0"/>
              <w:rPr>
                <w:sz w:val="20"/>
                <w:szCs w:val="20"/>
                <w:color w:val="auto"/>
              </w:rPr>
            </w:pPr>
            <w:r>
              <w:rPr>
                <w:rFonts w:ascii="Arial" w:cs="Arial" w:eastAsia="Arial" w:hAnsi="Arial"/>
                <w:sz w:val="14"/>
                <w:szCs w:val="14"/>
                <w:b w:val="1"/>
                <w:bCs w:val="1"/>
                <w:color w:val="auto"/>
                <w:w w:val="97"/>
              </w:rPr>
              <w:t>Snacks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50"/>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center"/>
              <w:ind w:right="472"/>
              <w:spacing w:after="0"/>
              <w:rPr>
                <w:sz w:val="20"/>
                <w:szCs w:val="20"/>
                <w:color w:val="auto"/>
              </w:rPr>
            </w:pPr>
            <w:r>
              <w:rPr>
                <w:rFonts w:ascii="Arial" w:cs="Arial" w:eastAsia="Arial" w:hAnsi="Arial"/>
                <w:sz w:val="18"/>
                <w:szCs w:val="18"/>
                <w:color w:val="auto"/>
                <w:w w:val="94"/>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2%</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69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ind w:left="54"/>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right"/>
              <w:ind w:right="7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 Promotional Spending</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72"/>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jc w:val="center"/>
              <w:ind w:right="9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jc w:val="center"/>
              <w:ind w:right="13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ind w:right="472"/>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3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Meals &amp; Beverages, sales decreased 1% primarily due to declines in U.S. soup and beverages, as well as foodservice driven by the loss of a refrigerated soup contract, partially offset by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Sales of U.S. soup decreased 1% due to declines in broth and ready-to-serve soups, partially offset by gains in condensed soups.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Snacks, sales were comparable reflecting a 2-point negative impact from the sale of the European chips business. Excluding the divestiture, sales increased reflecting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Pepperidge Farm cookies, as well as gains in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and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potato chips, partially offset by declines in partner brands within the Snyder's-Lance portfolio. Partner brands declined as we continued our planned prioritization of select partners to reduce complexity and improve execution.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$48 million in 2020 from 2019. As a percent of sales, gross profit was 34.1% in 2020, 32.7% in 2019.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color w:val="auto"/>
        </w:rPr>
        <w:t>The 1.4 percentage-point increase in gross profit percentage was due to the following factors: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Margin Impact</w:t>
            </w: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95"/>
              </w:rPr>
              <w:t>1.4</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95"/>
              </w:rPr>
              <w:t>0.6</w:t>
            </w:r>
          </w:p>
        </w:tc>
      </w:tr>
      <w:tr>
        <w:trPr>
          <w:trHeight w:val="27"/>
        </w:trPr>
        <w:tc>
          <w:tcPr>
            <w:tcW w:w="10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Lower restructuring-related costs</w:t>
            </w:r>
          </w:p>
        </w:tc>
        <w:tc>
          <w:tcPr>
            <w:tcW w:w="12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95"/>
              </w:rPr>
              <w:t>0.5</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Mix</w:t>
            </w: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95"/>
              </w:rPr>
              <w:t>0.5</w:t>
            </w:r>
          </w:p>
        </w:tc>
      </w:tr>
      <w:tr>
        <w:trPr>
          <w:trHeight w:val="27"/>
        </w:trPr>
        <w:tc>
          <w:tcPr>
            <w:tcW w:w="10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(0.7)</w:t>
            </w:r>
          </w:p>
        </w:tc>
      </w:tr>
      <w:tr>
        <w:trPr>
          <w:trHeight w:val="270"/>
        </w:trPr>
        <w:tc>
          <w:tcPr>
            <w:tcW w:w="10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3"/>
                <w:szCs w:val="23"/>
                <w:color w:val="auto"/>
                <w:vertAlign w:val="superscript"/>
              </w:rPr>
              <w:t>(1)</w:t>
            </w: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(0.9)</w:t>
            </w:r>
          </w:p>
        </w:tc>
      </w:tr>
      <w:tr>
        <w:trPr>
          <w:trHeight w:val="289"/>
        </w:trPr>
        <w:tc>
          <w:tcPr>
            <w:tcW w:w="10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97"/>
              </w:rPr>
              <w:t>1.4%</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Includes a positive margin impact of 0.9 from cost savings initiatives, which was more than offset by cost inflation and other factors.</w:t>
      </w:r>
    </w:p>
    <w:p>
      <w:pPr>
        <w:spacing w:after="0" w:line="8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Marketing and Selling Expenses</w:t>
      </w:r>
    </w:p>
    <w:p>
      <w:pPr>
        <w:spacing w:after="0" w:line="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Marketing and selling expenses as a percent of sales were 10.2% in 2020 compared to 9.9% in 2019. Marketing and selling expenses increased 3% in 2020 from 2019. The increase was primarily due to higher advertising and consumer promotion expenses (approximately 6 percentage points) and higher costs related to marketing overhead (approximately 2 percentage points), partially offset by increased benefits from cost savings initiatives (approximately 6 percentage points). The increase in advertising and consumer promotion expenses was in Meals &amp; Beverages due to increase support of U.S. soup, and in Snacks due to increased support of Snyder's-Lance brands.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as a percent of sales were 6.5% in 2020 compared to 6.7% in 2019. Administrative expenses decreased 4% in 2020 from 2019. The decrease was primarily due to increased benefits from cost savings initiatives (approximately 8 percentage points) and costs associated with the proxy contest in the prior year (approximately 3 percentage points), partially offset by higher benefit costs (approximately 2 percentage points) and higher general administrative costs and inflation (approximately 5 percentage points).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0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expenses were $34 million in 2020 compared to Other income of $8 million in 2019. The increase was primarily due to a loss of $64 million on the sale of the European chips business, partially offset by a pension settlement gain of $11 million, higher net periodic benefit income and lower investment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2% in 2020 from 2019.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7"/>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26, 2020</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27, 2019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543</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Snacks</w:t>
            </w:r>
          </w:p>
        </w:tc>
        <w:tc>
          <w:tcPr>
            <w:tcW w:w="500" w:type="dxa"/>
            <w:vAlign w:val="bottom"/>
          </w:tcPr>
          <w:p>
            <w:pPr>
              <w:spacing w:after="0"/>
              <w:rPr>
                <w:sz w:val="21"/>
                <w:szCs w:val="21"/>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b w:val="1"/>
                <w:bCs w:val="1"/>
                <w:color w:val="auto"/>
              </w:rPr>
              <w:t>261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257</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2</w:t>
            </w:r>
          </w:p>
        </w:tc>
      </w:tr>
      <w:tr>
        <w:trPr>
          <w:trHeight w:val="27"/>
        </w:trPr>
        <w:tc>
          <w:tcPr>
            <w:tcW w:w="7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800</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50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3"/>
              <w:spacing w:after="0"/>
              <w:rPr>
                <w:sz w:val="20"/>
                <w:szCs w:val="20"/>
                <w:color w:val="auto"/>
              </w:rPr>
            </w:pPr>
            <w:r>
              <w:rPr>
                <w:rFonts w:ascii="Arial" w:cs="Arial" w:eastAsia="Arial" w:hAnsi="Arial"/>
                <w:sz w:val="18"/>
                <w:szCs w:val="18"/>
                <w:b w:val="1"/>
                <w:bCs w:val="1"/>
                <w:color w:val="auto"/>
              </w:rPr>
              <w:t>667</w:t>
            </w:r>
          </w:p>
        </w:tc>
        <w:tc>
          <w:tcPr>
            <w:tcW w:w="10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
        </w:trPr>
        <w:tc>
          <w:tcPr>
            <w:tcW w:w="7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Operating earnings from Meals &amp; Beverages decreased 3%. The decrease was primarily due to increased marketing support, higher administrative expenses and sales declines, partially offset by improved gross profit performance.</w:t>
      </w:r>
    </w:p>
    <w:p>
      <w:pPr>
        <w:spacing w:after="0" w:line="6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Operating earnings from Snacks increased 2%. The increase was primarily due to the benefits of cost savings initiatives and supply chain productivity programs, partially offset by cost inflation and increased marketing support.</w:t>
      </w:r>
    </w:p>
    <w:p>
      <w:pPr>
        <w:spacing w:after="0" w:line="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Corporate in 2020 included a loss of $64 million from the sale of the European chips business, costs of $26 million related to costs savings initiatives and a pension settlement gain of $11 million. Corporate in 2019 included costs of $49 million related</w:t>
      </w:r>
    </w:p>
    <w:p>
      <w:pPr>
        <w:sectPr>
          <w:pgSz w:w="11900" w:h="16838" w:orient="portrait"/>
          <w:cols w:equalWidth="0" w:num="1">
            <w:col w:w="11420"/>
          </w:cols>
          <w:pgMar w:left="240" w:top="989"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to cost savings initiatives. Excluding these amounts, the remaining decrease in expenses primarily reflects lower administrative expenses, gains on open commodity contracts, and higher net periodic benefit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expense increased to $229 million in 2020 from $182 million in 2019. The increase in interest expense was due to a loss on extinguishment of debt of $75 million, partially offset by lower levels of debt as we used the net proceeds from the businesses sold to reduce debt.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effective tax rate was 22.9% in 2020 and 24.3% in 2019. The effective tax rate decreased in 2020 as we recognized a $23 million tax benefit on the $64 million loss on the sale of the European chips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(Millions, except per share amounts)</w:t>
            </w:r>
          </w:p>
        </w:tc>
        <w:tc>
          <w:tcPr>
            <w:tcW w:w="100" w:type="dxa"/>
            <w:vAlign w:val="bottom"/>
          </w:tcPr>
          <w:p>
            <w:pPr>
              <w:spacing w:after="0"/>
              <w:rPr>
                <w:sz w:val="10"/>
                <w:szCs w:val="10"/>
                <w:color w:val="auto"/>
              </w:rPr>
            </w:pPr>
          </w:p>
        </w:tc>
        <w:tc>
          <w:tcPr>
            <w:tcW w:w="12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4"/>
              </w:rPr>
              <w:t>January 26, 2020</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January 27, 2019</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4"/>
              </w:rPr>
              <w:t>January 26, 2020</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January 27, 2019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77"/>
              <w:spacing w:after="0" w:line="122" w:lineRule="exact"/>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January 26, 2020</w:t>
            </w:r>
          </w:p>
        </w:tc>
        <w:tc>
          <w:tcPr>
            <w:tcW w:w="0" w:type="dxa"/>
            <w:vAlign w:val="bottom"/>
          </w:tcPr>
          <w:p>
            <w:pPr>
              <w:spacing w:after="0"/>
              <w:rPr>
                <w:sz w:val="1"/>
                <w:szCs w:val="1"/>
                <w:color w:val="auto"/>
              </w:rPr>
            </w:pPr>
          </w:p>
        </w:tc>
      </w:tr>
      <w:tr>
        <w:trPr>
          <w:trHeight w:val="245"/>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77"/>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Marketing and selling expenses</w:t>
            </w:r>
          </w:p>
        </w:tc>
        <w:tc>
          <w:tcPr>
            <w:tcW w:w="100" w:type="dxa"/>
            <w:vAlign w:val="bottom"/>
          </w:tcPr>
          <w:p>
            <w:pPr>
              <w:spacing w:after="0"/>
              <w:rPr>
                <w:sz w:val="21"/>
                <w:szCs w:val="21"/>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7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Total pre-tax charges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Aggregate after-tax impact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56"/>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 share impact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400" w:type="dxa"/>
            <w:vAlign w:val="bottom"/>
            <w:gridSpan w:val="11"/>
          </w:tcPr>
          <w:p>
            <w:pPr>
              <w:ind w:left="340"/>
              <w:spacing w:after="0"/>
              <w:rPr>
                <w:sz w:val="20"/>
                <w:szCs w:val="20"/>
                <w:color w:val="auto"/>
              </w:rPr>
            </w:pPr>
            <w:r>
              <w:rPr>
                <w:rFonts w:ascii="Arial" w:cs="Arial" w:eastAsia="Arial" w:hAnsi="Arial"/>
                <w:sz w:val="18"/>
                <w:szCs w:val="18"/>
                <w:color w:val="auto"/>
                <w:w w:val="96"/>
              </w:rPr>
              <w:t>A summary of the pre-tax charges recorded in Earnings (loss) from discontinued operations is as follows: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4"/>
              </w:rPr>
              <w:t>January 26, 2020</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January 27, 2019</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4"/>
              </w:rPr>
              <w:t>January 26, 2020</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January 27, 2019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77"/>
              <w:spacing w:after="0" w:line="122" w:lineRule="exact"/>
              <w:rPr>
                <w:sz w:val="20"/>
                <w:szCs w:val="20"/>
                <w:color w:val="auto"/>
              </w:rPr>
            </w:pPr>
            <w:r>
              <w:rPr>
                <w:rFonts w:ascii="Arial" w:cs="Arial" w:eastAsia="Arial" w:hAnsi="Arial"/>
                <w:sz w:val="14"/>
                <w:szCs w:val="14"/>
                <w:b w:val="1"/>
                <w:bCs w:val="1"/>
                <w:color w:val="auto"/>
                <w:w w:val="88"/>
              </w:rPr>
              <w:t>Recognized as of</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January 26, 2020</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238"/>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pre-tax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70"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$19 million of severance pay and benefits and $4 million of implementation costs and other related costs.</w:t>
      </w:r>
    </w:p>
    <w:p>
      <w:pPr>
        <w:spacing w:after="0" w:line="8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16"/>
          <w:szCs w:val="16"/>
          <w:color w:val="auto"/>
        </w:rPr>
        <w:t>A summary of the pre-tax costs in Earnings from continuing operations associated with these initiatives is as follows:</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1233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Severance pay and benefits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Implementation costs and other related costs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249"/>
        <w:spacing w:after="0"/>
        <w:rPr>
          <w:sz w:val="20"/>
          <w:szCs w:val="20"/>
          <w:color w:val="auto"/>
        </w:rPr>
      </w:pPr>
      <w:r>
        <w:rPr>
          <w:rFonts w:ascii="Arial" w:cs="Arial" w:eastAsia="Arial" w:hAnsi="Arial"/>
          <w:sz w:val="13"/>
          <w:szCs w:val="13"/>
          <w:b w:val="1"/>
          <w:bCs w:val="1"/>
          <w:color w:val="auto"/>
        </w:rPr>
        <w:t>Recognized as of</w:t>
      </w:r>
    </w:p>
    <w:p>
      <w:pPr>
        <w:spacing w:after="0" w:line="15" w:lineRule="exact"/>
        <w:rPr>
          <w:sz w:val="20"/>
          <w:szCs w:val="20"/>
          <w:color w:val="auto"/>
        </w:rPr>
      </w:pPr>
    </w:p>
    <w:p>
      <w:pPr>
        <w:ind w:left="229"/>
        <w:spacing w:after="0"/>
        <w:rPr>
          <w:sz w:val="20"/>
          <w:szCs w:val="20"/>
          <w:color w:val="auto"/>
        </w:rPr>
      </w:pPr>
      <w:r>
        <w:rPr>
          <w:rFonts w:ascii="Arial" w:cs="Arial" w:eastAsia="Arial" w:hAnsi="Arial"/>
          <w:sz w:val="14"/>
          <w:szCs w:val="14"/>
          <w:b w:val="1"/>
          <w:bCs w:val="1"/>
          <w:color w:val="auto"/>
        </w:rPr>
        <w:t>January 26, 2020</w:t>
      </w:r>
    </w:p>
    <w:p>
      <w:pPr>
        <w:spacing w:after="0" w:line="47" w:lineRule="exact"/>
        <w:rPr>
          <w:sz w:val="20"/>
          <w:szCs w:val="20"/>
          <w:color w:val="auto"/>
        </w:rPr>
      </w:pPr>
    </w:p>
    <w:p>
      <w:pPr>
        <w:ind w:left="1109" w:hanging="1109"/>
        <w:spacing w:after="0"/>
        <w:tabs>
          <w:tab w:leader="none" w:pos="1109" w:val="left"/>
        </w:tabs>
        <w:numPr>
          <w:ilvl w:val="0"/>
          <w:numId w:val="31"/>
        </w:numPr>
        <w:rPr>
          <w:rFonts w:ascii="Arial" w:cs="Arial" w:eastAsia="Arial" w:hAnsi="Arial"/>
          <w:sz w:val="16"/>
          <w:szCs w:val="16"/>
          <w:color w:val="auto"/>
        </w:rPr>
      </w:pPr>
      <w:r>
        <w:rPr>
          <w:rFonts w:ascii="Arial" w:cs="Arial" w:eastAsia="Arial" w:hAnsi="Arial"/>
          <w:sz w:val="16"/>
          <w:szCs w:val="16"/>
          <w:color w:val="auto"/>
        </w:rPr>
        <w:t>215</w:t>
      </w:r>
    </w:p>
    <w:p>
      <w:pPr>
        <w:spacing w:after="0" w:line="86" w:lineRule="exact"/>
        <w:rPr>
          <w:rFonts w:ascii="Arial" w:cs="Arial" w:eastAsia="Arial" w:hAnsi="Arial"/>
          <w:sz w:val="16"/>
          <w:szCs w:val="16"/>
          <w:color w:val="auto"/>
        </w:rPr>
      </w:pPr>
    </w:p>
    <w:p>
      <w:pPr>
        <w:ind w:left="1209"/>
        <w:spacing w:after="0"/>
        <w:rPr>
          <w:rFonts w:ascii="Arial" w:cs="Arial" w:eastAsia="Arial" w:hAnsi="Arial"/>
          <w:sz w:val="16"/>
          <w:szCs w:val="16"/>
          <w:color w:val="auto"/>
        </w:rPr>
      </w:pPr>
      <w:r>
        <w:rPr>
          <w:rFonts w:ascii="Arial" w:cs="Arial" w:eastAsia="Arial" w:hAnsi="Arial"/>
          <w:sz w:val="16"/>
          <w:szCs w:val="16"/>
          <w:color w:val="auto"/>
        </w:rPr>
        <w:t>65</w:t>
      </w:r>
    </w:p>
    <w:p>
      <w:pPr>
        <w:spacing w:after="0" w:line="86"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861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7" w:lineRule="exact"/>
        <w:rPr>
          <w:sz w:val="20"/>
          <w:szCs w:val="20"/>
          <w:color w:val="auto"/>
        </w:rPr>
      </w:pPr>
    </w:p>
    <w:p>
      <w:pPr>
        <w:ind w:left="1109" w:hanging="1109"/>
        <w:spacing w:after="0"/>
        <w:tabs>
          <w:tab w:leader="none" w:pos="11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86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9861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111" w:space="720"/>
            <w:col w:w="1589"/>
          </w:cols>
          <w:pgMar w:left="240" w:top="989" w:right="239" w:bottom="1440" w:gutter="0" w:footer="0" w:header="0"/>
        </w:sect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$660 million to $685 million. This estimate will be updated as costs for the expanded initiatives are developed.</w:t>
      </w:r>
    </w:p>
    <w:p>
      <w:pPr>
        <w:spacing w:after="0" w:line="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associated with continuing operations that have been identified to date to consist of the following: approximately $215 million to $220 million in severance pay and benefits; approximately $65 million in asset impairment and accelerated depreciation; and approximately $380 million to $400 million in implementation costs and other related costs. We expect these pre-tax costs to be associated with our segments as follows: Meals &amp; Beverages - approximately 33%; Snacks - approximately 42%; and Corporate - approximately 25%.</w:t>
      </w:r>
    </w:p>
    <w:p>
      <w:pPr>
        <w:spacing w:after="0" w:line="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$660 million to $685 million of pre-tax costs associated with continuing operations identified to date, we expect approximately $585 million to $610 million will be cash expenditures. In addition, we expect to invest approximately $395 million in capital expenditures through 2021, of which we invested approximately $300 million as of January 26, 2020. The capital expenditures primarily relate to the U.S. warehouse optimization project, implementation of an SAP enterprise-resource planning system for Snyder's-Lance, improvement of quality, safety and cost structure across the Snyder’s-Lance manufacturing network, optimization of information technology infrastructure and applications, transition of production of the Toronto manufacturing facility to our U.S. thermal plants, insourcing of manufacturing for certain simple meal products, and optimization of the Snyder’s-Lance warehouse and distribution network.</w:t>
      </w:r>
    </w:p>
    <w:p>
      <w:pPr>
        <w:spacing w:after="0" w:line="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to incur the costs for the actions associated with continuing operations that have been identified to date through 2021 and to fund the costs through cash flows from operations and short-term borrowings.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initiatives for actions associated with continuing operations that have been identified to date to generate pre-tax savings of $710 million in 2020, and once all phases are implemented, to generate annual ongoing savings of approximately $850 million by the end of 2022. In the six-month period ended January 26, 2020, we generated an additional $90 million of pre-tax savings. The annual pre-tax savings associated with continuing operations generated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7"/>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28, 2019</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30, 2017</w:t>
            </w:r>
          </w:p>
        </w:tc>
        <w:tc>
          <w:tcPr>
            <w:tcW w:w="18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August 2, 2015</w:t>
            </w:r>
          </w:p>
        </w:tc>
      </w:tr>
      <w:tr>
        <w:trPr>
          <w:trHeight w:val="24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savings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560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85</w:t>
            </w:r>
          </w:p>
        </w:tc>
      </w:tr>
      <w:tr>
        <w:trPr>
          <w:trHeight w:val="27"/>
        </w:trPr>
        <w:tc>
          <w:tcPr>
            <w:tcW w:w="4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initiatives for actions associated with discontinued operations generated pre-tax savings of over $90 million in 2019 and $60 million in 2018.</w:t>
      </w:r>
    </w:p>
    <w:p>
      <w:pPr>
        <w:spacing w:after="0" w:line="1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January 26, 2020</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00" w:type="dxa"/>
            <w:vAlign w:val="bottom"/>
          </w:tcPr>
          <w:p>
            <w:pPr>
              <w:spacing w:after="0"/>
              <w:rPr>
                <w:sz w:val="13"/>
                <w:szCs w:val="13"/>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Six Months</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Costs Incurred to Date</w:t>
            </w: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Snacks</w:t>
            </w:r>
          </w:p>
        </w:tc>
        <w:tc>
          <w:tcPr>
            <w:tcW w:w="100" w:type="dxa"/>
            <w:vAlign w:val="bottom"/>
          </w:tcPr>
          <w:p>
            <w:pPr>
              <w:spacing w:after="0"/>
              <w:rPr>
                <w:sz w:val="21"/>
                <w:szCs w:val="21"/>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7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64"/>
        </w:trPr>
        <w:tc>
          <w:tcPr>
            <w:tcW w:w="65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25, 2019, we sold our U.S. refrigerated soup business, and on April 25, 2019, we sold our Garden Fresh Gourmet business. Proceeds were $55 million, subject to customary purchase price adjustments. On June 16, 2019, we sold our Bolthouse Farms business. Proceeds were $500 million.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39" w:name="page40"/>
    <w:bookmarkEnd w:id="39"/>
    <w:p>
      <w:pPr>
        <w:jc w:val="both"/>
        <w:ind w:firstLine="324"/>
        <w:spacing w:after="0" w:line="257" w:lineRule="auto"/>
        <w:rPr>
          <w:sz w:val="20"/>
          <w:szCs w:val="20"/>
          <w:color w:val="auto"/>
        </w:rPr>
      </w:pPr>
      <w:r>
        <w:rPr>
          <w:rFonts w:ascii="Arial" w:cs="Arial" w:eastAsia="Arial" w:hAnsi="Arial"/>
          <w:sz w:val="18"/>
          <w:szCs w:val="18"/>
          <w:color w:val="auto"/>
        </w:rPr>
        <w:t>We completed the sale of our Kelsen business on September 23, 2019, for $322 million, subject to customary purchase price adjustments. We also completed the sale of the Arnott’s and other international operations on December 23, 2019, for $2.286 billion, subject to customary purchase price adjustments.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Campbell International</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Campbell Fresh</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Campbell International</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Campbell Fresh</w:t>
            </w:r>
          </w:p>
        </w:tc>
        <w:tc>
          <w:tcPr>
            <w:tcW w:w="0" w:type="dxa"/>
            <w:vAlign w:val="bottom"/>
          </w:tcPr>
          <w:p>
            <w:pPr>
              <w:spacing w:after="0"/>
              <w:rPr>
                <w:sz w:val="1"/>
                <w:szCs w:val="1"/>
                <w:color w:val="auto"/>
              </w:rPr>
            </w:pPr>
          </w:p>
        </w:tc>
      </w:tr>
      <w:tr>
        <w:trPr>
          <w:trHeight w:val="152"/>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3"/>
                <w:szCs w:val="13"/>
                <w:color w:val="auto"/>
              </w:rPr>
            </w:pPr>
          </w:p>
        </w:tc>
        <w:tc>
          <w:tcPr>
            <w:tcW w:w="96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8"/>
              </w:rPr>
              <w:t>January 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January 27,</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January 27,</w:t>
            </w:r>
          </w:p>
        </w:tc>
        <w:tc>
          <w:tcPr>
            <w:tcW w:w="140" w:type="dxa"/>
            <w:vAlign w:val="bottom"/>
          </w:tcPr>
          <w:p>
            <w:pPr>
              <w:spacing w:after="0"/>
              <w:rPr>
                <w:sz w:val="13"/>
                <w:szCs w:val="13"/>
                <w:color w:val="auto"/>
              </w:rPr>
            </w:pPr>
          </w:p>
        </w:tc>
        <w:tc>
          <w:tcPr>
            <w:tcW w:w="96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8"/>
              </w:rPr>
              <w:t>January 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January 27,</w:t>
            </w:r>
          </w:p>
        </w:tc>
        <w:tc>
          <w:tcPr>
            <w:tcW w:w="140" w:type="dxa"/>
            <w:vAlign w:val="bottom"/>
          </w:tcPr>
          <w:p>
            <w:pPr>
              <w:spacing w:after="0"/>
              <w:rPr>
                <w:sz w:val="13"/>
                <w:szCs w:val="13"/>
                <w:color w:val="auto"/>
              </w:rPr>
            </w:pPr>
          </w:p>
        </w:tc>
        <w:tc>
          <w:tcPr>
            <w:tcW w:w="96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5"/>
              </w:rPr>
              <w:t>January 27,</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BFE4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90"/>
        </w:trPr>
        <w:tc>
          <w:tcPr>
            <w:tcW w:w="4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BFE4FF"/>
          </w:tcPr>
          <w:p>
            <w:pPr>
              <w:jc w:val="right"/>
              <w:ind w:right="55"/>
              <w:spacing w:after="0"/>
              <w:rPr>
                <w:sz w:val="20"/>
                <w:szCs w:val="20"/>
                <w:color w:val="auto"/>
              </w:rPr>
            </w:pPr>
            <w:r>
              <w:rPr>
                <w:rFonts w:ascii="Arial" w:cs="Arial" w:eastAsia="Arial" w:hAnsi="Arial"/>
                <w:sz w:val="18"/>
                <w:szCs w:val="18"/>
                <w:b w:val="1"/>
                <w:bCs w:val="1"/>
                <w:color w:val="auto"/>
              </w:rPr>
              <w:t>136</w:t>
            </w:r>
          </w:p>
        </w:tc>
        <w:tc>
          <w:tcPr>
            <w:tcW w:w="260" w:type="dxa"/>
            <w:vAlign w:val="bottom"/>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BFE4FF"/>
          </w:tcPr>
          <w:p>
            <w:pPr>
              <w:jc w:val="right"/>
              <w:ind w:right="75"/>
              <w:spacing w:after="0"/>
              <w:rPr>
                <w:sz w:val="20"/>
                <w:szCs w:val="20"/>
                <w:color w:val="auto"/>
              </w:rPr>
            </w:pPr>
            <w:r>
              <w:rPr>
                <w:rFonts w:ascii="Arial" w:cs="Arial" w:eastAsia="Arial" w:hAnsi="Arial"/>
                <w:sz w:val="18"/>
                <w:szCs w:val="18"/>
                <w:b w:val="1"/>
                <w:bCs w:val="1"/>
                <w:color w:val="auto"/>
              </w:rPr>
              <w:t>359</w:t>
            </w:r>
          </w:p>
        </w:tc>
        <w:tc>
          <w:tcPr>
            <w:tcW w:w="260" w:type="dxa"/>
            <w:vAlign w:val="bottom"/>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428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Impairment charges</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BFE4FF"/>
            </w:tcBorders>
            <w:shd w:val="clear" w:color="auto" w:fill="BFE4FF"/>
          </w:tcPr>
          <w:p>
            <w:pPr>
              <w:jc w:val="right"/>
              <w:ind w:right="55"/>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BFE4FF"/>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BFE4FF"/>
            </w:tcBorders>
            <w:shd w:val="clear" w:color="auto" w:fill="BFE4FF"/>
          </w:tcPr>
          <w:p>
            <w:pPr>
              <w:jc w:val="right"/>
              <w:ind w:right="75"/>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BFE4FF"/>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Earnings (loss) before taxes from operations</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BFE4FF"/>
            </w:tcBorders>
            <w:shd w:val="clear" w:color="auto" w:fill="BFE4FF"/>
          </w:tcPr>
          <w:p>
            <w:pPr>
              <w:jc w:val="right"/>
              <w:ind w:right="55"/>
              <w:spacing w:after="0"/>
              <w:rPr>
                <w:sz w:val="20"/>
                <w:szCs w:val="20"/>
                <w:color w:val="auto"/>
              </w:rPr>
            </w:pPr>
            <w:r>
              <w:rPr>
                <w:rFonts w:ascii="Arial" w:cs="Arial" w:eastAsia="Arial" w:hAnsi="Arial"/>
                <w:sz w:val="18"/>
                <w:szCs w:val="18"/>
                <w:b w:val="1"/>
                <w:bCs w:val="1"/>
                <w:color w:val="auto"/>
              </w:rPr>
              <w:t>16</w:t>
            </w:r>
          </w:p>
        </w:tc>
        <w:tc>
          <w:tcPr>
            <w:tcW w:w="260" w:type="dxa"/>
            <w:vAlign w:val="bottom"/>
            <w:tcBorders>
              <w:bottom w:val="single" w:sz="8" w:color="BFE4FF"/>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BFE4FF"/>
            </w:tcBorders>
            <w:shd w:val="clear" w:color="auto" w:fill="BFE4FF"/>
          </w:tcPr>
          <w:p>
            <w:pPr>
              <w:jc w:val="right"/>
              <w:ind w:right="75"/>
              <w:spacing w:after="0"/>
              <w:rPr>
                <w:sz w:val="20"/>
                <w:szCs w:val="20"/>
                <w:color w:val="auto"/>
              </w:rPr>
            </w:pPr>
            <w:r>
              <w:rPr>
                <w:rFonts w:ascii="Arial" w:cs="Arial" w:eastAsia="Arial" w:hAnsi="Arial"/>
                <w:sz w:val="18"/>
                <w:szCs w:val="18"/>
                <w:b w:val="1"/>
                <w:bCs w:val="1"/>
                <w:color w:val="auto"/>
              </w:rPr>
              <w:t>53</w:t>
            </w:r>
          </w:p>
        </w:tc>
        <w:tc>
          <w:tcPr>
            <w:tcW w:w="260" w:type="dxa"/>
            <w:vAlign w:val="bottom"/>
            <w:tcBorders>
              <w:bottom w:val="single" w:sz="8" w:color="BFE4FF"/>
            </w:tcBorders>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Taxes on earnings (loss) from operations</w:t>
            </w:r>
          </w:p>
        </w:tc>
        <w:tc>
          <w:tcPr>
            <w:tcW w:w="14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BFE4FF"/>
          </w:tcPr>
          <w:p>
            <w:pPr>
              <w:ind w:left="20"/>
              <w:spacing w:after="0"/>
              <w:rPr>
                <w:sz w:val="20"/>
                <w:szCs w:val="20"/>
                <w:color w:val="auto"/>
              </w:rPr>
            </w:pPr>
            <w:r>
              <w:rPr>
                <w:rFonts w:ascii="Arial" w:cs="Arial" w:eastAsia="Arial" w:hAnsi="Arial"/>
                <w:sz w:val="18"/>
                <w:szCs w:val="18"/>
                <w:color w:val="auto"/>
                <w:w w:val="98"/>
              </w:rPr>
              <w:t>Gain (loss) on sale of business / costs associated with</w:t>
            </w:r>
          </w:p>
        </w:tc>
        <w:tc>
          <w:tcPr>
            <w:tcW w:w="140" w:type="dxa"/>
            <w:vAlign w:val="bottom"/>
            <w:shd w:val="clear" w:color="auto" w:fill="BFE4FF"/>
          </w:tcPr>
          <w:p>
            <w:pPr>
              <w:spacing w:after="0"/>
              <w:rPr>
                <w:sz w:val="19"/>
                <w:szCs w:val="19"/>
                <w:color w:val="auto"/>
              </w:rPr>
            </w:pPr>
          </w:p>
        </w:tc>
        <w:tc>
          <w:tcPr>
            <w:tcW w:w="960" w:type="dxa"/>
            <w:vAlign w:val="bottom"/>
            <w:vMerge w:val="restart"/>
            <w:shd w:val="clear" w:color="auto" w:fill="BFE4FF"/>
          </w:tcPr>
          <w:p>
            <w:pPr>
              <w:jc w:val="right"/>
              <w:ind w:right="55"/>
              <w:spacing w:after="0"/>
              <w:rPr>
                <w:sz w:val="20"/>
                <w:szCs w:val="20"/>
                <w:color w:val="auto"/>
              </w:rPr>
            </w:pPr>
            <w:r>
              <w:rPr>
                <w:rFonts w:ascii="Arial" w:cs="Arial" w:eastAsia="Arial" w:hAnsi="Arial"/>
                <w:sz w:val="18"/>
                <w:szCs w:val="18"/>
                <w:b w:val="1"/>
                <w:bCs w:val="1"/>
                <w:color w:val="auto"/>
              </w:rPr>
              <w:t>1,087</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60" w:type="dxa"/>
            <w:vAlign w:val="bottom"/>
            <w:vMerge w:val="restart"/>
            <w:shd w:val="clear" w:color="auto" w:fill="BFE4FF"/>
          </w:tcPr>
          <w:p>
            <w:pPr>
              <w:jc w:val="right"/>
              <w:ind w:right="75"/>
              <w:spacing w:after="0"/>
              <w:rPr>
                <w:sz w:val="20"/>
                <w:szCs w:val="20"/>
                <w:color w:val="auto"/>
              </w:rPr>
            </w:pPr>
            <w:r>
              <w:rPr>
                <w:rFonts w:ascii="Arial" w:cs="Arial" w:eastAsia="Arial" w:hAnsi="Arial"/>
                <w:sz w:val="18"/>
                <w:szCs w:val="18"/>
                <w:b w:val="1"/>
                <w:bCs w:val="1"/>
                <w:color w:val="auto"/>
              </w:rPr>
              <w:t>1,036</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selling the businesses</w:t>
            </w:r>
          </w:p>
        </w:tc>
        <w:tc>
          <w:tcPr>
            <w:tcW w:w="14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vMerge w:val="continue"/>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vMerge w:val="continue"/>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Tax expense (benefit) on sale / costs associated with</w:t>
            </w:r>
          </w:p>
        </w:tc>
        <w:tc>
          <w:tcPr>
            <w:tcW w:w="140" w:type="dxa"/>
            <w:vAlign w:val="bottom"/>
          </w:tcPr>
          <w:p>
            <w:pPr>
              <w:spacing w:after="0"/>
              <w:rPr>
                <w:sz w:val="19"/>
                <w:szCs w:val="19"/>
                <w:color w:val="auto"/>
              </w:rPr>
            </w:pPr>
          </w:p>
        </w:tc>
        <w:tc>
          <w:tcPr>
            <w:tcW w:w="96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selling the businesses</w:t>
            </w: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80" w:type="dxa"/>
            <w:vAlign w:val="bottom"/>
            <w:shd w:val="clear" w:color="auto" w:fill="BFE4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BFE4FF"/>
          </w:tcPr>
          <w:p>
            <w:pPr>
              <w:jc w:val="right"/>
              <w:ind w:right="55"/>
              <w:spacing w:after="0"/>
              <w:rPr>
                <w:sz w:val="20"/>
                <w:szCs w:val="20"/>
                <w:color w:val="auto"/>
              </w:rPr>
            </w:pPr>
            <w:r>
              <w:rPr>
                <w:rFonts w:ascii="Arial" w:cs="Arial" w:eastAsia="Arial" w:hAnsi="Arial"/>
                <w:sz w:val="18"/>
                <w:szCs w:val="18"/>
                <w:b w:val="1"/>
                <w:bCs w:val="1"/>
                <w:color w:val="auto"/>
              </w:rPr>
              <w:t>1,037</w:t>
            </w:r>
          </w:p>
        </w:tc>
        <w:tc>
          <w:tcPr>
            <w:tcW w:w="260" w:type="dxa"/>
            <w:vAlign w:val="bottom"/>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39</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BFE4FF"/>
          </w:tcPr>
          <w:p>
            <w:pPr>
              <w:jc w:val="right"/>
              <w:ind w:right="75"/>
              <w:spacing w:after="0"/>
              <w:rPr>
                <w:sz w:val="20"/>
                <w:szCs w:val="20"/>
                <w:color w:val="auto"/>
              </w:rPr>
            </w:pPr>
            <w:r>
              <w:rPr>
                <w:rFonts w:ascii="Arial" w:cs="Arial" w:eastAsia="Arial" w:hAnsi="Arial"/>
                <w:sz w:val="18"/>
                <w:szCs w:val="18"/>
                <w:b w:val="1"/>
                <w:bCs w:val="1"/>
                <w:color w:val="auto"/>
              </w:rPr>
              <w:t>1,034</w:t>
            </w:r>
          </w:p>
        </w:tc>
        <w:tc>
          <w:tcPr>
            <w:tcW w:w="260" w:type="dxa"/>
            <w:vAlign w:val="bottom"/>
            <w:gridSpan w:val="2"/>
            <w:shd w:val="clear" w:color="auto" w:fill="BFE4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63</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FE4FF"/>
          </w:tcPr>
          <w:p>
            <w:pPr>
              <w:jc w:val="right"/>
              <w:ind w:right="14"/>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428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Campbell International sales and earnings from operations decreased reflecting the sales of the businesses.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sale of the Arnott's and other international operations resulted in a substantial capital gain for tax purposes. We were able to utilize capital losses, which were offset with valuation allowances as of July 28, 2019, to offset the capital gain.</w:t>
      </w:r>
    </w:p>
    <w:p>
      <w:pPr>
        <w:spacing w:after="0" w:line="4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the second quarter of 2019, we recorded impairment charges of $346 million ($264 million after tax, or $.87 per share) on the reporting units in Campbell Fresh. Year-to-date in 2019, we recorded non-cash impairment charges of $360 million ($275 million after tax, or $.91 per share). See "Overview" for additional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6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completed the sale of our Kelsen business on September 23, 2019, for $322 million, subject to customary purchase price adjustments. On September 30, 2019, we repaid $399 million of our single draw 3-year senior unsecured term loan facility using net proceeds from the Kelsen sale and the issuance of commercial paper. In addition, on October 11, 2019, we completed the sale of our European chips business for £63 million, or $77 million.</w:t>
      </w:r>
    </w:p>
    <w:p>
      <w:pPr>
        <w:spacing w:after="0" w:line="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completed the sale of the Arnott’s and other international operations on December 23, 2019, for $2.286 billion, subject to customary purchase price adjustments. We used the net proceeds from the sale to reduce our debt through a series of actions. On December 31, 2019, we repaid the $100 million outstanding balance on our senior unsecured term loan facility. On January 22, 2020, we completed the redemption of all $500 million outstanding aggregate principal amount of our 4.25% Senior Notes due 2021. On January 24, 2020, we settled the tender offers to purchase $1.200 billion in aggregate principal amount of certain unsecured debt, comprised of $329 million of 3.30% Senior Notes due 2021, $634 million of 3.65% Senior Notes due 2023, and $237 million of 3.80% Senior Notes due 2042. The total consideration for the redemption and the tender offers was $1.765 billion and the total carrying amount of the purchased notes was $1.691 billion, resulting in a loss of $75 million (including $65 million of premium, as well as accrued fees and other costs associated with the tender offers) which was recorded in Interest expense in the Consolidated Statement of Earnings. In addition, we paid accrued and unpaid interest on the purchased notes through the dates of settlement. The net divestiture proceeds remaining after these debt reduction activities were used to reduce commercial paper borrowings. See Note 12 to the Consolidated Financial Statements for additional information.</w:t>
      </w:r>
    </w:p>
    <w:p>
      <w:pPr>
        <w:spacing w:after="0" w:line="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$663 million in 2020, compared to $846 million in 2019. The decline in 2020 was primarily due to changes in accrued liabilities, principally incentive compensation and interest.</w:t>
      </w:r>
    </w:p>
    <w:p>
      <w:pPr>
        <w:sectPr>
          <w:pgSz w:w="11900" w:h="16838" w:orient="portrait"/>
          <w:cols w:equalWidth="0" w:num="1">
            <w:col w:w="11420"/>
          </w:cols>
          <w:pgMar w:left="240" w:top="9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40" w:name="page41"/>
    <w:bookmarkEnd w:id="40"/>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while extending payment terms for accounts payables. We had negative working capital of $980 million as of January 26, 2020, and $1.418 billion as of July 28, 2019. Total debt maturing within one year was $902 million as of January 26, 2020, and $1.603 billion as of July 28, 2019.</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Capital expenditures were $167 million in 2020 and $198 million in 2019. Capital expenditures are expected to total approximately $350 million in 2020. Major capital projects for 2020 include the implementation of an SAP enterprise-resource planning system for Snyder's-Lance, a </w:t>
      </w:r>
      <w:r>
        <w:rPr>
          <w:rFonts w:ascii="Arial" w:cs="Arial" w:eastAsia="Arial" w:hAnsi="Arial"/>
          <w:sz w:val="18"/>
          <w:szCs w:val="18"/>
          <w:i w:val="1"/>
          <w:iCs w:val="1"/>
          <w:color w:val="auto"/>
        </w:rPr>
        <w:t>Milano</w:t>
      </w:r>
      <w:r>
        <w:rPr>
          <w:rFonts w:ascii="Arial" w:cs="Arial" w:eastAsia="Arial" w:hAnsi="Arial"/>
          <w:sz w:val="18"/>
          <w:szCs w:val="18"/>
          <w:color w:val="auto"/>
        </w:rPr>
        <w:t xml:space="preserve"> cookie capacity expansion project, a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 capacity expansion project and chip capacity expansion projects.</w:t>
      </w:r>
    </w:p>
    <w:p>
      <w:pPr>
        <w:spacing w:after="0" w:line="6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30, 2018, we purchased the remaining ownership interest in Yellow Chips Holdings B.V. (Yellow Chips), and began consolidating the business. The purchase price was $18 million. Yellow Chips was included in the sale of our European chips business.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 payments were $213 million in 2020 and $212 million in 2019.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suspended our share repurchases as of the second quarter of 2018. See Note 16 to the Consolidated Financial Statements for additional information.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August 2019, we repaid and terminated the AUD $335 million, or $227 million, balance outstanding under our single-draw syndicated facility. The repayment was funded through the issuance of commercial paper.</w:t>
      </w:r>
    </w:p>
    <w:p>
      <w:pPr>
        <w:spacing w:after="0" w:line="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January 26, 2020, we had $902 million of short-term borrowings due within one year, of which $401 million was comprised of commercial paper borrowings. As of January 26, 2020, we issued $40 million of standby letters of credit. We have a committed revolving credit facility totaling $1.85 billion that matures in December 2021. This U.S. facility remained unused at January 26, 2020, except for $1 million of standby letters of credit that we issued under it. The U.S. facility supports our commercial paper programs and other general corporate purposes. We expect to continue to access the commercial paper markets, bank credit lines and utilize cash flows from operations to support our short-term liquidity requirements.</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28, 2019 (2019 Annual Report on Form 10-K). The accounting policies we used in preparing these financial statements are substantially consistent with those we applied in our 2019 Annual Report on Form 10-K, with the exception of the adoption of revised guidance on leases as described in Notes 2 and 11 to the Consolidated Financial Statements. Our significant accounting estimates are described in Management’s Discussion and Analysis included in the 2019 Annual Report on Form 10-K.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2019 Annual Report on Form 10-K, could affect our actual results and could cause such results to vary materially from those expressed in any forward-looking statements made by, or on behalf of, us: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41" w:name="page42"/>
    <w:bookmarkEnd w:id="41"/>
    <w:p>
      <w:pPr>
        <w:ind w:left="660" w:right="3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maintaining our market share position in soup;</w:t>
      </w:r>
    </w:p>
    <w:p>
      <w:pPr>
        <w:spacing w:after="0" w:line="35"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103"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to our supply chain and/or operations, including from the recent coronavirus outbreak as well as fluctuations in the supply of and inflation in energy and raw and packaging materials cost;</w:t>
      </w:r>
    </w:p>
    <w:p>
      <w:pPr>
        <w:spacing w:after="0" w:line="48"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0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48"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pandemics or other calamities.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2019 Annual Report on Form 10-K. There have been no significant changes in our portfolio of financial instruments or market risk exposures from the 2019 year-end.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January 26, 2020 (Evaluation Date). Based on such evaluation, the President and Chief Executive Officer and the Executive Vice President and Chief Financial Officer have concluded that, as of the Evaluation Date, our disclosure controls and procedures are effective.</w:t>
      </w:r>
    </w:p>
    <w:p>
      <w:pPr>
        <w:sectPr>
          <w:pgSz w:w="11900" w:h="16838" w:orient="portrait"/>
          <w:cols w:equalWidth="0" w:num="1">
            <w:col w:w="11420"/>
          </w:cols>
          <w:pgMar w:left="240" w:top="9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42" w:name="page43"/>
    <w:bookmarkEnd w:id="42"/>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January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18 to the Consolidated Financial Statements and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disclosure modifies the discussion of risks and uncertainties previously disclosed in our Annual Report on Form 10-K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July 28, 2019. These risks and uncertainties, along with those previously disclosed, could materially adversely affect our business or financial results.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risks and uncertainties that are not presently known to us or that we deem immaterial may also impair our business or financial results.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 Factor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 to our supply chain could adversely affect our business</w:t>
      </w:r>
    </w:p>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are beyond our control, such as product or raw material scarcity, adverse weather conditions, natural disasters, fire, terrorism, pandemics, strikes, cybersecurity breaches, government shutdowns, disruptions in logistics, supplier capacity constraints or other events.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contract manufacturers, logistics service providers or independent distributors, including disputes regarding pricing or performance, may also adversely affect our ability to manufacture and/or sell our products, as well as our business or financial results.</w:t>
      </w:r>
    </w:p>
    <w:p>
      <w:pPr>
        <w:spacing w:after="0" w:line="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actively monitoring the recent coronavirus outbreak and its potential impact on our supply chain and operations. Although our products are manufactured in North America and we source the significant majority of our ingredients and raw materials from North America, due to current and potential future port closures and other restrictions resulting from the outbreak, global supply may become constrained, which may cause the price of certain ingredients and raw materials used in our products to increase and/or we may experience disruptions to our operations. While we do not expect that the virus will have a material adverse effect on our business or financial results at this time, we are unable to accurately predict the impact that the coronavirus will have due to various uncertainties, including the ultimate geographic spread of the virus, the severity of the disease, the duration of the outbreak, and actions that may be taken by governmental authorities.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520" w:type="dxa"/>
            <w:vAlign w:val="bottom"/>
            <w:gridSpan w:val="6"/>
          </w:tcPr>
          <w:p>
            <w:pPr>
              <w:ind w:left="114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24"/>
        </w:trPr>
        <w:tc>
          <w:tcPr>
            <w:tcW w:w="4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p>
        </w:tc>
        <w:tc>
          <w:tcPr>
            <w:tcW w:w="480" w:type="dxa"/>
            <w:vAlign w:val="bottom"/>
          </w:tcPr>
          <w:p>
            <w:pPr>
              <w:spacing w:after="0"/>
              <w:rPr>
                <w:sz w:val="24"/>
                <w:szCs w:val="24"/>
                <w:color w:val="auto"/>
              </w:rPr>
            </w:pPr>
          </w:p>
        </w:tc>
        <w:tc>
          <w:tcPr>
            <w:tcW w:w="10300" w:type="dxa"/>
            <w:vAlign w:val="bottom"/>
            <w:gridSpan w:val="8"/>
          </w:tcPr>
          <w:p>
            <w:pPr>
              <w:ind w:left="220"/>
              <w:spacing w:after="0"/>
              <w:rPr>
                <w:rFonts w:ascii="Arial" w:cs="Arial" w:eastAsia="Arial" w:hAnsi="Arial"/>
                <w:sz w:val="18"/>
                <w:szCs w:val="18"/>
                <w:color w:val="0000FF"/>
              </w:rPr>
            </w:pPr>
            <w:hyperlink w:anchor="page47">
              <w:r>
                <w:rPr>
                  <w:rFonts w:ascii="Arial" w:cs="Arial" w:eastAsia="Arial" w:hAnsi="Arial"/>
                  <w:sz w:val="18"/>
                  <w:szCs w:val="18"/>
                  <w:color w:val="0000FF"/>
                </w:rPr>
                <w:t>2020 Non-Employee Director Fees.</w:t>
              </w:r>
            </w:hyperlink>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sz w:val="20"/>
                <w:szCs w:val="20"/>
                <w:color w:val="auto"/>
              </w:rPr>
            </w:pPr>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Borders>
              <w:bottom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20" w:type="dxa"/>
            <w:vAlign w:val="bottom"/>
            <w:tcBorders>
              <w:bottom w:val="single" w:sz="8" w:color="0000FF"/>
            </w:tcBorders>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300" w:type="dxa"/>
            <w:vAlign w:val="bottom"/>
            <w:gridSpan w:val="8"/>
          </w:tcPr>
          <w:p>
            <w:pPr>
              <w:ind w:left="220"/>
              <w:spacing w:after="0"/>
              <w:rPr>
                <w:rFonts w:ascii="Arial" w:cs="Arial" w:eastAsia="Arial" w:hAnsi="Arial"/>
                <w:sz w:val="18"/>
                <w:szCs w:val="18"/>
                <w:color w:val="0000FF"/>
              </w:rPr>
            </w:pPr>
            <w:hyperlink w:anchor="page48">
              <w:r>
                <w:rPr>
                  <w:rFonts w:ascii="Arial" w:cs="Arial" w:eastAsia="Arial" w:hAnsi="Arial"/>
                  <w:sz w:val="18"/>
                  <w:szCs w:val="18"/>
                  <w:color w:val="0000FF"/>
                </w:rPr>
                <w:t>Severance Agreement dated November 20, 2019 between Anthony P. DiSilvestro and Campbell Soup Company.</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2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3040" w:type="dxa"/>
            <w:vAlign w:val="bottom"/>
            <w:tcBorders>
              <w:bottom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 w:type="dxa"/>
            <w:vAlign w:val="bottom"/>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Mark A. Clouse pursuant to Rule 13a-14(a).</w:t>
              </w:r>
            </w:hyperlink>
          </w:p>
        </w:tc>
        <w:tc>
          <w:tcPr>
            <w:tcW w:w="0" w:type="dxa"/>
            <w:vAlign w:val="bottom"/>
          </w:tcPr>
          <w:p>
            <w:pPr>
              <w:spacing w:after="0"/>
              <w:rPr>
                <w:sz w:val="1"/>
                <w:szCs w:val="1"/>
                <w:color w:val="auto"/>
              </w:rPr>
            </w:pPr>
          </w:p>
        </w:tc>
      </w:tr>
      <w:tr>
        <w:trPr>
          <w:trHeight w:val="20"/>
        </w:trPr>
        <w:tc>
          <w:tcPr>
            <w:tcW w:w="3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20" w:type="dxa"/>
            <w:vAlign w:val="bottom"/>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of Mick Beekhuizen pursuant to Rule 13a-14(a).</w:t>
              </w:r>
            </w:hyperlink>
          </w:p>
        </w:tc>
        <w:tc>
          <w:tcPr>
            <w:tcW w:w="0" w:type="dxa"/>
            <w:vAlign w:val="bottom"/>
          </w:tcPr>
          <w:p>
            <w:pPr>
              <w:spacing w:after="0"/>
              <w:rPr>
                <w:sz w:val="1"/>
                <w:szCs w:val="1"/>
                <w:color w:val="auto"/>
              </w:rPr>
            </w:pPr>
          </w:p>
        </w:tc>
      </w:tr>
      <w:tr>
        <w:trPr>
          <w:trHeight w:val="20"/>
        </w:trPr>
        <w:tc>
          <w:tcPr>
            <w:tcW w:w="3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20" w:type="dxa"/>
            <w:vAlign w:val="bottom"/>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of Mark A. Clouse pursuant to 18 U.S.C. Section 1350.</w:t>
              </w:r>
            </w:hyperlink>
          </w:p>
        </w:tc>
        <w:tc>
          <w:tcPr>
            <w:tcW w:w="0" w:type="dxa"/>
            <w:vAlign w:val="bottom"/>
          </w:tcPr>
          <w:p>
            <w:pPr>
              <w:spacing w:after="0"/>
              <w:rPr>
                <w:sz w:val="1"/>
                <w:szCs w:val="1"/>
                <w:color w:val="auto"/>
              </w:rPr>
            </w:pPr>
          </w:p>
        </w:tc>
      </w:tr>
      <w:tr>
        <w:trPr>
          <w:trHeight w:val="20"/>
        </w:trPr>
        <w:tc>
          <w:tcPr>
            <w:tcW w:w="3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20" w:type="dxa"/>
            <w:vAlign w:val="bottom"/>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Certification of Mick Beekhuizen pursuant to 18 U.S.C. Section 1350.</w:t>
              </w:r>
            </w:hyperlink>
          </w:p>
        </w:tc>
        <w:tc>
          <w:tcPr>
            <w:tcW w:w="0" w:type="dxa"/>
            <w:vAlign w:val="bottom"/>
          </w:tcPr>
          <w:p>
            <w:pPr>
              <w:spacing w:after="0"/>
              <w:rPr>
                <w:sz w:val="1"/>
                <w:szCs w:val="1"/>
                <w:color w:val="auto"/>
              </w:rPr>
            </w:pPr>
          </w:p>
        </w:tc>
      </w:tr>
      <w:tr>
        <w:trPr>
          <w:trHeight w:val="27"/>
        </w:trPr>
        <w:tc>
          <w:tcPr>
            <w:tcW w:w="3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7"/>
        </w:trPr>
        <w:tc>
          <w:tcPr>
            <w:tcW w:w="9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8"/>
          </w:tcPr>
          <w:p>
            <w:pPr>
              <w:ind w:left="220"/>
              <w:spacing w:after="0"/>
              <w:rPr>
                <w:sz w:val="20"/>
                <w:szCs w:val="20"/>
                <w:color w:val="auto"/>
              </w:rPr>
            </w:pPr>
            <w:r>
              <w:rPr>
                <w:rFonts w:ascii="Arial" w:cs="Arial" w:eastAsia="Arial" w:hAnsi="Arial"/>
                <w:sz w:val="18"/>
                <w:szCs w:val="18"/>
                <w:color w:val="auto"/>
                <w:w w:val="90"/>
              </w:rPr>
              <w:t>Inline XBRL Instance Document - the instance document does not appear on the Interactive Data File because its XBRL tags are embedded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300" w:type="dxa"/>
            <w:vAlign w:val="bottom"/>
            <w:gridSpan w:val="8"/>
          </w:tcPr>
          <w:p>
            <w:pPr>
              <w:ind w:left="2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65"/>
        </w:trPr>
        <w:tc>
          <w:tcPr>
            <w:tcW w:w="9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8"/>
          </w:tcPr>
          <w:p>
            <w:pPr>
              <w:ind w:left="220"/>
              <w:spacing w:after="0"/>
              <w:rPr>
                <w:sz w:val="20"/>
                <w:szCs w:val="20"/>
                <w:color w:val="auto"/>
              </w:rPr>
            </w:pPr>
            <w:r>
              <w:rPr>
                <w:rFonts w:ascii="Arial" w:cs="Arial" w:eastAsia="Arial" w:hAnsi="Arial"/>
                <w:sz w:val="18"/>
                <w:szCs w:val="18"/>
                <w:color w:val="auto"/>
              </w:rPr>
              <w:t>Inline XBRL Extension Schema Document.</w:t>
            </w:r>
          </w:p>
        </w:tc>
        <w:tc>
          <w:tcPr>
            <w:tcW w:w="0" w:type="dxa"/>
            <w:vAlign w:val="bottom"/>
          </w:tcPr>
          <w:p>
            <w:pPr>
              <w:spacing w:after="0"/>
              <w:rPr>
                <w:sz w:val="1"/>
                <w:szCs w:val="1"/>
                <w:color w:val="auto"/>
              </w:rPr>
            </w:pPr>
          </w:p>
        </w:tc>
      </w:tr>
      <w:tr>
        <w:trPr>
          <w:trHeight w:val="365"/>
        </w:trPr>
        <w:tc>
          <w:tcPr>
            <w:tcW w:w="9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8"/>
          </w:tcPr>
          <w:p>
            <w:pPr>
              <w:ind w:left="220"/>
              <w:spacing w:after="0"/>
              <w:rPr>
                <w:sz w:val="20"/>
                <w:szCs w:val="20"/>
                <w:color w:val="auto"/>
              </w:rPr>
            </w:pPr>
            <w:r>
              <w:rPr>
                <w:rFonts w:ascii="Arial" w:cs="Arial" w:eastAsia="Arial" w:hAnsi="Arial"/>
                <w:sz w:val="18"/>
                <w:szCs w:val="18"/>
                <w:color w:val="auto"/>
              </w:rPr>
              <w:t>Inline XBRL Extension Calculation Linkbase Document.</w:t>
            </w:r>
          </w:p>
        </w:tc>
        <w:tc>
          <w:tcPr>
            <w:tcW w:w="0" w:type="dxa"/>
            <w:vAlign w:val="bottom"/>
          </w:tcPr>
          <w:p>
            <w:pPr>
              <w:spacing w:after="0"/>
              <w:rPr>
                <w:sz w:val="1"/>
                <w:szCs w:val="1"/>
                <w:color w:val="auto"/>
              </w:rPr>
            </w:pPr>
          </w:p>
        </w:tc>
      </w:tr>
      <w:tr>
        <w:trPr>
          <w:trHeight w:val="365"/>
        </w:trPr>
        <w:tc>
          <w:tcPr>
            <w:tcW w:w="9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8"/>
          </w:tcPr>
          <w:p>
            <w:pPr>
              <w:ind w:left="220"/>
              <w:spacing w:after="0"/>
              <w:rPr>
                <w:sz w:val="20"/>
                <w:szCs w:val="20"/>
                <w:color w:val="auto"/>
              </w:rPr>
            </w:pPr>
            <w:r>
              <w:rPr>
                <w:rFonts w:ascii="Arial" w:cs="Arial" w:eastAsia="Arial" w:hAnsi="Arial"/>
                <w:sz w:val="18"/>
                <w:szCs w:val="18"/>
                <w:color w:val="auto"/>
              </w:rPr>
              <w:t>Inline XBRL Extension Definition Linkbase Document.</w:t>
            </w:r>
          </w:p>
        </w:tc>
        <w:tc>
          <w:tcPr>
            <w:tcW w:w="0" w:type="dxa"/>
            <w:vAlign w:val="bottom"/>
          </w:tcPr>
          <w:p>
            <w:pPr>
              <w:spacing w:after="0"/>
              <w:rPr>
                <w:sz w:val="1"/>
                <w:szCs w:val="1"/>
                <w:color w:val="auto"/>
              </w:rPr>
            </w:pPr>
          </w:p>
        </w:tc>
      </w:tr>
      <w:tr>
        <w:trPr>
          <w:trHeight w:val="365"/>
        </w:trPr>
        <w:tc>
          <w:tcPr>
            <w:tcW w:w="9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8"/>
          </w:tcPr>
          <w:p>
            <w:pPr>
              <w:ind w:left="220"/>
              <w:spacing w:after="0"/>
              <w:rPr>
                <w:sz w:val="20"/>
                <w:szCs w:val="20"/>
                <w:color w:val="auto"/>
              </w:rPr>
            </w:pPr>
            <w:r>
              <w:rPr>
                <w:rFonts w:ascii="Arial" w:cs="Arial" w:eastAsia="Arial" w:hAnsi="Arial"/>
                <w:sz w:val="18"/>
                <w:szCs w:val="18"/>
                <w:color w:val="auto"/>
              </w:rPr>
              <w:t>Inline XBRL Extension Label Linkbase Document.</w:t>
            </w:r>
          </w:p>
        </w:tc>
        <w:tc>
          <w:tcPr>
            <w:tcW w:w="0" w:type="dxa"/>
            <w:vAlign w:val="bottom"/>
          </w:tcPr>
          <w:p>
            <w:pPr>
              <w:spacing w:after="0"/>
              <w:rPr>
                <w:sz w:val="1"/>
                <w:szCs w:val="1"/>
                <w:color w:val="auto"/>
              </w:rPr>
            </w:pPr>
          </w:p>
        </w:tc>
      </w:tr>
      <w:tr>
        <w:trPr>
          <w:trHeight w:val="365"/>
        </w:trPr>
        <w:tc>
          <w:tcPr>
            <w:tcW w:w="9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8"/>
          </w:tcPr>
          <w:p>
            <w:pPr>
              <w:ind w:left="220"/>
              <w:spacing w:after="0"/>
              <w:rPr>
                <w:sz w:val="20"/>
                <w:szCs w:val="20"/>
                <w:color w:val="auto"/>
              </w:rPr>
            </w:pPr>
            <w:r>
              <w:rPr>
                <w:rFonts w:ascii="Arial" w:cs="Arial" w:eastAsia="Arial" w:hAnsi="Arial"/>
                <w:sz w:val="18"/>
                <w:szCs w:val="18"/>
                <w:color w:val="auto"/>
              </w:rPr>
              <w:t>Inline XBRL Extension Presentation Linkbase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right="2060" w:firstLine="26"/>
        <w:spacing w:after="0" w:line="309" w:lineRule="auto"/>
        <w:tabs>
          <w:tab w:leader="none" w:pos="11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(included in Exhibit 101). *This exhibit is a management contract or compensatory plan or arrangement.</w:t>
      </w: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60" w:top="895" w:right="41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pacing w:after="0" w:line="59"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CAMPBELL SOUP COMPANY</w:t>
      </w:r>
    </w:p>
    <w:p>
      <w:pPr>
        <w:spacing w:after="0" w:line="28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32156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Mick Beekhuizen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and Chief Financial Officer</w:t>
      </w:r>
    </w:p>
    <w:p>
      <w:pPr>
        <w:spacing w:after="0" w:line="27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32156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891" w:right="31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CAMPBELL SOUP COMPANY</w:t>
      </w:r>
    </w:p>
    <w:p>
      <w:pPr>
        <w:spacing w:after="0" w:line="243" w:lineRule="exact"/>
        <w:rPr>
          <w:sz w:val="20"/>
          <w:szCs w:val="20"/>
          <w:color w:val="auto"/>
        </w:rPr>
      </w:pPr>
    </w:p>
    <w:p>
      <w:pPr>
        <w:ind w:left="3280"/>
        <w:spacing w:after="0"/>
        <w:rPr>
          <w:sz w:val="20"/>
          <w:szCs w:val="20"/>
          <w:color w:val="auto"/>
        </w:rPr>
      </w:pPr>
      <w:r>
        <w:rPr>
          <w:rFonts w:ascii="Arial" w:cs="Arial" w:eastAsia="Arial" w:hAnsi="Arial"/>
          <w:sz w:val="20"/>
          <w:szCs w:val="20"/>
          <w:b w:val="1"/>
          <w:bCs w:val="1"/>
          <w:u w:val="single" w:color="auto"/>
          <w:color w:val="auto"/>
        </w:rPr>
        <w:t>Non-Employee Director Compensation for Calendar 2020</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and Committee Retainer for Calendar 2020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$119,000 shall be paid in cash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$137,000 shall be paid in shares of Campbell stock</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Retainers for Board Chair, Committee Chairs and Audit Committee Members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Board and Committee retainer, the following amounts shall be paid 50% in cash and 50% in shares of Campbell stock:</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1200" w:type="dxa"/>
            <w:vAlign w:val="bottom"/>
          </w:tcPr>
          <w:p>
            <w:pPr>
              <w:spacing w:after="0"/>
              <w:rPr>
                <w:sz w:val="20"/>
                <w:szCs w:val="20"/>
                <w:color w:val="auto"/>
              </w:rPr>
            </w:pPr>
            <w:r>
              <w:rPr>
                <w:rFonts w:ascii="Arial" w:cs="Arial" w:eastAsia="Arial" w:hAnsi="Arial"/>
                <w:sz w:val="20"/>
                <w:szCs w:val="20"/>
                <w:color w:val="auto"/>
              </w:rPr>
              <w:t>$350,000</w:t>
            </w:r>
          </w:p>
        </w:tc>
        <w:tc>
          <w:tcPr>
            <w:tcW w:w="5720" w:type="dxa"/>
            <w:vAlign w:val="bottom"/>
          </w:tcPr>
          <w:p>
            <w:pPr>
              <w:ind w:left="440"/>
              <w:spacing w:after="0"/>
              <w:rPr>
                <w:sz w:val="20"/>
                <w:szCs w:val="20"/>
                <w:color w:val="auto"/>
              </w:rPr>
            </w:pPr>
            <w:r>
              <w:rPr>
                <w:rFonts w:ascii="Arial" w:cs="Arial" w:eastAsia="Arial" w:hAnsi="Arial"/>
                <w:sz w:val="20"/>
                <w:szCs w:val="20"/>
                <w:color w:val="auto"/>
              </w:rPr>
              <w:t>Chair of the Board</w:t>
            </w:r>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$25,000</w:t>
            </w:r>
          </w:p>
        </w:tc>
        <w:tc>
          <w:tcPr>
            <w:tcW w:w="5720" w:type="dxa"/>
            <w:vAlign w:val="bottom"/>
          </w:tcPr>
          <w:p>
            <w:pPr>
              <w:ind w:left="440"/>
              <w:spacing w:after="0"/>
              <w:rPr>
                <w:sz w:val="20"/>
                <w:szCs w:val="20"/>
                <w:color w:val="auto"/>
              </w:rPr>
            </w:pPr>
            <w:r>
              <w:rPr>
                <w:rFonts w:ascii="Arial" w:cs="Arial" w:eastAsia="Arial" w:hAnsi="Arial"/>
                <w:sz w:val="20"/>
                <w:szCs w:val="20"/>
                <w:color w:val="auto"/>
              </w:rPr>
              <w:t>Audit Committee chair</w:t>
            </w:r>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$20,000</w:t>
            </w:r>
          </w:p>
        </w:tc>
        <w:tc>
          <w:tcPr>
            <w:tcW w:w="5720" w:type="dxa"/>
            <w:vAlign w:val="bottom"/>
          </w:tcPr>
          <w:p>
            <w:pPr>
              <w:ind w:left="440"/>
              <w:spacing w:after="0"/>
              <w:rPr>
                <w:sz w:val="20"/>
                <w:szCs w:val="20"/>
                <w:color w:val="auto"/>
              </w:rPr>
            </w:pPr>
            <w:r>
              <w:rPr>
                <w:rFonts w:ascii="Arial" w:cs="Arial" w:eastAsia="Arial" w:hAnsi="Arial"/>
                <w:sz w:val="20"/>
                <w:szCs w:val="20"/>
                <w:color w:val="auto"/>
              </w:rPr>
              <w:t>Compensation and Organization Committee chair</w:t>
            </w:r>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$15,000</w:t>
            </w:r>
          </w:p>
        </w:tc>
        <w:tc>
          <w:tcPr>
            <w:tcW w:w="5720" w:type="dxa"/>
            <w:vAlign w:val="bottom"/>
          </w:tcPr>
          <w:p>
            <w:pPr>
              <w:ind w:left="440"/>
              <w:spacing w:after="0"/>
              <w:rPr>
                <w:sz w:val="20"/>
                <w:szCs w:val="20"/>
                <w:color w:val="auto"/>
              </w:rPr>
            </w:pPr>
            <w:r>
              <w:rPr>
                <w:rFonts w:ascii="Arial" w:cs="Arial" w:eastAsia="Arial" w:hAnsi="Arial"/>
                <w:sz w:val="20"/>
                <w:szCs w:val="20"/>
                <w:color w:val="auto"/>
              </w:rPr>
              <w:t>Finance Committee chair</w:t>
            </w:r>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$15,000</w:t>
            </w:r>
          </w:p>
        </w:tc>
        <w:tc>
          <w:tcPr>
            <w:tcW w:w="5720" w:type="dxa"/>
            <w:vAlign w:val="bottom"/>
          </w:tcPr>
          <w:p>
            <w:pPr>
              <w:ind w:left="440"/>
              <w:spacing w:after="0"/>
              <w:rPr>
                <w:sz w:val="20"/>
                <w:szCs w:val="20"/>
                <w:color w:val="auto"/>
              </w:rPr>
            </w:pPr>
            <w:r>
              <w:rPr>
                <w:rFonts w:ascii="Arial" w:cs="Arial" w:eastAsia="Arial" w:hAnsi="Arial"/>
                <w:sz w:val="20"/>
                <w:szCs w:val="20"/>
                <w:color w:val="auto"/>
              </w:rPr>
              <w:t>Governance Committee chair</w:t>
            </w:r>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$7,500</w:t>
            </w:r>
          </w:p>
        </w:tc>
        <w:tc>
          <w:tcPr>
            <w:tcW w:w="5720" w:type="dxa"/>
            <w:vAlign w:val="bottom"/>
          </w:tcPr>
          <w:p>
            <w:pPr>
              <w:ind w:left="440"/>
              <w:spacing w:after="0"/>
              <w:rPr>
                <w:sz w:val="20"/>
                <w:szCs w:val="20"/>
                <w:color w:val="auto"/>
              </w:rPr>
            </w:pPr>
            <w:r>
              <w:rPr>
                <w:rFonts w:ascii="Arial" w:cs="Arial" w:eastAsia="Arial" w:hAnsi="Arial"/>
                <w:sz w:val="20"/>
                <w:szCs w:val="20"/>
                <w:color w:val="auto"/>
                <w:w w:val="91"/>
              </w:rPr>
              <w:t>Audit Committee members (excluding the Audit Committee chair)</w:t>
            </w:r>
          </w:p>
        </w:tc>
      </w:tr>
    </w:tbl>
    <w:p>
      <w:pPr>
        <w:spacing w:after="0" w:line="11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retainers will be paid quarterly in arrears. Prior to the beginning of a calendar year, a non-employee director may elect to (i) receive shares of Campbell stock in lieu of the cash portion of any retainer (such election to be made in 10% increments) and/or (ii) defer all or a portion of any cash or stock retainer in accordance with the terms and conditions of the Campbell Soup Company Supplemental Retirement Plan.</w:t>
      </w:r>
    </w:p>
    <w:p>
      <w:pPr>
        <w:sectPr>
          <w:pgSz w:w="11900" w:h="16838" w:orient="portrait"/>
          <w:cols w:equalWidth="0" w:num="1">
            <w:col w:w="11420"/>
          </w:cols>
          <w:pgMar w:left="240" w:top="1413"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10.2</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1A1A1A"/>
        </w:rPr>
        <w:t>November 20,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A1A1A"/>
        </w:rPr>
        <w:t>Anthony DiSilvestro</w:t>
      </w:r>
    </w:p>
    <w:p>
      <w:pPr>
        <w:spacing w:after="0" w:line="227" w:lineRule="auto"/>
        <w:rPr>
          <w:sz w:val="20"/>
          <w:szCs w:val="20"/>
          <w:color w:val="auto"/>
        </w:rPr>
      </w:pPr>
      <w:r>
        <w:rPr>
          <w:rFonts w:ascii="Arial" w:cs="Arial" w:eastAsia="Arial" w:hAnsi="Arial"/>
          <w:sz w:val="20"/>
          <w:szCs w:val="20"/>
          <w:color w:val="1A1A1A"/>
        </w:rPr>
        <w:t>XXXXXXXXXXX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1A1A1A"/>
        </w:rPr>
        <w:t>XXXXXXXXXXX</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1A1A1A"/>
        </w:rPr>
        <w:t xml:space="preserve">Re: </w:t>
      </w:r>
      <w:r>
        <w:rPr>
          <w:rFonts w:ascii="Arial" w:cs="Arial" w:eastAsia="Arial" w:hAnsi="Arial"/>
          <w:sz w:val="20"/>
          <w:szCs w:val="20"/>
          <w:u w:val="single" w:color="auto"/>
          <w:color w:val="282828"/>
        </w:rPr>
        <w:t>Severance Agreement and General</w:t>
      </w:r>
      <w:r>
        <w:rPr>
          <w:rFonts w:ascii="Arial" w:cs="Arial" w:eastAsia="Arial" w:hAnsi="Arial"/>
          <w:sz w:val="20"/>
          <w:szCs w:val="20"/>
          <w:color w:val="1A1A1A"/>
        </w:rPr>
        <w:t xml:space="preserve"> </w:t>
      </w:r>
      <w:r>
        <w:rPr>
          <w:rFonts w:ascii="Arial" w:cs="Arial" w:eastAsia="Arial" w:hAnsi="Arial"/>
          <w:sz w:val="20"/>
          <w:szCs w:val="20"/>
          <w:u w:val="single" w:color="auto"/>
          <w:color w:val="1A1A1A"/>
        </w:rPr>
        <w:t>Release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A1A1A"/>
        </w:rPr>
        <w:t>Dear Anthony:</w:t>
      </w:r>
    </w:p>
    <w:p>
      <w:pPr>
        <w:spacing w:after="0" w:line="216" w:lineRule="exact"/>
        <w:rPr>
          <w:sz w:val="20"/>
          <w:szCs w:val="20"/>
          <w:color w:val="auto"/>
        </w:rPr>
      </w:pPr>
    </w:p>
    <w:p>
      <w:pPr>
        <w:ind w:right="160" w:firstLine="648"/>
        <w:spacing w:after="0" w:line="228" w:lineRule="auto"/>
        <w:rPr>
          <w:sz w:val="20"/>
          <w:szCs w:val="20"/>
          <w:color w:val="auto"/>
        </w:rPr>
      </w:pPr>
      <w:r>
        <w:rPr>
          <w:rFonts w:ascii="Arial" w:cs="Arial" w:eastAsia="Arial" w:hAnsi="Arial"/>
          <w:sz w:val="20"/>
          <w:szCs w:val="20"/>
          <w:color w:val="1A1A1A"/>
        </w:rPr>
        <w:t xml:space="preserve">The purpose of this letter is to confirm the terms regarding the termination of your employment with Campbell Soup Company and/or </w:t>
      </w:r>
      <w:r>
        <w:rPr>
          <w:rFonts w:ascii="Arial" w:cs="Arial" w:eastAsia="Arial" w:hAnsi="Arial"/>
          <w:sz w:val="20"/>
          <w:szCs w:val="20"/>
          <w:color w:val="282828"/>
        </w:rPr>
        <w:t xml:space="preserve">its </w:t>
      </w:r>
      <w:r>
        <w:rPr>
          <w:rFonts w:ascii="Arial" w:cs="Arial" w:eastAsia="Arial" w:hAnsi="Arial"/>
          <w:sz w:val="20"/>
          <w:szCs w:val="20"/>
          <w:color w:val="1A1A1A"/>
        </w:rPr>
        <w:t>subsidiary or affiliated entity ("Campbell" or</w:t>
      </w:r>
      <w:r>
        <w:rPr>
          <w:rFonts w:ascii="Arial" w:cs="Arial" w:eastAsia="Arial" w:hAnsi="Arial"/>
          <w:sz w:val="20"/>
          <w:szCs w:val="20"/>
          <w:color w:val="282828"/>
        </w:rPr>
        <w:t xml:space="preserve"> "the </w:t>
      </w:r>
      <w:r>
        <w:rPr>
          <w:rFonts w:ascii="Arial" w:cs="Arial" w:eastAsia="Arial" w:hAnsi="Arial"/>
          <w:sz w:val="20"/>
          <w:szCs w:val="20"/>
          <w:color w:val="1A1A1A"/>
        </w:rPr>
        <w:t>Company"). As</w:t>
      </w:r>
      <w:r>
        <w:rPr>
          <w:rFonts w:ascii="Arial" w:cs="Arial" w:eastAsia="Arial" w:hAnsi="Arial"/>
          <w:sz w:val="20"/>
          <w:szCs w:val="20"/>
          <w:color w:val="282828"/>
        </w:rPr>
        <w:t xml:space="preserve"> set </w:t>
      </w:r>
      <w:r>
        <w:rPr>
          <w:rFonts w:ascii="Arial" w:cs="Arial" w:eastAsia="Arial" w:hAnsi="Arial"/>
          <w:sz w:val="20"/>
          <w:szCs w:val="20"/>
          <w:color w:val="1A1A1A"/>
        </w:rPr>
        <w:t>forth more fully below, we offer to you the following Severance</w:t>
      </w:r>
      <w:r>
        <w:rPr>
          <w:rFonts w:ascii="Arial" w:cs="Arial" w:eastAsia="Arial" w:hAnsi="Arial"/>
          <w:sz w:val="20"/>
          <w:szCs w:val="20"/>
          <w:color w:val="282828"/>
        </w:rPr>
        <w:t xml:space="preserve"> </w:t>
      </w:r>
      <w:r>
        <w:rPr>
          <w:rFonts w:ascii="Arial" w:cs="Arial" w:eastAsia="Arial" w:hAnsi="Arial"/>
          <w:sz w:val="20"/>
          <w:szCs w:val="20"/>
          <w:color w:val="1A1A1A"/>
        </w:rPr>
        <w:t>Agreement, which includes a General Release ("the Agreement").</w:t>
      </w:r>
    </w:p>
    <w:p>
      <w:pPr>
        <w:spacing w:after="0" w:line="195" w:lineRule="exact"/>
        <w:rPr>
          <w:sz w:val="20"/>
          <w:szCs w:val="20"/>
          <w:color w:val="auto"/>
        </w:rPr>
      </w:pPr>
    </w:p>
    <w:p>
      <w:pPr>
        <w:ind w:right="60" w:firstLine="801"/>
        <w:spacing w:after="0"/>
        <w:rPr>
          <w:sz w:val="20"/>
          <w:szCs w:val="20"/>
          <w:color w:val="auto"/>
        </w:rPr>
      </w:pPr>
      <w:r>
        <w:rPr>
          <w:rFonts w:ascii="Arial" w:cs="Arial" w:eastAsia="Arial" w:hAnsi="Arial"/>
          <w:sz w:val="19"/>
          <w:szCs w:val="19"/>
          <w:color w:val="1A1A1A"/>
        </w:rPr>
        <w:t>The terms and conditions set forth in Paragraph 1 below will apply regardless of whether you decide to sign this Agreement. However, you will not be eligible to receive the payments and other benefits ("Severance Benefits") described in Paragraph 2 below unless you sign and do not revoke this Agreement. (Please see Paragraph 17 below for what it means to revoke this Agreement.)</w:t>
      </w:r>
    </w:p>
    <w:p>
      <w:pPr>
        <w:spacing w:after="0" w:line="195" w:lineRule="exact"/>
        <w:rPr>
          <w:sz w:val="20"/>
          <w:szCs w:val="20"/>
          <w:color w:val="auto"/>
        </w:rPr>
      </w:pPr>
    </w:p>
    <w:p>
      <w:pPr>
        <w:jc w:val="both"/>
        <w:ind w:right="280" w:firstLine="797"/>
        <w:spacing w:after="0" w:line="228" w:lineRule="auto"/>
        <w:rPr>
          <w:sz w:val="20"/>
          <w:szCs w:val="20"/>
          <w:color w:val="auto"/>
        </w:rPr>
      </w:pPr>
      <w:r>
        <w:rPr>
          <w:rFonts w:ascii="Arial" w:cs="Arial" w:eastAsia="Arial" w:hAnsi="Arial"/>
          <w:sz w:val="20"/>
          <w:szCs w:val="20"/>
          <w:color w:val="1A1A1A"/>
        </w:rPr>
        <w:t xml:space="preserve">This Agreement is an important legal document. You are encouraged to read it carefully and make certain that you understand and agree with </w:t>
      </w:r>
      <w:r>
        <w:rPr>
          <w:rFonts w:ascii="Arial" w:cs="Arial" w:eastAsia="Arial" w:hAnsi="Arial"/>
          <w:sz w:val="20"/>
          <w:szCs w:val="20"/>
          <w:color w:val="282828"/>
        </w:rPr>
        <w:t>it</w:t>
      </w:r>
      <w:r>
        <w:rPr>
          <w:rFonts w:ascii="Arial" w:cs="Arial" w:eastAsia="Arial" w:hAnsi="Arial"/>
          <w:sz w:val="20"/>
          <w:szCs w:val="20"/>
          <w:color w:val="1A1A1A"/>
        </w:rPr>
        <w:t xml:space="preserve"> before you sign it. You may consider for twenty-one (21) days whether you wish to sign this Agreement. Because this is a legal document, you are encouraged to review it with your attorney.</w:t>
      </w:r>
    </w:p>
    <w:p>
      <w:pPr>
        <w:spacing w:after="0" w:line="20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0"/>
          <w:szCs w:val="20"/>
          <w:color w:val="1A1A1A"/>
        </w:rPr>
      </w:pPr>
      <w:r>
        <w:rPr>
          <w:rFonts w:ascii="Arial" w:cs="Arial" w:eastAsia="Arial" w:hAnsi="Arial"/>
          <w:sz w:val="20"/>
          <w:szCs w:val="20"/>
          <w:u w:val="single" w:color="auto"/>
          <w:color w:val="1A1A1A"/>
        </w:rPr>
        <w:t>General Terms of Termination</w:t>
      </w:r>
      <w:r>
        <w:rPr>
          <w:rFonts w:ascii="Arial" w:cs="Arial" w:eastAsia="Arial" w:hAnsi="Arial"/>
          <w:sz w:val="20"/>
          <w:szCs w:val="20"/>
          <w:color w:val="1A1A1A"/>
        </w:rPr>
        <w:t>. As noted above, whether or not you sign this Agreement:</w:t>
      </w:r>
    </w:p>
    <w:p>
      <w:pPr>
        <w:spacing w:after="0" w:line="229" w:lineRule="exact"/>
        <w:rPr>
          <w:rFonts w:ascii="Arial" w:cs="Arial" w:eastAsia="Arial" w:hAnsi="Arial"/>
          <w:sz w:val="20"/>
          <w:szCs w:val="20"/>
          <w:color w:val="1A1A1A"/>
        </w:rPr>
      </w:pPr>
    </w:p>
    <w:p>
      <w:pPr>
        <w:ind w:right="200" w:firstLine="656"/>
        <w:spacing w:after="0" w:line="246" w:lineRule="auto"/>
        <w:tabs>
          <w:tab w:leader="none" w:pos="917" w:val="left"/>
        </w:tabs>
        <w:numPr>
          <w:ilvl w:val="1"/>
          <w:numId w:val="37"/>
        </w:numPr>
        <w:rPr>
          <w:rFonts w:ascii="Arial" w:cs="Arial" w:eastAsia="Arial" w:hAnsi="Arial"/>
          <w:sz w:val="20"/>
          <w:szCs w:val="20"/>
          <w:color w:val="1A1A1A"/>
        </w:rPr>
      </w:pPr>
      <w:r>
        <w:rPr>
          <w:rFonts w:ascii="Arial" w:cs="Arial" w:eastAsia="Arial" w:hAnsi="Arial"/>
          <w:sz w:val="20"/>
          <w:szCs w:val="20"/>
          <w:color w:val="1A1A1A"/>
        </w:rPr>
        <w:t>Your last official day of work will be December 31, 2019. Thereafter, you will be on paid garden leave until official notice date of March 3, 2020.</w:t>
      </w:r>
    </w:p>
    <w:p>
      <w:pPr>
        <w:spacing w:after="0" w:line="203" w:lineRule="exact"/>
        <w:rPr>
          <w:rFonts w:ascii="Arial" w:cs="Arial" w:eastAsia="Arial" w:hAnsi="Arial"/>
          <w:sz w:val="20"/>
          <w:szCs w:val="20"/>
          <w:color w:val="1A1A1A"/>
        </w:rPr>
      </w:pPr>
    </w:p>
    <w:p>
      <w:pPr>
        <w:ind w:right="200" w:firstLine="656"/>
        <w:spacing w:after="0" w:line="237" w:lineRule="auto"/>
        <w:tabs>
          <w:tab w:leader="none" w:pos="929" w:val="left"/>
        </w:tabs>
        <w:numPr>
          <w:ilvl w:val="1"/>
          <w:numId w:val="37"/>
        </w:numPr>
        <w:rPr>
          <w:rFonts w:ascii="Arial" w:cs="Arial" w:eastAsia="Arial" w:hAnsi="Arial"/>
          <w:sz w:val="20"/>
          <w:szCs w:val="20"/>
          <w:color w:val="1A1A1A"/>
        </w:rPr>
      </w:pPr>
      <w:r>
        <w:rPr>
          <w:rFonts w:ascii="Arial" w:cs="Arial" w:eastAsia="Arial" w:hAnsi="Arial"/>
          <w:sz w:val="20"/>
          <w:szCs w:val="20"/>
          <w:color w:val="1A1A1A"/>
        </w:rPr>
        <w:t>You will then receive four (4) weeks' pay in lieu of notice, after which, on March 31, 2020, your employment with the Company will terminate ("Termination Date"). Each payment under Paragraph 1(a) and (b) shall be a separate payment for purposes of Section 409A of the Code.</w:t>
      </w:r>
    </w:p>
    <w:p>
      <w:pPr>
        <w:spacing w:after="0" w:line="210" w:lineRule="exact"/>
        <w:rPr>
          <w:rFonts w:ascii="Arial" w:cs="Arial" w:eastAsia="Arial" w:hAnsi="Arial"/>
          <w:sz w:val="20"/>
          <w:szCs w:val="20"/>
          <w:color w:val="1A1A1A"/>
        </w:rPr>
      </w:pPr>
    </w:p>
    <w:p>
      <w:pPr>
        <w:ind w:left="920" w:hanging="264"/>
        <w:spacing w:after="0"/>
        <w:tabs>
          <w:tab w:leader="none" w:pos="920" w:val="left"/>
        </w:tabs>
        <w:numPr>
          <w:ilvl w:val="1"/>
          <w:numId w:val="37"/>
        </w:numPr>
        <w:rPr>
          <w:rFonts w:ascii="Arial" w:cs="Arial" w:eastAsia="Arial" w:hAnsi="Arial"/>
          <w:sz w:val="20"/>
          <w:szCs w:val="20"/>
          <w:color w:val="1A1A1A"/>
        </w:rPr>
      </w:pPr>
      <w:r>
        <w:rPr>
          <w:rFonts w:ascii="Arial" w:cs="Arial" w:eastAsia="Arial" w:hAnsi="Arial"/>
          <w:sz w:val="20"/>
          <w:szCs w:val="20"/>
          <w:color w:val="1A1A1A"/>
        </w:rPr>
        <w:t>You will receive a lump sum payment for your accrued but unused paid- time off, if any, as of your Termination Date.</w:t>
      </w:r>
    </w:p>
    <w:p>
      <w:pPr>
        <w:spacing w:after="0" w:line="229" w:lineRule="exact"/>
        <w:rPr>
          <w:rFonts w:ascii="Arial" w:cs="Arial" w:eastAsia="Arial" w:hAnsi="Arial"/>
          <w:sz w:val="20"/>
          <w:szCs w:val="20"/>
          <w:color w:val="1A1A1A"/>
        </w:rPr>
      </w:pPr>
    </w:p>
    <w:p>
      <w:pPr>
        <w:ind w:right="20" w:firstLine="656"/>
        <w:spacing w:after="0" w:line="234" w:lineRule="auto"/>
        <w:tabs>
          <w:tab w:leader="none" w:pos="929" w:val="left"/>
        </w:tabs>
        <w:numPr>
          <w:ilvl w:val="1"/>
          <w:numId w:val="37"/>
        </w:numPr>
        <w:rPr>
          <w:rFonts w:ascii="Arial" w:cs="Arial" w:eastAsia="Arial" w:hAnsi="Arial"/>
          <w:sz w:val="20"/>
          <w:szCs w:val="20"/>
          <w:color w:val="1A1A1A"/>
        </w:rPr>
      </w:pPr>
      <w:r>
        <w:rPr>
          <w:rFonts w:ascii="Arial" w:cs="Arial" w:eastAsia="Arial" w:hAnsi="Arial"/>
          <w:sz w:val="20"/>
          <w:szCs w:val="20"/>
          <w:color w:val="1A1A1A"/>
        </w:rPr>
        <w:t xml:space="preserve">Your eligibility to participate in the Company-sponsored health plans (medical, dental, and vision) as an employee of the Company will end on </w:t>
      </w:r>
      <w:r>
        <w:rPr>
          <w:rFonts w:ascii="Arial" w:cs="Arial" w:eastAsia="Arial" w:hAnsi="Arial"/>
          <w:sz w:val="20"/>
          <w:szCs w:val="20"/>
          <w:color w:val="282828"/>
        </w:rPr>
        <w:t>the</w:t>
      </w:r>
      <w:r>
        <w:rPr>
          <w:rFonts w:ascii="Arial" w:cs="Arial" w:eastAsia="Arial" w:hAnsi="Arial"/>
          <w:sz w:val="20"/>
          <w:szCs w:val="20"/>
          <w:color w:val="1A1A1A"/>
        </w:rPr>
        <w:t xml:space="preserve"> last day of the month in which your Termination Date occurs. Thereafter, you will be eligible to continue such coverages at your sole expense in accordance </w:t>
      </w:r>
      <w:r>
        <w:rPr>
          <w:rFonts w:ascii="Arial" w:cs="Arial" w:eastAsia="Arial" w:hAnsi="Arial"/>
          <w:sz w:val="20"/>
          <w:szCs w:val="20"/>
          <w:color w:val="282828"/>
        </w:rPr>
        <w:t>with</w:t>
      </w:r>
      <w:r>
        <w:rPr>
          <w:rFonts w:ascii="Arial" w:cs="Arial" w:eastAsia="Arial" w:hAnsi="Arial"/>
          <w:sz w:val="20"/>
          <w:szCs w:val="20"/>
          <w:color w:val="1A1A1A"/>
        </w:rPr>
        <w:t xml:space="preserve"> a federal law called the Consolidated Omnibus Budget Reconciliation Act ("COBRA"), subject to the terms, conditions and</w:t>
      </w:r>
    </w:p>
    <w:p>
      <w:pPr>
        <w:sectPr>
          <w:pgSz w:w="11900" w:h="16838" w:orient="portrait"/>
          <w:cols w:equalWidth="0" w:num="1">
            <w:col w:w="11420"/>
          </w:cols>
          <w:pgMar w:left="240" w:top="1413" w:right="23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16" w:lineRule="exact"/>
        <w:rPr>
          <w:sz w:val="20"/>
          <w:szCs w:val="20"/>
          <w:color w:val="auto"/>
        </w:rPr>
      </w:pPr>
    </w:p>
    <w:p>
      <w:pPr>
        <w:ind w:right="40"/>
        <w:spacing w:after="0" w:line="219" w:lineRule="auto"/>
        <w:rPr>
          <w:sz w:val="20"/>
          <w:szCs w:val="20"/>
          <w:color w:val="auto"/>
        </w:rPr>
      </w:pPr>
      <w:r>
        <w:rPr>
          <w:rFonts w:ascii="Arial" w:cs="Arial" w:eastAsia="Arial" w:hAnsi="Arial"/>
          <w:sz w:val="20"/>
          <w:szCs w:val="20"/>
          <w:color w:val="161616"/>
        </w:rPr>
        <w:t>restrictions of the group medical, dental, and vision plans and COBRA. However, if you sign and do not revoke this Agreement, while your period of COBRA eligibility will commence on the first day of the month following your Termination Date, you will remain eligible to participate in the Company's medical (but not dental or vision) plan at active employee premium contribution rates until the end of the Severance Period as defined in Paragraph 2(a) below. After the end of the Severance Period, you will be eligible to continue participation in the Company's medical plan at your sole expense for the remainder, if any, of your COBRA eligibility period or to participate in the Company's Retiree Medical Plan.</w:t>
      </w:r>
    </w:p>
    <w:p>
      <w:pPr>
        <w:spacing w:after="0" w:line="213" w:lineRule="exact"/>
        <w:rPr>
          <w:sz w:val="20"/>
          <w:szCs w:val="20"/>
          <w:color w:val="auto"/>
        </w:rPr>
      </w:pPr>
    </w:p>
    <w:p>
      <w:pPr>
        <w:ind w:firstLine="656"/>
        <w:spacing w:after="0" w:line="249" w:lineRule="auto"/>
        <w:tabs>
          <w:tab w:leader="none" w:pos="917" w:val="left"/>
        </w:tabs>
        <w:numPr>
          <w:ilvl w:val="1"/>
          <w:numId w:val="38"/>
        </w:numPr>
        <w:rPr>
          <w:rFonts w:ascii="Arial" w:cs="Arial" w:eastAsia="Arial" w:hAnsi="Arial"/>
          <w:sz w:val="19"/>
          <w:szCs w:val="19"/>
          <w:color w:val="161616"/>
        </w:rPr>
      </w:pPr>
      <w:r>
        <w:rPr>
          <w:rFonts w:ascii="Arial" w:cs="Arial" w:eastAsia="Arial" w:hAnsi="Arial"/>
          <w:sz w:val="19"/>
          <w:szCs w:val="19"/>
          <w:color w:val="161616"/>
        </w:rPr>
        <w:t>Your eligibility to participate in all other Company-sponsored group benefits, including but not limited to group life, business travel, disability, and accidental death and dismemberment coverage, will terminate on the Termination Date, unless the applicable plan document provides for a different result. However, if you sign and do not revoke this Agreement, you will remain eligible to participate in the Company's group life insurance until the end of the Severance Period as defined in Paragraph 2(a) below.</w:t>
      </w:r>
    </w:p>
    <w:p>
      <w:pPr>
        <w:spacing w:after="0" w:line="200" w:lineRule="exact"/>
        <w:rPr>
          <w:rFonts w:ascii="Arial" w:cs="Arial" w:eastAsia="Arial" w:hAnsi="Arial"/>
          <w:sz w:val="19"/>
          <w:szCs w:val="19"/>
          <w:color w:val="161616"/>
        </w:rPr>
      </w:pPr>
    </w:p>
    <w:p>
      <w:pPr>
        <w:ind w:right="40" w:firstLine="656"/>
        <w:spacing w:after="0" w:line="241" w:lineRule="auto"/>
        <w:tabs>
          <w:tab w:leader="none" w:pos="896" w:val="left"/>
        </w:tabs>
        <w:numPr>
          <w:ilvl w:val="1"/>
          <w:numId w:val="38"/>
        </w:numPr>
        <w:rPr>
          <w:rFonts w:ascii="Arial" w:cs="Arial" w:eastAsia="Arial" w:hAnsi="Arial"/>
          <w:sz w:val="19"/>
          <w:szCs w:val="19"/>
          <w:color w:val="161616"/>
        </w:rPr>
      </w:pPr>
      <w:r>
        <w:rPr>
          <w:rFonts w:ascii="Arial" w:cs="Arial" w:eastAsia="Arial" w:hAnsi="Arial"/>
          <w:sz w:val="19"/>
          <w:szCs w:val="19"/>
          <w:color w:val="161616"/>
        </w:rPr>
        <w:t>You remain legally bound by and must comply with the terms, conditions, and restrictions of the following agreements: Employee Agreement, the Nonqualified Stock Option and Non-Competition Agreement ("Non-Competition Agreement"), the 2005 Long Term Incentive Plan Time-Lapse Restricted Stock Agreement, and Confidential and Proprietary Information Agreement ("Confidentiality Agreement"). The non-compete prohibitions in the Non-Competition Agreement and Confidentiality Agreement shall expire on March 3, 2021 and the non-solicit of employees and non-interference with, or diversion of business relationships, in such agreements shall expire on March 3, 2021. In addition, to the extent there is a conflict between any provision of the Non-Competition Agreement and the Confidentiality Agreement, the Non-Competition Agreement shall govern. The Company shall not prevent you from accepting and starting employment (or providing any services to any entity) after December 31, 2019, so long as such employment or services do not violate your obligations under the Non Competition Agreement (as modified by this Paragraph l(f)).</w:t>
      </w:r>
    </w:p>
    <w:p>
      <w:pPr>
        <w:spacing w:after="0" w:line="213" w:lineRule="exact"/>
        <w:rPr>
          <w:rFonts w:ascii="Arial" w:cs="Arial" w:eastAsia="Arial" w:hAnsi="Arial"/>
          <w:sz w:val="19"/>
          <w:szCs w:val="19"/>
          <w:color w:val="161616"/>
        </w:rPr>
      </w:pPr>
    </w:p>
    <w:p>
      <w:pPr>
        <w:ind w:right="240" w:firstLine="58"/>
        <w:spacing w:after="0" w:line="246" w:lineRule="auto"/>
        <w:tabs>
          <w:tab w:leader="none" w:pos="247" w:val="left"/>
        </w:tabs>
        <w:numPr>
          <w:ilvl w:val="0"/>
          <w:numId w:val="39"/>
        </w:numPr>
        <w:rPr>
          <w:rFonts w:ascii="Arial" w:cs="Arial" w:eastAsia="Arial" w:hAnsi="Arial"/>
          <w:sz w:val="20"/>
          <w:szCs w:val="20"/>
          <w:color w:val="161616"/>
        </w:rPr>
      </w:pPr>
      <w:r>
        <w:rPr>
          <w:rFonts w:ascii="Arial" w:cs="Arial" w:eastAsia="Arial" w:hAnsi="Arial"/>
          <w:sz w:val="20"/>
          <w:szCs w:val="20"/>
          <w:u w:val="single" w:color="auto"/>
          <w:color w:val="161616"/>
        </w:rPr>
        <w:t>Severance</w:t>
      </w:r>
      <w:r>
        <w:rPr>
          <w:rFonts w:ascii="Arial" w:cs="Arial" w:eastAsia="Arial" w:hAnsi="Arial"/>
          <w:sz w:val="20"/>
          <w:szCs w:val="20"/>
          <w:color w:val="161616"/>
        </w:rPr>
        <w:t xml:space="preserve"> </w:t>
      </w:r>
      <w:r>
        <w:rPr>
          <w:rFonts w:ascii="Arial" w:cs="Arial" w:eastAsia="Arial" w:hAnsi="Arial"/>
          <w:sz w:val="20"/>
          <w:szCs w:val="20"/>
          <w:u w:val="single" w:color="auto"/>
          <w:color w:val="2A2A2A"/>
        </w:rPr>
        <w:t>Benefits</w:t>
      </w:r>
      <w:r>
        <w:rPr>
          <w:rFonts w:ascii="Arial" w:cs="Arial" w:eastAsia="Arial" w:hAnsi="Arial"/>
          <w:sz w:val="20"/>
          <w:szCs w:val="20"/>
          <w:color w:val="2A2A2A"/>
        </w:rPr>
        <w:t>.</w:t>
      </w:r>
      <w:r>
        <w:rPr>
          <w:rFonts w:ascii="Arial" w:cs="Arial" w:eastAsia="Arial" w:hAnsi="Arial"/>
          <w:sz w:val="20"/>
          <w:szCs w:val="20"/>
          <w:color w:val="161616"/>
        </w:rPr>
        <w:t xml:space="preserve"> If you sign and do not revoke this Agreement, agreeing to be bound by the General Release in Paragraph 3 below and the other terms and conditions of this Agreement, the Company will do the following:</w:t>
      </w:r>
    </w:p>
    <w:p>
      <w:pPr>
        <w:spacing w:after="0" w:line="203" w:lineRule="exact"/>
        <w:rPr>
          <w:rFonts w:ascii="Arial" w:cs="Arial" w:eastAsia="Arial" w:hAnsi="Arial"/>
          <w:sz w:val="20"/>
          <w:szCs w:val="20"/>
          <w:color w:val="161616"/>
        </w:rPr>
      </w:pPr>
    </w:p>
    <w:p>
      <w:pPr>
        <w:ind w:right="460" w:firstLine="656"/>
        <w:spacing w:after="0" w:line="263" w:lineRule="auto"/>
        <w:tabs>
          <w:tab w:leader="none" w:pos="917" w:val="left"/>
        </w:tabs>
        <w:numPr>
          <w:ilvl w:val="1"/>
          <w:numId w:val="39"/>
        </w:numPr>
        <w:rPr>
          <w:rFonts w:ascii="Arial" w:cs="Arial" w:eastAsia="Arial" w:hAnsi="Arial"/>
          <w:sz w:val="18"/>
          <w:szCs w:val="18"/>
          <w:color w:val="161616"/>
        </w:rPr>
      </w:pPr>
      <w:r>
        <w:rPr>
          <w:rFonts w:ascii="Arial" w:cs="Arial" w:eastAsia="Arial" w:hAnsi="Arial"/>
          <w:sz w:val="18"/>
          <w:szCs w:val="18"/>
          <w:color w:val="161616"/>
        </w:rPr>
        <w:t>The Company will pay you one hundred four (104) weeks of severance pay at your current base salary, less withholding of all applicable federal, state, and local taxes. The severance payments will be paid to you in accordance with the Company's regular payroll practices after you have received your pay in lieu of notice in accordance with Paragraph 1(b) above, subject to the timing and payment requirements of the Company's Executive Severance Pay Plan. For purposes of this Agreement, the period in which you receive severance payments pursuant to this Paragraph 2(a) shall be referred to as the "Severance Period."</w:t>
      </w:r>
    </w:p>
    <w:p>
      <w:pPr>
        <w:spacing w:after="0" w:line="175" w:lineRule="exact"/>
        <w:rPr>
          <w:rFonts w:ascii="Arial" w:cs="Arial" w:eastAsia="Arial" w:hAnsi="Arial"/>
          <w:sz w:val="18"/>
          <w:szCs w:val="18"/>
          <w:color w:val="161616"/>
        </w:rPr>
      </w:pPr>
    </w:p>
    <w:p>
      <w:pPr>
        <w:ind w:right="80" w:firstLine="656"/>
        <w:spacing w:after="0" w:line="228" w:lineRule="auto"/>
        <w:tabs>
          <w:tab w:leader="none" w:pos="929" w:val="left"/>
        </w:tabs>
        <w:numPr>
          <w:ilvl w:val="1"/>
          <w:numId w:val="39"/>
        </w:numPr>
        <w:rPr>
          <w:rFonts w:ascii="Arial" w:cs="Arial" w:eastAsia="Arial" w:hAnsi="Arial"/>
          <w:sz w:val="20"/>
          <w:szCs w:val="20"/>
          <w:color w:val="161616"/>
        </w:rPr>
      </w:pPr>
      <w:r>
        <w:rPr>
          <w:rFonts w:ascii="Arial" w:cs="Arial" w:eastAsia="Arial" w:hAnsi="Arial"/>
          <w:sz w:val="20"/>
          <w:szCs w:val="20"/>
          <w:color w:val="161616"/>
        </w:rPr>
        <w:t>While your COBRA eligibility period will commence on the first day of the month following your Termination Date, the Company will continue your medical (but not dental or vision) coverage until the end of the Severance Period as though you were actively employed by the Company at active employee premium contribution rates, and your portion of</w:t>
      </w:r>
    </w:p>
    <w:p>
      <w:pPr>
        <w:sectPr>
          <w:pgSz w:w="11900" w:h="16838" w:orient="portrait"/>
          <w:cols w:equalWidth="0" w:num="1">
            <w:col w:w="11420"/>
          </w:cols>
          <w:pgMar w:left="240" w:top="609" w:right="2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16" w:lineRule="exact"/>
        <w:rPr>
          <w:sz w:val="20"/>
          <w:szCs w:val="20"/>
          <w:color w:val="auto"/>
        </w:rPr>
      </w:pPr>
    </w:p>
    <w:p>
      <w:pPr>
        <w:ind w:right="60"/>
        <w:spacing w:after="0" w:line="228" w:lineRule="auto"/>
        <w:rPr>
          <w:sz w:val="20"/>
          <w:szCs w:val="20"/>
          <w:color w:val="auto"/>
        </w:rPr>
      </w:pPr>
      <w:r>
        <w:rPr>
          <w:rFonts w:ascii="Arial" w:cs="Arial" w:eastAsia="Arial" w:hAnsi="Arial"/>
          <w:sz w:val="19"/>
          <w:szCs w:val="19"/>
          <w:color w:val="161616"/>
        </w:rPr>
        <w:t>the monthly contributions will be deducted from the payments you receive following the Termination Date (and with respect to such continuation the provisions relating to the provision of such coverage in the Company's Executive Severance Pay Plan are incorporated by reference into this Agreement). Notwithstanding the foregoing, during this period, the Company shall impute as taxable income to you an amount equal to the full actuarial cost of such coverage in excess of your contributions to the cost of such coverage, for each month during which such coverage is in effect for you and/or your eligible dependents but only if and to the extent such imputation is required for you to avoid being subject to tax under Section 105(h) of the Code, with respect to any payment or reimbursement of expenses made to you or for you and/or any of your eligible dependents' benefit under such plan. After the Severance Period, your continued participation in the Company's group medical plan for the remainder, if any, of your COBRA eligibility period shall be at your sole expense unless you elect to be covered under the Company's Retiree Medical Plan.</w:t>
      </w:r>
    </w:p>
    <w:p>
      <w:pPr>
        <w:spacing w:after="0" w:line="198" w:lineRule="exact"/>
        <w:rPr>
          <w:sz w:val="20"/>
          <w:szCs w:val="20"/>
          <w:color w:val="auto"/>
        </w:rPr>
      </w:pPr>
    </w:p>
    <w:p>
      <w:pPr>
        <w:ind w:right="20" w:firstLine="656"/>
        <w:spacing w:after="0" w:line="285" w:lineRule="auto"/>
        <w:tabs>
          <w:tab w:leader="none" w:pos="925" w:val="left"/>
        </w:tabs>
        <w:numPr>
          <w:ilvl w:val="0"/>
          <w:numId w:val="40"/>
        </w:numPr>
        <w:rPr>
          <w:rFonts w:ascii="Arial" w:cs="Arial" w:eastAsia="Arial" w:hAnsi="Arial"/>
          <w:sz w:val="18"/>
          <w:szCs w:val="18"/>
          <w:color w:val="161616"/>
        </w:rPr>
      </w:pPr>
      <w:r>
        <w:rPr>
          <w:rFonts w:ascii="Arial" w:cs="Arial" w:eastAsia="Arial" w:hAnsi="Arial"/>
          <w:sz w:val="18"/>
          <w:szCs w:val="18"/>
          <w:color w:val="161616"/>
        </w:rPr>
        <w:t>The Company will continue your group life insurance until the end of the Severance Period as though you were actively employed by the Company. After the Severance Period, your continued participation in the Company's group life insurance shall terminate.</w:t>
      </w:r>
    </w:p>
    <w:p>
      <w:pPr>
        <w:spacing w:after="0" w:line="156" w:lineRule="exact"/>
        <w:rPr>
          <w:rFonts w:ascii="Arial" w:cs="Arial" w:eastAsia="Arial" w:hAnsi="Arial"/>
          <w:sz w:val="18"/>
          <w:szCs w:val="18"/>
          <w:color w:val="161616"/>
        </w:rPr>
      </w:pPr>
    </w:p>
    <w:p>
      <w:pPr>
        <w:ind w:firstLine="656"/>
        <w:spacing w:after="0" w:line="236" w:lineRule="auto"/>
        <w:tabs>
          <w:tab w:leader="none" w:pos="938" w:val="left"/>
        </w:tabs>
        <w:numPr>
          <w:ilvl w:val="0"/>
          <w:numId w:val="40"/>
        </w:numPr>
        <w:rPr>
          <w:rFonts w:ascii="Arial" w:cs="Arial" w:eastAsia="Arial" w:hAnsi="Arial"/>
          <w:sz w:val="20"/>
          <w:szCs w:val="20"/>
          <w:color w:val="161616"/>
        </w:rPr>
      </w:pPr>
      <w:r>
        <w:rPr>
          <w:rFonts w:ascii="Arial" w:cs="Arial" w:eastAsia="Arial" w:hAnsi="Arial"/>
          <w:sz w:val="20"/>
          <w:szCs w:val="20"/>
          <w:color w:val="161616"/>
        </w:rPr>
        <w:t>The Company will provide you with outplacement services at a level and manner determined by the Company, payable directly to the outplacement services provider selected by the Company.</w:t>
      </w:r>
    </w:p>
    <w:p>
      <w:pPr>
        <w:spacing w:after="0" w:line="195" w:lineRule="exact"/>
        <w:rPr>
          <w:rFonts w:ascii="Arial" w:cs="Arial" w:eastAsia="Arial" w:hAnsi="Arial"/>
          <w:sz w:val="20"/>
          <w:szCs w:val="20"/>
          <w:color w:val="161616"/>
        </w:rPr>
      </w:pPr>
    </w:p>
    <w:p>
      <w:pPr>
        <w:jc w:val="both"/>
        <w:ind w:firstLine="656"/>
        <w:spacing w:after="0" w:line="228" w:lineRule="auto"/>
        <w:tabs>
          <w:tab w:leader="none" w:pos="926" w:val="left"/>
        </w:tabs>
        <w:numPr>
          <w:ilvl w:val="0"/>
          <w:numId w:val="40"/>
        </w:numPr>
        <w:rPr>
          <w:rFonts w:ascii="Arial" w:cs="Arial" w:eastAsia="Arial" w:hAnsi="Arial"/>
          <w:sz w:val="20"/>
          <w:szCs w:val="20"/>
          <w:color w:val="161616"/>
        </w:rPr>
      </w:pPr>
      <w:r>
        <w:rPr>
          <w:rFonts w:ascii="Arial" w:cs="Arial" w:eastAsia="Arial" w:hAnsi="Arial"/>
          <w:sz w:val="20"/>
          <w:szCs w:val="20"/>
          <w:color w:val="161616"/>
        </w:rPr>
        <w:t>Your eligibility to participate in the Company's benefit plans and programs in accordance with Paragraphs 2(b) and (c) above shall cease when you become eligible for benefits coverage from a new employer. You must inform me when you become eligible for benefits from a new employer.</w:t>
      </w:r>
    </w:p>
    <w:p>
      <w:pPr>
        <w:spacing w:after="0" w:line="195" w:lineRule="exact"/>
        <w:rPr>
          <w:rFonts w:ascii="Arial" w:cs="Arial" w:eastAsia="Arial" w:hAnsi="Arial"/>
          <w:sz w:val="20"/>
          <w:szCs w:val="20"/>
          <w:color w:val="161616"/>
        </w:rPr>
      </w:pPr>
    </w:p>
    <w:p>
      <w:pPr>
        <w:jc w:val="both"/>
        <w:ind w:firstLine="656"/>
        <w:spacing w:after="0" w:line="247" w:lineRule="auto"/>
        <w:tabs>
          <w:tab w:leader="none" w:pos="930" w:val="left"/>
        </w:tabs>
        <w:numPr>
          <w:ilvl w:val="0"/>
          <w:numId w:val="40"/>
        </w:numPr>
        <w:rPr>
          <w:rFonts w:ascii="Arial" w:cs="Arial" w:eastAsia="Arial" w:hAnsi="Arial"/>
          <w:sz w:val="18"/>
          <w:szCs w:val="18"/>
          <w:color w:val="161616"/>
        </w:rPr>
      </w:pPr>
      <w:r>
        <w:rPr>
          <w:rFonts w:ascii="Arial" w:cs="Arial" w:eastAsia="Arial" w:hAnsi="Arial"/>
          <w:sz w:val="18"/>
          <w:szCs w:val="18"/>
          <w:color w:val="161616"/>
        </w:rPr>
        <w:t>If you violate any of the post-termination restrictions set forth in the Non- Competition Agreement, the Company, in its sole discretion, may cease making the payments and providing the benefits set forth in this Paragraph 2; however, the General Release in Paragraph 3 below shall remain in full force and effect. Prior to taking such action, the Company shall give you written notice and a reasonable opportunity to cure and if you cure such event, the Company shall not have the right to cease making such payments or providing such benefits. This shall be in addition to any other remedies which may be available to the Company under the Non-Competition Agreement.</w:t>
      </w:r>
    </w:p>
    <w:p>
      <w:pPr>
        <w:spacing w:after="0" w:line="204" w:lineRule="exact"/>
        <w:rPr>
          <w:sz w:val="20"/>
          <w:szCs w:val="20"/>
          <w:color w:val="auto"/>
        </w:rPr>
      </w:pPr>
    </w:p>
    <w:p>
      <w:pPr>
        <w:ind w:left="860" w:hanging="204"/>
        <w:spacing w:after="0"/>
        <w:tabs>
          <w:tab w:leader="none" w:pos="860" w:val="left"/>
        </w:tabs>
        <w:numPr>
          <w:ilvl w:val="0"/>
          <w:numId w:val="41"/>
        </w:numPr>
        <w:rPr>
          <w:rFonts w:ascii="Arial" w:cs="Arial" w:eastAsia="Arial" w:hAnsi="Arial"/>
          <w:sz w:val="20"/>
          <w:szCs w:val="20"/>
          <w:color w:val="161616"/>
        </w:rPr>
      </w:pPr>
      <w:r>
        <w:rPr>
          <w:rFonts w:ascii="Arial" w:cs="Arial" w:eastAsia="Arial" w:hAnsi="Arial"/>
          <w:sz w:val="20"/>
          <w:szCs w:val="20"/>
          <w:u w:val="single" w:color="auto"/>
          <w:color w:val="161616"/>
        </w:rPr>
        <w:t>General Release</w:t>
      </w:r>
      <w:r>
        <w:rPr>
          <w:rFonts w:ascii="Arial" w:cs="Arial" w:eastAsia="Arial" w:hAnsi="Arial"/>
          <w:sz w:val="20"/>
          <w:szCs w:val="20"/>
          <w:color w:val="161616"/>
        </w:rPr>
        <w:t>.</w:t>
      </w:r>
    </w:p>
    <w:p>
      <w:pPr>
        <w:spacing w:after="0" w:line="216" w:lineRule="exact"/>
        <w:rPr>
          <w:sz w:val="20"/>
          <w:szCs w:val="20"/>
          <w:color w:val="auto"/>
        </w:rPr>
      </w:pPr>
    </w:p>
    <w:p>
      <w:pPr>
        <w:ind w:right="300" w:firstLine="656"/>
        <w:spacing w:after="0" w:line="223" w:lineRule="auto"/>
        <w:tabs>
          <w:tab w:leader="none" w:pos="917" w:val="left"/>
        </w:tabs>
        <w:numPr>
          <w:ilvl w:val="0"/>
          <w:numId w:val="42"/>
        </w:numPr>
        <w:rPr>
          <w:rFonts w:ascii="Arial" w:cs="Arial" w:eastAsia="Arial" w:hAnsi="Arial"/>
          <w:sz w:val="20"/>
          <w:szCs w:val="20"/>
          <w:color w:val="161616"/>
        </w:rPr>
      </w:pPr>
      <w:r>
        <w:rPr>
          <w:rFonts w:ascii="Arial" w:cs="Arial" w:eastAsia="Arial" w:hAnsi="Arial"/>
          <w:sz w:val="20"/>
          <w:szCs w:val="20"/>
          <w:color w:val="161616"/>
        </w:rPr>
        <w:t>In exchange for the Company's Severance Benefits described in Paragraph 2, you release and forever discharge, to the maximum extent permitted by law, the Company and each of the other "Releasees" as defined below, from any and all claims, causes of action, complaints, lawsuits, or liabilities of any kind (collectively, "Claims") as described below which you, your heirs, agents, administrators, or executors have or may have against the Company or any of the other Releasees.</w:t>
      </w:r>
    </w:p>
    <w:p>
      <w:pPr>
        <w:sectPr>
          <w:pgSz w:w="11900" w:h="16838" w:orient="portrait"/>
          <w:cols w:equalWidth="0" w:num="1">
            <w:col w:w="11420"/>
          </w:cols>
          <w:pgMar w:left="240" w:top="609" w:right="23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161616"/>
        </w:rPr>
        <w:t>Page 4</w:t>
      </w:r>
    </w:p>
    <w:p>
      <w:pPr>
        <w:spacing w:after="0" w:line="216" w:lineRule="exact"/>
        <w:rPr>
          <w:sz w:val="20"/>
          <w:szCs w:val="20"/>
          <w:color w:val="auto"/>
        </w:rPr>
      </w:pPr>
    </w:p>
    <w:p>
      <w:pPr>
        <w:ind w:firstLine="656"/>
        <w:spacing w:after="0" w:line="238" w:lineRule="auto"/>
        <w:tabs>
          <w:tab w:leader="none" w:pos="929" w:val="left"/>
        </w:tabs>
        <w:numPr>
          <w:ilvl w:val="0"/>
          <w:numId w:val="43"/>
        </w:numPr>
        <w:rPr>
          <w:rFonts w:ascii="Arial" w:cs="Arial" w:eastAsia="Arial" w:hAnsi="Arial"/>
          <w:sz w:val="18"/>
          <w:szCs w:val="18"/>
          <w:color w:val="161616"/>
        </w:rPr>
      </w:pPr>
      <w:r>
        <w:rPr>
          <w:rFonts w:ascii="Arial" w:cs="Arial" w:eastAsia="Arial" w:hAnsi="Arial"/>
          <w:sz w:val="18"/>
          <w:szCs w:val="18"/>
          <w:color w:val="161616"/>
        </w:rPr>
        <w:t xml:space="preserve">By agreeing to this General Release, you are waiving, to the maximum extent permitted by law, any and all Claims that you have or may have against the Company or any of the other Releasees arising out of or relating to your employment and/or the termination of your employment with the Company, including, but not limited to, the following: (i) any Claims for severance, benefits, bonuses, commissions, and/or other compensation of any kind; (ii) any Claims for reimbursement of expenses that are not submitted before the Termination Date; (iii) any Claims for attorneys' fees or costs; (iv) any Claims under the Employee Retirement Income Security Act ("ERISA"); (v) </w:t>
      </w:r>
      <w:r>
        <w:rPr>
          <w:rFonts w:ascii="Arial" w:cs="Arial" w:eastAsia="Arial" w:hAnsi="Arial"/>
          <w:sz w:val="18"/>
          <w:szCs w:val="18"/>
          <w:b w:val="1"/>
          <w:bCs w:val="1"/>
          <w:color w:val="161616"/>
        </w:rPr>
        <w:t>any Claims of</w:t>
      </w:r>
      <w:r>
        <w:rPr>
          <w:rFonts w:ascii="Arial" w:cs="Arial" w:eastAsia="Arial" w:hAnsi="Arial"/>
          <w:sz w:val="18"/>
          <w:szCs w:val="18"/>
          <w:color w:val="161616"/>
        </w:rPr>
        <w:t xml:space="preserve"> </w:t>
      </w:r>
      <w:r>
        <w:rPr>
          <w:rFonts w:ascii="Arial" w:cs="Arial" w:eastAsia="Arial" w:hAnsi="Arial"/>
          <w:sz w:val="18"/>
          <w:szCs w:val="18"/>
          <w:b w:val="1"/>
          <w:bCs w:val="1"/>
          <w:color w:val="161616"/>
        </w:rPr>
        <w:t xml:space="preserve">discrimination and/or harassment based on age, sex, pregnancy, race, religion, color, creed, disability, handicap, medical condition, failure to accommodate, citizenship, national origin, ancestry, marital status, sexual orientation, gender identity or expression, or any other factor protected by federal, state, or local law (such as the Age Discrimination in Employment Act, Title VII of the Civil Rights Act of 1964, the Americans with Disabilities Act, the Equal Pay Act, the Genetic Information Non-discrimination Act, and any state or local non-discrimination law or ordinance) and any Claims for retaliation under any of the foregoing laws; </w:t>
      </w:r>
      <w:r>
        <w:rPr>
          <w:rFonts w:ascii="Arial" w:cs="Arial" w:eastAsia="Arial" w:hAnsi="Arial"/>
          <w:sz w:val="18"/>
          <w:szCs w:val="18"/>
          <w:color w:val="161616"/>
        </w:rPr>
        <w:t>(vi) any Claims regarding</w:t>
      </w:r>
      <w:r>
        <w:rPr>
          <w:rFonts w:ascii="Arial" w:cs="Arial" w:eastAsia="Arial" w:hAnsi="Arial"/>
          <w:sz w:val="18"/>
          <w:szCs w:val="18"/>
          <w:b w:val="1"/>
          <w:bCs w:val="1"/>
          <w:color w:val="161616"/>
        </w:rPr>
        <w:t xml:space="preserve"> </w:t>
      </w:r>
      <w:r>
        <w:rPr>
          <w:rFonts w:ascii="Arial" w:cs="Arial" w:eastAsia="Arial" w:hAnsi="Arial"/>
          <w:sz w:val="18"/>
          <w:szCs w:val="18"/>
          <w:color w:val="161616"/>
        </w:rPr>
        <w:t>leaves of absence including, but not limited to, any Claims under the Family and Medical Leave Act or similar state or local laws related to leaves; (vii) any Claims arising under the Uniformed Services Employment and Reemployment Rights Act ("USERRA") or any state or local laws governing military leave; (viii) any Claims for wrongful discharge, violation of public policy, and breach of contract, implied contract, or the implied duty of good faith and fair dealing; (ix) any whistleblower or retaliation Claims; (x) any claims under the Worker Adjustment Retraining and Notification Act ("WARN") or similar state or local laws; and/or (xi) any other statutory, regulatory, common law, or other Claims of any kind, including, but not limited to, Claims for libel, slander, fraud, promissory estoppel, equitable estoppel, invasion of privacy, misrepresentation, emotional distress, and pain and suffering.</w:t>
      </w:r>
    </w:p>
    <w:p>
      <w:pPr>
        <w:spacing w:after="0" w:line="197" w:lineRule="exact"/>
        <w:rPr>
          <w:rFonts w:ascii="Arial" w:cs="Arial" w:eastAsia="Arial" w:hAnsi="Arial"/>
          <w:sz w:val="18"/>
          <w:szCs w:val="18"/>
          <w:color w:val="161616"/>
        </w:rPr>
      </w:pPr>
    </w:p>
    <w:p>
      <w:pPr>
        <w:ind w:right="120" w:firstLine="656"/>
        <w:spacing w:after="0" w:line="228" w:lineRule="auto"/>
        <w:tabs>
          <w:tab w:leader="none" w:pos="917" w:val="left"/>
        </w:tabs>
        <w:numPr>
          <w:ilvl w:val="0"/>
          <w:numId w:val="43"/>
        </w:numPr>
        <w:rPr>
          <w:rFonts w:ascii="Arial" w:cs="Arial" w:eastAsia="Arial" w:hAnsi="Arial"/>
          <w:sz w:val="20"/>
          <w:szCs w:val="20"/>
          <w:color w:val="161616"/>
        </w:rPr>
      </w:pPr>
      <w:r>
        <w:rPr>
          <w:rFonts w:ascii="Arial" w:cs="Arial" w:eastAsia="Arial" w:hAnsi="Arial"/>
          <w:sz w:val="20"/>
          <w:szCs w:val="20"/>
          <w:color w:val="161616"/>
        </w:rPr>
        <w:t>The term "Releasees" includes: the Company and any parent, subsidiary, related, or affiliated entities of the Company, and each of their past and present employees, officers, directors, attorneys, shareholders, partners, insurers, benefit plan fiduciaries and agents, and all of their respective successors and assigns.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161616"/>
        </w:rPr>
        <w:t xml:space="preserve">4. </w:t>
      </w:r>
      <w:r>
        <w:rPr>
          <w:rFonts w:ascii="Arial" w:cs="Arial" w:eastAsia="Arial" w:hAnsi="Arial"/>
          <w:sz w:val="20"/>
          <w:szCs w:val="20"/>
          <w:u w:val="single" w:color="auto"/>
          <w:color w:val="161616"/>
        </w:rPr>
        <w:t>Non-Released Claims</w:t>
      </w:r>
      <w:r>
        <w:rPr>
          <w:rFonts w:ascii="Arial" w:cs="Arial" w:eastAsia="Arial" w:hAnsi="Arial"/>
          <w:sz w:val="20"/>
          <w:szCs w:val="20"/>
          <w:color w:val="161616"/>
        </w:rPr>
        <w:t xml:space="preserve">. The General Release by you in Paragraph 3 above does </w:t>
      </w:r>
      <w:r>
        <w:rPr>
          <w:rFonts w:ascii="Arial" w:cs="Arial" w:eastAsia="Arial" w:hAnsi="Arial"/>
          <w:sz w:val="20"/>
          <w:szCs w:val="20"/>
          <w:u w:val="single" w:color="auto"/>
          <w:color w:val="161616"/>
        </w:rPr>
        <w:t>not</w:t>
      </w:r>
      <w:r>
        <w:rPr>
          <w:rFonts w:ascii="Arial" w:cs="Arial" w:eastAsia="Arial" w:hAnsi="Arial"/>
          <w:sz w:val="20"/>
          <w:szCs w:val="20"/>
          <w:color w:val="161616"/>
        </w:rPr>
        <w:t xml:space="preserve"> apply to:</w:t>
      </w:r>
    </w:p>
    <w:p>
      <w:pPr>
        <w:spacing w:after="0" w:line="216" w:lineRule="exact"/>
        <w:rPr>
          <w:sz w:val="20"/>
          <w:szCs w:val="20"/>
          <w:color w:val="auto"/>
        </w:rPr>
      </w:pPr>
    </w:p>
    <w:p>
      <w:pPr>
        <w:ind w:right="280" w:firstLine="656"/>
        <w:spacing w:after="0"/>
        <w:tabs>
          <w:tab w:leader="none" w:pos="917" w:val="left"/>
        </w:tabs>
        <w:numPr>
          <w:ilvl w:val="0"/>
          <w:numId w:val="44"/>
        </w:numPr>
        <w:rPr>
          <w:rFonts w:ascii="Arial" w:cs="Arial" w:eastAsia="Arial" w:hAnsi="Arial"/>
          <w:sz w:val="19"/>
          <w:szCs w:val="19"/>
          <w:color w:val="161616"/>
        </w:rPr>
      </w:pPr>
      <w:r>
        <w:rPr>
          <w:rFonts w:ascii="Arial" w:cs="Arial" w:eastAsia="Arial" w:hAnsi="Arial"/>
          <w:sz w:val="19"/>
          <w:szCs w:val="19"/>
          <w:color w:val="161616"/>
        </w:rPr>
        <w:t>Any Claims for vested benefits under any Company qualified and/or non- qualified retirement, savings plans in which you participate, for example, any claims under the Campbell Soup Company Retirement and Pension Plan, the Campbell Soup Company 401(k) Retirement Plan, the Campbell Soup Company Retiree Medical Plan and/or the Mid-Career Hire Pension Plan;</w:t>
      </w:r>
    </w:p>
    <w:p>
      <w:pPr>
        <w:spacing w:after="0" w:line="195" w:lineRule="exact"/>
        <w:rPr>
          <w:rFonts w:ascii="Arial" w:cs="Arial" w:eastAsia="Arial" w:hAnsi="Arial"/>
          <w:sz w:val="19"/>
          <w:szCs w:val="19"/>
          <w:color w:val="161616"/>
        </w:rPr>
      </w:pPr>
    </w:p>
    <w:p>
      <w:pPr>
        <w:ind w:right="820" w:firstLine="656"/>
        <w:spacing w:after="0" w:line="236" w:lineRule="auto"/>
        <w:tabs>
          <w:tab w:leader="none" w:pos="929" w:val="left"/>
        </w:tabs>
        <w:numPr>
          <w:ilvl w:val="0"/>
          <w:numId w:val="44"/>
        </w:numPr>
        <w:rPr>
          <w:rFonts w:ascii="Arial" w:cs="Arial" w:eastAsia="Arial" w:hAnsi="Arial"/>
          <w:sz w:val="20"/>
          <w:szCs w:val="20"/>
          <w:color w:val="161616"/>
        </w:rPr>
      </w:pPr>
      <w:r>
        <w:rPr>
          <w:rFonts w:ascii="Arial" w:cs="Arial" w:eastAsia="Arial" w:hAnsi="Arial"/>
          <w:sz w:val="20"/>
          <w:szCs w:val="20"/>
          <w:color w:val="161616"/>
        </w:rPr>
        <w:t>Any Claims to require the Company to honor its commitments set forth in this Agreement or to interpret or determine the enforceability, scope, meaning, or effect of this Agreement;</w:t>
      </w:r>
    </w:p>
    <w:p>
      <w:pPr>
        <w:spacing w:after="0" w:line="209" w:lineRule="exact"/>
        <w:rPr>
          <w:rFonts w:ascii="Arial" w:cs="Arial" w:eastAsia="Arial" w:hAnsi="Arial"/>
          <w:sz w:val="20"/>
          <w:szCs w:val="20"/>
          <w:color w:val="161616"/>
        </w:rPr>
      </w:pPr>
    </w:p>
    <w:p>
      <w:pPr>
        <w:ind w:left="920" w:hanging="264"/>
        <w:spacing w:after="0"/>
        <w:tabs>
          <w:tab w:leader="none" w:pos="920" w:val="left"/>
        </w:tabs>
        <w:numPr>
          <w:ilvl w:val="0"/>
          <w:numId w:val="44"/>
        </w:numPr>
        <w:rPr>
          <w:rFonts w:ascii="Arial" w:cs="Arial" w:eastAsia="Arial" w:hAnsi="Arial"/>
          <w:sz w:val="20"/>
          <w:szCs w:val="20"/>
          <w:color w:val="161616"/>
        </w:rPr>
      </w:pPr>
      <w:r>
        <w:rPr>
          <w:rFonts w:ascii="Arial" w:cs="Arial" w:eastAsia="Arial" w:hAnsi="Arial"/>
          <w:sz w:val="20"/>
          <w:szCs w:val="20"/>
          <w:color w:val="161616"/>
        </w:rPr>
        <w:t>Any Claims arising after you have signed this Agreement;</w:t>
      </w:r>
    </w:p>
    <w:p>
      <w:pPr>
        <w:sectPr>
          <w:pgSz w:w="11900" w:h="16838" w:orient="portrait"/>
          <w:cols w:equalWidth="0" w:num="1">
            <w:col w:w="11360"/>
          </w:cols>
          <w:pgMar w:left="240" w:top="609" w:right="29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161616"/>
        </w:rPr>
        <w:t>Page 5</w:t>
      </w:r>
    </w:p>
    <w:p>
      <w:pPr>
        <w:spacing w:after="0" w:line="216" w:lineRule="exact"/>
        <w:rPr>
          <w:sz w:val="20"/>
          <w:szCs w:val="20"/>
          <w:color w:val="auto"/>
        </w:rPr>
      </w:pPr>
    </w:p>
    <w:p>
      <w:pPr>
        <w:ind w:right="220" w:firstLine="656"/>
        <w:spacing w:after="0" w:line="236" w:lineRule="auto"/>
        <w:tabs>
          <w:tab w:leader="none" w:pos="929" w:val="left"/>
        </w:tabs>
        <w:numPr>
          <w:ilvl w:val="0"/>
          <w:numId w:val="45"/>
        </w:numPr>
        <w:rPr>
          <w:rFonts w:ascii="Arial" w:cs="Arial" w:eastAsia="Arial" w:hAnsi="Arial"/>
          <w:sz w:val="20"/>
          <w:szCs w:val="20"/>
          <w:color w:val="161616"/>
        </w:rPr>
      </w:pPr>
      <w:r>
        <w:rPr>
          <w:rFonts w:ascii="Arial" w:cs="Arial" w:eastAsia="Arial" w:hAnsi="Arial"/>
          <w:sz w:val="20"/>
          <w:szCs w:val="20"/>
          <w:color w:val="161616"/>
        </w:rPr>
        <w:t>Any Claims for workers' compensation benefits, any Claims for unemployment compensation benefits, and any other Claims that cannot be waived by a General Release; and</w:t>
      </w:r>
    </w:p>
    <w:p>
      <w:pPr>
        <w:spacing w:after="0" w:line="195" w:lineRule="exact"/>
        <w:rPr>
          <w:rFonts w:ascii="Arial" w:cs="Arial" w:eastAsia="Arial" w:hAnsi="Arial"/>
          <w:sz w:val="20"/>
          <w:szCs w:val="20"/>
          <w:color w:val="161616"/>
        </w:rPr>
      </w:pPr>
    </w:p>
    <w:p>
      <w:pPr>
        <w:ind w:right="120" w:firstLine="656"/>
        <w:spacing w:after="0" w:line="236" w:lineRule="auto"/>
        <w:tabs>
          <w:tab w:leader="none" w:pos="917" w:val="left"/>
        </w:tabs>
        <w:numPr>
          <w:ilvl w:val="0"/>
          <w:numId w:val="45"/>
        </w:numPr>
        <w:rPr>
          <w:rFonts w:ascii="Arial" w:cs="Arial" w:eastAsia="Arial" w:hAnsi="Arial"/>
          <w:sz w:val="20"/>
          <w:szCs w:val="20"/>
          <w:color w:val="161616"/>
        </w:rPr>
      </w:pPr>
      <w:r>
        <w:rPr>
          <w:rFonts w:ascii="Arial" w:cs="Arial" w:eastAsia="Arial" w:hAnsi="Arial"/>
          <w:sz w:val="20"/>
          <w:szCs w:val="20"/>
          <w:color w:val="161616"/>
        </w:rPr>
        <w:t>Your right to be indemnified for third-party claims pursuant to the Company's bylaws or applicable law (including advancement of expenses) and/or to be covered under any applicable directors' and officers' liability insurance policies.</w:t>
      </w:r>
    </w:p>
    <w:p>
      <w:pPr>
        <w:spacing w:after="0" w:line="209" w:lineRule="exact"/>
        <w:rPr>
          <w:sz w:val="20"/>
          <w:szCs w:val="20"/>
          <w:color w:val="auto"/>
        </w:rPr>
      </w:pPr>
    </w:p>
    <w:p>
      <w:pPr>
        <w:ind w:right="260" w:firstLine="656"/>
        <w:spacing w:after="0" w:line="258" w:lineRule="auto"/>
        <w:tabs>
          <w:tab w:leader="none" w:pos="846" w:val="left"/>
        </w:tabs>
        <w:numPr>
          <w:ilvl w:val="0"/>
          <w:numId w:val="46"/>
        </w:numPr>
        <w:rPr>
          <w:rFonts w:ascii="Arial" w:cs="Arial" w:eastAsia="Arial" w:hAnsi="Arial"/>
          <w:sz w:val="18"/>
          <w:szCs w:val="18"/>
          <w:color w:val="161616"/>
        </w:rPr>
      </w:pPr>
      <w:r>
        <w:rPr>
          <w:rFonts w:ascii="Arial" w:cs="Arial" w:eastAsia="Arial" w:hAnsi="Arial"/>
          <w:sz w:val="18"/>
          <w:szCs w:val="18"/>
          <w:u w:val="single" w:color="auto"/>
          <w:color w:val="161616"/>
        </w:rPr>
        <w:t>Retained Rights</w:t>
      </w:r>
      <w:r>
        <w:rPr>
          <w:rFonts w:ascii="Arial" w:cs="Arial" w:eastAsia="Arial" w:hAnsi="Arial"/>
          <w:sz w:val="18"/>
          <w:szCs w:val="18"/>
          <w:color w:val="161616"/>
        </w:rPr>
        <w:t>. As noted above, you retain certain important rights under this Agreement. Regardless of whether or not you sign this Agreement, nothing in this Agreement is intended to or shall be interpreted to restrict or otherwise interfere with: (i) your obligation to testify truthfully in any forum; (ii) your right and/or obligation to contact, cooperate with, or provide information to or testify or otherwise participate in any action, investigation, or proceeding of any federal, state, or local government agency or commission (including, but not limited to, the EEOC or the SEC); or (iii) your right to disclose any information or produce any documents as is required by law or legal process. Further, the General Release in Paragraph 3 does not prevent you from contacting or filing a charge with any federal, state, or local government agency or commission (including, but not limited to, the EEOC or the SEC).</w:t>
      </w:r>
    </w:p>
    <w:p>
      <w:pPr>
        <w:spacing w:after="0" w:line="198" w:lineRule="exact"/>
        <w:rPr>
          <w:rFonts w:ascii="Arial" w:cs="Arial" w:eastAsia="Arial" w:hAnsi="Arial"/>
          <w:sz w:val="18"/>
          <w:szCs w:val="18"/>
          <w:color w:val="161616"/>
        </w:rPr>
      </w:pPr>
    </w:p>
    <w:p>
      <w:pPr>
        <w:ind w:firstLine="656"/>
        <w:spacing w:after="0" w:line="263" w:lineRule="auto"/>
        <w:tabs>
          <w:tab w:leader="none" w:pos="846" w:val="left"/>
        </w:tabs>
        <w:numPr>
          <w:ilvl w:val="0"/>
          <w:numId w:val="46"/>
        </w:numPr>
        <w:rPr>
          <w:rFonts w:ascii="Arial" w:cs="Arial" w:eastAsia="Arial" w:hAnsi="Arial"/>
          <w:sz w:val="18"/>
          <w:szCs w:val="18"/>
          <w:color w:val="161616"/>
        </w:rPr>
      </w:pPr>
      <w:r>
        <w:rPr>
          <w:rFonts w:ascii="Arial" w:cs="Arial" w:eastAsia="Arial" w:hAnsi="Arial"/>
          <w:sz w:val="18"/>
          <w:szCs w:val="18"/>
          <w:u w:val="single" w:color="auto"/>
          <w:color w:val="161616"/>
        </w:rPr>
        <w:t>Prior Acts</w:t>
      </w:r>
      <w:r>
        <w:rPr>
          <w:rFonts w:ascii="Arial" w:cs="Arial" w:eastAsia="Arial" w:hAnsi="Arial"/>
          <w:sz w:val="18"/>
          <w:szCs w:val="18"/>
          <w:color w:val="161616"/>
        </w:rPr>
        <w:t>. It is acknowledged, understood and agreed by you that should Campbell discover that you have engaged in any unethical, dishonest or fraudulent act which harms, or has harmed the Company (or any affiliated corporate entity), the Company reserves the right, in its sole discretion, to terminate or suspend all payments or benefits remaining to be paid by the Company under Paragraph 2 of this Agreement; however, the General Release in Paragraph 3 above shall remain in full force and effect. In addition, the Company may seek all other remedies and relief allowed by law, including but not limited to the return of any payments made under this Agreement.</w:t>
      </w:r>
    </w:p>
    <w:p>
      <w:pPr>
        <w:spacing w:after="0" w:line="189" w:lineRule="exact"/>
        <w:rPr>
          <w:rFonts w:ascii="Arial" w:cs="Arial" w:eastAsia="Arial" w:hAnsi="Arial"/>
          <w:sz w:val="18"/>
          <w:szCs w:val="18"/>
          <w:color w:val="161616"/>
        </w:rPr>
      </w:pPr>
    </w:p>
    <w:p>
      <w:pPr>
        <w:ind w:left="860" w:hanging="204"/>
        <w:spacing w:after="0"/>
        <w:tabs>
          <w:tab w:leader="none" w:pos="860" w:val="left"/>
        </w:tabs>
        <w:numPr>
          <w:ilvl w:val="0"/>
          <w:numId w:val="46"/>
        </w:numPr>
        <w:rPr>
          <w:rFonts w:ascii="Arial" w:cs="Arial" w:eastAsia="Arial" w:hAnsi="Arial"/>
          <w:sz w:val="20"/>
          <w:szCs w:val="20"/>
          <w:color w:val="161616"/>
        </w:rPr>
      </w:pPr>
      <w:r>
        <w:rPr>
          <w:rFonts w:ascii="Arial" w:cs="Arial" w:eastAsia="Arial" w:hAnsi="Arial"/>
          <w:sz w:val="20"/>
          <w:szCs w:val="20"/>
          <w:u w:val="single" w:color="auto"/>
          <w:color w:val="161616"/>
        </w:rPr>
        <w:t>Confidential Information</w:t>
      </w:r>
      <w:r>
        <w:rPr>
          <w:rFonts w:ascii="Arial" w:cs="Arial" w:eastAsia="Arial" w:hAnsi="Arial"/>
          <w:sz w:val="20"/>
          <w:szCs w:val="20"/>
          <w:color w:val="161616"/>
        </w:rPr>
        <w:t>.</w:t>
      </w:r>
    </w:p>
    <w:p>
      <w:pPr>
        <w:spacing w:after="0" w:line="216" w:lineRule="exact"/>
        <w:rPr>
          <w:sz w:val="20"/>
          <w:szCs w:val="20"/>
          <w:color w:val="auto"/>
        </w:rPr>
      </w:pPr>
    </w:p>
    <w:p>
      <w:pPr>
        <w:ind w:right="20" w:firstLine="656"/>
        <w:spacing w:after="0" w:line="239" w:lineRule="auto"/>
        <w:tabs>
          <w:tab w:leader="none" w:pos="917" w:val="left"/>
        </w:tabs>
        <w:numPr>
          <w:ilvl w:val="0"/>
          <w:numId w:val="47"/>
        </w:numPr>
        <w:rPr>
          <w:rFonts w:ascii="Arial" w:cs="Arial" w:eastAsia="Arial" w:hAnsi="Arial"/>
          <w:sz w:val="18"/>
          <w:szCs w:val="18"/>
          <w:color w:val="161616"/>
        </w:rPr>
      </w:pPr>
      <w:r>
        <w:rPr>
          <w:rFonts w:ascii="Arial" w:cs="Arial" w:eastAsia="Arial" w:hAnsi="Arial"/>
          <w:sz w:val="18"/>
          <w:szCs w:val="18"/>
          <w:color w:val="161616"/>
        </w:rPr>
        <w:t>Duty to Retain as Confidential. You acknowledge and agree that, in the course of your employment with the Company, you may have created and/or acquired confidential and/or proprietary information relating to the business of the Company and/or any parent, subsidiary, related, or affiliated company which is not known by or generally accessible to the public. You expressly agree that you will keep secret and safeguard all such information, and will not, at any time, in any form or manner, directly or indirectly, divulge, disclose, or communicate to any person, firm, corporation, or other entity any such information without the direct written authority of the Company. More specifically, this Agreement incorporates by reference all of the provisions of any of the agreements which you may have signed, as set forth in Paragraph l(f) above. Because of the importance of this provision to the successful conduct of the Company and its good will, you agree that if you use or disclose, or threaten to use or disclose, confidential and/or proprietary information in violation of this Agreement, the Company will have available, in addition to any other right or remedy available, the right to obtain injunctive and equitable relief of any type from a court of competent jurisdiction, including but not limited to restraining such breach or threatened breach. Notwithstanding the foregoing, you shall be permitted to disclose confidential and/or proprietary information (i) to the</w:t>
      </w:r>
    </w:p>
    <w:p>
      <w:pPr>
        <w:sectPr>
          <w:pgSz w:w="11900" w:h="16838" w:orient="portrait"/>
          <w:cols w:equalWidth="0" w:num="1">
            <w:col w:w="11400"/>
          </w:cols>
          <w:pgMar w:left="240" w:top="609" w:right="259" w:bottom="1440" w:gutter="0" w:footer="0" w:header="0"/>
        </w:sectPr>
      </w:pPr>
    </w:p>
    <w:bookmarkStart w:id="52" w:name="page53"/>
    <w:bookmarkEnd w:id="52"/>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161616"/>
        </w:rPr>
        <w:t>Page 6</w:t>
      </w:r>
    </w:p>
    <w:p>
      <w:pPr>
        <w:spacing w:after="0" w:line="216"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161616"/>
        </w:rPr>
        <w:t>extent required by law or by any court or governmental or regulatory body or agency, or (ii) in connection with any Claim to enforce, interpret or determine the scope, meaning or effect of this Agreement.</w:t>
      </w:r>
    </w:p>
    <w:p>
      <w:pPr>
        <w:spacing w:after="0" w:line="196" w:lineRule="exact"/>
        <w:rPr>
          <w:sz w:val="20"/>
          <w:szCs w:val="20"/>
          <w:color w:val="auto"/>
        </w:rPr>
      </w:pPr>
    </w:p>
    <w:p>
      <w:pPr>
        <w:ind w:firstLine="656"/>
        <w:spacing w:after="0" w:line="241" w:lineRule="auto"/>
        <w:tabs>
          <w:tab w:leader="none" w:pos="929" w:val="left"/>
        </w:tabs>
        <w:numPr>
          <w:ilvl w:val="0"/>
          <w:numId w:val="48"/>
        </w:numPr>
        <w:rPr>
          <w:rFonts w:ascii="Arial" w:cs="Arial" w:eastAsia="Arial" w:hAnsi="Arial"/>
          <w:sz w:val="18"/>
          <w:szCs w:val="18"/>
          <w:color w:val="161616"/>
        </w:rPr>
      </w:pPr>
      <w:r>
        <w:rPr>
          <w:rFonts w:ascii="Arial" w:cs="Arial" w:eastAsia="Arial" w:hAnsi="Arial"/>
          <w:sz w:val="18"/>
          <w:szCs w:val="18"/>
          <w:u w:val="single" w:color="auto"/>
          <w:color w:val="161616"/>
        </w:rPr>
        <w:t>Duty to Notify</w:t>
      </w:r>
      <w:r>
        <w:rPr>
          <w:rFonts w:ascii="Arial" w:cs="Arial" w:eastAsia="Arial" w:hAnsi="Arial"/>
          <w:sz w:val="18"/>
          <w:szCs w:val="18"/>
          <w:color w:val="161616"/>
        </w:rPr>
        <w:t>. In the event you receive a request or demand, orally, in writing, electronically, or otherwise, for the disclosure or production of confidential and/or proprietary information which you created or acquired in the course of your employment, unless prohibited by law or regulation, you must notify immediately the Company's Chief Legal Officer, by calling him/her at the following phone number: 856-</w:t>
      </w:r>
    </w:p>
    <w:p>
      <w:pPr>
        <w:ind w:right="40"/>
        <w:spacing w:after="0" w:line="216" w:lineRule="auto"/>
        <w:rPr>
          <w:rFonts w:ascii="Arial" w:cs="Arial" w:eastAsia="Arial" w:hAnsi="Arial"/>
          <w:sz w:val="18"/>
          <w:szCs w:val="18"/>
          <w:color w:val="161616"/>
        </w:rPr>
      </w:pPr>
      <w:r>
        <w:rPr>
          <w:rFonts w:ascii="Arial" w:cs="Arial" w:eastAsia="Arial" w:hAnsi="Arial"/>
          <w:sz w:val="20"/>
          <w:szCs w:val="20"/>
          <w:color w:val="161616"/>
        </w:rPr>
        <w:t>342-6125. Regardless of whether you are successful in reaching him/her by telephone, unless prohibited by law or regulation, you also must notify him/her immediately in writing, via certified mail, at the following address: Chief Legal Officer, Campbell Soup Company, 1 Campbell Place, Camden, NJ 08103-1799. A copy of the request or demand shall be included with the written notification. You shall wait a minimum of ten (10) days (or the maximum time permitted by such legal process, if less) after sending the letter before making a disclosure or production to give the Company time to seek to prohibit and/or restrict the production and/or disclosure and/or to obtain a protective order with regard thereto.</w:t>
      </w:r>
    </w:p>
    <w:p>
      <w:pPr>
        <w:spacing w:after="0" w:line="201" w:lineRule="exact"/>
        <w:rPr>
          <w:sz w:val="20"/>
          <w:szCs w:val="20"/>
          <w:color w:val="auto"/>
        </w:rPr>
      </w:pPr>
    </w:p>
    <w:p>
      <w:pPr>
        <w:ind w:right="120" w:firstLine="656"/>
        <w:spacing w:after="0" w:line="243" w:lineRule="auto"/>
        <w:tabs>
          <w:tab w:leader="none" w:pos="846" w:val="left"/>
        </w:tabs>
        <w:numPr>
          <w:ilvl w:val="1"/>
          <w:numId w:val="49"/>
        </w:numPr>
        <w:rPr>
          <w:rFonts w:ascii="Arial" w:cs="Arial" w:eastAsia="Arial" w:hAnsi="Arial"/>
          <w:sz w:val="18"/>
          <w:szCs w:val="18"/>
          <w:color w:val="161616"/>
        </w:rPr>
      </w:pPr>
      <w:r>
        <w:rPr>
          <w:rFonts w:ascii="Arial" w:cs="Arial" w:eastAsia="Arial" w:hAnsi="Arial"/>
          <w:sz w:val="18"/>
          <w:szCs w:val="18"/>
          <w:u w:val="single" w:color="auto"/>
          <w:color w:val="161616"/>
        </w:rPr>
        <w:t>Company Property and Documents</w:t>
      </w:r>
      <w:r>
        <w:rPr>
          <w:rFonts w:ascii="Arial" w:cs="Arial" w:eastAsia="Arial" w:hAnsi="Arial"/>
          <w:sz w:val="18"/>
          <w:szCs w:val="18"/>
          <w:color w:val="161616"/>
        </w:rPr>
        <w:t>. Regardless of whether you sign this Agreement, and as a condition of receiving the Severance Benefits set forth in Paragraph 2 above, you must return, retaining no copies, all Company property (including, but not limited to, office, desk, or file cabinet keys, Company identification/pass cards, Company-provided credit cards, and Company equipment, such as computers, tablets, and mobile phones) and all Company documents (including, but not limited to, all hard copy, electronic and other files, forms, lists, charts, photographs, correspondence, computer records, programs, notes, memos, disks, DVDs, etc.). Notwithstanding anything to the contrary herein or otherwise (including the Non-Competition Agreement), you shall be permitted to retain information (including copies of plans and agreements) relating to your compensation and/or reimbursement of business expenses and/or your contact lists.</w:t>
      </w:r>
    </w:p>
    <w:p>
      <w:pPr>
        <w:spacing w:after="0" w:line="194" w:lineRule="exact"/>
        <w:rPr>
          <w:rFonts w:ascii="Arial" w:cs="Arial" w:eastAsia="Arial" w:hAnsi="Arial"/>
          <w:sz w:val="18"/>
          <w:szCs w:val="18"/>
          <w:color w:val="161616"/>
        </w:rPr>
      </w:pPr>
    </w:p>
    <w:p>
      <w:pPr>
        <w:jc w:val="both"/>
        <w:ind w:right="140" w:firstLine="656"/>
        <w:spacing w:after="0" w:line="241" w:lineRule="auto"/>
        <w:tabs>
          <w:tab w:leader="none" w:pos="846" w:val="left"/>
        </w:tabs>
        <w:numPr>
          <w:ilvl w:val="1"/>
          <w:numId w:val="49"/>
        </w:numPr>
        <w:rPr>
          <w:rFonts w:ascii="Arial" w:cs="Arial" w:eastAsia="Arial" w:hAnsi="Arial"/>
          <w:sz w:val="18"/>
          <w:szCs w:val="18"/>
          <w:color w:val="161616"/>
        </w:rPr>
      </w:pPr>
      <w:r>
        <w:rPr>
          <w:rFonts w:ascii="Arial" w:cs="Arial" w:eastAsia="Arial" w:hAnsi="Arial"/>
          <w:sz w:val="18"/>
          <w:szCs w:val="18"/>
          <w:u w:val="single" w:color="auto"/>
          <w:color w:val="161616"/>
        </w:rPr>
        <w:t>Confidentiality of this Agreement</w:t>
      </w:r>
      <w:r>
        <w:rPr>
          <w:rFonts w:ascii="Arial" w:cs="Arial" w:eastAsia="Arial" w:hAnsi="Arial"/>
          <w:sz w:val="18"/>
          <w:szCs w:val="18"/>
          <w:color w:val="161616"/>
        </w:rPr>
        <w:t>. Unless and until the Company publicly discloses this Agreement, you agree that, at all times, the existence, terms, and conditions of this Agreement will be kept secret and confidential and will not be disclosed voluntarily to any third party, except: (i) to your spouse, domestic partner, civil union partner, or immediate family member, if applicable; (ii) to the extent required by law;</w:t>
      </w:r>
    </w:p>
    <w:p>
      <w:pPr>
        <w:ind w:right="120" w:firstLine="8"/>
        <w:spacing w:after="0" w:line="218" w:lineRule="auto"/>
        <w:tabs>
          <w:tab w:leader="none" w:pos="346" w:val="left"/>
        </w:tabs>
        <w:numPr>
          <w:ilvl w:val="0"/>
          <w:numId w:val="50"/>
        </w:numPr>
        <w:rPr>
          <w:rFonts w:ascii="Arial" w:cs="Arial" w:eastAsia="Arial" w:hAnsi="Arial"/>
          <w:sz w:val="20"/>
          <w:szCs w:val="20"/>
          <w:color w:val="161616"/>
        </w:rPr>
      </w:pPr>
      <w:r>
        <w:rPr>
          <w:rFonts w:ascii="Arial" w:cs="Arial" w:eastAsia="Arial" w:hAnsi="Arial"/>
          <w:sz w:val="20"/>
          <w:szCs w:val="20"/>
          <w:color w:val="161616"/>
        </w:rPr>
        <w:t>in connection with any Claim to enforce, interpret, or determine the scope, meaning, enforceability, or effect of the Agreement; (iv) to obtain confidential legal, tax, or financial advice with respect thereto; (v) in connection with any of your Retained Rights as set forth in Paragraph 5 above; or (vi) to any prospective employer but only with respect to the restrictions, if any, on your activities following December 31, 2019 (which permission shall also extend to the Non-Competition Agreement). However, you may reference this provision to explain your non-disclosure of this Agreement.</w:t>
      </w:r>
    </w:p>
    <w:p>
      <w:pPr>
        <w:spacing w:after="0" w:line="195" w:lineRule="exact"/>
        <w:rPr>
          <w:rFonts w:ascii="Arial" w:cs="Arial" w:eastAsia="Arial" w:hAnsi="Arial"/>
          <w:sz w:val="20"/>
          <w:szCs w:val="20"/>
          <w:color w:val="161616"/>
        </w:rPr>
      </w:pPr>
    </w:p>
    <w:p>
      <w:pPr>
        <w:ind w:right="460" w:firstLine="656"/>
        <w:spacing w:after="0"/>
        <w:tabs>
          <w:tab w:leader="none" w:pos="945" w:val="left"/>
        </w:tabs>
        <w:numPr>
          <w:ilvl w:val="1"/>
          <w:numId w:val="50"/>
        </w:numPr>
        <w:rPr>
          <w:rFonts w:ascii="Arial" w:cs="Arial" w:eastAsia="Arial" w:hAnsi="Arial"/>
          <w:sz w:val="19"/>
          <w:szCs w:val="19"/>
          <w:color w:val="161616"/>
        </w:rPr>
      </w:pPr>
      <w:r>
        <w:rPr>
          <w:rFonts w:ascii="Arial" w:cs="Arial" w:eastAsia="Arial" w:hAnsi="Arial"/>
          <w:sz w:val="19"/>
          <w:szCs w:val="19"/>
          <w:u w:val="single" w:color="auto"/>
          <w:color w:val="161616"/>
        </w:rPr>
        <w:t>Non-Disparagement</w:t>
      </w:r>
      <w:r>
        <w:rPr>
          <w:rFonts w:ascii="Arial" w:cs="Arial" w:eastAsia="Arial" w:hAnsi="Arial"/>
          <w:sz w:val="19"/>
          <w:szCs w:val="19"/>
          <w:color w:val="161616"/>
        </w:rPr>
        <w:t>. You agree that you will not make any negative comments or disparaging remarks, in writing, orally, or electronically, about the Company or any past or present director, officer or employee of the Company or its subsidiaries or affiliates. This restriction is subject to and limited by your Retained Rights in Paragraph 5 above. However,</w:t>
      </w:r>
    </w:p>
    <w:p>
      <w:pPr>
        <w:sectPr>
          <w:pgSz w:w="11900" w:h="16838" w:orient="portrait"/>
          <w:cols w:equalWidth="0" w:num="1">
            <w:col w:w="11420"/>
          </w:cols>
          <w:pgMar w:left="240" w:top="609" w:right="23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161616"/>
        </w:rPr>
        <w:t>Page 7</w:t>
      </w:r>
    </w:p>
    <w:p>
      <w:pPr>
        <w:spacing w:after="0" w:line="21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161616"/>
        </w:rPr>
        <w:t>nothing in this Agreement is intended or shall be interpreted to restrict any party's right or obligation (i) to testify truthfully in any forum; (ii) for you, to make truthful statements in connection with any cooperation provided by you under Paragraph 18 below; or (iii) to make any truthful statement in connection with any Claim to enforce, interpret or determine the scope, meaning or effect of this Agreement.</w:t>
      </w:r>
    </w:p>
    <w:p>
      <w:pPr>
        <w:spacing w:after="0" w:line="178" w:lineRule="exact"/>
        <w:rPr>
          <w:sz w:val="20"/>
          <w:szCs w:val="20"/>
          <w:color w:val="auto"/>
        </w:rPr>
      </w:pPr>
    </w:p>
    <w:p>
      <w:pPr>
        <w:ind w:right="20" w:firstLine="656"/>
        <w:spacing w:after="0" w:line="228" w:lineRule="auto"/>
        <w:tabs>
          <w:tab w:leader="none" w:pos="938" w:val="left"/>
        </w:tabs>
        <w:numPr>
          <w:ilvl w:val="0"/>
          <w:numId w:val="51"/>
        </w:numPr>
        <w:rPr>
          <w:rFonts w:ascii="Arial" w:cs="Arial" w:eastAsia="Arial" w:hAnsi="Arial"/>
          <w:sz w:val="20"/>
          <w:szCs w:val="20"/>
          <w:color w:val="161616"/>
        </w:rPr>
      </w:pPr>
      <w:r>
        <w:rPr>
          <w:rFonts w:ascii="Arial" w:cs="Arial" w:eastAsia="Arial" w:hAnsi="Arial"/>
          <w:sz w:val="20"/>
          <w:szCs w:val="20"/>
          <w:u w:val="single" w:color="auto"/>
          <w:color w:val="161616"/>
        </w:rPr>
        <w:t>References</w:t>
      </w:r>
      <w:r>
        <w:rPr>
          <w:rFonts w:ascii="Arial" w:cs="Arial" w:eastAsia="Arial" w:hAnsi="Arial"/>
          <w:sz w:val="20"/>
          <w:szCs w:val="20"/>
          <w:color w:val="161616"/>
        </w:rPr>
        <w:t>. You agree that you will direct any and all prospective employers seeking a reference from the Company to contact only persons employed in the Company's Human Resources Department. The Human Resources Department shall provide a neutral reference only (dates of employment and title of last position held).</w:t>
      </w:r>
    </w:p>
    <w:p>
      <w:pPr>
        <w:spacing w:after="0" w:line="195" w:lineRule="exact"/>
        <w:rPr>
          <w:rFonts w:ascii="Arial" w:cs="Arial" w:eastAsia="Arial" w:hAnsi="Arial"/>
          <w:sz w:val="20"/>
          <w:szCs w:val="20"/>
          <w:color w:val="161616"/>
        </w:rPr>
      </w:pPr>
    </w:p>
    <w:p>
      <w:pPr>
        <w:ind w:left="960" w:hanging="304"/>
        <w:spacing w:after="0"/>
        <w:tabs>
          <w:tab w:leader="none" w:pos="960" w:val="left"/>
        </w:tabs>
        <w:numPr>
          <w:ilvl w:val="0"/>
          <w:numId w:val="51"/>
        </w:numPr>
        <w:rPr>
          <w:rFonts w:ascii="Arial" w:cs="Arial" w:eastAsia="Arial" w:hAnsi="Arial"/>
          <w:sz w:val="18"/>
          <w:szCs w:val="18"/>
          <w:color w:val="161616"/>
        </w:rPr>
      </w:pPr>
      <w:r>
        <w:rPr>
          <w:rFonts w:ascii="Arial" w:cs="Arial" w:eastAsia="Arial" w:hAnsi="Arial"/>
          <w:sz w:val="18"/>
          <w:szCs w:val="18"/>
          <w:u w:val="single" w:color="auto"/>
          <w:color w:val="161616"/>
        </w:rPr>
        <w:t>Governing Law</w:t>
      </w:r>
      <w:r>
        <w:rPr>
          <w:rFonts w:ascii="Arial" w:cs="Arial" w:eastAsia="Arial" w:hAnsi="Arial"/>
          <w:sz w:val="18"/>
          <w:szCs w:val="18"/>
          <w:color w:val="161616"/>
        </w:rPr>
        <w:t>. This Agreement shall be governed by and construed in accordance with the laws of the State of New Jersey.</w:t>
      </w:r>
    </w:p>
    <w:p>
      <w:pPr>
        <w:spacing w:after="0" w:line="238" w:lineRule="exact"/>
        <w:rPr>
          <w:rFonts w:ascii="Arial" w:cs="Arial" w:eastAsia="Arial" w:hAnsi="Arial"/>
          <w:sz w:val="18"/>
          <w:szCs w:val="18"/>
          <w:color w:val="161616"/>
        </w:rPr>
      </w:pPr>
    </w:p>
    <w:p>
      <w:pPr>
        <w:ind w:right="260" w:firstLine="656"/>
        <w:spacing w:after="0" w:line="260" w:lineRule="auto"/>
        <w:tabs>
          <w:tab w:leader="none" w:pos="945" w:val="left"/>
        </w:tabs>
        <w:numPr>
          <w:ilvl w:val="0"/>
          <w:numId w:val="51"/>
        </w:numPr>
        <w:rPr>
          <w:rFonts w:ascii="Arial" w:cs="Arial" w:eastAsia="Arial" w:hAnsi="Arial"/>
          <w:sz w:val="18"/>
          <w:szCs w:val="18"/>
          <w:color w:val="161616"/>
        </w:rPr>
      </w:pPr>
      <w:r>
        <w:rPr>
          <w:rFonts w:ascii="Arial" w:cs="Arial" w:eastAsia="Arial" w:hAnsi="Arial"/>
          <w:sz w:val="18"/>
          <w:szCs w:val="18"/>
          <w:u w:val="single" w:color="auto"/>
          <w:color w:val="161616"/>
        </w:rPr>
        <w:t>Statement of Non-Admission</w:t>
      </w:r>
      <w:r>
        <w:rPr>
          <w:rFonts w:ascii="Arial" w:cs="Arial" w:eastAsia="Arial" w:hAnsi="Arial"/>
          <w:sz w:val="18"/>
          <w:szCs w:val="18"/>
          <w:color w:val="161616"/>
        </w:rPr>
        <w:t>. Nothing in this Agreement is intended as or shall be construed as an admission or concession of liability or wrongdoing by the Company or any other Releasee as defined above, or by you. Rather, the proposed Agreement is being offered for the sole purpose of settling cooperatively and amicably any and all possible disputes between the parties.</w:t>
      </w:r>
    </w:p>
    <w:p>
      <w:pPr>
        <w:spacing w:after="0" w:line="178" w:lineRule="exact"/>
        <w:rPr>
          <w:rFonts w:ascii="Arial" w:cs="Arial" w:eastAsia="Arial" w:hAnsi="Arial"/>
          <w:sz w:val="18"/>
          <w:szCs w:val="18"/>
          <w:color w:val="161616"/>
        </w:rPr>
      </w:pPr>
    </w:p>
    <w:p>
      <w:pPr>
        <w:ind w:firstLine="656"/>
        <w:spacing w:after="0" w:line="244" w:lineRule="auto"/>
        <w:tabs>
          <w:tab w:leader="none" w:pos="945" w:val="left"/>
        </w:tabs>
        <w:numPr>
          <w:ilvl w:val="0"/>
          <w:numId w:val="51"/>
        </w:numPr>
        <w:rPr>
          <w:rFonts w:ascii="Arial" w:cs="Arial" w:eastAsia="Arial" w:hAnsi="Arial"/>
          <w:sz w:val="18"/>
          <w:szCs w:val="18"/>
          <w:color w:val="161616"/>
        </w:rPr>
      </w:pPr>
      <w:r>
        <w:rPr>
          <w:rFonts w:ascii="Arial" w:cs="Arial" w:eastAsia="Arial" w:hAnsi="Arial"/>
          <w:sz w:val="18"/>
          <w:szCs w:val="18"/>
          <w:u w:val="single" w:color="auto"/>
          <w:color w:val="161616"/>
        </w:rPr>
        <w:t>Interpretation of Agreement</w:t>
      </w:r>
      <w:r>
        <w:rPr>
          <w:rFonts w:ascii="Arial" w:cs="Arial" w:eastAsia="Arial" w:hAnsi="Arial"/>
          <w:sz w:val="18"/>
          <w:szCs w:val="18"/>
          <w:color w:val="161616"/>
        </w:rPr>
        <w:t>. Nothing in this Agreement is intended to violate any law or shall be interpreted to violate any law. If any part of this Agreement or the application thereof is construed to be overbroad and/or unenforceable, then the court making such determination shall have the authority to narrow the part as necessary to make it enforceable and the part(s) shall then be enforceable in its/their narrowed form. Moreover, each paragraph, part, or subpart of each paragraph in this Agreement is independent of and severable (separate) from each other. In the event that any part of this Agreement shall be found to be unenforceable or invalid by a court and is not modified by a court to be enforceable, the remaining provisions shall not be affected and shall continue to be binding.</w:t>
      </w:r>
    </w:p>
    <w:p>
      <w:pPr>
        <w:spacing w:after="0" w:line="195" w:lineRule="exact"/>
        <w:rPr>
          <w:rFonts w:ascii="Arial" w:cs="Arial" w:eastAsia="Arial" w:hAnsi="Arial"/>
          <w:sz w:val="18"/>
          <w:szCs w:val="18"/>
          <w:color w:val="161616"/>
        </w:rPr>
      </w:pPr>
    </w:p>
    <w:p>
      <w:pPr>
        <w:ind w:right="180" w:firstLine="656"/>
        <w:spacing w:after="0" w:line="223" w:lineRule="auto"/>
        <w:tabs>
          <w:tab w:leader="none" w:pos="945" w:val="left"/>
        </w:tabs>
        <w:numPr>
          <w:ilvl w:val="0"/>
          <w:numId w:val="51"/>
        </w:numPr>
        <w:rPr>
          <w:rFonts w:ascii="Arial" w:cs="Arial" w:eastAsia="Arial" w:hAnsi="Arial"/>
          <w:sz w:val="20"/>
          <w:szCs w:val="20"/>
          <w:color w:val="161616"/>
        </w:rPr>
      </w:pPr>
      <w:r>
        <w:rPr>
          <w:rFonts w:ascii="Arial" w:cs="Arial" w:eastAsia="Arial" w:hAnsi="Arial"/>
          <w:sz w:val="20"/>
          <w:szCs w:val="20"/>
          <w:u w:val="single" w:color="auto"/>
          <w:color w:val="161616"/>
        </w:rPr>
        <w:t>Entire Agreement</w:t>
      </w:r>
      <w:r>
        <w:rPr>
          <w:rFonts w:ascii="Arial" w:cs="Arial" w:eastAsia="Arial" w:hAnsi="Arial"/>
          <w:sz w:val="20"/>
          <w:szCs w:val="20"/>
          <w:color w:val="161616"/>
        </w:rPr>
        <w:t>. This Agreement constitutes the entire agreement between the parties and supersedes any and all prior representations, agreements, written or oral, expressed or implied, except for those set forth in Paragraph l(f) above, which survive the termination of your employment and are incorporated herein by reference. This Agreement may not be modified or amended other than by an agreement in writing signed by an officer of the Company.</w:t>
      </w:r>
    </w:p>
    <w:p>
      <w:pPr>
        <w:spacing w:after="0" w:line="198" w:lineRule="exact"/>
        <w:rPr>
          <w:rFonts w:ascii="Arial" w:cs="Arial" w:eastAsia="Arial" w:hAnsi="Arial"/>
          <w:sz w:val="20"/>
          <w:szCs w:val="20"/>
          <w:color w:val="161616"/>
        </w:rPr>
      </w:pPr>
    </w:p>
    <w:p>
      <w:pPr>
        <w:ind w:right="40" w:firstLine="656"/>
        <w:spacing w:after="0" w:line="243" w:lineRule="auto"/>
        <w:tabs>
          <w:tab w:leader="none" w:pos="945" w:val="left"/>
        </w:tabs>
        <w:numPr>
          <w:ilvl w:val="0"/>
          <w:numId w:val="51"/>
        </w:numPr>
        <w:rPr>
          <w:rFonts w:ascii="Arial" w:cs="Arial" w:eastAsia="Arial" w:hAnsi="Arial"/>
          <w:sz w:val="18"/>
          <w:szCs w:val="18"/>
          <w:color w:val="161616"/>
        </w:rPr>
      </w:pPr>
      <w:r>
        <w:rPr>
          <w:rFonts w:ascii="Arial" w:cs="Arial" w:eastAsia="Arial" w:hAnsi="Arial"/>
          <w:sz w:val="18"/>
          <w:szCs w:val="18"/>
          <w:u w:val="single" w:color="auto"/>
          <w:color w:val="161616"/>
        </w:rPr>
        <w:t>Representations</w:t>
      </w:r>
      <w:r>
        <w:rPr>
          <w:rFonts w:ascii="Arial" w:cs="Arial" w:eastAsia="Arial" w:hAnsi="Arial"/>
          <w:sz w:val="18"/>
          <w:szCs w:val="18"/>
          <w:color w:val="161616"/>
        </w:rPr>
        <w:t>. You agree and represent that: (a) you have read carefully the terms of this Agreement, including the General Release; (b) you have had an opportunity to and have been encouraged to review this Agreement, including the General Release, with an attorney; (c) you understand the meaning and effect of the terms of this Agreement, including the General Release; (d) you were given twenty-one (21) days to determine whether you wished to sign this Agreement; (e) your decision to sign this Agreement, including the General Release, is of your own free and voluntary act without compulsion of any kind; (f) no promise or inducement not expressed in this Agreement has been made to you; (g) you understand that you are waiving your Claims as set forth in Paragraph 3 above, including, but not limited to, any Claims for age discrimination under the Age Discrimination in Employment Act; and (h) you</w:t>
      </w:r>
    </w:p>
    <w:p>
      <w:pPr>
        <w:sectPr>
          <w:pgSz w:w="11900" w:h="16838" w:orient="portrait"/>
          <w:cols w:equalWidth="0" w:num="1">
            <w:col w:w="11400"/>
          </w:cols>
          <w:pgMar w:left="240" w:top="609" w:right="259"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161616"/>
        </w:rPr>
        <w:t>Page 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161616"/>
        </w:rPr>
        <w:t>have adequate information to make a knowing and voluntary waiver of any and all Claims as set forth in Paragraph 3 above.</w:t>
      </w:r>
    </w:p>
    <w:p>
      <w:pPr>
        <w:spacing w:after="0" w:line="216" w:lineRule="exact"/>
        <w:rPr>
          <w:sz w:val="20"/>
          <w:szCs w:val="20"/>
          <w:color w:val="auto"/>
        </w:rPr>
      </w:pPr>
    </w:p>
    <w:p>
      <w:pPr>
        <w:ind w:right="40" w:firstLine="656"/>
        <w:spacing w:after="0" w:line="241" w:lineRule="auto"/>
        <w:tabs>
          <w:tab w:leader="none" w:pos="945" w:val="left"/>
        </w:tabs>
        <w:numPr>
          <w:ilvl w:val="1"/>
          <w:numId w:val="52"/>
        </w:numPr>
        <w:rPr>
          <w:rFonts w:ascii="Arial" w:cs="Arial" w:eastAsia="Arial" w:hAnsi="Arial"/>
          <w:sz w:val="18"/>
          <w:szCs w:val="18"/>
          <w:color w:val="161616"/>
        </w:rPr>
      </w:pPr>
      <w:r>
        <w:rPr>
          <w:rFonts w:ascii="Arial" w:cs="Arial" w:eastAsia="Arial" w:hAnsi="Arial"/>
          <w:sz w:val="18"/>
          <w:szCs w:val="18"/>
          <w:u w:val="single" w:color="auto"/>
          <w:color w:val="161616"/>
        </w:rPr>
        <w:t>Revocation Period</w:t>
      </w:r>
      <w:r>
        <w:rPr>
          <w:rFonts w:ascii="Arial" w:cs="Arial" w:eastAsia="Arial" w:hAnsi="Arial"/>
          <w:sz w:val="18"/>
          <w:szCs w:val="18"/>
          <w:color w:val="161616"/>
        </w:rPr>
        <w:t>. If you sign this Agreement, you will retain the right to revoke it for seven (7) days. This Agreement is not effective or enforceable until after the Revocation Period has expired without your having revoked it. To revoke this Agreement, you must send a certified letter to my attention at the following address: 1 Campbell Place, Camden, NJ 08103. The letter must be post-marked within seven</w:t>
      </w:r>
    </w:p>
    <w:p>
      <w:pPr>
        <w:jc w:val="both"/>
        <w:ind w:right="420" w:firstLine="8"/>
        <w:spacing w:after="0" w:line="234" w:lineRule="auto"/>
        <w:tabs>
          <w:tab w:leader="none" w:pos="280" w:val="left"/>
        </w:tabs>
        <w:numPr>
          <w:ilvl w:val="0"/>
          <w:numId w:val="53"/>
        </w:numPr>
        <w:rPr>
          <w:rFonts w:ascii="Arial" w:cs="Arial" w:eastAsia="Arial" w:hAnsi="Arial"/>
          <w:sz w:val="19"/>
          <w:szCs w:val="19"/>
          <w:color w:val="161616"/>
        </w:rPr>
      </w:pPr>
      <w:r>
        <w:rPr>
          <w:rFonts w:ascii="Arial" w:cs="Arial" w:eastAsia="Arial" w:hAnsi="Arial"/>
          <w:sz w:val="19"/>
          <w:szCs w:val="19"/>
          <w:color w:val="161616"/>
        </w:rPr>
        <w:t>days of your execution of this Agreement. If the seventh day is a Sunday or federal holiday, then the letter must be post-marked on the following business day. If you revoke this Agreement on a timely basis, you are indicating that you do not want to be legally bound by this Agreement and, as a result, you shall not be eligible for the Severance Benefits set forth in Paragraph 2.</w:t>
      </w:r>
    </w:p>
    <w:p>
      <w:pPr>
        <w:spacing w:after="0" w:line="195" w:lineRule="exact"/>
        <w:rPr>
          <w:rFonts w:ascii="Arial" w:cs="Arial" w:eastAsia="Arial" w:hAnsi="Arial"/>
          <w:sz w:val="19"/>
          <w:szCs w:val="19"/>
          <w:color w:val="161616"/>
        </w:rPr>
      </w:pPr>
    </w:p>
    <w:p>
      <w:pPr>
        <w:ind w:firstLine="656"/>
        <w:spacing w:after="0"/>
        <w:tabs>
          <w:tab w:leader="none" w:pos="945" w:val="left"/>
        </w:tabs>
        <w:numPr>
          <w:ilvl w:val="1"/>
          <w:numId w:val="53"/>
        </w:numPr>
        <w:rPr>
          <w:rFonts w:ascii="Arial" w:cs="Arial" w:eastAsia="Arial" w:hAnsi="Arial"/>
          <w:sz w:val="18"/>
          <w:szCs w:val="18"/>
          <w:color w:val="161616"/>
        </w:rPr>
      </w:pPr>
      <w:r>
        <w:rPr>
          <w:rFonts w:ascii="Arial" w:cs="Arial" w:eastAsia="Arial" w:hAnsi="Arial"/>
          <w:sz w:val="18"/>
          <w:szCs w:val="18"/>
          <w:u w:val="single" w:color="auto"/>
          <w:color w:val="161616"/>
        </w:rPr>
        <w:t>Cooperation</w:t>
      </w:r>
      <w:r>
        <w:rPr>
          <w:rFonts w:ascii="Arial" w:cs="Arial" w:eastAsia="Arial" w:hAnsi="Arial"/>
          <w:sz w:val="18"/>
          <w:szCs w:val="18"/>
          <w:color w:val="161616"/>
        </w:rPr>
        <w:t>. Prior to the Termination Date, you agree to reasonably cooperate in a timely and good faith manner, provided such cooperation is not adverse to your legal interests, with all reasonable requests for assistance made by the Company relating directly or indirectly to all matters which occurred during the course of your employment with the Company, with which you were involved prior to the termination of your employment, or with which you became aware of during the course of your employment. In addition, taking into account your business and personal commitments and provided such cooperation is not adverse to your legal interests, you agree to reasonably cooperate in a timely and good faith manner, subsequent to the Termination Date, with all reasonable requests for assistance made by the Company, relating directly or indirectly to all investigations, legal claims or any regulatory matter, as well as any matter, project or initiative, which occurred during the course of your employment with the Company, with which you were involved prior to the termination of your employment, or with which you became aware of during the course of your employment. Upon submission of proper documentation, the Company will reimburse you for all reasonable expenses you incur as a result of such requests for assistance, if any.</w:t>
      </w:r>
    </w:p>
    <w:p>
      <w:pPr>
        <w:spacing w:after="0" w:line="199" w:lineRule="exact"/>
        <w:rPr>
          <w:rFonts w:ascii="Arial" w:cs="Arial" w:eastAsia="Arial" w:hAnsi="Arial"/>
          <w:sz w:val="18"/>
          <w:szCs w:val="18"/>
          <w:color w:val="161616"/>
        </w:rPr>
      </w:pPr>
    </w:p>
    <w:p>
      <w:pPr>
        <w:ind w:right="160" w:firstLine="656"/>
        <w:spacing w:after="0" w:line="221" w:lineRule="auto"/>
        <w:tabs>
          <w:tab w:leader="none" w:pos="945" w:val="left"/>
        </w:tabs>
        <w:numPr>
          <w:ilvl w:val="1"/>
          <w:numId w:val="53"/>
        </w:numPr>
        <w:rPr>
          <w:rFonts w:ascii="Arial" w:cs="Arial" w:eastAsia="Arial" w:hAnsi="Arial"/>
          <w:sz w:val="20"/>
          <w:szCs w:val="20"/>
          <w:color w:val="161616"/>
        </w:rPr>
      </w:pPr>
      <w:r>
        <w:rPr>
          <w:rFonts w:ascii="Arial" w:cs="Arial" w:eastAsia="Arial" w:hAnsi="Arial"/>
          <w:sz w:val="20"/>
          <w:szCs w:val="20"/>
          <w:u w:val="single" w:color="auto"/>
          <w:color w:val="161616"/>
        </w:rPr>
        <w:t>Offer Expiration Date</w:t>
      </w:r>
      <w:r>
        <w:rPr>
          <w:rFonts w:ascii="Arial" w:cs="Arial" w:eastAsia="Arial" w:hAnsi="Arial"/>
          <w:sz w:val="20"/>
          <w:szCs w:val="20"/>
          <w:color w:val="161616"/>
        </w:rPr>
        <w:t>. In order for you to receive the Severance Benefits set forth in Paragraph 2 above, there is an important deadline you must meet. As noted above, you have twenty-one (21) days, until December 11, 2019, to decide whether you wish to sign this Agreement. If you wish, you can (but are not required to) sign the Agreement before the twenty one (21) day period has expired. However, if you do not sign this Agreement by December 11, 2019, then this offer is withdrawn and you will not be eligible for the Severance Benefits set forth in Paragraph 2 above.</w:t>
      </w:r>
    </w:p>
    <w:p>
      <w:pPr>
        <w:spacing w:after="0" w:line="197" w:lineRule="exact"/>
        <w:rPr>
          <w:rFonts w:ascii="Arial" w:cs="Arial" w:eastAsia="Arial" w:hAnsi="Arial"/>
          <w:sz w:val="20"/>
          <w:szCs w:val="20"/>
          <w:color w:val="161616"/>
        </w:rPr>
      </w:pPr>
    </w:p>
    <w:p>
      <w:pPr>
        <w:ind w:right="280" w:firstLine="656"/>
        <w:spacing w:after="0" w:line="228" w:lineRule="auto"/>
        <w:tabs>
          <w:tab w:leader="none" w:pos="945" w:val="left"/>
        </w:tabs>
        <w:numPr>
          <w:ilvl w:val="1"/>
          <w:numId w:val="53"/>
        </w:numPr>
        <w:rPr>
          <w:rFonts w:ascii="Arial" w:cs="Arial" w:eastAsia="Arial" w:hAnsi="Arial"/>
          <w:sz w:val="20"/>
          <w:szCs w:val="20"/>
          <w:color w:val="161616"/>
        </w:rPr>
      </w:pPr>
      <w:r>
        <w:rPr>
          <w:rFonts w:ascii="Arial" w:cs="Arial" w:eastAsia="Arial" w:hAnsi="Arial"/>
          <w:sz w:val="20"/>
          <w:szCs w:val="20"/>
          <w:u w:val="single" w:color="auto"/>
          <w:color w:val="161616"/>
        </w:rPr>
        <w:t>Addendum</w:t>
      </w:r>
      <w:r>
        <w:rPr>
          <w:rFonts w:ascii="Arial" w:cs="Arial" w:eastAsia="Arial" w:hAnsi="Arial"/>
          <w:sz w:val="20"/>
          <w:szCs w:val="20"/>
          <w:color w:val="161616"/>
        </w:rPr>
        <w:t>. You may be eligible for payments under an Annual Incentive Plan, Sales Incentive Plan and/or the Long-Term Incentive Plan. The attached Addendum to this Agreement sets forth the terms and conditions of your eligibility, if any, as well as your other entitlements.</w:t>
      </w:r>
    </w:p>
    <w:p>
      <w:pPr>
        <w:spacing w:after="0" w:line="195" w:lineRule="exact"/>
        <w:rPr>
          <w:rFonts w:ascii="Arial" w:cs="Arial" w:eastAsia="Arial" w:hAnsi="Arial"/>
          <w:sz w:val="20"/>
          <w:szCs w:val="20"/>
          <w:color w:val="161616"/>
        </w:rPr>
      </w:pPr>
    </w:p>
    <w:p>
      <w:pPr>
        <w:ind w:right="840" w:firstLine="656"/>
        <w:spacing w:after="0" w:line="228" w:lineRule="auto"/>
        <w:tabs>
          <w:tab w:leader="none" w:pos="945" w:val="left"/>
        </w:tabs>
        <w:numPr>
          <w:ilvl w:val="1"/>
          <w:numId w:val="53"/>
        </w:numPr>
        <w:rPr>
          <w:rFonts w:ascii="Arial" w:cs="Arial" w:eastAsia="Arial" w:hAnsi="Arial"/>
          <w:sz w:val="20"/>
          <w:szCs w:val="20"/>
          <w:color w:val="161616"/>
        </w:rPr>
      </w:pPr>
      <w:r>
        <w:rPr>
          <w:rFonts w:ascii="Arial" w:cs="Arial" w:eastAsia="Arial" w:hAnsi="Arial"/>
          <w:sz w:val="20"/>
          <w:szCs w:val="20"/>
          <w:u w:val="single" w:color="auto"/>
          <w:color w:val="161616"/>
        </w:rPr>
        <w:t>Indemnification/D&amp;O Insurance Coverage</w:t>
      </w:r>
      <w:r>
        <w:rPr>
          <w:rFonts w:ascii="Arial" w:cs="Arial" w:eastAsia="Arial" w:hAnsi="Arial"/>
          <w:sz w:val="20"/>
          <w:szCs w:val="20"/>
          <w:color w:val="161616"/>
        </w:rPr>
        <w:t>. The Company confirms that you are covered under the indemnification (and advancement of expenses) provisions of the Company's by-laws and you shall be covered for acts or omissions occurring during your employment under</w:t>
      </w:r>
    </w:p>
    <w:p>
      <w:pPr>
        <w:sectPr>
          <w:pgSz w:w="11900" w:h="16838" w:orient="portrait"/>
          <w:cols w:equalWidth="0" w:num="1">
            <w:col w:w="11420"/>
          </w:cols>
          <w:pgMar w:left="240" w:top="609" w:right="239"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161616"/>
        </w:rPr>
        <w:t>Page 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161616"/>
        </w:rPr>
        <w:t>the Company's directors' and officers' insurance policies to the extent you are covered under such policies.</w:t>
      </w:r>
    </w:p>
    <w:p>
      <w:pPr>
        <w:spacing w:after="0" w:line="216" w:lineRule="exact"/>
        <w:rPr>
          <w:sz w:val="20"/>
          <w:szCs w:val="20"/>
          <w:color w:val="auto"/>
        </w:rPr>
      </w:pPr>
    </w:p>
    <w:p>
      <w:pPr>
        <w:ind w:right="100" w:firstLine="656"/>
        <w:spacing w:after="0" w:line="235" w:lineRule="auto"/>
        <w:tabs>
          <w:tab w:leader="none" w:pos="945" w:val="left"/>
        </w:tabs>
        <w:numPr>
          <w:ilvl w:val="0"/>
          <w:numId w:val="54"/>
        </w:numPr>
        <w:rPr>
          <w:rFonts w:ascii="Arial" w:cs="Arial" w:eastAsia="Arial" w:hAnsi="Arial"/>
          <w:sz w:val="19"/>
          <w:szCs w:val="19"/>
          <w:color w:val="161616"/>
        </w:rPr>
      </w:pPr>
      <w:r>
        <w:rPr>
          <w:rFonts w:ascii="Arial" w:cs="Arial" w:eastAsia="Arial" w:hAnsi="Arial"/>
          <w:sz w:val="19"/>
          <w:szCs w:val="19"/>
          <w:u w:val="single" w:color="auto"/>
          <w:color w:val="161616"/>
        </w:rPr>
        <w:t>280G</w:t>
      </w:r>
      <w:r>
        <w:rPr>
          <w:rFonts w:ascii="Arial" w:cs="Arial" w:eastAsia="Arial" w:hAnsi="Arial"/>
          <w:sz w:val="19"/>
          <w:szCs w:val="19"/>
          <w:color w:val="161616"/>
        </w:rPr>
        <w:t>. The parties agree and acknowledge that the termination of your employment was not in connection with a change in control and, as such, agree to use reasonable efforts to rebut any such presumption under the Code. Notwithstanding the foregoing, if we are not successful in rebutting such presumption, then the provisions in your Severance Protection Agreement relating to a gross up for any excise taxes, interest or penalties imposed on you under Section 4999 of the Code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40"/>
        <w:spacing w:after="0"/>
        <w:rPr>
          <w:sz w:val="20"/>
          <w:szCs w:val="20"/>
          <w:color w:val="auto"/>
        </w:rPr>
      </w:pPr>
      <w:r>
        <w:rPr>
          <w:rFonts w:ascii="Arial" w:cs="Arial" w:eastAsia="Arial" w:hAnsi="Arial"/>
          <w:sz w:val="20"/>
          <w:szCs w:val="20"/>
          <w:color w:val="161616"/>
        </w:rPr>
        <w:t>* * *</w:t>
      </w:r>
    </w:p>
    <w:p>
      <w:pPr>
        <w:ind w:firstLine="776"/>
        <w:spacing w:after="0" w:line="228" w:lineRule="auto"/>
        <w:rPr>
          <w:sz w:val="20"/>
          <w:szCs w:val="20"/>
          <w:color w:val="auto"/>
        </w:rPr>
      </w:pPr>
      <w:r>
        <w:rPr>
          <w:rFonts w:ascii="Arial" w:cs="Arial" w:eastAsia="Arial" w:hAnsi="Arial"/>
          <w:sz w:val="20"/>
          <w:szCs w:val="20"/>
          <w:color w:val="161616"/>
        </w:rPr>
        <w:t>If you agree with the all of the terms of this Agreement, please sign below, indicating that you understand, agree with and intend to be legally bound by this Agreement, including the General Release, and return the signed Agreement to me.</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20"/>
          <w:szCs w:val="20"/>
          <w:color w:val="161616"/>
        </w:rPr>
        <w:t>We wish you the best in the future.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20"/>
          <w:szCs w:val="20"/>
          <w:color w:val="181818"/>
        </w:rPr>
        <w:t>Sincerely,</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20"/>
          <w:szCs w:val="20"/>
          <w:color w:val="181818"/>
        </w:rPr>
        <w:t>/s/ Xavier Boza</w:t>
      </w:r>
    </w:p>
    <w:p>
      <w:pPr>
        <w:spacing w:after="0" w:line="2" w:lineRule="exact"/>
        <w:rPr>
          <w:sz w:val="20"/>
          <w:szCs w:val="20"/>
          <w:color w:val="auto"/>
        </w:rPr>
      </w:pPr>
    </w:p>
    <w:p>
      <w:pPr>
        <w:ind w:left="4660"/>
        <w:spacing w:after="0"/>
        <w:rPr>
          <w:sz w:val="20"/>
          <w:szCs w:val="20"/>
          <w:color w:val="auto"/>
        </w:rPr>
      </w:pPr>
      <w:r>
        <w:rPr>
          <w:rFonts w:ascii="Arial" w:cs="Arial" w:eastAsia="Arial" w:hAnsi="Arial"/>
          <w:sz w:val="20"/>
          <w:szCs w:val="20"/>
          <w:color w:val="181818"/>
        </w:rPr>
        <w:t>Xavier Boza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181818"/>
        </w:rPr>
        <w:t>UNDERSTOOD AND AGREED, INTENDING TO BE LEGALLY BOUND:</w:t>
      </w:r>
    </w:p>
    <w:p>
      <w:pPr>
        <w:spacing w:after="0" w:line="229"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u w:val="single" w:color="auto"/>
          <w:color w:val="auto"/>
        </w:rPr>
        <w:t>/s/ Anthony DiSilvestro</w:t>
      </w:r>
      <w:r>
        <w:rPr>
          <w:sz w:val="20"/>
          <w:szCs w:val="20"/>
          <w:color w:val="auto"/>
        </w:rPr>
        <w:tab/>
      </w:r>
      <w:r>
        <w:rPr>
          <w:rFonts w:ascii="Arial" w:cs="Arial" w:eastAsia="Arial" w:hAnsi="Arial"/>
          <w:sz w:val="16"/>
          <w:szCs w:val="16"/>
          <w:u w:val="single" w:color="auto"/>
          <w:color w:val="auto"/>
        </w:rPr>
        <w:t>November 25, 2019</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181818"/>
        </w:rPr>
        <w:t>Anthony DiSilvestro Date</w:t>
      </w:r>
    </w:p>
    <w:p>
      <w:pPr>
        <w:sectPr>
          <w:pgSz w:w="11900" w:h="16838" w:orient="portrait"/>
          <w:cols w:equalWidth="0" w:num="1">
            <w:col w:w="11400"/>
          </w:cols>
          <w:pgMar w:left="240" w:top="609" w:right="25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Anthony DiSilvestro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20, 2019</w:t>
      </w: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Addendum</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Information regarding Annual Incentive Plan eligibility and the treatment upon termination of outstanding unvested Restricted Stock Units and Performance Restricted Stock Units previously granted to Mr. DiSilvestro under the Campbell Soup Company 2015 Long-Term Incentive Plan (“2015 LTIP”) and stock options granted under the 2015 LTIP and the Campbell Soup Company 2005 Long-Term Incentive Plan has been omitted. We agree to furnish to the U.S. Securities and Exchange Commission or its staff a copy of the omitted addendum upon request.</w:t>
      </w:r>
    </w:p>
    <w:p>
      <w:pPr>
        <w:sectPr>
          <w:pgSz w:w="11900" w:h="16838" w:orient="portrait"/>
          <w:cols w:equalWidth="0" w:num="1">
            <w:col w:w="11340"/>
          </w:cols>
          <w:pgMar w:left="240" w:top="609" w:right="3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89"/>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11"/>
        <w:spacing w:after="0" w:line="342" w:lineRule="auto"/>
        <w:tabs>
          <w:tab w:leader="none" w:pos="383"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20" w:firstLine="211"/>
        <w:spacing w:after="0" w:line="277" w:lineRule="auto"/>
        <w:tabs>
          <w:tab w:leader="none" w:pos="3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11"/>
        <w:spacing w:after="0" w:line="264" w:lineRule="auto"/>
        <w:tabs>
          <w:tab w:leader="none" w:pos="3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54"/>
        <w:spacing w:after="0" w:line="264" w:lineRule="auto"/>
        <w:tabs>
          <w:tab w:leader="none" w:pos="63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54"/>
        <w:spacing w:after="0" w:line="264" w:lineRule="auto"/>
        <w:tabs>
          <w:tab w:leader="none" w:pos="64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20" w:firstLine="454"/>
        <w:spacing w:after="0" w:line="277" w:lineRule="auto"/>
        <w:tabs>
          <w:tab w:leader="none" w:pos="631"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60" w:firstLine="454"/>
        <w:spacing w:after="0" w:line="264" w:lineRule="auto"/>
        <w:tabs>
          <w:tab w:leader="none" w:pos="641"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60" w:firstLine="211"/>
        <w:spacing w:after="0" w:line="308" w:lineRule="auto"/>
        <w:tabs>
          <w:tab w:leader="none" w:pos="3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60" w:firstLine="454"/>
        <w:spacing w:after="0" w:line="277" w:lineRule="auto"/>
        <w:tabs>
          <w:tab w:leader="none" w:pos="63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454"/>
        <w:spacing w:after="0" w:line="277" w:lineRule="auto"/>
        <w:tabs>
          <w:tab w:leader="none" w:pos="641"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252" w:lineRule="exact"/>
        <w:rPr>
          <w:sz w:val="20"/>
          <w:szCs w:val="20"/>
          <w:color w:val="auto"/>
        </w:rPr>
      </w:pPr>
    </w:p>
    <w:p>
      <w:pPr>
        <w:ind w:left="4260"/>
        <w:spacing w:after="0"/>
        <w:tabs>
          <w:tab w:leader="none" w:pos="4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31750</wp:posOffset>
            </wp:positionV>
            <wp:extent cx="3224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p>
      <w:pPr>
        <w:spacing w:after="0" w:line="77"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180" w:space="340"/>
            <w:col w:w="5900"/>
          </w:cols>
          <w:pgMar w:left="240" w:top="891" w:right="23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080" w:space="440"/>
            <w:col w:w="5900"/>
          </w:cols>
          <w:pgMar w:left="240" w:top="891" w:right="23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Mick Beekhuizen, certify that:</w:t>
      </w:r>
    </w:p>
    <w:p>
      <w:pPr>
        <w:spacing w:after="0" w:line="171" w:lineRule="exact"/>
        <w:rPr>
          <w:sz w:val="20"/>
          <w:szCs w:val="20"/>
          <w:color w:val="auto"/>
        </w:rPr>
      </w:pPr>
    </w:p>
    <w:p>
      <w:pPr>
        <w:ind w:left="400" w:hanging="189"/>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11"/>
        <w:spacing w:after="0" w:line="342" w:lineRule="auto"/>
        <w:tabs>
          <w:tab w:leader="none" w:pos="383"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20" w:firstLine="211"/>
        <w:spacing w:after="0" w:line="277" w:lineRule="auto"/>
        <w:tabs>
          <w:tab w:leader="none" w:pos="3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11"/>
        <w:spacing w:after="0" w:line="264" w:lineRule="auto"/>
        <w:tabs>
          <w:tab w:leader="none" w:pos="37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54"/>
        <w:spacing w:after="0" w:line="264" w:lineRule="auto"/>
        <w:tabs>
          <w:tab w:leader="none" w:pos="6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54"/>
        <w:spacing w:after="0" w:line="264" w:lineRule="auto"/>
        <w:tabs>
          <w:tab w:leader="none" w:pos="64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20" w:firstLine="454"/>
        <w:spacing w:after="0" w:line="277" w:lineRule="auto"/>
        <w:tabs>
          <w:tab w:leader="none" w:pos="6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60" w:firstLine="454"/>
        <w:spacing w:after="0" w:line="264" w:lineRule="auto"/>
        <w:tabs>
          <w:tab w:leader="none" w:pos="641"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60" w:firstLine="211"/>
        <w:spacing w:after="0" w:line="308" w:lineRule="auto"/>
        <w:tabs>
          <w:tab w:leader="none" w:pos="37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60" w:firstLine="454"/>
        <w:spacing w:after="0" w:line="277" w:lineRule="auto"/>
        <w:tabs>
          <w:tab w:leader="none" w:pos="6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454"/>
        <w:spacing w:after="0" w:line="277" w:lineRule="auto"/>
        <w:tabs>
          <w:tab w:leader="none" w:pos="641"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63"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31984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57"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Mick Beekhuizen</w:t>
      </w:r>
    </w:p>
    <w:p>
      <w:pPr>
        <w:spacing w:after="0" w:line="63" w:lineRule="exact"/>
        <w:rPr>
          <w:sz w:val="20"/>
          <w:szCs w:val="20"/>
          <w:color w:val="auto"/>
        </w:rPr>
      </w:pPr>
    </w:p>
    <w:p>
      <w:pPr>
        <w:ind w:left="4680"/>
        <w:spacing w:after="0"/>
        <w:tabs>
          <w:tab w:leader="none" w:pos="5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89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firstLine="203"/>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26, 2020 (the “Report”), I, Mark A. Clouse,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4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6"/>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63"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31984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p>
      <w:pPr>
        <w:spacing w:after="0" w:line="77"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160" w:space="340"/>
            <w:col w:w="5920"/>
          </w:cols>
          <w:pgMar w:left="240" w:top="891" w:right="239" w:bottom="1440" w:gutter="0" w:footer="0" w:header="0"/>
          <w:type w:val="continuous"/>
        </w:sectPr>
      </w:pPr>
    </w:p>
    <w:p>
      <w:pPr>
        <w:ind w:left="46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5060" w:space="440"/>
            <w:col w:w="5920"/>
          </w:cols>
          <w:pgMar w:left="240" w:top="89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891" w:right="2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firstLine="203"/>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26, 2020 (the “Report”), I, Mick Beekhuizen, Executive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4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6"/>
        <w:spacing w:after="0"/>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2020</w:t>
      </w:r>
    </w:p>
    <w:p>
      <w:pPr>
        <w:spacing w:after="0" w:line="63" w:lineRule="exact"/>
        <w:rPr>
          <w:sz w:val="20"/>
          <w:szCs w:val="20"/>
          <w:color w:val="auto"/>
        </w:rPr>
      </w:pPr>
    </w:p>
    <w:p>
      <w:pPr>
        <w:ind w:left="4240"/>
        <w:spacing w:after="0"/>
        <w:tabs>
          <w:tab w:leader="none" w:pos="4680" w:val="left"/>
        </w:tabs>
        <w:rPr>
          <w:sz w:val="20"/>
          <w:szCs w:val="20"/>
          <w:color w:val="auto"/>
        </w:rPr>
      </w:pPr>
      <w:r>
        <w:rPr>
          <w:rFonts w:ascii="Arial" w:cs="Arial" w:eastAsia="Arial" w:hAnsi="Arial"/>
          <w:sz w:val="18"/>
          <w:szCs w:val="18"/>
          <w:color w:val="auto"/>
        </w:rPr>
        <w:t>By:</w:t>
        <w:tab/>
        <w:t>/s/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31750</wp:posOffset>
            </wp:positionV>
            <wp:extent cx="32156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57" w:lineRule="exact"/>
        <w:rPr>
          <w:sz w:val="20"/>
          <w:szCs w:val="20"/>
          <w:color w:val="auto"/>
        </w:rPr>
      </w:pPr>
    </w:p>
    <w:p>
      <w:pPr>
        <w:ind w:left="4700"/>
        <w:spacing w:after="0"/>
        <w:tabs>
          <w:tab w:leader="none" w:pos="5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Mick Beekhuizen</w:t>
      </w:r>
    </w:p>
    <w:p>
      <w:pPr>
        <w:spacing w:after="0" w:line="63" w:lineRule="exact"/>
        <w:rPr>
          <w:sz w:val="20"/>
          <w:szCs w:val="20"/>
          <w:color w:val="auto"/>
        </w:rPr>
      </w:pPr>
    </w:p>
    <w:p>
      <w:pPr>
        <w:ind w:left="470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1."/>
      <w:numFmt w:val="decimal"/>
      <w:start w:val="2"/>
    </w:lvl>
  </w:abstractNum>
  <w:abstractNum w:abstractNumId="2">
    <w:nsid w:val="1E7FF521"/>
    <w:multiLevelType w:val="hybridMultilevel"/>
    <w:lvl w:ilvl="0">
      <w:lvlJc w:val="left"/>
      <w:lvlText w:val="%1."/>
      <w:numFmt w:val="decimal"/>
      <w:start w:val="3"/>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5"/>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2"/>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8"/>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2"/>
    </w:lvl>
  </w:abstractNum>
  <w:abstractNum w:abstractNumId="35">
    <w:nsid w:val="6DE91B18"/>
    <w:multiLevelType w:val="hybridMultilevel"/>
    <w:lvl w:ilvl="0">
      <w:lvlJc w:val="left"/>
      <w:lvlText w:val="%1"/>
      <w:numFmt w:val="decimal"/>
      <w:start w:val="104"/>
    </w:lvl>
  </w:abstractNum>
  <w:abstractNum w:abstractNumId="36">
    <w:nsid w:val="38437FDB"/>
    <w:multiLevelType w:val="hybridMultilevel"/>
    <w:lvl w:ilvl="0">
      <w:lvlJc w:val="left"/>
      <w:lvlText w:val="%1."/>
      <w:numFmt w:val="decimal"/>
      <w:start w:val="1"/>
    </w:lvl>
    <w:lvl w:ilvl="1">
      <w:lvlJc w:val="left"/>
      <w:lvlText w:val="(%2)"/>
      <w:numFmt w:val="lowerLetter"/>
      <w:start w:val="1"/>
    </w:lvl>
  </w:abstractNum>
  <w:abstractNum w:abstractNumId="37">
    <w:nsid w:val="7644A45C"/>
    <w:multiLevelType w:val="hybridMultilevel"/>
    <w:lvl w:ilvl="0">
      <w:lvlJc w:val="left"/>
      <w:lvlText w:val="%1"/>
      <w:numFmt w:val="decimal"/>
      <w:start w:val="1"/>
    </w:lvl>
    <w:lvl w:ilvl="1">
      <w:lvlJc w:val="left"/>
      <w:lvlText w:val="(%2)"/>
      <w:numFmt w:val="lowerLetter"/>
      <w:start w:val="5"/>
    </w:lvl>
  </w:abstractNum>
  <w:abstractNum w:abstractNumId="38">
    <w:nsid w:val="32FFF902"/>
    <w:multiLevelType w:val="hybridMultilevel"/>
    <w:lvl w:ilvl="0">
      <w:lvlJc w:val="left"/>
      <w:lvlText w:val="%1."/>
      <w:numFmt w:val="decimal"/>
      <w:start w:val="2"/>
    </w:lvl>
    <w:lvl w:ilvl="1">
      <w:lvlJc w:val="left"/>
      <w:lvlText w:val="(%2)"/>
      <w:numFmt w:val="lowerLetter"/>
      <w:start w:val="1"/>
    </w:lvl>
  </w:abstractNum>
  <w:abstractNum w:abstractNumId="39">
    <w:nsid w:val="684A481A"/>
    <w:multiLevelType w:val="hybridMultilevel"/>
    <w:lvl w:ilvl="0">
      <w:lvlJc w:val="left"/>
      <w:lvlText w:val="(%1)"/>
      <w:numFmt w:val="lowerLetter"/>
      <w:start w:val="3"/>
    </w:lvl>
  </w:abstractNum>
  <w:abstractNum w:abstractNumId="40">
    <w:nsid w:val="579478FE"/>
    <w:multiLevelType w:val="hybridMultilevel"/>
    <w:lvl w:ilvl="0">
      <w:lvlJc w:val="left"/>
      <w:lvlText w:val="%1."/>
      <w:numFmt w:val="decimal"/>
      <w:start w:val="3"/>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2"/>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4"/>
    </w:lvl>
  </w:abstractNum>
  <w:abstractNum w:abstractNumId="45">
    <w:nsid w:val="75C6C33A"/>
    <w:multiLevelType w:val="hybridMultilevel"/>
    <w:lvl w:ilvl="0">
      <w:lvlJc w:val="left"/>
      <w:lvlText w:val="%1."/>
      <w:numFmt w:val="decimal"/>
      <w:start w:val="5"/>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1"/>
      <w:numFmt w:val="lowerRoman"/>
      <w:start w:val="1"/>
    </w:lvl>
    <w:lvl w:ilvl="1">
      <w:lvlJc w:val="left"/>
      <w:lvlText w:val="%2."/>
      <w:numFmt w:val="decimal"/>
      <w:start w:val="8"/>
    </w:lvl>
  </w:abstractNum>
  <w:abstractNum w:abstractNumId="49">
    <w:nsid w:val="374A3FE6"/>
    <w:multiLevelType w:val="hybridMultilevel"/>
    <w:lvl w:ilvl="0">
      <w:lvlJc w:val="left"/>
      <w:lvlText w:val="(%1)"/>
      <w:numFmt w:val="lowerRoman"/>
      <w:start w:val="3"/>
    </w:lvl>
    <w:lvl w:ilvl="1">
      <w:lvlJc w:val="left"/>
      <w:lvlText w:val="%2."/>
      <w:numFmt w:val="decimal"/>
      <w:start w:val="10"/>
    </w:lvl>
  </w:abstractNum>
  <w:abstractNum w:abstractNumId="50">
    <w:nsid w:val="4F4EF005"/>
    <w:multiLevelType w:val="hybridMultilevel"/>
    <w:lvl w:ilvl="0">
      <w:lvlJc w:val="left"/>
      <w:lvlText w:val="%1."/>
      <w:numFmt w:val="decimal"/>
      <w:start w:val="11"/>
    </w:lvl>
  </w:abstractNum>
  <w:abstractNum w:abstractNumId="51">
    <w:nsid w:val="23F9C13C"/>
    <w:multiLevelType w:val="hybridMultilevel"/>
    <w:lvl w:ilvl="0">
      <w:lvlJc w:val="left"/>
      <w:lvlText w:val="%1"/>
      <w:numFmt w:val="decimal"/>
      <w:start w:val="1"/>
    </w:lvl>
    <w:lvl w:ilvl="1">
      <w:lvlJc w:val="left"/>
      <w:lvlText w:val="%2."/>
      <w:numFmt w:val="decimal"/>
      <w:start w:val="17"/>
    </w:lvl>
  </w:abstractNum>
  <w:abstractNum w:abstractNumId="52">
    <w:nsid w:val="649BB77C"/>
    <w:multiLevelType w:val="hybridMultilevel"/>
    <w:lvl w:ilvl="0">
      <w:lvlJc w:val="left"/>
      <w:lvlText w:val="(%1)"/>
      <w:numFmt w:val="decimal"/>
      <w:start w:val="7"/>
    </w:lvl>
    <w:lvl w:ilvl="1">
      <w:lvlJc w:val="left"/>
      <w:lvlText w:val="%2."/>
      <w:numFmt w:val="decimal"/>
      <w:start w:val="18"/>
    </w:lvl>
  </w:abstractNum>
  <w:abstractNum w:abstractNumId="53">
    <w:nsid w:val="275AC794"/>
    <w:multiLevelType w:val="hybridMultilevel"/>
    <w:lvl w:ilvl="0">
      <w:lvlJc w:val="left"/>
      <w:lvlText w:val="%1."/>
      <w:numFmt w:val="decimal"/>
      <w:start w:val="22"/>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2020-03-04T06:54:52Z</dcterms:created>
  <dcterms:modified xsi:type="dcterms:W3CDTF">2020-03-04T06:54:52Z</dcterms:modified>
</cp:coreProperties>
</file>