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 w:lineRule="exact"/>
        <w:rPr>
          <w:sz w:val="24"/>
          <w:szCs w:val="24"/>
          <w:color w:val="auto"/>
        </w:rPr>
      </w:pPr>
    </w:p>
    <w:p>
      <w:pPr>
        <w:ind w:left="4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6" w:lineRule="exact"/>
        <w:rPr>
          <w:sz w:val="24"/>
          <w:szCs w:val="24"/>
          <w:color w:val="auto"/>
        </w:rPr>
      </w:pPr>
    </w:p>
    <w:p>
      <w:pPr>
        <w:ind w:left="102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January 29, 2023</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69850</wp:posOffset>
            </wp:positionV>
            <wp:extent cx="1447165" cy="521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70"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26" w:lineRule="exact"/>
        <w:rPr>
          <w:sz w:val="24"/>
          <w:szCs w:val="24"/>
          <w:color w:val="auto"/>
        </w:rPr>
      </w:pPr>
    </w:p>
    <w:p>
      <w:pPr>
        <w:ind w:left="208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6" w:lineRule="exact"/>
        <w:rPr>
          <w:sz w:val="24"/>
          <w:szCs w:val="24"/>
          <w:color w:val="auto"/>
        </w:rPr>
      </w:pPr>
    </w:p>
    <w:p>
      <w:pPr>
        <w:ind w:left="11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46" w:lineRule="exact"/>
        <w:rPr>
          <w:sz w:val="24"/>
          <w:szCs w:val="24"/>
          <w:color w:val="auto"/>
        </w:rPr>
      </w:pPr>
    </w:p>
    <w:p>
      <w:pPr>
        <w:jc w:val="both"/>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2" w:right="339" w:bottom="1440" w:gutter="0" w:footer="0" w:header="0"/>
        </w:sectPr>
      </w:pPr>
    </w:p>
    <w:p>
      <w:pPr>
        <w:spacing w:after="0" w:line="1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1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55"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16"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3740" w:space="720"/>
            <w:col w:w="6780"/>
          </w:cols>
          <w:pgMar w:left="320" w:top="1252" w:right="339" w:bottom="1440" w:gutter="0" w:footer="0" w:header="0"/>
          <w:type w:val="continuous"/>
        </w:sectPr>
      </w:pPr>
    </w:p>
    <w:p>
      <w:pPr>
        <w:spacing w:after="0" w:line="195" w:lineRule="exact"/>
        <w:rPr>
          <w:sz w:val="24"/>
          <w:szCs w:val="24"/>
          <w:color w:val="auto"/>
        </w:rPr>
      </w:pPr>
    </w:p>
    <w:p>
      <w:pPr>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9"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299,475,991 shares of capital stock outstanding as of March 2, 2023.</w:t>
      </w:r>
    </w:p>
    <w:p>
      <w:pPr>
        <w:sectPr>
          <w:pgSz w:w="11900" w:h="16838" w:orient="portrait"/>
          <w:cols w:equalWidth="0" w:num="1">
            <w:col w:w="11240"/>
          </w:cols>
          <w:pgMar w:left="320" w:top="1252" w:right="3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5"/>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5"/>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4,274</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302</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5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158</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1,251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2,087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3,177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11,967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578</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2,699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3,992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8,366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4,344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3,599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3,601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11,967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tcPr>
          <w:p>
            <w:pPr>
              <w:spacing w:after="0"/>
              <w:rPr>
                <w:sz w:val="19"/>
                <w:szCs w:val="19"/>
                <w:color w:val="auto"/>
              </w:rPr>
            </w:pPr>
          </w:p>
        </w:tc>
        <w:tc>
          <w:tcPr>
            <w:tcW w:w="640" w:type="dxa"/>
            <w:vAlign w:val="bottom"/>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 (income)</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9"/>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7"/>
                <w:szCs w:val="7"/>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109"/>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80" w:type="dxa"/>
            <w:vAlign w:val="bottom"/>
          </w:tcPr>
          <w:p>
            <w:pPr>
              <w:jc w:val="center"/>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Pr>
          <w:p>
            <w:pPr>
              <w:jc w:val="right"/>
              <w:ind w:right="209"/>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11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12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820" w:type="dxa"/>
            <w:vAlign w:val="bottom"/>
          </w:tcPr>
          <w:p>
            <w:pPr>
              <w:jc w:val="right"/>
              <w:ind w:right="28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212</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($.74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232</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529</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529</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($.74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31, 2022.</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30, 2023.</w:t>
      </w:r>
    </w:p>
    <w:p>
      <w:pPr>
        <w:spacing w:after="0" w:line="135" w:lineRule="exact"/>
        <w:rPr>
          <w:sz w:val="20"/>
          <w:szCs w:val="20"/>
          <w:color w:val="auto"/>
        </w:rPr>
      </w:pPr>
    </w:p>
    <w:p>
      <w:pPr>
        <w:ind w:left="320" w:right="7700" w:hanging="314"/>
        <w:spacing w:after="0" w:line="367" w:lineRule="auto"/>
        <w:tabs>
          <w:tab w:leader="none" w:pos="17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Accounting Pronouncements Not Yet Adopted</w:t>
      </w: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are currently evaluating the impact that the new guidance will have on our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1"/>
                <w:szCs w:val="11"/>
                <w:color w:val="auto"/>
              </w:rPr>
            </w:pPr>
          </w:p>
        </w:tc>
        <w:tc>
          <w:tcPr>
            <w:tcW w:w="1300" w:type="dxa"/>
            <w:vAlign w:val="bottom"/>
          </w:tcPr>
          <w:p>
            <w:pPr>
              <w:jc w:val="center"/>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8"/>
                <w:szCs w:val="18"/>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center"/>
              <w:ind w:left="1016"/>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1016"/>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1016"/>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center"/>
              <w:ind w:left="1016"/>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center"/>
              <w:ind w:left="1016"/>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5"/>
              </w:rPr>
              <w:t>(6)</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January 29, 2023, July 31, 2022, January 30, 2022 and August 1, 2021.</w:t>
      </w:r>
    </w:p>
    <w:p>
      <w:pPr>
        <w:ind w:left="320" w:right="40" w:hanging="314"/>
        <w:spacing w:after="0" w:line="215" w:lineRule="auto"/>
        <w:tabs>
          <w:tab w:leader="none" w:pos="30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January 29, 2023 and July 31, 2022, tax expense of $1 million as of January 30, 2022, and a tax benefit of $1 million as of August 1, 2021.</w:t>
      </w:r>
    </w:p>
    <w:p>
      <w:pPr>
        <w:spacing w:after="0" w:line="1" w:lineRule="exact"/>
        <w:rPr>
          <w:rFonts w:ascii="Times New Roman" w:cs="Times New Roman" w:eastAsia="Times New Roman" w:hAnsi="Times New Roman"/>
          <w:sz w:val="23"/>
          <w:szCs w:val="23"/>
          <w:color w:val="auto"/>
          <w:vertAlign w:val="superscript"/>
        </w:rPr>
      </w:pPr>
    </w:p>
    <w:p>
      <w:pPr>
        <w:ind w:left="320" w:right="2980" w:hanging="314"/>
        <w:spacing w:after="0" w:line="277" w:lineRule="auto"/>
        <w:tabs>
          <w:tab w:leader="none" w:pos="30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January 29, 2023, July 31, 2022, January 30, 2022, and August 1, 2021. Amounts related to noncontrolling interests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Cost of products sold</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(1)  Other expenses / (income)</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31, 2022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January 29, 2023</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8"/>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trademarks</w:t>
            </w: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intangible assets was $21 million for both the six-month periods ended January 29, 2023 and January 30, 2022. As of January 29, 2023, amortizable intangible assets had a weighted-average remaining useful life of 16 years. Amortization expense for the next 5 years is estimated to be approximately $41 million per 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 w:name="page10"/>
    <w:bookmarkEnd w:id="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our 2022 annual impairment testing, indefinite-lived trademarks with 10% or less of excess coverage of fair value over carrying value had an aggregate carrying value of $434 million and included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and certain other Snacks trademarks.</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The segment also includes snacking products in foodservice and Canada; and</w:t>
      </w:r>
    </w:p>
    <w:p>
      <w:pPr>
        <w:spacing w:after="0" w:line="59"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w:t>
      </w:r>
      <w:r>
        <w:rPr>
          <w:rFonts w:ascii="Times New Roman" w:cs="Times New Roman" w:eastAsia="Times New Roman" w:hAnsi="Times New Roman"/>
          <w:sz w:val="18"/>
          <w:szCs w:val="18"/>
          <w:i w:val="1"/>
          <w:iCs w:val="1"/>
          <w:color w:val="auto"/>
        </w:rPr>
        <w:t>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retail in the U.S. We refer to the * brands as our "power brands." The segment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retail business in Latin America.</w:t>
      </w:r>
    </w:p>
    <w:p>
      <w:pPr>
        <w:spacing w:after="0" w:line="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5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unallocated items. There were pension actuarial gains of $6 million and losses of $9 million in the three- and six-month periods ended January 29, 2023, and pension actuarial gains of $10 million and $4 million in the three- and six-month periods ended January 30, 2022, respectively. Costs related to the cost savings initiatives were $5 million and $8 million in the three- and six-month periods ended January 29, 2023, and $5 million and $9 million in the three- and six-month periods ended January 30, 2022, respectively. Unrealized mark-to-market adjustments on outstanding undesignated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 w:name="page11"/>
    <w:bookmarkEnd w:id="10"/>
    <w:p>
      <w:pPr>
        <w:ind w:left="320"/>
        <w:spacing w:after="0" w:line="250" w:lineRule="auto"/>
        <w:rPr>
          <w:sz w:val="20"/>
          <w:szCs w:val="20"/>
          <w:color w:val="auto"/>
        </w:rPr>
      </w:pPr>
      <w:r>
        <w:rPr>
          <w:rFonts w:ascii="Times New Roman" w:cs="Times New Roman" w:eastAsia="Times New Roman" w:hAnsi="Times New Roman"/>
          <w:sz w:val="18"/>
          <w:szCs w:val="18"/>
          <w:color w:val="auto"/>
        </w:rPr>
        <w:t>commodity hedges were losses of $4 million in the three-month period ended January 29, 2023, and losses of $3 million in the six-month period ended January 30, 2022.</w:t>
      </w:r>
    </w:p>
    <w:p>
      <w:pPr>
        <w:ind w:left="320" w:hanging="314"/>
        <w:spacing w:after="0" w:line="203"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7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nuts, potato chips, tortilla chips and other salty snacks and baked products. Other simple meals include sauces, gravies, pasta, beans and canned poultry.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tomato juice and</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non-dairy beverages.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 and Cost Savings Initiatives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ectPr>
          <w:pgSz w:w="11900" w:h="16838" w:orient="portrait"/>
          <w:cols w:equalWidth="0" w:num="1">
            <w:col w:w="11240"/>
          </w:cols>
          <w:pgMar w:left="320" w:top="929" w:right="339" w:bottom="1440" w:gutter="0" w:footer="0" w:header="0"/>
        </w:sectPr>
      </w:pP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4"/>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-613410</wp:posOffset>
            </wp:positionV>
            <wp:extent cx="713486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-327660</wp:posOffset>
            </wp:positionV>
            <wp:extent cx="71348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7134860"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left="-16"/>
        <w:spacing w:after="0" w:line="237" w:lineRule="auto"/>
        <w:rPr>
          <w:sz w:val="20"/>
          <w:szCs w:val="20"/>
          <w:color w:val="auto"/>
        </w:rPr>
      </w:pPr>
      <w:r>
        <w:rPr>
          <w:rFonts w:ascii="Times New Roman" w:cs="Times New Roman" w:eastAsia="Times New Roman" w:hAnsi="Times New Roman"/>
          <w:sz w:val="14"/>
          <w:szCs w:val="14"/>
          <w:b w:val="1"/>
          <w:bCs w:val="1"/>
          <w:color w:val="auto"/>
        </w:rPr>
        <w:t>Recognized as of January 29, 2023</w:t>
      </w:r>
    </w:p>
    <w:p>
      <w:pPr>
        <w:spacing w:after="0" w:line="33" w:lineRule="exact"/>
        <w:rPr>
          <w:sz w:val="20"/>
          <w:szCs w:val="20"/>
          <w:color w:val="auto"/>
        </w:rPr>
      </w:pPr>
    </w:p>
    <w:p>
      <w:pPr>
        <w:ind w:left="1257" w:hanging="1257"/>
        <w:spacing w:after="0"/>
        <w:tabs>
          <w:tab w:leader="none" w:pos="1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w:t>
      </w:r>
    </w:p>
    <w:p>
      <w:pPr>
        <w:spacing w:after="0" w:line="24" w:lineRule="exact"/>
        <w:rPr>
          <w:rFonts w:ascii="Times New Roman" w:cs="Times New Roman" w:eastAsia="Times New Roman" w:hAnsi="Times New Roman"/>
          <w:sz w:val="18"/>
          <w:szCs w:val="18"/>
          <w:color w:val="auto"/>
        </w:rPr>
      </w:pPr>
    </w:p>
    <w:p>
      <w:pPr>
        <w:ind w:left="12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w:t>
      </w:r>
    </w:p>
    <w:p>
      <w:pPr>
        <w:spacing w:after="0" w:line="18" w:lineRule="exact"/>
        <w:rPr>
          <w:rFonts w:ascii="Times New Roman" w:cs="Times New Roman" w:eastAsia="Times New Roman" w:hAnsi="Times New Roman"/>
          <w:sz w:val="18"/>
          <w:szCs w:val="18"/>
          <w:color w:val="auto"/>
        </w:rPr>
      </w:pPr>
    </w:p>
    <w:p>
      <w:pPr>
        <w:ind w:left="13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18" w:lineRule="exact"/>
        <w:rPr>
          <w:rFonts w:ascii="Times New Roman" w:cs="Times New Roman" w:eastAsia="Times New Roman" w:hAnsi="Times New Roman"/>
          <w:sz w:val="18"/>
          <w:szCs w:val="18"/>
          <w:color w:val="auto"/>
        </w:rPr>
      </w:pPr>
    </w:p>
    <w:p>
      <w:pPr>
        <w:ind w:left="13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18" w:lineRule="exact"/>
        <w:rPr>
          <w:rFonts w:ascii="Times New Roman" w:cs="Times New Roman" w:eastAsia="Times New Roman" w:hAnsi="Times New Roman"/>
          <w:sz w:val="18"/>
          <w:szCs w:val="18"/>
          <w:color w:val="auto"/>
        </w:rPr>
      </w:pPr>
    </w:p>
    <w:p>
      <w:pPr>
        <w:ind w:left="14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02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5" w:lineRule="exact"/>
        <w:rPr>
          <w:sz w:val="20"/>
          <w:szCs w:val="20"/>
          <w:color w:val="auto"/>
        </w:rPr>
      </w:pPr>
    </w:p>
    <w:p>
      <w:pPr>
        <w:ind w:left="1257" w:hanging="1257"/>
        <w:spacing w:after="0"/>
        <w:tabs>
          <w:tab w:leader="none" w:pos="1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2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40005</wp:posOffset>
            </wp:positionV>
            <wp:extent cx="102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3" w:lineRule="exact"/>
        <w:rPr>
          <w:sz w:val="20"/>
          <w:szCs w:val="20"/>
          <w:color w:val="auto"/>
        </w:rPr>
      </w:pPr>
    </w:p>
    <w:p>
      <w:pPr>
        <w:ind w:left="297"/>
        <w:spacing w:after="0"/>
        <w:rPr>
          <w:sz w:val="20"/>
          <w:szCs w:val="20"/>
          <w:color w:val="auto"/>
        </w:rPr>
      </w:pPr>
      <w:r>
        <w:rPr>
          <w:rFonts w:ascii="Times New Roman" w:cs="Times New Roman" w:eastAsia="Times New Roman" w:hAnsi="Times New Roman"/>
          <w:sz w:val="14"/>
          <w:szCs w:val="14"/>
          <w:b w:val="1"/>
          <w:bCs w:val="1"/>
          <w:color w:val="auto"/>
        </w:rPr>
        <w:t>January 29, 2023</w:t>
      </w:r>
    </w:p>
    <w:p>
      <w:pPr>
        <w:spacing w:after="0" w:line="26" w:lineRule="exact"/>
        <w:rPr>
          <w:sz w:val="20"/>
          <w:szCs w:val="20"/>
          <w:color w:val="auto"/>
        </w:rPr>
      </w:pPr>
    </w:p>
    <w:p>
      <w:pPr>
        <w:ind w:left="1257" w:hanging="1204"/>
        <w:spacing w:after="0"/>
        <w:tabs>
          <w:tab w:leader="none" w:pos="1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w:t>
      </w:r>
    </w:p>
    <w:p>
      <w:pPr>
        <w:spacing w:after="0" w:line="24" w:lineRule="exact"/>
        <w:rPr>
          <w:rFonts w:ascii="Times New Roman" w:cs="Times New Roman" w:eastAsia="Times New Roman" w:hAnsi="Times New Roman"/>
          <w:sz w:val="18"/>
          <w:szCs w:val="18"/>
          <w:color w:val="auto"/>
        </w:rPr>
      </w:pPr>
    </w:p>
    <w:p>
      <w:pPr>
        <w:ind w:left="13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p>
    <w:p>
      <w:pPr>
        <w:spacing w:after="0" w:line="18" w:lineRule="exact"/>
        <w:rPr>
          <w:sz w:val="20"/>
          <w:szCs w:val="20"/>
          <w:color w:val="auto"/>
        </w:rPr>
      </w:pPr>
    </w:p>
    <w:p>
      <w:pPr>
        <w:ind w:left="1257"/>
        <w:spacing w:after="0"/>
        <w:rPr>
          <w:sz w:val="20"/>
          <w:szCs w:val="20"/>
          <w:color w:val="auto"/>
        </w:rPr>
      </w:pPr>
      <w:r>
        <w:rPr>
          <w:rFonts w:ascii="Times New Roman" w:cs="Times New Roman" w:eastAsia="Times New Roman" w:hAnsi="Times New Roman"/>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992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257" w:hanging="1204"/>
        <w:spacing w:after="0"/>
        <w:tabs>
          <w:tab w:leader="none" w:pos="1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992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40005</wp:posOffset>
            </wp:positionV>
            <wp:extent cx="992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520" w:space="123"/>
            <w:col w:w="1597"/>
          </w:cols>
          <w:pgMar w:left="320" w:top="929"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1" w:name="page12"/>
    <w:bookmarkEnd w:id="11"/>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$860 million to $880 million and we expect to incur the costs through 2025. These estimates will be updated as the expanded initiatives are developed.</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$250 million in severance pay and benefits; approximately $130 million in asset impairment and accelerated depreciation; and approximately $485 million to $500 million in implementation costs and other related costs. We expect these pre-tax costs to be associated with our segments as follows: Meals &amp; Beverages - approximately 33%; Snacks - approximately 43%; and Corporate - approximately 24%.</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Of the aggregate $860 million to $880 million of pre-tax costs identified to date, we expect approximately $690 million to $710 million will be cash expenditures. In addition, we expect to invest approximately $600 million in capital expenditures through 2025, of which we invested $441 million as of January 29, 2023. The capital expenditures primarily relate to optimization of production within our Meals &amp; Beverages manufacturing network, a U.S. warehouse optimization project, improvement of quality, safety and cost structure across the Snyder’s-Lance manufacturing network, implementation of our existing SAP enterprise-resource planning system for Snyder's-Lance, enhancements to our headquarters in Camden, New Jersey, optimization of information technology infrastructure and applications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at January 29, 2023,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gridSpan w:val="2"/>
          </w:tcPr>
          <w:p>
            <w:pPr>
              <w:jc w:val="right"/>
              <w:ind w:right="15"/>
              <w:spacing w:after="0" w:line="157" w:lineRule="exact"/>
              <w:rPr>
                <w:sz w:val="20"/>
                <w:szCs w:val="20"/>
                <w:color w:val="auto"/>
              </w:rPr>
            </w:pPr>
            <w:r>
              <w:rPr>
                <w:rFonts w:ascii="Times New Roman" w:cs="Times New Roman" w:eastAsia="Times New Roman" w:hAnsi="Times New Roman"/>
                <w:sz w:val="14"/>
                <w:szCs w:val="14"/>
                <w:b w:val="1"/>
                <w:bCs w:val="1"/>
                <w:color w:val="auto"/>
              </w:rPr>
              <w:t>Severance Pay</w:t>
            </w: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20" w:type="dxa"/>
            <w:vAlign w:val="bottom"/>
          </w:tcPr>
          <w:p>
            <w:pPr>
              <w:spacing w:after="0"/>
              <w:rPr>
                <w:sz w:val="17"/>
                <w:szCs w:val="17"/>
                <w:color w:val="auto"/>
              </w:rPr>
            </w:pPr>
          </w:p>
        </w:tc>
        <w:tc>
          <w:tcPr>
            <w:tcW w:w="144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(2)</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July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2023 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2023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January 29, 2023</w:t>
            </w:r>
            <w:r>
              <w:rPr>
                <w:rFonts w:ascii="Times New Roman" w:cs="Times New Roman" w:eastAsia="Times New Roman" w:hAnsi="Times New Roman"/>
                <w:sz w:val="22"/>
                <w:szCs w:val="22"/>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 million of severance pay and benefits recorded in Other liabilities in the Consolidated Balance Sheet.</w:t>
      </w:r>
    </w:p>
    <w:p>
      <w:pPr>
        <w:ind w:left="320" w:hanging="314"/>
        <w:spacing w:after="0" w:line="215" w:lineRule="auto"/>
        <w:tabs>
          <w:tab w:leader="none" w:pos="30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1"/>
        </w:trPr>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January 29, 2023, excludes less than 1 million stock options that would have been antidilutive. The earnings per share calculation for the three- and six-month periods ended January 30, 2022, excludes approximately 1 million stock options that would have been antidilutive.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8.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25"/>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4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 of prior</w:t>
            </w:r>
          </w:p>
        </w:tc>
        <w:tc>
          <w:tcPr>
            <w:tcW w:w="4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w:t>
            </w:r>
          </w:p>
        </w:tc>
        <w:tc>
          <w:tcPr>
            <w:tcW w:w="4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8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3"/>
                <w:szCs w:val="13"/>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3"/>
                <w:szCs w:val="13"/>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3"/>
                <w:szCs w:val="13"/>
                <w:color w:val="auto"/>
              </w:rPr>
            </w:pPr>
          </w:p>
        </w:tc>
        <w:tc>
          <w:tcPr>
            <w:tcW w:w="640" w:type="dxa"/>
            <w:vAlign w:val="bottom"/>
            <w:vMerge w:val="restart"/>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4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actuarial gains and losses resulted from the remeasurement of pension plans due to lump sum distributions that exceeded or are expected to exceed service and interest costs resulting in settlement accounting for the plans. The actuarial gains recognized for the three-month period ended January 29, 2023 were primarily due to increases in discount rates used to determine the benefit obligation, partially offset by losses on plan assets. The actuarial losses recognized for the six-month period ended January 29, 2023 were primarily due to losses on plan assets, partially offset by increases in discount rates used to determine the benefit obligation. The actuarial gains recognized for the three- and six-month periods ended January 30, 2022 were primarily due to increases in discount rates used to determine the benefit obligation, partially offset by losses on plan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80" w:type="dxa"/>
            <w:vAlign w:val="bottom"/>
            <w:vMerge w:val="continue"/>
          </w:tcPr>
          <w:p>
            <w:pPr>
              <w:spacing w:after="0"/>
              <w:rPr>
                <w:sz w:val="16"/>
                <w:szCs w:val="16"/>
                <w:color w:val="auto"/>
              </w:rPr>
            </w:pPr>
          </w:p>
        </w:tc>
        <w:tc>
          <w:tcPr>
            <w:tcW w:w="1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2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25"/>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58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 our service contracts with embedded leases.</w:t>
      </w:r>
    </w:p>
    <w:p>
      <w:pPr>
        <w:spacing w:after="0" w:line="8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38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60" w:type="dxa"/>
            <w:vAlign w:val="bottom"/>
          </w:tcPr>
          <w:p>
            <w:pPr>
              <w:spacing w:after="0"/>
              <w:rPr>
                <w:sz w:val="11"/>
                <w:szCs w:val="11"/>
                <w:color w:val="auto"/>
              </w:rPr>
            </w:pPr>
          </w:p>
        </w:tc>
        <w:tc>
          <w:tcPr>
            <w:tcW w:w="3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3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6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60" w:type="dxa"/>
            <w:vAlign w:val="bottom"/>
          </w:tcPr>
          <w:p>
            <w:pPr>
              <w:spacing w:after="0"/>
              <w:rPr>
                <w:sz w:val="19"/>
                <w:szCs w:val="19"/>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6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40"/>
        </w:trPr>
        <w:tc>
          <w:tcPr>
            <w:tcW w:w="3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60" w:type="dxa"/>
            <w:vAlign w:val="bottom"/>
          </w:tcPr>
          <w:p>
            <w:pPr>
              <w:spacing w:after="0"/>
              <w:rPr>
                <w:sz w:val="11"/>
                <w:szCs w:val="11"/>
                <w:color w:val="auto"/>
              </w:rPr>
            </w:pPr>
          </w:p>
        </w:tc>
        <w:tc>
          <w:tcPr>
            <w:tcW w:w="3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3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6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60" w:type="dxa"/>
            <w:vAlign w:val="bottom"/>
          </w:tcPr>
          <w:p>
            <w:pPr>
              <w:spacing w:after="0"/>
              <w:rPr>
                <w:sz w:val="19"/>
                <w:szCs w:val="19"/>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6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849"/>
        </w:trPr>
        <w:tc>
          <w:tcPr>
            <w:tcW w:w="38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5"/>
        </w:trPr>
        <w:tc>
          <w:tcPr>
            <w:tcW w:w="8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Borrowings and Long-term Debt</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15, 2022, we entered into a delayed draw term loan credit agreement (the DDTL Credit Agreement) totaling up to $500 million scheduled to mature on November 15, 2025. Loans under the DDTL Credit Agreement will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anticipate using $500 million of the proceeds of the loans under the DDTL Credit Agreement to refinance our existing $566 million Notes with a maturity date of March 15,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January 29, 2023, or July 31, 2022.</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2022, our largest customer accounted for approximately 22% of consolidated net sales. Our five largest customers accounted for approximately 47% of our consolidated net sales in 2022.</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$128 million as of January 29, 2023, and $140 million as of July 31, 2022.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4" w:name="page15"/>
    <w:bookmarkEnd w:id="14"/>
    <w:p>
      <w:pPr>
        <w:jc w:val="both"/>
        <w:spacing w:after="0" w:line="274" w:lineRule="auto"/>
        <w:rPr>
          <w:sz w:val="20"/>
          <w:szCs w:val="20"/>
          <w:color w:val="auto"/>
        </w:rPr>
      </w:pPr>
      <w:r>
        <w:rPr>
          <w:rFonts w:ascii="Times New Roman" w:cs="Times New Roman" w:eastAsia="Times New Roman" w:hAnsi="Times New Roman"/>
          <w:sz w:val="18"/>
          <w:szCs w:val="18"/>
          <w:color w:val="auto"/>
        </w:rPr>
        <w:t>(loss). The notional amount of foreign exchange forward contracts that are not designated as accounting hedges was $17 million as of January 29, 2023, and $13 million as of July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outstanding as of January 29, 2023, or July 31, 2022.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$3 million as of July 31, 2022. There were no commodity contracts designated as cash-flow hedges as of January 29, 2023.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$246 million as of January 29, 2023, and $254 million as of July 31, 2022. The change in fair value on undesignated instruments is recorded in Cost of products sold.</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$106 million as of January 29, 2023, and $39 million as of July 31, 2022.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$50 million as of January 29, 2023, and July 31, 2022.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jc w:val="both"/>
        <w:ind w:right="20"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 January 29, 2023, and July 31, 2022:</w:t>
      </w:r>
    </w:p>
    <w:tbl>
      <w:tblPr>
        <w:tblLayout w:type="fixed"/>
        <w:tblInd w:w="0" w:type="dxa"/>
        <w:tblCellMar>
          <w:top w:w="0" w:type="dxa"/>
          <w:left w:w="0" w:type="dxa"/>
          <w:bottom w:w="0" w:type="dxa"/>
          <w:right w:w="0" w:type="dxa"/>
        </w:tblCellMar>
      </w:tblPr>
      <w:tr>
        <w:trPr>
          <w:trHeight w:val="18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c>
          <w:tcPr>
            <w:tcW w:w="39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43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 Derivatives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18"/>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5"/>
        </w:trPr>
        <w:tc>
          <w:tcPr>
            <w:tcW w:w="43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66"/>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4"/>
                <w:szCs w:val="24"/>
                <w:color w:val="auto"/>
              </w:rPr>
            </w:pPr>
          </w:p>
        </w:tc>
        <w:tc>
          <w:tcPr>
            <w:tcW w:w="39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4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Liability Derivatives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05"/>
        </w:trPr>
        <w:tc>
          <w:tcPr>
            <w:tcW w:w="4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44"/>
        </w:trPr>
        <w:tc>
          <w:tcPr>
            <w:tcW w:w="4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29, 2023, and July 31, 2022,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$17 million at January 29, 2023, and $8 million at July 31, 2022, were included in Other current assets in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and six-month periods ended January 29, 2023, and January 30, 2022,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4"/>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4"/>
          </w:tcPr>
          <w:p>
            <w:pPr>
              <w:jc w:val="center"/>
              <w:ind w:right="93"/>
              <w:spacing w:after="0" w:line="145" w:lineRule="exact"/>
              <w:rPr>
                <w:sz w:val="20"/>
                <w:szCs w:val="20"/>
                <w:color w:val="auto"/>
              </w:rPr>
            </w:pPr>
            <w:r>
              <w:rPr>
                <w:rFonts w:ascii="Times New Roman" w:cs="Times New Roman" w:eastAsia="Times New Roman" w:hAnsi="Times New Roman"/>
                <w:sz w:val="14"/>
                <w:szCs w:val="14"/>
                <w:b w:val="1"/>
                <w:bCs w:val="1"/>
                <w:color w:val="auto"/>
                <w:w w:val="98"/>
              </w:rPr>
              <w:t>Total Cash-Flow Hedge</w:t>
            </w:r>
          </w:p>
        </w:tc>
      </w:tr>
      <w:tr>
        <w:trPr>
          <w:trHeight w:val="192"/>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OCI Activity</w:t>
            </w:r>
          </w:p>
        </w:tc>
      </w:tr>
      <w:tr>
        <w:trPr>
          <w:trHeight w:val="192"/>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80" w:type="dxa"/>
            <w:vAlign w:val="bottom"/>
          </w:tcPr>
          <w:p>
            <w:pPr>
              <w:spacing w:after="0"/>
              <w:rPr>
                <w:sz w:val="16"/>
                <w:szCs w:val="16"/>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72"/>
        </w:trPr>
        <w:tc>
          <w:tcPr>
            <w:tcW w:w="54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40"/>
        </w:trPr>
        <w:tc>
          <w:tcPr>
            <w:tcW w:w="142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225"/>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78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6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4</w:t>
            </w:r>
          </w:p>
        </w:tc>
      </w:tr>
      <w:tr>
        <w:trPr>
          <w:trHeight w:val="195"/>
        </w:trPr>
        <w:tc>
          <w:tcPr>
            <w:tcW w:w="54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Location in Earnings</w:t>
            </w:r>
          </w:p>
        </w:tc>
        <w:tc>
          <w:tcPr>
            <w:tcW w:w="118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center"/>
              <w:ind w:left="1053"/>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1"/>
        </w:trPr>
        <w:tc>
          <w:tcPr>
            <w:tcW w:w="14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5"/>
        </w:trPr>
        <w:tc>
          <w:tcPr>
            <w:tcW w:w="1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06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780" w:type="dxa"/>
            <w:vAlign w:val="bottom"/>
            <w:gridSpan w:val="3"/>
            <w:shd w:val="clear" w:color="auto" w:fill="CCEEFF"/>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rPr>
              <w:t>4</w:t>
            </w:r>
          </w:p>
        </w:tc>
      </w:tr>
      <w:tr>
        <w:trPr>
          <w:trHeight w:val="205"/>
        </w:trPr>
        <w:tc>
          <w:tcPr>
            <w:tcW w:w="5480" w:type="dxa"/>
            <w:vAlign w:val="bottom"/>
            <w:tcBorders>
              <w:left w:val="single" w:sz="8" w:color="CCEEFF"/>
              <w:bottom w:val="single" w:sz="8" w:color="CCEEFF"/>
            </w:tcBorders>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60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Location in Earnings</w:t>
            </w:r>
          </w:p>
        </w:tc>
        <w:tc>
          <w:tcPr>
            <w:tcW w:w="11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54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$3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for the three- and six-month periods ended January 29, 2023, and January 30, 2022,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34"/>
        </w:trPr>
        <w:tc>
          <w:tcPr>
            <w:tcW w:w="12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20" w:type="dxa"/>
            <w:vAlign w:val="bottom"/>
          </w:tcPr>
          <w:p>
            <w:pPr>
              <w:ind w:left="3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28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1,726</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708"/>
        </w:trPr>
        <w:tc>
          <w:tcPr>
            <w:tcW w:w="280" w:type="dxa"/>
            <w:vAlign w:val="bottom"/>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4"/>
                <w:szCs w:val="24"/>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8"/>
        </w:trPr>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r>
      <w:tr>
        <w:trPr>
          <w:trHeight w:val="186"/>
        </w:trPr>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34"/>
        </w:trPr>
        <w:tc>
          <w:tcPr>
            <w:tcW w:w="12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20" w:type="dxa"/>
            <w:vAlign w:val="bottom"/>
          </w:tcPr>
          <w:p>
            <w:pPr>
              <w:ind w:left="3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28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3,467</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92</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708"/>
        </w:trPr>
        <w:tc>
          <w:tcPr>
            <w:tcW w:w="280" w:type="dxa"/>
            <w:vAlign w:val="bottom"/>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5"/>
              </w:rPr>
              <w:t>(7)</w:t>
            </w:r>
          </w:p>
        </w:tc>
        <w:tc>
          <w:tcPr>
            <w:tcW w:w="100" w:type="dxa"/>
            <w:vAlign w:val="bottom"/>
          </w:tcPr>
          <w:p>
            <w:pPr>
              <w:spacing w:after="0"/>
              <w:rPr>
                <w:sz w:val="24"/>
                <w:szCs w:val="24"/>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-1859280</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-1539875</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-605790</wp:posOffset>
            </wp:positionV>
            <wp:extent cx="7134860" cy="15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-286385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840" w:space="720"/>
            <w:col w:w="468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20" w:type="dxa"/>
            <w:vAlign w:val="bottom"/>
            <w:gridSpan w:val="2"/>
            <w:vMerge w:val="continue"/>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January 29, 2023, and July 31, 2022, consistent with the fair value hierarchy:</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7"/>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6"/>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w w:val="99"/>
              </w:rPr>
              <w:t>January 29, 2023 Using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July 31, 2022 Using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1820" w:type="dxa"/>
            <w:vAlign w:val="bottom"/>
            <w:tcBorders>
              <w:top w:val="single" w:sz="8" w:color="CCEEFF"/>
              <w:left w:val="single" w:sz="8" w:color="CCEEFF"/>
            </w:tcBorders>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5"/>
                <w:szCs w:val="15"/>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tcBorders>
              <w:left w:val="single" w:sz="8" w:color="CCEEFF"/>
            </w:tcBorders>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CCEEFF"/>
            </w:tcBorders>
            <w:gridSpan w:val="3"/>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tcBorders>
              <w:left w:val="single" w:sz="8" w:color="CCEEFF"/>
            </w:tcBorders>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CCEEFF"/>
            </w:tcBorders>
            <w:gridSpan w:val="3"/>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7"/>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6"/>
          </w:tcPr>
          <w:p>
            <w:pPr>
              <w:jc w:val="center"/>
              <w:ind w:right="92"/>
              <w:spacing w:after="0" w:line="135" w:lineRule="exact"/>
              <w:rPr>
                <w:sz w:val="20"/>
                <w:szCs w:val="20"/>
                <w:color w:val="auto"/>
              </w:rPr>
            </w:pPr>
            <w:r>
              <w:rPr>
                <w:rFonts w:ascii="Times New Roman" w:cs="Times New Roman" w:eastAsia="Times New Roman" w:hAnsi="Times New Roman"/>
                <w:sz w:val="14"/>
                <w:szCs w:val="14"/>
                <w:b w:val="1"/>
                <w:bCs w:val="1"/>
                <w:color w:val="auto"/>
                <w:w w:val="99"/>
              </w:rPr>
              <w:t>January 29, 2023 Using</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July 31, 2022 Using</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740" w:type="dxa"/>
            <w:vAlign w:val="bottom"/>
            <w:tcBorders>
              <w:top w:val="single" w:sz="8" w:color="CCEEFF"/>
              <w:left w:val="single" w:sz="8" w:color="CCEEFF"/>
              <w:bottom w:val="single" w:sz="8" w:color="auto"/>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5"/>
              </w:rPr>
              <w:t>Liabilities</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182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9" w:name="page20"/>
    <w:bookmarkEnd w:id="1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six-month periods ended January 29, 2023, and January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19"/>
                <w:szCs w:val="19"/>
                <w:color w:val="auto"/>
              </w:rPr>
            </w:pPr>
          </w:p>
        </w:tc>
        <w:tc>
          <w:tcPr>
            <w:tcW w:w="1160" w:type="dxa"/>
            <w:vAlign w:val="bottom"/>
          </w:tcPr>
          <w:p>
            <w:pPr>
              <w:jc w:val="center"/>
              <w:ind w:left="858"/>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center"/>
              <w:ind w:left="858"/>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$26 million of cash equivalents at January 29, 2023, and $27 million at July 31, 2022.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$4.29 billion at January 29, 2023, and $4.637 billion at July 31, 2022. The carrying value was $4.57 billion at January 29, 2023, and $4.81 billion at July 31, 2022.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six-month period ended January 29, 2023, we repurchased 1.298 million shares at a cost of $66 million pursuant to our June 2021 program. As of January 29, 2023, approximately $106 million remained available under the June 2021 program and approximately $375 million remained available under the September 2021 program. During the six-month period ended January 30, 2022, we repurchased approximately 1.5 million shares at a cost of $65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2023,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52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January 29,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22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3"/>
              <w:spacing w:after="0" w:line="133"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46.04</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48.33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29,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January 29,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six-month period ended January 29, 2023 was $3 million. The total intrinsic value of options exercised during the six-month period ended January 30, 2022 was not material. We measured the fair value of stock options using the Black-Scholes option pricing model.</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as of January 29,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1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29,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2023 and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564 thousand EPS performance target grants outstanding at January 29, 2023, with a weighted-average grant-date fair value of $44.33.</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have ranged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January 29, 2023, total remaining unearned compensation related to nonvested time-lapse restricted stock units and EPS performance restricted stock units was $60 million, which will be amortized over the weighted-average remaining service period of 1.9 years. The fair value of restricted stock units vested during the six-month periods ended January 29, 2023, and January 30, 2022, was $35 million and $49 million, respectively. The weighted-average grant-date fair value of the restricted stock units granted during the six-month period ended January 30, 2022 was $41.79.</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January 29,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20" w:type="dxa"/>
            <w:vAlign w:val="bottom"/>
          </w:tcPr>
          <w:p>
            <w:pPr>
              <w:spacing w:after="0"/>
              <w:rPr>
                <w:sz w:val="11"/>
                <w:szCs w:val="11"/>
                <w:color w:val="auto"/>
              </w:rPr>
            </w:pPr>
          </w:p>
        </w:tc>
        <w:tc>
          <w:tcPr>
            <w:tcW w:w="164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29, 2023</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4.29%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rPr>
              <w:t>3.09%</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w w:val="99"/>
              </w:rPr>
              <w:t>26.40%</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27.42%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January 29, 2023, total remaining unearned compensation related to TSR performance restricted stock units was $20 million, which will be amortized over the weighted-average remaining service period of 1.8 years. In the first quarter of 2023, recipients of TSR performance restricted stock units earned 100% of the initial grants based upon our TSR ranking in a performance peer group during a three-year period ended July 29, 2022. In the first quarter of 2022, recipients of TSR performance restricted stock units earned 75% of the initial grants based upon our TSR ranking in a performance peer group during a three-year period ended July 30, 2021. The fair value of TSR performance restricted stock units vested during the six-month periods ended January 29, 2023, and January 30, 2022, was $21 million and $8 million, respectively. The weighted-average grant-date fair value of the TSR performance restricted stock units granted during the six-month period ended January 30, 2022, was $45.54.</w:t>
      </w:r>
    </w:p>
    <w:p>
      <w:pPr>
        <w:spacing w:after="0" w:line="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tax benefits on the exercise of stock options in the six-month period ended January 29, 2023 were $1 million. The tax benefits on the exercise of stock options in the six-month period ended January 30, 2022 were not material. Cash received from the exercise of stock options was $22 million and $1 million for the six-month periods ended January 29, 2023, and January 30, 2022, respectively, and is reflected in cash flows from financing activities in the Consolidated Statements of Cash Flows.</w:t>
      </w:r>
    </w:p>
    <w:p>
      <w:pPr>
        <w:spacing w:after="0" w:line="152" w:lineRule="exact"/>
        <w:rPr>
          <w:sz w:val="20"/>
          <w:szCs w:val="20"/>
          <w:color w:val="auto"/>
        </w:rPr>
      </w:pPr>
    </w:p>
    <w:p>
      <w:pPr>
        <w:ind w:right="8460" w:firstLine="6"/>
        <w:spacing w:after="0" w:line="367" w:lineRule="auto"/>
        <w:tabs>
          <w:tab w:leader="none" w:pos="26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also subject to the uncertainty of how opposing parties and their counsel will themselves view the relevant evidence and applicable law.</w:t>
      </w:r>
    </w:p>
    <w:p>
      <w:pPr>
        <w:spacing w:after="0" w:line="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29, 2023.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January 29,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1"/>
        </w:trPr>
        <w:tc>
          <w:tcPr>
            <w:tcW w:w="514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446</w:t>
            </w:r>
          </w:p>
        </w:tc>
        <w:tc>
          <w:tcPr>
            <w:tcW w:w="3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1,251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5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5140" w:type="dxa"/>
            <w:vAlign w:val="bottom"/>
          </w:tcPr>
          <w:p>
            <w:pPr>
              <w:spacing w:after="0"/>
              <w:rPr>
                <w:sz w:val="24"/>
                <w:szCs w:val="24"/>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31, 2022,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been actively monitoring the impact of the dynamic macroeconomic environment, including input cost inflation, the conflict between Russia and Ukraine and the COVID-19 pandemic, on all aspects of our business.</w:t>
      </w:r>
    </w:p>
    <w:p>
      <w:pPr>
        <w:spacing w:after="0" w:line="31"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We anticipate that 2023 will continue to be a dynamic macroeconomic environment and we expect elevated levels of input cost inflation to persist throughout 2023. We will continue to take actions to mitigate a portion of this inflationary pressure, but we do not expect such benefits will fully offset the incremental costs in 2023.</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as a North American focused company have no direct exposure to Russia and Ukraine, we have experienced volatility in costs due, in part, to the negative impact of the Russia-Ukraine conflict on the global economy. To date, the conflict between Russia and Ukraine has not had any material impact on our business, financial condition or results of operations.</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still remains uncertainty around the COVID-19 pandemic. The ultimate impact depends on the severity and duration of the pandemic, including the emergence and spread of new COVID-19 variants and resurgences, the continued availability and effectiveness of vaccines and actions taken by government authorities and other third parties in response to the pandemic. We will continue to evaluate the extent to which the COVID-19 pandemic impacts our business, consolidated results of operations and financial condition.</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periodic pension and postretirement benefit income excluding any actuarial losses or gains is estimated to be approximately $45 million lower in 2023, subject to the impact of interim remeasurements. The decrease in 2023 is due to increases in discount rates used to determine the benefit obligations and a decline in the market value of plan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12% in the quarter to $2.485 billion due to favorable inflation-driven net price realization, partially offset by volume/mix declines.</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30.5% in 2023 compared to 30.3% in the prior-year quarter. The increase was primarily due to favorable net price realization and supply chain productivity improvements, partially offset by higher cost inflation and other supply chain costs as well as unfavorable volume/mix.</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$.77 in 2023, compared to $.70 a year ago. The current quarter included expenses of $.03 per share and the prior-year quarter included gains of $.01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second quarter of 2023, we recorded Restructuring charges of $9 million and implementation costs and other related costs of $5 million in Administrative expenses (aggregate impact of $10 million after tax, or $.03 per share) related to these initiatives. Year-to-date in 2023, we recorded Restructuring charges of $9 million and implementation costs and other related costs of $8 million in Administrative expenses (aggregate impact of $13 million after tax, or $.04 per share) related to these initiatives. In the second quarter of 2022, we recorded implementation costs and other related costs of $3 million in Administrative expenses and $2 million in Cost of products sold (aggregate impact of $4 million after tax, or $.01 per share) related to these initiatives. Year-to-date in 2022, we recorded implementation costs and other related costs of $5 million in Administrative expenses and $4 million in Cost of products sold (aggregate impact of $7 million after tax, or $.02 per share) related to these initiatives. See Note 6 to the Consolidated Financial Statements and "Restructuring Charges and Cost Savings Initiatives" for additional information;</w:t>
      </w:r>
    </w:p>
    <w:p>
      <w:pPr>
        <w:spacing w:after="0" w:line="68" w:lineRule="exact"/>
        <w:rPr>
          <w:rFonts w:ascii="Times New Roman" w:cs="Times New Roman" w:eastAsia="Times New Roman" w:hAnsi="Times New Roman"/>
          <w:sz w:val="18"/>
          <w:szCs w:val="18"/>
          <w:color w:val="auto"/>
        </w:rPr>
      </w:pPr>
    </w:p>
    <w:p>
      <w:pPr>
        <w:jc w:val="both"/>
        <w:ind w:left="640" w:hanging="316"/>
        <w:spacing w:after="0" w:line="238" w:lineRule="auto"/>
        <w:tabs>
          <w:tab w:leader="none" w:pos="62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of 2023, we recognized actuarial gains in Other expenses / (income) of $6 million ($4 million after tax, or $.01 per share). Year-to-date in 2023, we recognized actuarial losses in Other expenses / (income) of $9 million ($7 million after tax, or $.02 per share). In the second quarter of 2022, we recognized actuarial gains in Other expenses / (income) of $10 million ($8 million after tax, or $.03 per share). Year-to-date in 2022, we recognized actuarial gains in Other expenses / (income) of $4 million ($3 million after tax, or $.01 per share). The actuarial gains and losses related to interim remeasurements of certain pension plans due to lump sum distributions that exceeded or are expected to exceed service and interest costs resulting in settlement accounting for the plans; and</w:t>
      </w:r>
    </w:p>
    <w:p>
      <w:pPr>
        <w:spacing w:after="0" w:line="62" w:lineRule="exact"/>
        <w:rPr>
          <w:rFonts w:ascii="Times New Roman" w:cs="Times New Roman" w:eastAsia="Times New Roman" w:hAnsi="Times New Roman"/>
          <w:sz w:val="23"/>
          <w:szCs w:val="23"/>
          <w:color w:val="auto"/>
          <w:vertAlign w:val="superscript"/>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2023, we recognized losses in Cost of products sold of $4 million ($3 million after tax, or $.01 per share) associated with unrealized mark-to-market adjustments on outstanding undesignated commodity hedges. Year-to-date in 2022, we recognized losses in Cost of products sold of $3 million ($2 million after tax, or $.01 per share) associated with unrealized mark-to-market adjustments on outstanding undesignated commodity hedges.</w:t>
      </w:r>
    </w:p>
    <w:p>
      <w:pPr>
        <w:sectPr>
          <w:pgSz w:w="11900" w:h="16838" w:orient="portrait"/>
          <w:cols w:equalWidth="0" w:num="1">
            <w:col w:w="11240"/>
          </w:cols>
          <w:pgMar w:left="320" w:top="965" w:right="339" w:bottom="1440" w:gutter="0" w:footer="0" w:header="0"/>
        </w:sectPr>
      </w:pP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Restructuring charges, implementation costs and other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348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Pension actuarial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Commodity mark-to-market losses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Restructuring charges, implementation costs and other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34860"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Pension actuarial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Commodity mark-to-market losses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74"/>
        </w:trPr>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38"/>
        </w:trPr>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8"/>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2"/>
        </w:trPr>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11"/>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74"/>
        </w:trPr>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38"/>
        </w:trPr>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2"/>
        </w:trPr>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8"/>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17" w:lineRule="exact"/>
        <w:rPr>
          <w:sz w:val="20"/>
          <w:szCs w:val="20"/>
          <w:color w:val="auto"/>
        </w:rPr>
      </w:pPr>
    </w:p>
    <w:p>
      <w:pPr>
        <w:sectPr>
          <w:pgSz w:w="11900" w:h="16838" w:orient="portrait"/>
          <w:cols w:equalWidth="0" w:num="2">
            <w:col w:w="6220" w:space="720"/>
            <w:col w:w="4300"/>
          </w:cols>
          <w:pgMar w:left="320" w:top="965"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25" w:name="page26"/>
    <w:bookmarkEnd w:id="25"/>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Campbell Soup Company were $232 million ($.77 per share) in the current quarter, compared to $212 million ($.70 per share) in the year-ago quarter. After adjusting for items impacting comparability, earnings increased reflecting an improved gross profit, partially offset by higher marketing and selling expenses, higher other expenses, higher administrative expenses and a higher effective tax rate.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Campbell Soup Company were $529 million ($1.76 per share) in the six-month period this year, compared to $473 million ($1.56 per share) in the year-ago period. After adjusting for items impacting comparability, earnings increased reflecting an improved gross profit, partially offset by higher marketing and selling expenses, higher other expenses, a higher effective tax rate and higher administrative expenses. Earnings per share benefited from a reduction in the weighted average diluted shares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20" w:type="dxa"/>
            <w:vAlign w:val="bottom"/>
            <w:tcBorders>
              <w:bottom w:val="single" w:sz="8" w:color="CCEEFF"/>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17"/>
                <w:szCs w:val="17"/>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4"/>
        </w:trPr>
        <w:tc>
          <w:tcPr>
            <w:tcW w:w="7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88"/>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13</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7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w w:val="96"/>
              </w:rPr>
              <w:t>15%</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Meals &amp; Beverages, sales increased 10% primarily due to increases in U.S. retail products, including U.S. soup,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as well as gains in foodservice. Favorable net price realization was partially offset by modest volume/mix declines. Sales of U.S. soup increased 7% primarily due to increases in ready-to-serve soups and condensed soups.</w:t>
      </w:r>
    </w:p>
    <w:p>
      <w:pPr>
        <w:spacing w:after="0" w:line="6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In Snacks, sales increased 15% driven by sales of our power brands, which increased 20%. Sales increased due to increases in cookies and crackers, primarily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and Pepperidge Farm cookies, and in salty snacks, primarily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w:t>
      </w:r>
      <w:r>
        <w:rPr>
          <w:rFonts w:ascii="Times New Roman" w:cs="Times New Roman" w:eastAsia="Times New Roman" w:hAnsi="Times New Roman"/>
          <w:sz w:val="17"/>
          <w:szCs w:val="17"/>
          <w:i w:val="1"/>
          <w:iCs w:val="1"/>
          <w:color w:val="auto"/>
        </w:rPr>
        <w:t>Kettle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Brand </w:t>
      </w:r>
      <w:r>
        <w:rPr>
          <w:rFonts w:ascii="Times New Roman" w:cs="Times New Roman" w:eastAsia="Times New Roman" w:hAnsi="Times New Roman"/>
          <w:sz w:val="17"/>
          <w:szCs w:val="17"/>
          <w:color w:val="auto"/>
        </w:rPr>
        <w:t>potato chips. Sales benefited from favorable net price realization and volume/mix increases lapping significant supply constraints in the prior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$90 million in 2023 from 2022. As a percent of sales, gross profit was 30.5% in 2023 and 30.3% in 2022.</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 basis-point increase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1,020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280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(1,150)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8"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10 basis-point impact from the change in unrealized mark-to-market adjustments on outstanding undesignated commodity hedges.</w:t>
      </w:r>
    </w:p>
    <w:p>
      <w:pPr>
        <w:ind w:left="320" w:hanging="314"/>
        <w:spacing w:after="0" w:line="19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8.7% in 2023 compared to 8.9% in 2022. Marketing and selling expenses increased 10% in 2023 from 2022. The increase was primarily due to higher advertising and consumer promotion expense (approximately 8 points) and higher selling expenses (approximately 5 points), partially offset by increased benefits from cost savings initiatives (approximately 4 points). The increase in advertising and consumer promotion expense was due in part to moderated levels in the prior year from supply constraints.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6.5% in 2023 compared to 6.7% in 2022. Administrative expenses increased 10% in 2023 from 2022. The increase was primarily due to higher general administrative costs and inflation (approximately 6 points), higher benefit-related costs (approximately 3 points) and higher incentive compensation (approximately 3 points), partially offset by lower expenses related to the settlement of certain legal claims (approximately 3 points).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 (income) were $0 million in 2023 compared to other income of $19 million in 2022. Other expenses / (income) in 2023 included pension actuarial gains of $6 million. Other income in 2022 included pension actuarial gains of $10 million. Excluding these amounts, the remaining change was primarily due to lower net periodic pension and postretirement benefit income in the current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19% in 2023 from 2022.</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334</w:t>
            </w:r>
          </w:p>
        </w:tc>
        <w:tc>
          <w:tcPr>
            <w:tcW w:w="10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Meals &amp; Beverages increased 17%. The increase was primarily due to higher gross profit, partially offset by higher marketing and selling expenses. Gross profit margin increased slightly due to favorable net price realization and supply chain productivity improvements, partially offset by higher cost inflation and other supply chain costs as well as unfavorable volume/mix.</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24%. The increase was primarily due to higher gross profit, partially offset by higher marketing and selling expenses. Gross profit margin increased due to favorable net price realization and supply chain productivity improvements, partially offset by higher cost inflation and other supply chain costs.</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Corporate expense in 2023 included costs of $5 million related to costs savings initiatives, unrealized mark-to-market losses on outstanding undesignated commodity hedges of $4 million and pension actuarial gains of $6 million. Corporate expense in 2022 included costs of $5 million related to cost savings initiatives and pension actuarial gains of $10 million. Excluding these amounts, the remaining increase was primarily due to lower net periodic pension and postretirement benefit income in the current year and higher administrative expenses.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$45 million in 2023 was comparable to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23.9% in 2023 and 23.5% in 2022. The increase in the effective tax rate was primarily due to the impact of state tax law changes in 2022.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SIX-MONTH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January 30, 2022</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w:t>
            </w: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r>
        <w:trPr>
          <w:trHeight w:val="24"/>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5"/>
        </w:trPr>
        <w:tc>
          <w:tcPr>
            <w:tcW w:w="75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18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25"/>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6"/>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96"/>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ind w:left="320" w:hanging="314"/>
        <w:spacing w:after="0" w:line="191"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Meals &amp; Beverages, sales increased 13% primarily due to increases in U.S. retail products, including U.S. soup and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as well as gains in foodservice. Favorable net price realization was partially offset by volume/mix declines. Sales of U.S. soup increased 9% primarily due to increases in ready-to-serve soups and condensed soups.</w:t>
      </w:r>
    </w:p>
    <w:p>
      <w:pPr>
        <w:spacing w:after="0" w:line="62" w:lineRule="exact"/>
        <w:rPr>
          <w:sz w:val="20"/>
          <w:szCs w:val="20"/>
          <w:color w:val="auto"/>
        </w:rPr>
      </w:pPr>
    </w:p>
    <w:p>
      <w:pPr>
        <w:ind w:right="120" w:firstLine="318"/>
        <w:spacing w:after="0" w:line="244" w:lineRule="auto"/>
        <w:rPr>
          <w:sz w:val="20"/>
          <w:szCs w:val="20"/>
          <w:color w:val="auto"/>
        </w:rPr>
      </w:pPr>
      <w:r>
        <w:rPr>
          <w:rFonts w:ascii="Times New Roman" w:cs="Times New Roman" w:eastAsia="Times New Roman" w:hAnsi="Times New Roman"/>
          <w:sz w:val="18"/>
          <w:szCs w:val="18"/>
          <w:color w:val="auto"/>
        </w:rPr>
        <w:t xml:space="preserve">In Snacks, sales increased 15% driven by sales of our power brands, which increased 21%. Sales increased due to increases in cookies and crackers, primarily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Pepperidge Farm cookies, and in salty snacks, primarily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and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Sales benefited from favorable net price realization.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$202 million in 2023 from 2022. As a percent of sales, gross profit was 31.5% in 2023 and 31.3% in 2022.</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 basis-point increase in gross profit margin was due to the following factors:</w:t>
      </w:r>
    </w:p>
    <w:p>
      <w:pPr>
        <w:spacing w:after="0" w:line="3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Margin Impact</w:t>
      </w:r>
    </w:p>
    <w:p>
      <w:pPr>
        <w:sectPr>
          <w:pgSz w:w="11900" w:h="16838" w:orient="portrait"/>
          <w:cols w:equalWidth="0" w:num="1">
            <w:col w:w="11240"/>
          </w:cols>
          <w:pgMar w:left="320" w:top="96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restructuring-related costs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1,090</w:t>
      </w:r>
    </w:p>
    <w:p>
      <w:pPr>
        <w:spacing w:after="0" w:line="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250</w:t>
      </w:r>
    </w:p>
    <w:p>
      <w:pPr>
        <w:spacing w:after="0" w:line="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(1,180)</w:t>
      </w:r>
    </w:p>
    <w:p>
      <w:pPr>
        <w:spacing w:after="0" w:line="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10795</wp:posOffset>
            </wp:positionV>
            <wp:extent cx="807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807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7720"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41275</wp:posOffset>
            </wp:positionV>
            <wp:extent cx="8077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9620" w:space="720"/>
            <w:col w:w="900"/>
          </w:cols>
          <w:pgMar w:left="320" w:top="967" w:right="339" w:bottom="1440" w:gutter="0" w:footer="0" w:header="0"/>
          <w:type w:val="continuous"/>
        </w:sectPr>
      </w:pPr>
    </w:p>
    <w:p>
      <w:pPr>
        <w:ind w:left="320" w:hanging="314"/>
        <w:spacing w:after="0" w:line="237" w:lineRule="auto"/>
        <w:tabs>
          <w:tab w:leader="none" w:pos="308"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an estimated positive margin impact of 10 basis points from the benefit of cost savings initiatives and a 10 basis-point benefit from the change in unrealized mark-to-market adjustments on outstanding undesignated commodity hedges, which was more than offset by cost inflation and other factors.</w:t>
      </w:r>
    </w:p>
    <w:p>
      <w:pPr>
        <w:spacing w:after="0" w:line="1" w:lineRule="exact"/>
        <w:rPr>
          <w:rFonts w:ascii="Times New Roman" w:cs="Times New Roman" w:eastAsia="Times New Roman" w:hAnsi="Times New Roman"/>
          <w:sz w:val="22"/>
          <w:szCs w:val="22"/>
          <w:color w:val="auto"/>
          <w:vertAlign w:val="superscript"/>
        </w:rPr>
      </w:pPr>
    </w:p>
    <w:p>
      <w:pPr>
        <w:ind w:left="320" w:hanging="314"/>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8.3% in 2023 and 2022. Marketing and selling expenses increased 14% in 2023 from 2022. The increase was primarily due to higher advertising and consumer promotion expense (approximately 11 points) and higher selling expenses (approximately 7 points), partially offset by increased benefits from cost savings initiatives (approximately 3 points). The increase in advertising and consumer promotion expense was due in part to moderated levels in the prior year from supply constraints.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2023 compared to 6.8% in 2022. Administrative expenses increased 6% in 2023 from 2022. The increase was primarily due to higher general administrative costs and inflation (approximately 8 points) and higher incentive compensation (approximately 3 points), partially offset by lower expenses related to the settlement of certain legal claims (approximately 6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were $18 million in 2023 compared to other income of $20 million in 2022. Other expenses in 2023 included pension actuarial losses of $9 million. Other income in 2022 included pension actuarial gains of $4 million. Excluding these amounts, the remaining change was primarily due to lower net periodic pension and postretirement benefit income in the current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19% in 2023 from 2022.</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249</w:t>
            </w:r>
          </w:p>
        </w:tc>
        <w:tc>
          <w:tcPr>
            <w:tcW w:w="104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742</w:t>
            </w:r>
          </w:p>
        </w:tc>
        <w:tc>
          <w:tcPr>
            <w:tcW w:w="10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higher gross profit, partially offset by higher marketing and selling expenses. Gross profit margin increased due to favorable net price realization and supply chain productivity improvements, partially offset by higher cost inflation and other supply chain costs as well as unfavorable volume/mix.</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22%. The increase was primarily due to higher gross profit, partially offset by higher marketing and selling expenses. Gross profit margin declined due to higher cost inflation and other supply chain costs as well as unfavorable volume/mix, partially offset by favorable net price realization and supply chain productivity improvements.</w:t>
      </w:r>
    </w:p>
    <w:p>
      <w:pPr>
        <w:spacing w:after="0" w:line="5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Corporate expense in 2023 included pension actuarial losses of $9 million and costs of $8 million related to costs savings initiatives. Corporate expense in 2022 included costs of $9 million related to cost savings initiatives, unrealized mark-to-market losses on outstanding undesignated commodity hedges of $3 million and pension actuarial gains of $4 million. Excluding these amounts, the remaining increase was primarily due to lower net periodic pension and postretirement benefit income in the current year and higher administrative expenses.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$92 million in 2023 was comparable to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23.9% in 2023 and 21.9% in 2022. The increase in the effective tax rate was primarily due to the benefit from the favorable resolution of several tax matters and state tax law changes in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9" w:name="page30"/>
    <w:bookmarkEnd w:id="29"/>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vMerge w:val="restart"/>
          </w:tcPr>
          <w:p>
            <w:pPr>
              <w:jc w:val="right"/>
              <w:ind w:right="176"/>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9"/>
                <w:szCs w:val="9"/>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9" w:right="339" w:bottom="1440" w:gutter="0" w:footer="0" w:header="0"/>
        </w:sectPr>
      </w:pP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01205" cy="151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1205" cy="15176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01205"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January 29, 2023</w:t>
      </w:r>
    </w:p>
    <w:p>
      <w:pPr>
        <w:spacing w:after="0" w:line="26" w:lineRule="exact"/>
        <w:rPr>
          <w:sz w:val="20"/>
          <w:szCs w:val="20"/>
          <w:color w:val="auto"/>
        </w:rPr>
      </w:pPr>
    </w:p>
    <w:p>
      <w:pPr>
        <w:ind w:left="1180" w:hanging="1177"/>
        <w:spacing w:after="0"/>
        <w:tabs>
          <w:tab w:leader="none" w:pos="11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236</w:t>
      </w:r>
    </w:p>
    <w:p>
      <w:pPr>
        <w:spacing w:after="0" w:line="35"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82</w:t>
      </w:r>
    </w:p>
    <w:p>
      <w:pPr>
        <w:spacing w:after="0" w:line="1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967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5" w:lineRule="exact"/>
        <w:rPr>
          <w:sz w:val="20"/>
          <w:szCs w:val="20"/>
          <w:color w:val="auto"/>
        </w:rPr>
      </w:pPr>
    </w:p>
    <w:p>
      <w:pPr>
        <w:ind w:left="1180" w:hanging="1177"/>
        <w:spacing w:after="0"/>
        <w:tabs>
          <w:tab w:leader="none" w:pos="1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967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47625</wp:posOffset>
            </wp:positionV>
            <wp:extent cx="967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60" w:space="720"/>
            <w:col w:w="1560"/>
          </w:cols>
          <w:pgMar w:left="320" w:top="969" w:right="339" w:bottom="1440" w:gutter="0" w:footer="0" w:header="0"/>
          <w:type w:val="continuous"/>
        </w:sectPr>
      </w:pPr>
    </w:p>
    <w:p>
      <w:pPr>
        <w:spacing w:after="0" w:line="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$860 million to $880 million and we expect to incur the costs through 2025. These estimates will be updated as the expanded initiatives are developed.</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$250 million in severance pay and benefits; approximately $130 million in asset impairment and accelerated depreciation; and approximately $485 million to $500 million in implementation costs and other related costs. We expect these pre-tax costs to be associated with our segments as follows: Meals &amp; Beverages - approximately 33%; Snacks - approximately 43%; and Corporate - approximately 24%.</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Of the aggregate $860 million to $880 million of pre-tax costs identified to date, we expect approximately $690 million to $710 million will be cash expenditures. In addition, we expect to invest approximately $600 million in capital expenditures through 2025, of which we invested $441 million as of January 29, 2023. The capital expenditures primarily relate to optimization of production within our Meals &amp; Beverages manufacturing network, a U.S. warehouse optimization project, improvement of quality, safety and cost structure across the Snyder’s-Lance manufacturing network, implementation of our existing SAP enterprise-resource planning system for Snyder's-Lance, enhancements to our headquarters in Camden, New Jersey, optimization of information technology infrastructure and applications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$1 billion by the end of 2025. As of January 29, 2023, we have generated total program-to-date pre-tax savings of $870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0" w:name="page31"/>
    <w:bookmarkEnd w:id="30"/>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$732 million in 2023, compared to $766 million in 2022. The decline in 2023 was primarily due to changes in working capital, partially offset by higher cash earnings.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Current assets are less than current liabilities as a result of our level of current maturities of long-term debt and short-term borrowings and our focus to lower core working capital requirements. We had negative working capital of $612 million as of January 29, 2023, and $923 million as of July 31, 2022. Total debt maturing within one year was $578 million as of January 29, 2023, and $814 million as of July 31, 2022.</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Capital expenditures were $155 million in 2023 and $129 million in 2022. Capital expenditures are expected to total approximately $325 million in 2023. Capital expenditures in the first six months of 2023 included chip and cracker capacity expansion for our Snacks business and a new manufacturing line for our Meals &amp; Beverages business.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$226 million in 2023 and $228 million in 2022. The regular quarterly dividend paid on our capital stock was $.37 per share in both the second quarter of 2023 and 2022. On November 30, 2022, the Board of Directors declared a regular quarterly dividend of $.37 per share payable on January 30, 2023 to shareholders of record at the close of business on January 5, 2023. On March 1, 2023, the Board of Directors declared a regular quarterly dividend of $.37 per share payable on May 1, 2023 to shareholders of record at the close of business on April 6, 2023.</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1.298 million shares at a cost of $66 million in 2023 pursuant to our June 2021 program. As of January 29, 2023, approximately $106 million remained available under the June 2021 program and approximately $375 million remained available under the September 2021 program. We repurchased approximately 1.5 million shares at a cost of $65 million in 2022. See Note 13 to the Consolidated Financial Statements and “Unregistered Sales of Equity Securities and Use of Proceeds” for additional information.</w:t>
      </w:r>
    </w:p>
    <w:p>
      <w:pPr>
        <w:spacing w:after="0" w:line="5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January 29, 2023, we had $578 million of short-term borrowings due within one year, none of which was comprised of commercial paper borrowings. As of January 29, 2023, we issued $29 million of standby letters of credit. On September 27, 2021, we entered into a committed revolving credit facility totaling $1.85 billion scheduled to mature on September 27, 2026. The facility remained unused at January 29, 2023,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15, 2022, we entered into a delayed draw term loan credit agreement (the DDTL Credit Agreement) totaling up to $500 million scheduled to mature on November 15, 2025. Loans under the DDTL Credit Agreement will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anticipate using $500 million of the proceeds of the loans under the DDTL Credit Agreement to refinance our existing $566 million Notes with a maturity date of March 15, 2023.</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87" w:lineRule="exact"/>
        <w:rPr>
          <w:sz w:val="20"/>
          <w:szCs w:val="20"/>
          <w:color w:val="auto"/>
        </w:rPr>
      </w:pPr>
    </w:p>
    <w:p>
      <w:pPr>
        <w:jc w:val="both"/>
        <w:ind w:firstLine="318"/>
        <w:spacing w:after="0" w:line="218"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31, 2022 (2022 Annual Report on Form 10-K). The accounting policies we used in preparing these financial statements are substantially consistent with those we applied in our 2022 Annual Report on Form 10-K. Our significant accounting estimates are described in Management’s Discussion and Analysis included in the 2022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2022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and associated responses to the COVID-19 pandemic on our business, suppliers, customers, consumers and employees;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armed hostilities (including the ongoing conflict between Russia and Ukraine), extreme weather conditions, natural disasters, other pandemics or other calamities.</w:t>
      </w:r>
    </w:p>
    <w:p>
      <w:pPr>
        <w:spacing w:after="0" w:line="3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2022 Annual Report on Form 10-K. There have been no significant changes in our portfolio of financial instruments or market risk exposures from the 2022 year-end.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29, 2023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January 29, 2023.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15 to the Consolidated Financial Statements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January 29, 2023 was: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jc w:val="center"/>
              <w:ind w:left="144"/>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4"/>
              <w:spacing w:after="0" w:line="157"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4"/>
              <w:spacing w:after="0" w:line="133"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Per Share </w:t>
            </w:r>
            <w:r>
              <w:rPr>
                <w:rFonts w:ascii="Times New Roman" w:cs="Times New Roman" w:eastAsia="Times New Roman" w:hAnsi="Times New Roman"/>
                <w:sz w:val="16"/>
                <w:szCs w:val="16"/>
                <w:b w:val="1"/>
                <w:bCs w:val="1"/>
                <w:color w:val="auto"/>
                <w:vertAlign w:val="superscript"/>
              </w:rPr>
              <w:t>(2)</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(3)</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 in Millions)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10/31/22-11/30/22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12/1/22-12/30/22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434,248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434,248</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1/2/23-1/27/23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5,331</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439,579</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380" w:type="dxa"/>
            <w:vAlign w:val="bottom"/>
          </w:tcPr>
          <w:p>
            <w:pPr>
              <w:spacing w:after="0"/>
              <w:rPr>
                <w:sz w:val="19"/>
                <w:szCs w:val="19"/>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439,579</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ind w:left="320" w:hanging="314"/>
        <w:spacing w:after="0" w:line="191"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w:t>
      </w:r>
    </w:p>
    <w:p>
      <w:pPr>
        <w:spacing w:after="0" w:line="1" w:lineRule="exact"/>
        <w:rPr>
          <w:rFonts w:ascii="Times New Roman" w:cs="Times New Roman" w:eastAsia="Times New Roman" w:hAnsi="Times New Roman"/>
          <w:sz w:val="23"/>
          <w:szCs w:val="23"/>
          <w:color w:val="auto"/>
          <w:vertAlign w:val="superscript"/>
        </w:rPr>
      </w:pPr>
    </w:p>
    <w:p>
      <w:pPr>
        <w:jc w:val="both"/>
        <w:ind w:left="320" w:right="100" w:hanging="314"/>
        <w:spacing w:after="0" w:line="234" w:lineRule="auto"/>
        <w:tabs>
          <w:tab w:leader="none" w:pos="30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0000" w:type="dxa"/>
            <w:vAlign w:val="bottom"/>
            <w:gridSpan w:val="7"/>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 *</w:t>
            </w:r>
          </w:p>
        </w:tc>
        <w:tc>
          <w:tcPr>
            <w:tcW w:w="10000" w:type="dxa"/>
            <w:vAlign w:val="bottom"/>
            <w:gridSpan w:val="7"/>
          </w:tcPr>
          <w:p>
            <w:pPr>
              <w:spacing w:after="0"/>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Campbell Soup Company 2022 Long-Term Incentive Plan, incorporated by reference to Appendix B to the Campbell’s Proxy Statement filed</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October 18, 2022 (Commission File No. 001-03822)</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right="2340" w:firstLine="37"/>
        <w:spacing w:after="0" w:line="473" w:lineRule="auto"/>
        <w:tabs>
          <w:tab w:leader="none" w:pos="11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 * This exhibit is a management contract or compensatory plan or arrangement.</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45" w:right="23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874" w:right="4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January 29, 2023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January 29, 2023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2"/>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5"/>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lvl w:ilvl="1">
      <w:lvlJc w:val="left"/>
      <w:lvlText w:val="%2"/>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8" Type="http://schemas.openxmlformats.org/officeDocument/2006/relationships/hyperlink" Target="https://www.sec.gov/Archives/edgar/data/16732/000120677422002551/cpb4080901-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2023-03-08T06:27:51Z</dcterms:created>
  <dcterms:modified xsi:type="dcterms:W3CDTF">2023-03-08T06:27:51Z</dcterms:modified>
</cp:coreProperties>
</file>