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 w:lineRule="exact"/>
        <w:rPr>
          <w:sz w:val="24"/>
          <w:szCs w:val="24"/>
          <w:color w:val="auto"/>
        </w:rPr>
      </w:pPr>
    </w:p>
    <w:p>
      <w:pPr>
        <w:ind w:left="420"/>
        <w:spacing w:after="0"/>
        <w:tabs>
          <w:tab w:leader="none" w:pos="860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5"/>
          <w:szCs w:val="15"/>
          <w:b w:val="1"/>
          <w:bCs w:val="1"/>
          <w:color w:val="auto"/>
        </w:rPr>
        <w:t>Commission File Number</w:t>
      </w:r>
    </w:p>
    <w:p>
      <w:pPr>
        <w:spacing w:after="0" w:line="22" w:lineRule="exact"/>
        <w:rPr>
          <w:sz w:val="24"/>
          <w:szCs w:val="24"/>
          <w:color w:val="auto"/>
        </w:rPr>
      </w:pPr>
    </w:p>
    <w:p>
      <w:pPr>
        <w:ind w:left="1020"/>
        <w:spacing w:after="0"/>
        <w:tabs>
          <w:tab w:leader="none" w:pos="9320" w:val="left"/>
        </w:tabs>
        <w:rPr>
          <w:sz w:val="20"/>
          <w:szCs w:val="20"/>
          <w:color w:val="auto"/>
        </w:rPr>
      </w:pPr>
      <w:r>
        <w:rPr>
          <w:rFonts w:ascii="Arial" w:cs="Arial" w:eastAsia="Arial" w:hAnsi="Arial"/>
          <w:sz w:val="18"/>
          <w:szCs w:val="18"/>
          <w:b w:val="1"/>
          <w:bCs w:val="1"/>
          <w:color w:val="auto"/>
        </w:rPr>
        <w:t>October 31, 2021</w:t>
      </w:r>
      <w:r>
        <w:rPr>
          <w:sz w:val="20"/>
          <w:szCs w:val="20"/>
          <w:color w:val="auto"/>
        </w:rPr>
        <w:tab/>
      </w:r>
      <w:r>
        <w:rPr>
          <w:rFonts w:ascii="Arial" w:cs="Arial" w:eastAsia="Arial" w:hAnsi="Arial"/>
          <w:sz w:val="15"/>
          <w:szCs w:val="15"/>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71120</wp:posOffset>
            </wp:positionV>
            <wp:extent cx="1447165" cy="521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165" cy="521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CAMPBELL SOUP COMPANY</w:t>
      </w:r>
    </w:p>
    <w:p>
      <w:pPr>
        <w:spacing w:after="0" w:line="66" w:lineRule="exact"/>
        <w:rPr>
          <w:sz w:val="24"/>
          <w:szCs w:val="24"/>
          <w:color w:val="auto"/>
        </w:rPr>
      </w:pPr>
    </w:p>
    <w:p>
      <w:pPr>
        <w:ind w:left="2440"/>
        <w:spacing w:after="0"/>
        <w:tabs>
          <w:tab w:leader="none" w:pos="7920" w:val="left"/>
        </w:tabs>
        <w:rPr>
          <w:sz w:val="20"/>
          <w:szCs w:val="20"/>
          <w:color w:val="auto"/>
        </w:rPr>
      </w:pPr>
      <w:r>
        <w:rPr>
          <w:rFonts w:ascii="Arial" w:cs="Arial" w:eastAsia="Arial" w:hAnsi="Arial"/>
          <w:sz w:val="18"/>
          <w:szCs w:val="18"/>
          <w:b w:val="1"/>
          <w:bCs w:val="1"/>
          <w:color w:val="auto"/>
        </w:rPr>
        <w:t>New Jersey</w:t>
      </w:r>
      <w:r>
        <w:rPr>
          <w:sz w:val="20"/>
          <w:szCs w:val="20"/>
          <w:color w:val="auto"/>
        </w:rPr>
        <w:tab/>
      </w:r>
      <w:r>
        <w:rPr>
          <w:rFonts w:ascii="Arial" w:cs="Arial" w:eastAsia="Arial" w:hAnsi="Arial"/>
          <w:sz w:val="15"/>
          <w:szCs w:val="15"/>
          <w:b w:val="1"/>
          <w:bCs w:val="1"/>
          <w:color w:val="auto"/>
        </w:rPr>
        <w:t>21-0419870</w:t>
      </w:r>
    </w:p>
    <w:p>
      <w:pPr>
        <w:spacing w:after="0" w:line="24" w:lineRule="exact"/>
        <w:rPr>
          <w:sz w:val="24"/>
          <w:szCs w:val="24"/>
          <w:color w:val="auto"/>
        </w:rPr>
      </w:pPr>
    </w:p>
    <w:p>
      <w:pPr>
        <w:ind w:left="2080"/>
        <w:spacing w:after="0"/>
        <w:tabs>
          <w:tab w:leader="none" w:pos="7140" w:val="left"/>
        </w:tabs>
        <w:rPr>
          <w:sz w:val="20"/>
          <w:szCs w:val="20"/>
          <w:color w:val="auto"/>
        </w:rPr>
      </w:pPr>
      <w:r>
        <w:rPr>
          <w:rFonts w:ascii="Arial" w:cs="Arial" w:eastAsia="Arial" w:hAnsi="Arial"/>
          <w:sz w:val="18"/>
          <w:szCs w:val="18"/>
          <w:i w:val="1"/>
          <w:iCs w:val="1"/>
          <w:color w:val="auto"/>
        </w:rPr>
        <w:t>State of Incorporation</w:t>
      </w:r>
      <w:r>
        <w:rPr>
          <w:sz w:val="20"/>
          <w:szCs w:val="20"/>
          <w:color w:val="auto"/>
        </w:rPr>
        <w:tab/>
      </w:r>
      <w:r>
        <w:rPr>
          <w:rFonts w:ascii="Arial" w:cs="Arial" w:eastAsia="Arial" w:hAnsi="Arial"/>
          <w:sz w:val="15"/>
          <w:szCs w:val="15"/>
          <w:i w:val="1"/>
          <w:iCs w:val="1"/>
          <w:color w:val="auto"/>
        </w:rPr>
        <w:t>I.R.S. Employer Identification No.</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Camden, New Jersey 08103-1799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(856) 342-4800</w:t>
      </w:r>
    </w:p>
    <w:p>
      <w:pPr>
        <w:spacing w:after="0" w:line="24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5" w:lineRule="exact"/>
        <w:rPr>
          <w:sz w:val="24"/>
          <w:szCs w:val="24"/>
          <w:color w:val="auto"/>
        </w:rPr>
      </w:pPr>
    </w:p>
    <w:p>
      <w:pPr>
        <w:ind w:left="1560"/>
        <w:spacing w:after="0"/>
        <w:tabs>
          <w:tab w:leader="none" w:pos="4980" w:val="left"/>
          <w:tab w:leader="none" w:pos="722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w:t>
      </w:r>
      <w:r>
        <w:rPr>
          <w:sz w:val="20"/>
          <w:szCs w:val="20"/>
          <w:color w:val="auto"/>
        </w:rPr>
        <w:tab/>
      </w:r>
      <w:r>
        <w:rPr>
          <w:rFonts w:ascii="Arial" w:cs="Arial" w:eastAsia="Arial" w:hAnsi="Arial"/>
          <w:sz w:val="15"/>
          <w:szCs w:val="15"/>
          <w:b w:val="1"/>
          <w:bCs w:val="1"/>
          <w:color w:val="auto"/>
        </w:rPr>
        <w:t>Name of Each Exchange on Which Registered</w:t>
      </w:r>
    </w:p>
    <w:p>
      <w:pPr>
        <w:spacing w:after="0" w:line="24" w:lineRule="exact"/>
        <w:rPr>
          <w:sz w:val="24"/>
          <w:szCs w:val="24"/>
          <w:color w:val="auto"/>
        </w:rPr>
      </w:pPr>
    </w:p>
    <w:p>
      <w:pPr>
        <w:ind w:left="1140"/>
        <w:spacing w:after="0"/>
        <w:tabs>
          <w:tab w:leader="none" w:pos="5420" w:val="left"/>
          <w:tab w:leader="none" w:pos="8000" w:val="left"/>
        </w:tabs>
        <w:rPr>
          <w:sz w:val="20"/>
          <w:szCs w:val="20"/>
          <w:color w:val="auto"/>
        </w:rPr>
      </w:pPr>
      <w:r>
        <w:rPr>
          <w:rFonts w:ascii="Arial" w:cs="Arial" w:eastAsia="Arial" w:hAnsi="Arial"/>
          <w:sz w:val="18"/>
          <w:szCs w:val="18"/>
          <w:color w:val="auto"/>
        </w:rPr>
        <w:t>Capital Stock, par value $.0375</w:t>
      </w:r>
      <w:r>
        <w:rPr>
          <w:sz w:val="20"/>
          <w:szCs w:val="20"/>
          <w:color w:val="auto"/>
        </w:rPr>
        <w:tab/>
      </w:r>
      <w:r>
        <w:rPr>
          <w:rFonts w:ascii="Arial" w:cs="Arial" w:eastAsia="Arial" w:hAnsi="Arial"/>
          <w:sz w:val="18"/>
          <w:szCs w:val="18"/>
          <w:color w:val="auto"/>
        </w:rPr>
        <w:t>CPB</w:t>
      </w:r>
      <w:r>
        <w:rPr>
          <w:sz w:val="20"/>
          <w:szCs w:val="20"/>
          <w:color w:val="auto"/>
        </w:rPr>
        <w:tab/>
      </w:r>
      <w:r>
        <w:rPr>
          <w:rFonts w:ascii="Arial" w:cs="Arial" w:eastAsia="Arial" w:hAnsi="Arial"/>
          <w:sz w:val="15"/>
          <w:szCs w:val="15"/>
          <w:color w:val="auto"/>
        </w:rPr>
        <w:t>New York Stock Exchange</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50" w:lineRule="exact"/>
        <w:rPr>
          <w:sz w:val="24"/>
          <w:szCs w:val="24"/>
          <w:color w:val="auto"/>
        </w:rPr>
      </w:pPr>
    </w:p>
    <w:p>
      <w:pPr>
        <w:jc w:val="both"/>
        <w:ind w:firstLine="318"/>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4" w:lineRule="exact"/>
        <w:rPr>
          <w:sz w:val="24"/>
          <w:szCs w:val="24"/>
          <w:color w:val="auto"/>
        </w:rPr>
      </w:pPr>
    </w:p>
    <w:p>
      <w:pPr>
        <w:jc w:val="both"/>
        <w:ind w:firstLine="318"/>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3" w:lineRule="exact"/>
        <w:rPr>
          <w:sz w:val="24"/>
          <w:szCs w:val="24"/>
          <w:color w:val="auto"/>
        </w:rPr>
      </w:pPr>
    </w:p>
    <w:p>
      <w:pPr>
        <w:jc w:val="both"/>
        <w:ind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17" w:right="339" w:bottom="1440" w:gutter="0" w:footer="0" w:header="0"/>
        </w:sectPr>
      </w:pPr>
    </w:p>
    <w:p>
      <w:pPr>
        <w:spacing w:after="0" w:line="162"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Large accelerated filer</w:t>
      </w:r>
    </w:p>
    <w:p>
      <w:pPr>
        <w:spacing w:after="0" w:line="18"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Non-accelerated filer</w:t>
      </w:r>
    </w:p>
    <w:p>
      <w:pPr>
        <w:spacing w:after="0" w:line="18" w:lineRule="exact"/>
        <w:rPr>
          <w:sz w:val="24"/>
          <w:szCs w:val="24"/>
          <w:color w:val="auto"/>
        </w:rPr>
      </w:pPr>
    </w:p>
    <w:p>
      <w:pPr>
        <w:ind w:left="206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250" w:lineRule="exact"/>
        <w:tabs>
          <w:tab w:leader="none" w:pos="1720" w:val="left"/>
          <w:tab w:leader="none" w:pos="4220" w:val="left"/>
        </w:tabs>
        <w:rPr>
          <w:sz w:val="20"/>
          <w:szCs w:val="20"/>
          <w:color w:val="auto"/>
        </w:rPr>
      </w:pPr>
      <w:r>
        <w:rPr>
          <w:rFonts w:ascii="MS PGothic" w:cs="MS PGothic" w:eastAsia="MS PGothic" w:hAnsi="MS PGothic"/>
          <w:sz w:val="35"/>
          <w:szCs w:val="35"/>
          <w:color w:val="auto"/>
          <w:vertAlign w:val="superscript"/>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5"/>
          <w:szCs w:val="15"/>
          <w:color w:val="auto"/>
        </w:rPr>
        <w:t>☐</w:t>
      </w:r>
    </w:p>
    <w:p>
      <w:pPr>
        <w:spacing w:after="0" w:line="125" w:lineRule="exact"/>
        <w:rPr>
          <w:sz w:val="24"/>
          <w:szCs w:val="24"/>
          <w:color w:val="auto"/>
        </w:rPr>
      </w:pPr>
    </w:p>
    <w:p>
      <w:pPr>
        <w:spacing w:after="0" w:line="207" w:lineRule="exact"/>
        <w:tabs>
          <w:tab w:leader="none" w:pos="1720" w:val="left"/>
          <w:tab w:leader="none" w:pos="42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5"/>
          <w:szCs w:val="15"/>
          <w:color w:val="auto"/>
        </w:rPr>
        <w:t>☐</w:t>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4060" w:space="720"/>
            <w:col w:w="6460"/>
          </w:cols>
          <w:pgMar w:left="320" w:top="1017" w:right="339" w:bottom="1440" w:gutter="0" w:footer="0" w:header="0"/>
          <w:type w:val="continuous"/>
        </w:sectPr>
      </w:pPr>
    </w:p>
    <w:p>
      <w:pPr>
        <w:spacing w:after="0" w:line="196" w:lineRule="exact"/>
        <w:rPr>
          <w:sz w:val="24"/>
          <w:szCs w:val="24"/>
          <w:color w:val="auto"/>
        </w:rPr>
      </w:pPr>
    </w:p>
    <w:p>
      <w:pPr>
        <w:ind w:firstLine="318"/>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79"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There were 301,737,878 shares of capital stock outstanding as of December 1, 2021.</w:t>
      </w: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Arial" w:cs="Arial" w:eastAsia="Arial" w:hAnsi="Arial"/>
                <w:sz w:val="18"/>
                <w:szCs w:val="18"/>
                <w:b w:val="1"/>
                <w:bCs w:val="1"/>
                <w:color w:val="auto"/>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70"/>
        </w:trPr>
        <w:tc>
          <w:tcPr>
            <w:tcW w:w="2900" w:type="dxa"/>
            <w:vAlign w:val="bottom"/>
            <w:tcBorders>
              <w:bottom w:val="single" w:sz="8" w:color="0000FF"/>
            </w:tcBorders>
            <w:gridSpan w:val="8"/>
          </w:tcPr>
          <w:p>
            <w:pPr>
              <w:spacing w:after="0"/>
              <w:rPr>
                <w:rFonts w:ascii="Arial" w:cs="Arial" w:eastAsia="Arial" w:hAnsi="Arial"/>
                <w:sz w:val="18"/>
                <w:szCs w:val="18"/>
                <w:color w:val="0000FF"/>
                <w:w w:val="96"/>
              </w:rPr>
            </w:pPr>
            <w:hyperlink w:anchor="page2">
              <w:r>
                <w:rPr>
                  <w:rFonts w:ascii="Arial" w:cs="Arial" w:eastAsia="Arial" w:hAnsi="Arial"/>
                  <w:sz w:val="18"/>
                  <w:szCs w:val="18"/>
                  <w:color w:val="0000FF"/>
                  <w:w w:val="96"/>
                </w:rPr>
                <w:t>PART I - FINANCIAL INFORMATION</w:t>
              </w:r>
            </w:hyperlink>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80" w:type="dxa"/>
            <w:vAlign w:val="bottom"/>
          </w:tcPr>
          <w:p>
            <w:pPr>
              <w:spacing w:after="0"/>
              <w:rPr>
                <w:sz w:val="24"/>
                <w:szCs w:val="24"/>
                <w:color w:val="auto"/>
              </w:rPr>
            </w:pPr>
          </w:p>
        </w:tc>
      </w:tr>
      <w:tr>
        <w:trPr>
          <w:trHeight w:val="205"/>
        </w:trPr>
        <w:tc>
          <w:tcPr>
            <w:tcW w:w="780" w:type="dxa"/>
            <w:vAlign w:val="bottom"/>
          </w:tcPr>
          <w:p>
            <w:pPr>
              <w:spacing w:after="0"/>
              <w:rPr>
                <w:sz w:val="17"/>
                <w:szCs w:val="17"/>
                <w:color w:val="auto"/>
              </w:rPr>
            </w:pPr>
          </w:p>
        </w:tc>
        <w:tc>
          <w:tcPr>
            <w:tcW w:w="2020" w:type="dxa"/>
            <w:vAlign w:val="bottom"/>
            <w:tcBorders>
              <w:bottom w:val="single" w:sz="8" w:color="0000FF"/>
            </w:tcBorders>
            <w:gridSpan w:val="6"/>
          </w:tcPr>
          <w:p>
            <w:pPr>
              <w:spacing w:after="0" w:line="205"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Item 1. Financial Statements</w:t>
              </w:r>
            </w:hyperlink>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0"/>
          </w:tcPr>
          <w:p>
            <w:pPr>
              <w:spacing w:after="0" w:line="205"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Consolidated Statements of Earnings</w:t>
              </w:r>
            </w:hyperlink>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3"/>
          </w:tcPr>
          <w:p>
            <w:pPr>
              <w:spacing w:after="0" w:line="205"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Consolidated Statements of Comprehensive Income</w:t>
              </w:r>
            </w:hyperlink>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7"/>
          </w:tcPr>
          <w:p>
            <w:pPr>
              <w:spacing w:after="0" w:line="205"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Consolidated Balance Sheets</w:t>
              </w:r>
            </w:hyperlink>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1"/>
          </w:tcPr>
          <w:p>
            <w:pPr>
              <w:spacing w:after="0" w:line="205"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Consolidated Statements of Cash Flows</w:t>
              </w:r>
            </w:hyperlink>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7"/>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Statements of Equity</w:t>
              </w:r>
            </w:hyperlink>
          </w:p>
        </w:tc>
        <w:tc>
          <w:tcPr>
            <w:tcW w:w="2460" w:type="dxa"/>
            <w:vAlign w:val="bottom"/>
            <w:gridSpan w:val="3"/>
          </w:tcPr>
          <w:p>
            <w:pPr>
              <w:ind w:left="2280"/>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5"/>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2"/>
          </w:tcPr>
          <w:p>
            <w:pPr>
              <w:spacing w:after="0" w:line="205"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Notes to Consolidated Financial Statements</w:t>
              </w:r>
            </w:hyperlink>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6860" w:type="dxa"/>
            <w:vAlign w:val="bottom"/>
            <w:tcBorders>
              <w:bottom w:val="single" w:sz="8" w:color="0000FF"/>
            </w:tcBorders>
            <w:gridSpan w:val="18"/>
          </w:tcPr>
          <w:p>
            <w:pPr>
              <w:spacing w:after="0" w:line="205"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Item 2. Management's Discussion and Analysis of Financial Condition and Results of Operations</w:t>
              </w:r>
            </w:hyperlink>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rFonts w:ascii="Arial" w:cs="Arial" w:eastAsia="Arial" w:hAnsi="Arial"/>
                <w:sz w:val="18"/>
                <w:szCs w:val="18"/>
                <w:color w:val="0000FF"/>
                <w:w w:val="79"/>
              </w:rPr>
            </w:pPr>
            <w:hyperlink w:anchor="page22">
              <w:r>
                <w:rPr>
                  <w:rFonts w:ascii="Arial" w:cs="Arial" w:eastAsia="Arial" w:hAnsi="Arial"/>
                  <w:sz w:val="18"/>
                  <w:szCs w:val="18"/>
                  <w:color w:val="0000FF"/>
                  <w:w w:val="79"/>
                </w:rPr>
                <w:t>23</w:t>
              </w:r>
            </w:hyperlink>
          </w:p>
        </w:tc>
      </w:tr>
      <w:tr>
        <w:trPr>
          <w:trHeight w:val="205"/>
        </w:trPr>
        <w:tc>
          <w:tcPr>
            <w:tcW w:w="780" w:type="dxa"/>
            <w:vAlign w:val="bottom"/>
          </w:tcPr>
          <w:p>
            <w:pPr>
              <w:spacing w:after="0"/>
              <w:rPr>
                <w:sz w:val="17"/>
                <w:szCs w:val="17"/>
                <w:color w:val="auto"/>
              </w:rPr>
            </w:pPr>
          </w:p>
        </w:tc>
        <w:tc>
          <w:tcPr>
            <w:tcW w:w="6860" w:type="dxa"/>
            <w:vAlign w:val="bottom"/>
            <w:gridSpan w:val="18"/>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Item 3. Quantitative and Qualitative Disclosure About Market Risk</w:t>
              </w:r>
            </w:hyperlink>
          </w:p>
        </w:tc>
        <w:tc>
          <w:tcPr>
            <w:tcW w:w="2460" w:type="dxa"/>
            <w:vAlign w:val="bottom"/>
            <w:gridSpan w:val="3"/>
          </w:tcPr>
          <w:p>
            <w:pPr>
              <w:ind w:left="2280"/>
              <w:spacing w:after="0" w:line="205"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r>
      <w:tr>
        <w:trPr>
          <w:trHeight w:val="205"/>
        </w:trPr>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9"/>
          </w:tcPr>
          <w:p>
            <w:pPr>
              <w:spacing w:after="0" w:line="205" w:lineRule="exact"/>
              <w:rPr>
                <w:rFonts w:ascii="Arial" w:cs="Arial" w:eastAsia="Arial" w:hAnsi="Arial"/>
                <w:sz w:val="18"/>
                <w:szCs w:val="18"/>
                <w:color w:val="0000FF"/>
                <w:w w:val="87"/>
              </w:rPr>
            </w:pPr>
            <w:hyperlink w:anchor="page30">
              <w:r>
                <w:rPr>
                  <w:rFonts w:ascii="Arial" w:cs="Arial" w:eastAsia="Arial" w:hAnsi="Arial"/>
                  <w:sz w:val="18"/>
                  <w:szCs w:val="18"/>
                  <w:color w:val="0000FF"/>
                  <w:w w:val="87"/>
                </w:rPr>
                <w:t>Item 4. Controls and Procedures</w:t>
              </w:r>
            </w:hyperlink>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r>
      <w:tr>
        <w:trPr>
          <w:trHeight w:val="205"/>
        </w:trPr>
        <w:tc>
          <w:tcPr>
            <w:tcW w:w="7640" w:type="dxa"/>
            <w:vAlign w:val="bottom"/>
            <w:gridSpan w:val="19"/>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PART II - OTHER INFORMATION</w:t>
              </w:r>
            </w:hyperlink>
          </w:p>
        </w:tc>
        <w:tc>
          <w:tcPr>
            <w:tcW w:w="2460" w:type="dxa"/>
            <w:vAlign w:val="bottom"/>
            <w:gridSpan w:val="3"/>
          </w:tcPr>
          <w:p>
            <w:pPr>
              <w:ind w:left="2280"/>
              <w:spacing w:after="0" w:line="205"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780" w:type="dxa"/>
            <w:vAlign w:val="bottom"/>
          </w:tcPr>
          <w:p>
            <w:pPr>
              <w:spacing w:after="0"/>
              <w:rPr>
                <w:sz w:val="17"/>
                <w:szCs w:val="17"/>
                <w:color w:val="auto"/>
              </w:rPr>
            </w:pPr>
          </w:p>
        </w:tc>
        <w:tc>
          <w:tcPr>
            <w:tcW w:w="6860" w:type="dxa"/>
            <w:vAlign w:val="bottom"/>
            <w:gridSpan w:val="18"/>
          </w:tcPr>
          <w:p>
            <w:pPr>
              <w:spacing w:after="0" w:line="205" w:lineRule="exact"/>
              <w:rPr>
                <w:rFonts w:ascii="Arial" w:cs="Arial" w:eastAsia="Arial" w:hAnsi="Arial"/>
                <w:sz w:val="18"/>
                <w:szCs w:val="18"/>
                <w:color w:val="0000FF"/>
              </w:rPr>
            </w:pPr>
            <w:hyperlink w:anchor="page31">
              <w:r>
                <w:rPr>
                  <w:rFonts w:ascii="Arial" w:cs="Arial" w:eastAsia="Arial" w:hAnsi="Arial"/>
                  <w:sz w:val="18"/>
                  <w:szCs w:val="18"/>
                  <w:color w:val="0000FF"/>
                </w:rPr>
                <w:t>Item 1. Legal Proceedings</w:t>
              </w:r>
            </w:hyperlink>
          </w:p>
        </w:tc>
        <w:tc>
          <w:tcPr>
            <w:tcW w:w="2460" w:type="dxa"/>
            <w:vAlign w:val="bottom"/>
            <w:gridSpan w:val="3"/>
          </w:tcPr>
          <w:p>
            <w:pPr>
              <w:ind w:left="2280"/>
              <w:spacing w:after="0" w:line="205"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5"/>
        </w:trPr>
        <w:tc>
          <w:tcPr>
            <w:tcW w:w="780" w:type="dxa"/>
            <w:vAlign w:val="bottom"/>
          </w:tcPr>
          <w:p>
            <w:pPr>
              <w:spacing w:after="0"/>
              <w:rPr>
                <w:sz w:val="17"/>
                <w:szCs w:val="17"/>
                <w:color w:val="auto"/>
              </w:rPr>
            </w:pPr>
          </w:p>
        </w:tc>
        <w:tc>
          <w:tcPr>
            <w:tcW w:w="6860" w:type="dxa"/>
            <w:vAlign w:val="bottom"/>
            <w:gridSpan w:val="18"/>
          </w:tcPr>
          <w:p>
            <w:pPr>
              <w:spacing w:after="0" w:line="205" w:lineRule="exact"/>
              <w:rPr>
                <w:rFonts w:ascii="Arial" w:cs="Arial" w:eastAsia="Arial" w:hAnsi="Arial"/>
                <w:sz w:val="18"/>
                <w:szCs w:val="18"/>
                <w:color w:val="0000FF"/>
              </w:rPr>
            </w:pPr>
            <w:hyperlink w:anchor="page31">
              <w:r>
                <w:rPr>
                  <w:rFonts w:ascii="Arial" w:cs="Arial" w:eastAsia="Arial" w:hAnsi="Arial"/>
                  <w:sz w:val="18"/>
                  <w:szCs w:val="18"/>
                  <w:color w:val="0000FF"/>
                </w:rPr>
                <w:t>Item 2. Unregistered Sales of Equity Securities and Use of Proceeds</w:t>
              </w:r>
            </w:hyperlink>
          </w:p>
        </w:tc>
        <w:tc>
          <w:tcPr>
            <w:tcW w:w="2460" w:type="dxa"/>
            <w:vAlign w:val="bottom"/>
            <w:gridSpan w:val="3"/>
          </w:tcPr>
          <w:p>
            <w:pPr>
              <w:ind w:left="2280"/>
              <w:spacing w:after="0" w:line="205"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5"/>
        </w:trPr>
        <w:tc>
          <w:tcPr>
            <w:tcW w:w="780" w:type="dxa"/>
            <w:vAlign w:val="bottom"/>
          </w:tcPr>
          <w:p>
            <w:pPr>
              <w:spacing w:after="0"/>
              <w:rPr>
                <w:sz w:val="17"/>
                <w:szCs w:val="17"/>
                <w:color w:val="auto"/>
              </w:rPr>
            </w:pPr>
          </w:p>
        </w:tc>
        <w:tc>
          <w:tcPr>
            <w:tcW w:w="4800" w:type="dxa"/>
            <w:vAlign w:val="bottom"/>
            <w:tcBorders>
              <w:top w:val="single" w:sz="8" w:color="0000FF"/>
            </w:tcBorders>
            <w:gridSpan w:val="16"/>
          </w:tcPr>
          <w:p>
            <w:pPr>
              <w:spacing w:after="0" w:line="205" w:lineRule="exact"/>
              <w:rPr>
                <w:rFonts w:ascii="Arial" w:cs="Arial" w:eastAsia="Arial" w:hAnsi="Arial"/>
                <w:sz w:val="18"/>
                <w:szCs w:val="18"/>
                <w:color w:val="0000FF"/>
              </w:rPr>
            </w:pPr>
            <w:hyperlink w:anchor="page31">
              <w:r>
                <w:rPr>
                  <w:rFonts w:ascii="Arial" w:cs="Arial" w:eastAsia="Arial" w:hAnsi="Arial"/>
                  <w:sz w:val="18"/>
                  <w:szCs w:val="18"/>
                  <w:color w:val="0000FF"/>
                </w:rPr>
                <w:t>Item 6. Exhibits</w:t>
              </w:r>
            </w:hyperlink>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1680" w:type="dxa"/>
            <w:vAlign w:val="bottom"/>
            <w:tcBorders>
              <w:bottom w:val="single" w:sz="8" w:color="0000FF"/>
            </w:tcBorders>
            <w:gridSpan w:val="4"/>
          </w:tcPr>
          <w:p>
            <w:pPr>
              <w:spacing w:after="0" w:line="205" w:lineRule="exact"/>
              <w:rPr>
                <w:rFonts w:ascii="Arial" w:cs="Arial" w:eastAsia="Arial" w:hAnsi="Arial"/>
                <w:sz w:val="18"/>
                <w:szCs w:val="18"/>
                <w:color w:val="0000FF"/>
                <w:w w:val="96"/>
              </w:rPr>
            </w:pPr>
            <w:hyperlink w:anchor="page32">
              <w:r>
                <w:rPr>
                  <w:rFonts w:ascii="Arial" w:cs="Arial" w:eastAsia="Arial" w:hAnsi="Arial"/>
                  <w:sz w:val="18"/>
                  <w:szCs w:val="18"/>
                  <w:color w:val="0000FF"/>
                  <w:w w:val="96"/>
                </w:rPr>
                <w:t>INDEX TO EXHIBITS</w:t>
              </w:r>
            </w:hyperlink>
          </w:p>
        </w:tc>
        <w:tc>
          <w:tcPr>
            <w:tcW w:w="5960" w:type="dxa"/>
            <w:vAlign w:val="bottom"/>
            <w:gridSpan w:val="15"/>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05"/>
        </w:trPr>
        <w:tc>
          <w:tcPr>
            <w:tcW w:w="7640" w:type="dxa"/>
            <w:vAlign w:val="bottom"/>
            <w:gridSpan w:val="19"/>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SIGNATURES</w:t>
              </w:r>
            </w:hyperlink>
          </w:p>
        </w:tc>
        <w:tc>
          <w:tcPr>
            <w:tcW w:w="2460" w:type="dxa"/>
            <w:vAlign w:val="bottom"/>
            <w:gridSpan w:val="3"/>
          </w:tcPr>
          <w:p>
            <w:pPr>
              <w:ind w:left="2280"/>
              <w:spacing w:after="0" w:line="205"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19"/>
          </w:cols>
          <w:pgMar w:left="340" w:top="1059" w:right="1440" w:bottom="1440" w:gutter="0" w:footer="0" w:header="0"/>
        </w:sectPr>
      </w:pPr>
    </w:p>
    <w:bookmarkStart w:id="2" w:name="page3"/>
    <w:bookmarkEnd w:id="2"/>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3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r>
      <w:tr>
        <w:trPr>
          <w:trHeight w:val="183"/>
        </w:trPr>
        <w:tc>
          <w:tcPr>
            <w:tcW w:w="878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31, 2021</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November 1, 2020</w:t>
            </w:r>
          </w:p>
        </w:tc>
      </w:tr>
      <w:tr>
        <w:trPr>
          <w:trHeight w:val="219"/>
        </w:trPr>
        <w:tc>
          <w:tcPr>
            <w:tcW w:w="87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2,236</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2,340</w:t>
            </w:r>
          </w:p>
        </w:tc>
      </w:tr>
      <w:tr>
        <w:trPr>
          <w:trHeight w:val="218"/>
        </w:trPr>
        <w:tc>
          <w:tcPr>
            <w:tcW w:w="87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1,527</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Marketing and selling expenses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25"/>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expenses / (income)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8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1,860</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1,879</w:t>
            </w:r>
          </w:p>
        </w:tc>
      </w:tr>
      <w:tr>
        <w:trPr>
          <w:trHeight w:val="218"/>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25"/>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5"/>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25"/>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on earnings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5"/>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Net earnings (loss) attributable to noncontrolling interests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8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78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Per Share — Basic</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25"/>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5"/>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78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rPr>
              <w:t>Weighted average shares outstanding — basic</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302</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8"/>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 Assuming Dilution</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5"/>
        </w:trPr>
        <w:tc>
          <w:tcPr>
            <w:tcW w:w="8780" w:type="dxa"/>
            <w:vAlign w:val="bottom"/>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340" w:type="dxa"/>
            <w:vAlign w:val="bottom"/>
          </w:tcPr>
          <w:p>
            <w:pPr>
              <w:jc w:val="right"/>
              <w:ind w:right="154"/>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19"/>
                <w:szCs w:val="19"/>
                <w:color w:val="auto"/>
              </w:rPr>
            </w:pPr>
          </w:p>
        </w:tc>
        <w:tc>
          <w:tcPr>
            <w:tcW w:w="660" w:type="dxa"/>
            <w:vAlign w:val="bottom"/>
          </w:tcPr>
          <w:p>
            <w:pPr>
              <w:jc w:val="right"/>
              <w:ind w:right="47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5"/>
        </w:trPr>
        <w:tc>
          <w:tcPr>
            <w:tcW w:w="8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3"/>
        </w:trPr>
        <w:tc>
          <w:tcPr>
            <w:tcW w:w="8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assuming dilution</w:t>
            </w: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October 31, 2021</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0"/>
              </w:rPr>
              <w:t>November 1, 2020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Tax (expense)</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320"/>
              <w:spacing w:after="0" w:line="127" w:lineRule="exact"/>
              <w:rPr>
                <w:sz w:val="20"/>
                <w:szCs w:val="20"/>
                <w:color w:val="auto"/>
              </w:rPr>
            </w:pPr>
            <w:r>
              <w:rPr>
                <w:rFonts w:ascii="Arial" w:cs="Arial" w:eastAsia="Arial" w:hAnsi="Arial"/>
                <w:sz w:val="14"/>
                <w:szCs w:val="14"/>
                <w:b w:val="1"/>
                <w:bCs w:val="1"/>
                <w:color w:val="auto"/>
                <w:w w:val="90"/>
              </w:rPr>
              <w:t>Tax</w:t>
            </w:r>
          </w:p>
        </w:tc>
        <w:tc>
          <w:tcPr>
            <w:tcW w:w="7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33"/>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85"/>
              </w:rPr>
              <w:t>(expense)</w:t>
            </w: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ind w:left="4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ind w:left="42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300"/>
              <w:spacing w:after="0"/>
              <w:rPr>
                <w:sz w:val="20"/>
                <w:szCs w:val="20"/>
                <w:color w:val="auto"/>
              </w:rPr>
            </w:pPr>
            <w:r>
              <w:rPr>
                <w:rFonts w:ascii="Arial" w:cs="Arial" w:eastAsia="Arial" w:hAnsi="Arial"/>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Arial" w:cs="Arial" w:eastAsia="Arial" w:hAnsi="Arial"/>
                <w:sz w:val="16"/>
                <w:szCs w:val="16"/>
                <w:b w:val="1"/>
                <w:bCs w:val="1"/>
                <w:color w:val="auto"/>
                <w:w w:val="91"/>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700" w:type="dxa"/>
            <w:vAlign w:val="bottom"/>
          </w:tcPr>
          <w:p>
            <w:pPr>
              <w:ind w:left="140"/>
              <w:spacing w:after="0"/>
              <w:rPr>
                <w:sz w:val="20"/>
                <w:szCs w:val="20"/>
                <w:color w:val="auto"/>
              </w:rPr>
            </w:pPr>
            <w:r>
              <w:rPr>
                <w:rFonts w:ascii="Arial" w:cs="Arial" w:eastAsia="Arial" w:hAnsi="Arial"/>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w w:val="91"/>
              </w:rPr>
              <w:t>(1)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263</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0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8"/>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263</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2"/>
              </w:rPr>
              <w:t>October 31, 2021</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August 1, 2021</w:t>
            </w:r>
          </w:p>
        </w:tc>
      </w:tr>
      <w:tr>
        <w:trPr>
          <w:trHeight w:val="22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8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5"/>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5"/>
        </w:trPr>
        <w:tc>
          <w:tcPr>
            <w:tcW w:w="68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974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25"/>
        </w:trPr>
        <w:tc>
          <w:tcPr>
            <w:tcW w:w="6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102</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8"/>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1,876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r>
      <w:tr>
        <w:trPr>
          <w:trHeight w:val="218"/>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assets, net of depreciation</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2,355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25"/>
        </w:trPr>
        <w:tc>
          <w:tcPr>
            <w:tcW w:w="6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3,982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3,981</w:t>
            </w:r>
          </w:p>
        </w:tc>
      </w:tr>
      <w:tr>
        <w:trPr>
          <w:trHeight w:val="225"/>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amortization</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3,228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r>
      <w:tr>
        <w:trPr>
          <w:trHeight w:val="225"/>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1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458</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11,899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r>
      <w:tr>
        <w:trPr>
          <w:trHeight w:val="20"/>
        </w:trPr>
        <w:tc>
          <w:tcPr>
            <w:tcW w:w="68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86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Current liabilities</w:t>
            </w:r>
          </w:p>
        </w:tc>
        <w:tc>
          <w:tcPr>
            <w:tcW w:w="1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5"/>
        </w:trPr>
        <w:tc>
          <w:tcPr>
            <w:tcW w:w="6860" w:type="dxa"/>
            <w:vAlign w:val="bottom"/>
          </w:tcPr>
          <w:p>
            <w:pPr>
              <w:ind w:left="140"/>
              <w:spacing w:after="0"/>
              <w:rPr>
                <w:sz w:val="20"/>
                <w:szCs w:val="20"/>
                <w:color w:val="auto"/>
              </w:rPr>
            </w:pPr>
            <w:r>
              <w:rPr>
                <w:rFonts w:ascii="Arial" w:cs="Arial" w:eastAsia="Arial" w:hAnsi="Arial"/>
                <w:sz w:val="18"/>
                <w:szCs w:val="18"/>
                <w:color w:val="auto"/>
              </w:rPr>
              <w:t>Payable to suppliers and others</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1,151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25"/>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539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25"/>
        </w:trPr>
        <w:tc>
          <w:tcPr>
            <w:tcW w:w="6860" w:type="dxa"/>
            <w:vAlign w:val="bottom"/>
          </w:tcPr>
          <w:p>
            <w:pPr>
              <w:ind w:left="140"/>
              <w:spacing w:after="0"/>
              <w:rPr>
                <w:sz w:val="20"/>
                <w:szCs w:val="20"/>
                <w:color w:val="auto"/>
              </w:rPr>
            </w:pPr>
            <w:r>
              <w:rPr>
                <w:rFonts w:ascii="Arial" w:cs="Arial" w:eastAsia="Arial" w:hAnsi="Arial"/>
                <w:sz w:val="18"/>
                <w:szCs w:val="18"/>
                <w:color w:val="auto"/>
              </w:rPr>
              <w:t>Dividends payable</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113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5"/>
        </w:trPr>
        <w:tc>
          <w:tcPr>
            <w:tcW w:w="6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Accrued income taxes</w:t>
            </w:r>
          </w:p>
        </w:tc>
        <w:tc>
          <w:tcPr>
            <w:tcW w:w="1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55</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8"/>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2,338</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r>
      <w:tr>
        <w:trPr>
          <w:trHeight w:val="218"/>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4,567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r>
      <w:tr>
        <w:trPr>
          <w:trHeight w:val="225"/>
        </w:trPr>
        <w:tc>
          <w:tcPr>
            <w:tcW w:w="686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1,073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25"/>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684</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18"/>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8,662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Campbell Soup Company shareholders' equity</w:t>
            </w:r>
          </w:p>
        </w:tc>
        <w:tc>
          <w:tcPr>
            <w:tcW w:w="1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authorized 40 shares; none issued</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860" w:type="dxa"/>
            <w:vAlign w:val="bottom"/>
          </w:tcPr>
          <w:p>
            <w:pPr>
              <w:ind w:left="140"/>
              <w:spacing w:after="0"/>
              <w:rPr>
                <w:sz w:val="20"/>
                <w:szCs w:val="20"/>
                <w:color w:val="auto"/>
              </w:rPr>
            </w:pPr>
            <w:r>
              <w:rPr>
                <w:rFonts w:ascii="Arial" w:cs="Arial" w:eastAsia="Arial" w:hAnsi="Arial"/>
                <w:sz w:val="18"/>
                <w:szCs w:val="18"/>
                <w:color w:val="auto"/>
              </w:rPr>
              <w:t>Capital stock, $0.0375 par value; authorized 560 shares; issued 323 shares</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25"/>
        </w:trPr>
        <w:tc>
          <w:tcPr>
            <w:tcW w:w="6860" w:type="dxa"/>
            <w:vAlign w:val="bottom"/>
          </w:tcPr>
          <w:p>
            <w:pPr>
              <w:ind w:left="140"/>
              <w:spacing w:after="0"/>
              <w:rPr>
                <w:sz w:val="20"/>
                <w:szCs w:val="20"/>
                <w:color w:val="auto"/>
              </w:rPr>
            </w:pPr>
            <w:r>
              <w:rPr>
                <w:rFonts w:ascii="Arial" w:cs="Arial" w:eastAsia="Arial" w:hAnsi="Arial"/>
                <w:sz w:val="18"/>
                <w:szCs w:val="18"/>
                <w:color w:val="auto"/>
              </w:rPr>
              <w:t>Earnings retained in the business</w:t>
            </w:r>
          </w:p>
        </w:tc>
        <w:tc>
          <w:tcPr>
            <w:tcW w:w="16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3,882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3,742</w:t>
            </w:r>
          </w:p>
        </w:tc>
      </w:tr>
      <w:tr>
        <w:trPr>
          <w:trHeight w:val="225"/>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stock in treasury, at cost</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25"/>
        </w:trPr>
        <w:tc>
          <w:tcPr>
            <w:tcW w:w="6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8"/>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3,235</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r>
      <w:tr>
        <w:trPr>
          <w:trHeight w:val="218"/>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interests</w:t>
            </w:r>
          </w:p>
        </w:tc>
        <w:tc>
          <w:tcPr>
            <w:tcW w:w="1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1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3,237</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r>
      <w:tr>
        <w:trPr>
          <w:trHeight w:val="218"/>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11,899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11,734</w:t>
            </w: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r>
      <w:tr>
        <w:trPr>
          <w:trHeight w:val="183"/>
        </w:trPr>
        <w:tc>
          <w:tcPr>
            <w:tcW w:w="878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31, 2021</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November 1, 2020</w:t>
            </w:r>
          </w:p>
        </w:tc>
      </w:tr>
      <w:tr>
        <w:trPr>
          <w:trHeight w:val="206"/>
        </w:trPr>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340" w:type="dxa"/>
            <w:vAlign w:val="bottom"/>
          </w:tcPr>
          <w:p>
            <w:pPr>
              <w:jc w:val="right"/>
              <w:ind w:right="158"/>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tcPr>
          <w:p>
            <w:pPr>
              <w:spacing w:after="0"/>
              <w:rPr>
                <w:sz w:val="19"/>
                <w:szCs w:val="19"/>
                <w:color w:val="auto"/>
              </w:rPr>
            </w:pPr>
          </w:p>
        </w:tc>
        <w:tc>
          <w:tcPr>
            <w:tcW w:w="680" w:type="dxa"/>
            <w:vAlign w:val="bottom"/>
          </w:tcPr>
          <w:p>
            <w:pPr>
              <w:jc w:val="right"/>
              <w:ind w:right="498"/>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5"/>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to operating cash flow</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postretirement benefit income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87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5"/>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8780" w:type="dxa"/>
            <w:vAlign w:val="bottom"/>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working capital</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5"/>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8780" w:type="dxa"/>
            <w:vAlign w:val="bottom"/>
          </w:tcPr>
          <w:p>
            <w:pPr>
              <w:ind w:left="340"/>
              <w:spacing w:after="0"/>
              <w:rPr>
                <w:sz w:val="20"/>
                <w:szCs w:val="20"/>
                <w:color w:val="auto"/>
              </w:rPr>
            </w:pPr>
            <w:r>
              <w:rPr>
                <w:rFonts w:ascii="Arial" w:cs="Arial" w:eastAsia="Arial" w:hAnsi="Arial"/>
                <w:sz w:val="18"/>
                <w:szCs w:val="18"/>
                <w:color w:val="auto"/>
              </w:rPr>
              <w:t>Prepaid assets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18"/>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plant assets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Purchases of route businesses</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Sales of route businesses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9"/>
        </w:trPr>
        <w:tc>
          <w:tcPr>
            <w:tcW w:w="87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Short-term borrowings, including commercial paper</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repayments, including commercial paper</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5"/>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purchases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Treasury stock issuances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related to tax withholding for stock-based compensation</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8"/>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5"/>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r>
      <w:tr>
        <w:trPr>
          <w:trHeight w:val="244"/>
        </w:trPr>
        <w:tc>
          <w:tcPr>
            <w:tcW w:w="8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7"/>
          </w:tcPr>
          <w:p>
            <w:pPr>
              <w:jc w:val="right"/>
              <w:ind w:right="470"/>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4"/>
                <w:szCs w:val="14"/>
                <w:b w:val="1"/>
                <w:bCs w:val="1"/>
                <w:color w:val="auto"/>
              </w:rPr>
              <w:t>Capital Stock</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1080" w:type="dxa"/>
            <w:vAlign w:val="bottom"/>
            <w:gridSpan w:val="2"/>
          </w:tcPr>
          <w:p>
            <w:pPr>
              <w:jc w:val="right"/>
              <w:ind w:right="49"/>
              <w:spacing w:after="0" w:line="146" w:lineRule="exact"/>
              <w:rPr>
                <w:sz w:val="20"/>
                <w:szCs w:val="20"/>
                <w:color w:val="auto"/>
              </w:rPr>
            </w:pPr>
            <w:r>
              <w:rPr>
                <w:rFonts w:ascii="Arial" w:cs="Arial" w:eastAsia="Arial" w:hAnsi="Arial"/>
                <w:sz w:val="14"/>
                <w:szCs w:val="14"/>
                <w:b w:val="1"/>
                <w:bCs w:val="1"/>
                <w:color w:val="auto"/>
              </w:rPr>
              <w:t>Issued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right"/>
              <w:ind w:right="349"/>
              <w:spacing w:after="0" w:line="146" w:lineRule="exact"/>
              <w:rPr>
                <w:sz w:val="20"/>
                <w:szCs w:val="20"/>
                <w:color w:val="auto"/>
              </w:rPr>
            </w:pPr>
            <w:r>
              <w:rPr>
                <w:rFonts w:ascii="Arial" w:cs="Arial" w:eastAsia="Arial" w:hAnsi="Arial"/>
                <w:sz w:val="14"/>
                <w:szCs w:val="14"/>
                <w:b w:val="1"/>
                <w:bCs w:val="1"/>
                <w:color w:val="auto"/>
              </w:rPr>
              <w:t>In Treasury</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0"/>
              <w:spacing w:after="0" w:line="146" w:lineRule="exact"/>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vMerge w:val="restart"/>
          </w:tcPr>
          <w:p>
            <w:pPr>
              <w:ind w:left="40"/>
              <w:spacing w:after="0" w:line="106" w:lineRule="exact"/>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4"/>
                <w:szCs w:val="4"/>
                <w:color w:val="auto"/>
              </w:rPr>
            </w:pPr>
          </w:p>
        </w:tc>
        <w:tc>
          <w:tcPr>
            <w:tcW w:w="880" w:type="dxa"/>
            <w:vAlign w:val="bottom"/>
            <w:vMerge w:val="restart"/>
          </w:tcPr>
          <w:p>
            <w:pPr>
              <w:jc w:val="center"/>
              <w:ind w:right="70"/>
              <w:spacing w:after="0" w:line="106" w:lineRule="exact"/>
              <w:rPr>
                <w:sz w:val="20"/>
                <w:szCs w:val="20"/>
                <w:color w:val="auto"/>
              </w:rPr>
            </w:pPr>
            <w:r>
              <w:rPr>
                <w:rFonts w:ascii="Arial" w:cs="Arial" w:eastAsia="Arial" w:hAnsi="Arial"/>
                <w:sz w:val="12"/>
                <w:szCs w:val="12"/>
                <w:b w:val="1"/>
                <w:bCs w:val="1"/>
                <w:color w:val="auto"/>
              </w:rPr>
              <w:t>Retained in</w:t>
            </w:r>
          </w:p>
        </w:tc>
        <w:tc>
          <w:tcPr>
            <w:tcW w:w="1340" w:type="dxa"/>
            <w:vAlign w:val="bottom"/>
            <w:gridSpan w:val="2"/>
            <w:vMerge w:val="restart"/>
          </w:tcPr>
          <w:p>
            <w:pPr>
              <w:jc w:val="center"/>
              <w:spacing w:after="0" w:line="106" w:lineRule="exact"/>
              <w:rPr>
                <w:sz w:val="20"/>
                <w:szCs w:val="20"/>
                <w:color w:val="auto"/>
              </w:rPr>
            </w:pPr>
            <w:r>
              <w:rPr>
                <w:rFonts w:ascii="Arial" w:cs="Arial" w:eastAsia="Arial" w:hAnsi="Arial"/>
                <w:sz w:val="12"/>
                <w:szCs w:val="12"/>
                <w:b w:val="1"/>
                <w:bCs w:val="1"/>
                <w:color w:val="auto"/>
              </w:rPr>
              <w:t>Accumulated Other</w:t>
            </w:r>
          </w:p>
        </w:tc>
        <w:tc>
          <w:tcPr>
            <w:tcW w:w="240" w:type="dxa"/>
            <w:vAlign w:val="bottom"/>
          </w:tcPr>
          <w:p>
            <w:pPr>
              <w:spacing w:after="0"/>
              <w:rPr>
                <w:sz w:val="4"/>
                <w:szCs w:val="4"/>
                <w:color w:val="auto"/>
              </w:rPr>
            </w:pPr>
          </w:p>
        </w:tc>
        <w:tc>
          <w:tcPr>
            <w:tcW w:w="11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w w:val="92"/>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80" w:type="dxa"/>
            <w:vAlign w:val="bottom"/>
          </w:tcPr>
          <w:p>
            <w:pPr>
              <w:spacing w:after="0"/>
              <w:rPr>
                <w:sz w:val="11"/>
                <w:szCs w:val="11"/>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7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1"/>
                <w:szCs w:val="11"/>
                <w:color w:val="auto"/>
              </w:rPr>
            </w:pPr>
          </w:p>
        </w:tc>
        <w:tc>
          <w:tcPr>
            <w:tcW w:w="86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880" w:type="dxa"/>
            <w:vAlign w:val="bottom"/>
          </w:tcPr>
          <w:p>
            <w:pPr>
              <w:jc w:val="center"/>
              <w:ind w:right="70"/>
              <w:spacing w:after="0" w:line="133"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11"/>
                <w:szCs w:val="11"/>
                <w:color w:val="auto"/>
              </w:rPr>
            </w:pPr>
          </w:p>
        </w:tc>
        <w:tc>
          <w:tcPr>
            <w:tcW w:w="116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0"/>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8"/>
              </w:rPr>
              <w:t>Income (Loss)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August 2, 2020</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394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80" w:type="dxa"/>
            <w:vAlign w:val="bottom"/>
          </w:tcPr>
          <w:p>
            <w:pPr>
              <w:ind w:left="20"/>
              <w:spacing w:after="0" w:line="159" w:lineRule="exact"/>
              <w:rPr>
                <w:sz w:val="20"/>
                <w:szCs w:val="20"/>
                <w:color w:val="auto"/>
              </w:rPr>
            </w:pPr>
            <w:r>
              <w:rPr>
                <w:rFonts w:ascii="Arial" w:cs="Arial" w:eastAsia="Arial" w:hAnsi="Arial"/>
                <w:sz w:val="14"/>
                <w:szCs w:val="14"/>
                <w:color w:val="auto"/>
              </w:rPr>
              <w:t>Net earnings (loss)</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0"/>
              <w:spacing w:after="0" w:line="159" w:lineRule="exact"/>
              <w:rPr>
                <w:sz w:val="20"/>
                <w:szCs w:val="20"/>
                <w:color w:val="auto"/>
              </w:rPr>
            </w:pPr>
            <w:r>
              <w:rPr>
                <w:rFonts w:ascii="Arial" w:cs="Arial" w:eastAsia="Arial" w:hAnsi="Arial"/>
                <w:sz w:val="14"/>
                <w:szCs w:val="14"/>
                <w:color w:val="auto"/>
              </w:rPr>
              <w:t>309</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Other comprehensive income (loss)</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80" w:type="dxa"/>
            <w:vAlign w:val="bottom"/>
          </w:tcPr>
          <w:p>
            <w:pPr>
              <w:ind w:left="20"/>
              <w:spacing w:after="0"/>
              <w:rPr>
                <w:sz w:val="20"/>
                <w:szCs w:val="20"/>
                <w:color w:val="auto"/>
              </w:rPr>
            </w:pPr>
            <w:r>
              <w:rPr>
                <w:rFonts w:ascii="Arial" w:cs="Arial" w:eastAsia="Arial" w:hAnsi="Arial"/>
                <w:sz w:val="14"/>
                <w:szCs w:val="14"/>
                <w:color w:val="auto"/>
              </w:rPr>
              <w:t>Dividends ($.35 per share)</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(107)</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purchased</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color w:val="auto"/>
              </w:rPr>
              <w:t>Treasury stock issued under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color w:val="auto"/>
                <w:w w:val="99"/>
              </w:rPr>
              <w:t>management incentive and stock</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1"/>
                <w:szCs w:val="11"/>
                <w:color w:val="auto"/>
              </w:rPr>
            </w:pPr>
          </w:p>
        </w:tc>
        <w:tc>
          <w:tcPr>
            <w:tcW w:w="860" w:type="dxa"/>
            <w:vAlign w:val="bottom"/>
            <w:vMerge w:val="restart"/>
          </w:tcPr>
          <w:p>
            <w:pPr>
              <w:ind w:left="560"/>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1"/>
                <w:szCs w:val="1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option plans</w:t>
            </w: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1, 2020</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370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August 1,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414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b w:val="1"/>
                <w:bCs w:val="1"/>
                <w:color w:val="auto"/>
              </w:rPr>
              <w:t>261</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261</w:t>
            </w:r>
          </w:p>
        </w:tc>
        <w:tc>
          <w:tcPr>
            <w:tcW w:w="0" w:type="dxa"/>
            <w:vAlign w:val="bottom"/>
          </w:tcPr>
          <w:p>
            <w:pPr>
              <w:spacing w:after="0"/>
              <w:rPr>
                <w:sz w:val="1"/>
                <w:szCs w:val="1"/>
                <w:color w:val="auto"/>
              </w:rPr>
            </w:pPr>
          </w:p>
        </w:tc>
      </w:tr>
      <w:tr>
        <w:trPr>
          <w:trHeight w:val="133"/>
        </w:trPr>
        <w:tc>
          <w:tcPr>
            <w:tcW w:w="20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Other comprehensive income</w:t>
            </w: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Dividends ($.37 per share)</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(113)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Treasury stock purchased</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Treasury stock issued under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b w:val="1"/>
                <w:bCs w:val="1"/>
                <w:color w:val="auto"/>
                <w:w w:val="92"/>
              </w:rPr>
              <w:t>management incentive and stock</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w:t>
            </w:r>
          </w:p>
        </w:tc>
        <w:tc>
          <w:tcPr>
            <w:tcW w:w="220" w:type="dxa"/>
            <w:vAlign w:val="bottom"/>
          </w:tcPr>
          <w:p>
            <w:pPr>
              <w:spacing w:after="0"/>
              <w:rPr>
                <w:sz w:val="11"/>
                <w:szCs w:val="11"/>
                <w:color w:val="auto"/>
              </w:rPr>
            </w:pPr>
          </w:p>
        </w:tc>
        <w:tc>
          <w:tcPr>
            <w:tcW w:w="8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(42)</w:t>
            </w:r>
          </w:p>
        </w:tc>
        <w:tc>
          <w:tcPr>
            <w:tcW w:w="160" w:type="dxa"/>
            <w:vAlign w:val="bottom"/>
          </w:tcPr>
          <w:p>
            <w:pPr>
              <w:spacing w:after="0"/>
              <w:rPr>
                <w:sz w:val="11"/>
                <w:szCs w:val="1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(8)</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85"/>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October 31,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372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3,882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7"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(currency in millions, except per share amounts)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6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August 1, 2021. Certain amounts in prior-year financial statements were reclassified to conform to the current-year presentation.</w:t>
      </w:r>
    </w:p>
    <w:p>
      <w:pPr>
        <w:spacing w:after="0" w:line="5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 which is July 31, 2022.</w:t>
      </w:r>
    </w:p>
    <w:p>
      <w:pPr>
        <w:spacing w:after="0" w:line="148" w:lineRule="exact"/>
        <w:rPr>
          <w:sz w:val="20"/>
          <w:szCs w:val="20"/>
          <w:color w:val="auto"/>
        </w:rPr>
      </w:pPr>
    </w:p>
    <w:p>
      <w:pPr>
        <w:ind w:left="320" w:right="8320" w:hanging="314"/>
        <w:spacing w:after="0" w:line="418" w:lineRule="auto"/>
        <w:tabs>
          <w:tab w:leader="none" w:pos="179"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i w:val="1"/>
          <w:iCs w:val="1"/>
          <w:u w:val="single" w:color="auto"/>
          <w:color w:val="auto"/>
        </w:rPr>
        <w:t>Recently Adopted</w:t>
      </w:r>
    </w:p>
    <w:p>
      <w:pPr>
        <w:spacing w:after="0" w:line="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December 2019, the Financial Accounting Standards Board (FASB) issued guidance on simplifying the accounting for income taxes. The guidance removes certain exceptions to the general principles of accounting for income taxes and also improves consistent application of accounting by clarifying or amending existing guidance. We adopted the guidance in the first quarter of 2022. The adoption did not have an impact on our consolidated financial statements.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Accounting Pronouncements Not Yet Adopted</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March 2020, the FASB issued guidance that provides optional expedients and exceptions for a limited period of time for accounting for contracts, hedging relationships, and other transactions affected by the London Interbank Offered Rate (LIBOR) or another reference rate expected to be discontinued. Optional expedients can be applied from March 12, 2020 through December 31, 2022. We are currently evaluating the impact that the new guidance will have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Accumulated Other Comprehensive Income (Loss)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Accumulated other comprehensive income (loss) consisted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Foreign Currency</w:t>
            </w:r>
          </w:p>
        </w:tc>
        <w:tc>
          <w:tcPr>
            <w:tcW w:w="140" w:type="dxa"/>
            <w:vAlign w:val="bottom"/>
          </w:tcPr>
          <w:p>
            <w:pPr>
              <w:spacing w:after="0"/>
              <w:rPr>
                <w:sz w:val="14"/>
                <w:szCs w:val="14"/>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Gains (Losses) on</w:t>
            </w: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Total Accumulated</w:t>
            </w: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Postretirement Benefit</w:t>
            </w:r>
          </w:p>
        </w:tc>
        <w:tc>
          <w:tcPr>
            <w:tcW w:w="140" w:type="dxa"/>
            <w:vAlign w:val="bottom"/>
          </w:tcPr>
          <w:p>
            <w:pPr>
              <w:spacing w:after="0"/>
              <w:rPr>
                <w:sz w:val="11"/>
                <w:szCs w:val="11"/>
                <w:color w:val="auto"/>
              </w:rPr>
            </w:pPr>
          </w:p>
        </w:tc>
        <w:tc>
          <w:tcPr>
            <w:tcW w:w="136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line="186" w:lineRule="exact"/>
              <w:rPr>
                <w:sz w:val="20"/>
                <w:szCs w:val="20"/>
                <w:color w:val="auto"/>
              </w:rPr>
            </w:pPr>
            <w:r>
              <w:rPr>
                <w:rFonts w:ascii="Arial" w:cs="Arial" w:eastAsia="Arial" w:hAnsi="Arial"/>
                <w:sz w:val="14"/>
                <w:szCs w:val="14"/>
                <w:b w:val="1"/>
                <w:bCs w:val="1"/>
                <w:color w:val="auto"/>
                <w:w w:val="86"/>
              </w:rPr>
              <w:t>Adjustments</w:t>
            </w:r>
            <w:r>
              <w:rPr>
                <w:rFonts w:ascii="Arial" w:cs="Arial" w:eastAsia="Arial" w:hAnsi="Arial"/>
                <w:sz w:val="18"/>
                <w:szCs w:val="18"/>
                <w:b w:val="1"/>
                <w:bCs w:val="1"/>
                <w:color w:val="auto"/>
                <w:w w:val="86"/>
                <w:vertAlign w:val="superscript"/>
              </w:rPr>
              <w:t>(1)</w:t>
            </w:r>
          </w:p>
        </w:tc>
        <w:tc>
          <w:tcPr>
            <w:tcW w:w="1540" w:type="dxa"/>
            <w:vAlign w:val="bottom"/>
            <w:gridSpan w:val="3"/>
          </w:tcPr>
          <w:p>
            <w:pPr>
              <w:jc w:val="center"/>
              <w:ind w:right="120"/>
              <w:spacing w:after="0" w:line="186" w:lineRule="exact"/>
              <w:rPr>
                <w:sz w:val="20"/>
                <w:szCs w:val="20"/>
                <w:color w:val="auto"/>
              </w:rPr>
            </w:pPr>
            <w:r>
              <w:rPr>
                <w:rFonts w:ascii="Arial" w:cs="Arial" w:eastAsia="Arial" w:hAnsi="Arial"/>
                <w:sz w:val="14"/>
                <w:szCs w:val="14"/>
                <w:b w:val="1"/>
                <w:bCs w:val="1"/>
                <w:color w:val="auto"/>
                <w:w w:val="87"/>
              </w:rPr>
              <w:t>Cash-Flow Hedges</w:t>
            </w:r>
            <w:r>
              <w:rPr>
                <w:rFonts w:ascii="Arial" w:cs="Arial" w:eastAsia="Arial" w:hAnsi="Arial"/>
                <w:sz w:val="18"/>
                <w:szCs w:val="18"/>
                <w:b w:val="1"/>
                <w:bCs w:val="1"/>
                <w:color w:val="auto"/>
                <w:w w:val="87"/>
                <w:vertAlign w:val="superscript"/>
              </w:rPr>
              <w:t>(2)</w:t>
            </w:r>
          </w:p>
        </w:tc>
        <w:tc>
          <w:tcPr>
            <w:tcW w:w="120" w:type="dxa"/>
            <w:vAlign w:val="bottom"/>
          </w:tcPr>
          <w:p>
            <w:pPr>
              <w:spacing w:after="0"/>
              <w:rPr>
                <w:sz w:val="16"/>
                <w:szCs w:val="16"/>
                <w:color w:val="auto"/>
              </w:rPr>
            </w:pPr>
          </w:p>
        </w:tc>
        <w:tc>
          <w:tcPr>
            <w:tcW w:w="1420" w:type="dxa"/>
            <w:vAlign w:val="bottom"/>
            <w:gridSpan w:val="2"/>
          </w:tcPr>
          <w:p>
            <w:pPr>
              <w:jc w:val="center"/>
              <w:ind w:right="240"/>
              <w:spacing w:after="0" w:line="186" w:lineRule="exact"/>
              <w:rPr>
                <w:sz w:val="20"/>
                <w:szCs w:val="20"/>
                <w:color w:val="auto"/>
              </w:rPr>
            </w:pPr>
            <w:r>
              <w:rPr>
                <w:rFonts w:ascii="Arial" w:cs="Arial" w:eastAsia="Arial" w:hAnsi="Arial"/>
                <w:sz w:val="14"/>
                <w:szCs w:val="14"/>
                <w:b w:val="1"/>
                <w:bCs w:val="1"/>
                <w:color w:val="auto"/>
                <w:w w:val="88"/>
              </w:rPr>
              <w:t>Plan Adjustments</w:t>
            </w:r>
            <w:r>
              <w:rPr>
                <w:rFonts w:ascii="Arial" w:cs="Arial" w:eastAsia="Arial" w:hAnsi="Arial"/>
                <w:sz w:val="18"/>
                <w:szCs w:val="18"/>
                <w:b w:val="1"/>
                <w:bCs w:val="1"/>
                <w:color w:val="auto"/>
                <w:w w:val="88"/>
                <w:vertAlign w:val="superscript"/>
              </w:rPr>
              <w:t>(3)</w:t>
            </w:r>
          </w:p>
        </w:tc>
        <w:tc>
          <w:tcPr>
            <w:tcW w:w="14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2,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line="204" w:lineRule="exact"/>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9"/>
              </w:rPr>
              <w:t>Amounts reclassified from accumulated other comprehensive</w:t>
            </w: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November 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00" w:type="dxa"/>
            <w:vAlign w:val="bottom"/>
          </w:tcPr>
          <w:p>
            <w:pPr>
              <w:ind w:left="220"/>
              <w:spacing w:after="0"/>
              <w:rPr>
                <w:sz w:val="20"/>
                <w:szCs w:val="20"/>
                <w:color w:val="auto"/>
              </w:rPr>
            </w:pPr>
            <w:r>
              <w:rPr>
                <w:rFonts w:ascii="Arial" w:cs="Arial" w:eastAsia="Arial" w:hAnsi="Arial"/>
                <w:sz w:val="18"/>
                <w:szCs w:val="18"/>
                <w:b w:val="1"/>
                <w:bCs w:val="1"/>
                <w:color w:val="auto"/>
                <w:w w:val="94"/>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Arial" w:cs="Arial" w:eastAsia="Arial" w:hAnsi="Arial"/>
                <w:sz w:val="18"/>
                <w:szCs w:val="18"/>
                <w:b w:val="1"/>
                <w:bCs w:val="1"/>
                <w:color w:val="auto"/>
                <w:w w:val="91"/>
              </w:rPr>
              <w:t>Amounts reclassified from accumulated other comprehensive</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income (loss)</w:t>
            </w:r>
          </w:p>
        </w:tc>
        <w:tc>
          <w:tcPr>
            <w:tcW w:w="16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October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81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_____________________________________</w:t>
      </w:r>
    </w:p>
    <w:p>
      <w:pPr>
        <w:spacing w:after="0" w:line="8" w:lineRule="exact"/>
        <w:rPr>
          <w:sz w:val="20"/>
          <w:szCs w:val="20"/>
          <w:color w:val="auto"/>
        </w:rPr>
      </w:pPr>
    </w:p>
    <w:p>
      <w:pPr>
        <w:ind w:left="320" w:hanging="314"/>
        <w:spacing w:after="0"/>
        <w:tabs>
          <w:tab w:leader="none" w:pos="320"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Included no tax as of October 31, 2021, August 1, 2021, November 1, 2020 and August 2, 2020.</w:t>
      </w:r>
    </w:p>
    <w:p>
      <w:pPr>
        <w:ind w:left="320" w:hanging="314"/>
        <w:spacing w:after="0" w:line="201" w:lineRule="auto"/>
        <w:tabs>
          <w:tab w:leader="none" w:pos="320" w:val="left"/>
        </w:tabs>
        <w:numPr>
          <w:ilvl w:val="0"/>
          <w:numId w:val="2"/>
        </w:numPr>
        <w:rPr>
          <w:rFonts w:ascii="Arial" w:cs="Arial" w:eastAsia="Arial" w:hAnsi="Arial"/>
          <w:sz w:val="22"/>
          <w:szCs w:val="22"/>
          <w:color w:val="auto"/>
          <w:vertAlign w:val="superscript"/>
        </w:rPr>
      </w:pPr>
      <w:r>
        <w:rPr>
          <w:rFonts w:ascii="Arial" w:cs="Arial" w:eastAsia="Arial" w:hAnsi="Arial"/>
          <w:sz w:val="17"/>
          <w:szCs w:val="17"/>
          <w:color w:val="auto"/>
        </w:rPr>
        <w:t>Included no tax as of October 31, 2021, a tax benefit of $1 as of August 1, 2021, $2 as of November 1, 2020, and $1 as of August 2, 2020.</w:t>
      </w:r>
    </w:p>
    <w:p>
      <w:pPr>
        <w:ind w:left="320" w:right="1300" w:hanging="314"/>
        <w:spacing w:after="0" w:line="281" w:lineRule="auto"/>
        <w:tabs>
          <w:tab w:leader="none" w:pos="30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Included tax expense of $1 as of October 31, 2021, and as of August 1, 2021, and $2 as of November 1, 2020, and as of August 2, 2020. Amounts related to noncontrolling interests were not material.</w:t>
      </w:r>
    </w:p>
    <w:p>
      <w:pPr>
        <w:spacing w:after="0" w:line="1" w:lineRule="exact"/>
        <w:rPr>
          <w:rFonts w:ascii="Arial" w:cs="Arial" w:eastAsia="Arial" w:hAnsi="Arial"/>
          <w:sz w:val="23"/>
          <w:szCs w:val="23"/>
          <w:color w:val="auto"/>
          <w:vertAlign w:val="superscript"/>
        </w:rPr>
      </w:pPr>
    </w:p>
    <w:p>
      <w:pPr>
        <w:ind w:left="320"/>
        <w:spacing w:after="0"/>
        <w:rPr>
          <w:rFonts w:ascii="Arial" w:cs="Arial" w:eastAsia="Arial" w:hAnsi="Arial"/>
          <w:sz w:val="23"/>
          <w:szCs w:val="23"/>
          <w:color w:val="auto"/>
          <w:vertAlign w:val="superscript"/>
        </w:rPr>
      </w:pPr>
      <w:r>
        <w:rPr>
          <w:rFonts w:ascii="Arial" w:cs="Arial" w:eastAsia="Arial" w:hAnsi="Arial"/>
          <w:sz w:val="18"/>
          <w:szCs w:val="18"/>
          <w:color w:val="auto"/>
        </w:rPr>
        <w:t>The amounts reclassified from Accumulated other comprehensive income (loss)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1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Details about Accumulated Other Comprehensive Income (Loss) Components</w:t>
            </w:r>
          </w:p>
        </w:tc>
        <w:tc>
          <w:tcPr>
            <w:tcW w:w="100" w:type="dxa"/>
            <w:vAlign w:val="bottom"/>
            <w:vMerge w:val="restart"/>
          </w:tcPr>
          <w:p>
            <w:pPr>
              <w:spacing w:after="0"/>
              <w:rPr>
                <w:sz w:val="10"/>
                <w:szCs w:val="10"/>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October 31, 2021</w:t>
            </w:r>
          </w:p>
        </w:tc>
        <w:tc>
          <w:tcPr>
            <w:tcW w:w="120" w:type="dxa"/>
            <w:vAlign w:val="bottom"/>
            <w:vMerge w:val="restart"/>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November 1, 2020</w:t>
            </w:r>
          </w:p>
        </w:tc>
        <w:tc>
          <w:tcPr>
            <w:tcW w:w="100" w:type="dxa"/>
            <w:vAlign w:val="bottom"/>
          </w:tcPr>
          <w:p>
            <w:pPr>
              <w:spacing w:after="0"/>
              <w:rPr>
                <w:sz w:val="10"/>
                <w:szCs w:val="10"/>
                <w:color w:val="auto"/>
              </w:rPr>
            </w:pPr>
          </w:p>
        </w:tc>
        <w:tc>
          <w:tcPr>
            <w:tcW w:w="2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Location of Loss (Gain) Recognized in</w:t>
            </w:r>
          </w:p>
        </w:tc>
        <w:tc>
          <w:tcPr>
            <w:tcW w:w="0" w:type="dxa"/>
            <w:vAlign w:val="bottom"/>
          </w:tcPr>
          <w:p>
            <w:pPr>
              <w:spacing w:after="0"/>
              <w:rPr>
                <w:sz w:val="1"/>
                <w:szCs w:val="1"/>
                <w:color w:val="auto"/>
              </w:rPr>
            </w:pPr>
          </w:p>
        </w:tc>
      </w:tr>
      <w:tr>
        <w:trPr>
          <w:trHeight w:val="185"/>
        </w:trPr>
        <w:tc>
          <w:tcPr>
            <w:tcW w:w="6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Earnings</w:t>
            </w:r>
          </w:p>
        </w:tc>
        <w:tc>
          <w:tcPr>
            <w:tcW w:w="0" w:type="dxa"/>
            <w:vAlign w:val="bottom"/>
          </w:tcPr>
          <w:p>
            <w:pPr>
              <w:spacing w:after="0"/>
              <w:rPr>
                <w:sz w:val="1"/>
                <w:szCs w:val="1"/>
                <w:color w:val="auto"/>
              </w:rPr>
            </w:pPr>
          </w:p>
        </w:tc>
      </w:tr>
      <w:tr>
        <w:trPr>
          <w:trHeight w:val="21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Losses (gains) on cash-flow hedges: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0" w:type="dxa"/>
            <w:vAlign w:val="bottom"/>
            <w:gridSpan w:val="2"/>
          </w:tcPr>
          <w:p>
            <w:pPr>
              <w:ind w:left="140"/>
              <w:spacing w:after="0"/>
              <w:rPr>
                <w:sz w:val="20"/>
                <w:szCs w:val="20"/>
                <w:color w:val="auto"/>
              </w:rPr>
            </w:pPr>
            <w:r>
              <w:rPr>
                <w:rFonts w:ascii="Arial" w:cs="Arial" w:eastAsia="Arial" w:hAnsi="Arial"/>
                <w:sz w:val="18"/>
                <w:szCs w:val="18"/>
                <w:color w:val="auto"/>
              </w:rPr>
              <w:t>Commodity contracts</w:t>
            </w:r>
          </w:p>
        </w:tc>
        <w:tc>
          <w:tcPr>
            <w:tcW w:w="360" w:type="dxa"/>
            <w:vAlign w:val="bottom"/>
          </w:tcPr>
          <w:p>
            <w:pPr>
              <w:jc w:val="right"/>
              <w:ind w:right="155"/>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5"/>
        </w:trPr>
        <w:tc>
          <w:tcPr>
            <w:tcW w:w="6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18"/>
        </w:trPr>
        <w:tc>
          <w:tcPr>
            <w:tcW w:w="6200" w:type="dxa"/>
            <w:vAlign w:val="bottom"/>
            <w:gridSpan w:val="2"/>
          </w:tcPr>
          <w:p>
            <w:pPr>
              <w:jc w:val="right"/>
              <w:ind w:right="120"/>
              <w:spacing w:after="0"/>
              <w:rPr>
                <w:sz w:val="20"/>
                <w:szCs w:val="20"/>
                <w:color w:val="auto"/>
              </w:rPr>
            </w:pPr>
            <w:r>
              <w:rPr>
                <w:rFonts w:ascii="Arial" w:cs="Arial" w:eastAsia="Arial" w:hAnsi="Arial"/>
                <w:sz w:val="18"/>
                <w:szCs w:val="18"/>
                <w:color w:val="auto"/>
              </w:rPr>
              <w:t>Total before tax</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Tax expense (benefit)</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00" w:type="dxa"/>
            <w:vAlign w:val="bottom"/>
            <w:gridSpan w:val="2"/>
          </w:tcPr>
          <w:p>
            <w:pPr>
              <w:jc w:val="right"/>
              <w:ind w:right="120"/>
              <w:spacing w:after="0"/>
              <w:rPr>
                <w:sz w:val="20"/>
                <w:szCs w:val="20"/>
                <w:color w:val="auto"/>
              </w:rPr>
            </w:pPr>
            <w:r>
              <w:rPr>
                <w:rFonts w:ascii="Arial" w:cs="Arial" w:eastAsia="Arial" w:hAnsi="Arial"/>
                <w:sz w:val="18"/>
                <w:szCs w:val="18"/>
                <w:color w:val="auto"/>
              </w:rPr>
              <w:t>Loss (gain), net of tax</w:t>
            </w: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credit</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25"/>
        </w:trPr>
        <w:tc>
          <w:tcPr>
            <w:tcW w:w="6200" w:type="dxa"/>
            <w:vAlign w:val="bottom"/>
            <w:gridSpan w:val="2"/>
          </w:tcPr>
          <w:p>
            <w:pPr>
              <w:jc w:val="right"/>
              <w:ind w:right="120"/>
              <w:spacing w:after="0"/>
              <w:rPr>
                <w:sz w:val="20"/>
                <w:szCs w:val="20"/>
                <w:color w:val="auto"/>
              </w:rPr>
            </w:pPr>
            <w:r>
              <w:rPr>
                <w:rFonts w:ascii="Arial" w:cs="Arial" w:eastAsia="Arial" w:hAnsi="Arial"/>
                <w:sz w:val="18"/>
                <w:szCs w:val="18"/>
                <w:color w:val="auto"/>
              </w:rPr>
              <w:t>Tax expense (benefit)</w:t>
            </w:r>
          </w:p>
        </w:tc>
        <w:tc>
          <w:tcPr>
            <w:tcW w:w="3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00" w:type="dxa"/>
            <w:vAlign w:val="bottom"/>
            <w:tcBorders>
              <w:top w:val="single" w:sz="8" w:color="CCEEFF"/>
              <w:bottom w:val="single" w:sz="8" w:color="CCEEFF"/>
            </w:tcBorders>
            <w:gridSpan w:val="2"/>
            <w:shd w:val="clear" w:color="auto" w:fill="CCEEFF"/>
          </w:tcPr>
          <w:p>
            <w:pPr>
              <w:jc w:val="right"/>
              <w:ind w:right="120"/>
              <w:spacing w:after="0" w:line="204" w:lineRule="exact"/>
              <w:rPr>
                <w:sz w:val="20"/>
                <w:szCs w:val="20"/>
                <w:color w:val="auto"/>
              </w:rPr>
            </w:pPr>
            <w:r>
              <w:rPr>
                <w:rFonts w:ascii="Arial" w:cs="Arial" w:eastAsia="Arial" w:hAnsi="Arial"/>
                <w:sz w:val="18"/>
                <w:szCs w:val="18"/>
                <w:color w:val="auto"/>
              </w:rPr>
              <w:t>Loss (gain), net of tax</w:t>
            </w:r>
          </w:p>
        </w:tc>
        <w:tc>
          <w:tcPr>
            <w:tcW w:w="36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8700" w:firstLine="6"/>
        <w:spacing w:after="0" w:line="349" w:lineRule="auto"/>
        <w:tabs>
          <w:tab w:leader="none" w:pos="17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changes in the carrying amount of goodwill by business 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Meals &amp; Beverages</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Snacks</w:t>
            </w: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r>
      <w:tr>
        <w:trPr>
          <w:trHeight w:val="224"/>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balance at August 1, 2021</w:t>
            </w:r>
          </w:p>
        </w:tc>
        <w:tc>
          <w:tcPr>
            <w:tcW w:w="540" w:type="dxa"/>
            <w:vAlign w:val="bottom"/>
            <w:tcBorders>
              <w:top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w:t>
            </w:r>
          </w:p>
        </w:tc>
      </w:tr>
      <w:tr>
        <w:trPr>
          <w:trHeight w:val="225"/>
        </w:trPr>
        <w:tc>
          <w:tcPr>
            <w:tcW w:w="7060" w:type="dxa"/>
            <w:vAlign w:val="bottom"/>
          </w:tcPr>
          <w:p>
            <w:pPr>
              <w:ind w:left="20"/>
              <w:spacing w:after="0" w:line="225" w:lineRule="exact"/>
              <w:rPr>
                <w:sz w:val="20"/>
                <w:szCs w:val="20"/>
                <w:color w:val="auto"/>
              </w:rPr>
            </w:pPr>
            <w:r>
              <w:rPr>
                <w:rFonts w:ascii="Arial" w:cs="Arial" w:eastAsia="Arial" w:hAnsi="Arial"/>
                <w:sz w:val="18"/>
                <w:szCs w:val="18"/>
                <w:b w:val="1"/>
                <w:bCs w:val="1"/>
                <w:color w:val="auto"/>
              </w:rPr>
              <w:t>Amounts reclassified due to segment change</w:t>
            </w:r>
            <w:r>
              <w:rPr>
                <w:rFonts w:ascii="Arial" w:cs="Arial" w:eastAsia="Arial" w:hAnsi="Arial"/>
                <w:sz w:val="22"/>
                <w:szCs w:val="22"/>
                <w:b w:val="1"/>
                <w:bCs w:val="1"/>
                <w:color w:val="auto"/>
                <w:vertAlign w:val="superscript"/>
              </w:rPr>
              <w:t>(1)</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 adjustment</w:t>
            </w: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r>
      <w:tr>
        <w:trPr>
          <w:trHeight w:val="21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Net balance at October 31, 2021</w:t>
            </w:r>
          </w:p>
        </w:tc>
        <w:tc>
          <w:tcPr>
            <w:tcW w:w="5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3,982</w:t>
            </w:r>
          </w:p>
        </w:tc>
      </w:tr>
      <w:tr>
        <w:trPr>
          <w:trHeight w:val="20"/>
        </w:trPr>
        <w:tc>
          <w:tcPr>
            <w:tcW w:w="7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4" w:lineRule="exact"/>
        <w:rPr>
          <w:sz w:val="20"/>
          <w:szCs w:val="20"/>
          <w:color w:val="auto"/>
        </w:rPr>
      </w:pPr>
    </w:p>
    <w:p>
      <w:pPr>
        <w:ind w:left="340" w:hanging="334"/>
        <w:spacing w:after="0"/>
        <w:tabs>
          <w:tab w:leader="none" w:pos="3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See Note 5 for additional information.</w:t>
      </w:r>
    </w:p>
    <w:p>
      <w:pPr>
        <w:spacing w:after="0" w:line="55"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Intangible Assets</w:t>
      </w:r>
    </w:p>
    <w:p>
      <w:pPr>
        <w:spacing w:after="0" w:line="8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summarizes balance sheet information for intangible assets, excluding goodwill, subject to amortization and intangible assets not subject to amortization: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October 31, 2021</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1"/>
              </w:rPr>
              <w:t>August 1, 2021</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96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Intangible Assets</w:t>
            </w:r>
          </w:p>
        </w:tc>
        <w:tc>
          <w:tcPr>
            <w:tcW w:w="10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81"/>
              <w:spacing w:after="0" w:line="131" w:lineRule="exact"/>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11"/>
                <w:szCs w:val="11"/>
                <w:color w:val="auto"/>
              </w:rPr>
            </w:pPr>
          </w:p>
        </w:tc>
        <w:tc>
          <w:tcPr>
            <w:tcW w:w="8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1060" w:type="dxa"/>
            <w:vAlign w:val="bottom"/>
          </w:tcPr>
          <w:p>
            <w:pPr>
              <w:jc w:val="center"/>
              <w:ind w:right="25"/>
              <w:spacing w:after="0" w:line="131" w:lineRule="exact"/>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11"/>
                <w:szCs w:val="11"/>
                <w:color w:val="auto"/>
              </w:rPr>
            </w:pPr>
          </w:p>
        </w:tc>
        <w:tc>
          <w:tcPr>
            <w:tcW w:w="8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780" w:type="dxa"/>
            <w:vAlign w:val="bottom"/>
          </w:tcPr>
          <w:p>
            <w:pPr>
              <w:jc w:val="right"/>
              <w:ind w:right="601"/>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9"/>
              </w:rPr>
              <w:t>830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300" w:type="dxa"/>
            <w:vAlign w:val="bottom"/>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679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5"/>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Trademarks</w:t>
            </w:r>
          </w:p>
        </w:tc>
        <w:tc>
          <w:tcPr>
            <w:tcW w:w="7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Total net intangible assets</w:t>
            </w:r>
          </w:p>
        </w:tc>
        <w:tc>
          <w:tcPr>
            <w:tcW w:w="7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ind w:right="681"/>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7"/>
        </w:trPr>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9" w:name="page10"/>
    <w:bookmarkEnd w:id="9"/>
    <w:p>
      <w:pPr>
        <w:ind w:left="320"/>
        <w:spacing w:after="0"/>
        <w:rPr>
          <w:sz w:val="20"/>
          <w:szCs w:val="20"/>
          <w:color w:val="auto"/>
        </w:rPr>
      </w:pPr>
      <w:r>
        <w:rPr>
          <w:rFonts w:ascii="Arial" w:cs="Arial" w:eastAsia="Arial" w:hAnsi="Arial"/>
          <w:sz w:val="18"/>
          <w:szCs w:val="18"/>
          <w:color w:val="auto"/>
        </w:rPr>
        <w:t>As of October 31, 2021, the carrying value of indefinite-lived trademarks is detailed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Various Other</w:t>
            </w:r>
            <w:r>
              <w:rPr>
                <w:rFonts w:ascii="Arial" w:cs="Arial" w:eastAsia="Arial" w:hAnsi="Arial"/>
                <w:sz w:val="9"/>
                <w:szCs w:val="9"/>
                <w:b w:val="1"/>
                <w:bCs w:val="1"/>
                <w:color w:val="auto"/>
              </w:rPr>
              <w:t>(1)</w:t>
            </w: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7"/>
              </w:rPr>
              <w:t>Snyder's of</w:t>
            </w:r>
          </w:p>
        </w:tc>
        <w:tc>
          <w:tcPr>
            <w:tcW w:w="26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i w:val="1"/>
                <w:iCs w:val="1"/>
                <w:color w:val="auto"/>
              </w:rPr>
              <w:t>Lance</w:t>
            </w:r>
          </w:p>
        </w:tc>
        <w:tc>
          <w:tcPr>
            <w:tcW w:w="2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i w:val="1"/>
                <w:iCs w:val="1"/>
                <w:color w:val="auto"/>
              </w:rPr>
              <w:t>Pace</w:t>
            </w:r>
          </w:p>
        </w:tc>
        <w:tc>
          <w:tcPr>
            <w:tcW w:w="160" w:type="dxa"/>
            <w:vAlign w:val="bottom"/>
          </w:tcPr>
          <w:p>
            <w:pPr>
              <w:spacing w:after="0"/>
              <w:rPr>
                <w:sz w:val="14"/>
                <w:szCs w:val="14"/>
                <w:color w:val="auto"/>
              </w:rPr>
            </w:pPr>
          </w:p>
        </w:tc>
        <w:tc>
          <w:tcPr>
            <w:tcW w:w="1040" w:type="dxa"/>
            <w:vAlign w:val="bottom"/>
            <w:vMerge w:val="restart"/>
          </w:tcPr>
          <w:p>
            <w:pPr>
              <w:jc w:val="right"/>
              <w:ind w:right="121"/>
              <w:spacing w:after="0"/>
              <w:rPr>
                <w:sz w:val="20"/>
                <w:szCs w:val="20"/>
                <w:color w:val="auto"/>
              </w:rPr>
            </w:pPr>
            <w:r>
              <w:rPr>
                <w:rFonts w:ascii="Arial" w:cs="Arial" w:eastAsia="Arial" w:hAnsi="Arial"/>
                <w:sz w:val="14"/>
                <w:szCs w:val="14"/>
                <w:b w:val="1"/>
                <w:bCs w:val="1"/>
                <w:i w:val="1"/>
                <w:iCs w:val="1"/>
                <w:color w:val="auto"/>
                <w:w w:val="90"/>
              </w:rPr>
              <w:t>Pacific Foods</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9"/>
              </w:rPr>
              <w:t>Hanover</w:t>
            </w:r>
          </w:p>
        </w:tc>
        <w:tc>
          <w:tcPr>
            <w:tcW w:w="2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620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350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292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304"/>
        </w:trPr>
        <w:tc>
          <w:tcPr>
            <w:tcW w:w="4860" w:type="dxa"/>
            <w:vAlign w:val="bottom"/>
          </w:tcPr>
          <w:p>
            <w:pPr>
              <w:spacing w:after="0"/>
              <w:rPr>
                <w:sz w:val="20"/>
                <w:szCs w:val="20"/>
                <w:color w:val="auto"/>
              </w:rPr>
            </w:pPr>
            <w:r>
              <w:rPr>
                <w:rFonts w:ascii="Arial" w:cs="Arial" w:eastAsia="Arial" w:hAnsi="Arial"/>
                <w:sz w:val="18"/>
                <w:szCs w:val="18"/>
                <w:color w:val="auto"/>
              </w:rPr>
              <w:t>_____________________________________</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20" w:hanging="155"/>
        <w:spacing w:after="0"/>
        <w:tabs>
          <w:tab w:leader="none" w:pos="32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Associated with the acquisition of Snyder's-Lance, Inc. (Snyder's-Lance).</w:t>
      </w:r>
    </w:p>
    <w:p>
      <w:pPr>
        <w:spacing w:after="0" w:line="7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Amortization of intangible assets was $11 and $10 for the three-month periods ended October 31, 2021, and November 1, 2020, respectively. As of October 31, 2021, amortizable intangible assets had a weighted-average remaining useful life of 17 years. Amortization expense for the next 5 years is estimated to be approximately $41 per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reportable segments are as follows:</w:t>
      </w:r>
    </w:p>
    <w:p>
      <w:pPr>
        <w:spacing w:after="0" w:line="98" w:lineRule="exact"/>
        <w:rPr>
          <w:sz w:val="20"/>
          <w:szCs w:val="20"/>
          <w:color w:val="auto"/>
        </w:rPr>
      </w:pPr>
    </w:p>
    <w:p>
      <w:pPr>
        <w:jc w:val="both"/>
        <w:ind w:left="640" w:hanging="316"/>
        <w:spacing w:after="0" w:line="26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Meals &amp; Beverages, which consists of our soup, simple meals and beverages products in retail and foodservice in the U.S. and Canada. The segment includes the following products: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condensed and ready-to-serve soups;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broth and stocks; </w:t>
      </w:r>
      <w:r>
        <w:rPr>
          <w:rFonts w:ascii="Arial" w:cs="Arial" w:eastAsia="Arial" w:hAnsi="Arial"/>
          <w:sz w:val="17"/>
          <w:szCs w:val="17"/>
          <w:i w:val="1"/>
          <w:iCs w:val="1"/>
          <w:color w:val="auto"/>
        </w:rPr>
        <w:t>Pacific Foods</w:t>
      </w:r>
      <w:r>
        <w:rPr>
          <w:rFonts w:ascii="Arial" w:cs="Arial" w:eastAsia="Arial" w:hAnsi="Arial"/>
          <w:sz w:val="17"/>
          <w:szCs w:val="17"/>
          <w:color w:val="auto"/>
        </w:rPr>
        <w:t xml:space="preserve"> broth, soups and non-dairy beverages;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w:t>
      </w:r>
      <w:r>
        <w:rPr>
          <w:rFonts w:ascii="Arial" w:cs="Arial" w:eastAsia="Arial" w:hAnsi="Arial"/>
          <w:sz w:val="17"/>
          <w:szCs w:val="17"/>
          <w:i w:val="1"/>
          <w:iCs w:val="1"/>
          <w:color w:val="auto"/>
        </w:rPr>
        <w:t>Pace</w:t>
      </w:r>
      <w:r>
        <w:rPr>
          <w:rFonts w:ascii="Arial" w:cs="Arial" w:eastAsia="Arial" w:hAnsi="Arial"/>
          <w:sz w:val="17"/>
          <w:szCs w:val="17"/>
          <w:color w:val="auto"/>
        </w:rPr>
        <w:t xml:space="preserve"> Mexican sauces;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gravies, pasta, beans and dinner sauces;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canned poultry; </w:t>
      </w:r>
      <w:r>
        <w:rPr>
          <w:rFonts w:ascii="Arial" w:cs="Arial" w:eastAsia="Arial" w:hAnsi="Arial"/>
          <w:sz w:val="17"/>
          <w:szCs w:val="17"/>
          <w:i w:val="1"/>
          <w:iCs w:val="1"/>
          <w:color w:val="auto"/>
        </w:rPr>
        <w:t>V8</w:t>
      </w:r>
      <w:r>
        <w:rPr>
          <w:rFonts w:ascii="Arial" w:cs="Arial" w:eastAsia="Arial" w:hAnsi="Arial"/>
          <w:sz w:val="17"/>
          <w:szCs w:val="17"/>
          <w:color w:val="auto"/>
        </w:rPr>
        <w:t xml:space="preserve"> juices and beverages; and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tomato juice. The segment also includes snacking products in foodservice and Canada. The segment included our Plum baby food and snacks business, which was sold on May 3, 2021; and</w:t>
      </w:r>
    </w:p>
    <w:p>
      <w:pPr>
        <w:spacing w:after="0" w:line="61" w:lineRule="exact"/>
        <w:rPr>
          <w:rFonts w:ascii="Arial" w:cs="Arial" w:eastAsia="Arial" w:hAnsi="Arial"/>
          <w:sz w:val="17"/>
          <w:szCs w:val="17"/>
          <w:color w:val="auto"/>
        </w:rPr>
      </w:pPr>
    </w:p>
    <w:p>
      <w:pPr>
        <w:jc w:val="both"/>
        <w:ind w:left="640" w:hanging="316"/>
        <w:spacing w:after="0" w:line="25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Snacks, which consists of Pepperidge Farm cookies*, crackers, fresh bakery and frozen products, including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w:t>
      </w:r>
      <w:r>
        <w:rPr>
          <w:rFonts w:ascii="Arial" w:cs="Arial" w:eastAsia="Arial" w:hAnsi="Arial"/>
          <w:sz w:val="18"/>
          <w:szCs w:val="18"/>
          <w:i w:val="1"/>
          <w:iCs w:val="1"/>
          <w:color w:val="auto"/>
        </w:rPr>
        <w:t>Snyder’s of Hanover</w:t>
      </w:r>
      <w:r>
        <w:rPr>
          <w:rFonts w:ascii="Arial" w:cs="Arial" w:eastAsia="Arial" w:hAnsi="Arial"/>
          <w:sz w:val="18"/>
          <w:szCs w:val="18"/>
          <w:color w:val="auto"/>
        </w:rPr>
        <w:t xml:space="preserve"> pretzels*, </w:t>
      </w:r>
      <w:r>
        <w:rPr>
          <w:rFonts w:ascii="Arial" w:cs="Arial" w:eastAsia="Arial" w:hAnsi="Arial"/>
          <w:sz w:val="18"/>
          <w:szCs w:val="18"/>
          <w:i w:val="1"/>
          <w:iCs w:val="1"/>
          <w:color w:val="auto"/>
        </w:rPr>
        <w:t>Lance</w:t>
      </w:r>
      <w:r>
        <w:rPr>
          <w:rFonts w:ascii="Arial" w:cs="Arial" w:eastAsia="Arial" w:hAnsi="Arial"/>
          <w:sz w:val="18"/>
          <w:szCs w:val="18"/>
          <w:color w:val="auto"/>
        </w:rPr>
        <w:t xml:space="preserve"> sandwich crackers*, </w:t>
      </w:r>
      <w:r>
        <w:rPr>
          <w:rFonts w:ascii="Arial" w:cs="Arial" w:eastAsia="Arial" w:hAnsi="Arial"/>
          <w:sz w:val="18"/>
          <w:szCs w:val="18"/>
          <w:i w:val="1"/>
          <w:iCs w:val="1"/>
          <w:color w:val="auto"/>
        </w:rPr>
        <w:t>Cape Cod</w:t>
      </w:r>
      <w:r>
        <w:rPr>
          <w:rFonts w:ascii="Arial" w:cs="Arial" w:eastAsia="Arial" w:hAnsi="Arial"/>
          <w:sz w:val="18"/>
          <w:szCs w:val="18"/>
          <w:color w:val="auto"/>
        </w:rPr>
        <w:t xml:space="preserve"> potato chips</w:t>
      </w:r>
      <w:r>
        <w:rPr>
          <w:rFonts w:ascii="Arial" w:cs="Arial" w:eastAsia="Arial" w:hAnsi="Arial"/>
          <w:sz w:val="18"/>
          <w:szCs w:val="18"/>
          <w:i w:val="1"/>
          <w:iCs w:val="1"/>
          <w:color w:val="auto"/>
        </w:rPr>
        <w:t>*, Kettle Brand</w:t>
      </w:r>
      <w:r>
        <w:rPr>
          <w:rFonts w:ascii="Arial" w:cs="Arial" w:eastAsia="Arial" w:hAnsi="Arial"/>
          <w:sz w:val="18"/>
          <w:szCs w:val="18"/>
          <w:color w:val="auto"/>
        </w:rPr>
        <w:t xml:space="preserve"> potato chips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Late July</w:t>
      </w:r>
      <w:r>
        <w:rPr>
          <w:rFonts w:ascii="Arial" w:cs="Arial" w:eastAsia="Arial" w:hAnsi="Arial"/>
          <w:sz w:val="18"/>
          <w:szCs w:val="18"/>
          <w:color w:val="auto"/>
        </w:rPr>
        <w:t xml:space="preserve"> snacks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Snack Factory</w:t>
      </w:r>
      <w:r>
        <w:rPr>
          <w:rFonts w:ascii="Arial" w:cs="Arial" w:eastAsia="Arial" w:hAnsi="Arial"/>
          <w:sz w:val="18"/>
          <w:szCs w:val="18"/>
          <w:color w:val="auto"/>
        </w:rPr>
        <w:t xml:space="preserve"> pretzel crisps</w:t>
      </w:r>
      <w:r>
        <w:rPr>
          <w:rFonts w:ascii="Arial" w:cs="Arial" w:eastAsia="Arial" w:hAnsi="Arial"/>
          <w:sz w:val="18"/>
          <w:szCs w:val="18"/>
          <w:i w:val="1"/>
          <w:iCs w:val="1"/>
          <w:color w:val="auto"/>
        </w:rPr>
        <w:t>*, Pop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Secret </w:t>
      </w:r>
      <w:r>
        <w:rPr>
          <w:rFonts w:ascii="Arial" w:cs="Arial" w:eastAsia="Arial" w:hAnsi="Arial"/>
          <w:sz w:val="18"/>
          <w:szCs w:val="18"/>
          <w:color w:val="auto"/>
        </w:rPr>
        <w:t>popcorn,</w:t>
      </w:r>
      <w:r>
        <w:rPr>
          <w:rFonts w:ascii="Arial" w:cs="Arial" w:eastAsia="Arial" w:hAnsi="Arial"/>
          <w:sz w:val="18"/>
          <w:szCs w:val="18"/>
          <w:i w:val="1"/>
          <w:iCs w:val="1"/>
          <w:color w:val="auto"/>
        </w:rPr>
        <w:t xml:space="preserve"> Emerald </w:t>
      </w:r>
      <w:r>
        <w:rPr>
          <w:rFonts w:ascii="Arial" w:cs="Arial" w:eastAsia="Arial" w:hAnsi="Arial"/>
          <w:sz w:val="18"/>
          <w:szCs w:val="18"/>
          <w:color w:val="auto"/>
        </w:rPr>
        <w:t>nuts, and other snacking products in retail in the U.S. The segment also includes the retail business in Latin America. In</w:t>
      </w:r>
      <w:r>
        <w:rPr>
          <w:rFonts w:ascii="Arial" w:cs="Arial" w:eastAsia="Arial" w:hAnsi="Arial"/>
          <w:sz w:val="18"/>
          <w:szCs w:val="18"/>
          <w:i w:val="1"/>
          <w:iCs w:val="1"/>
          <w:color w:val="auto"/>
        </w:rPr>
        <w:t xml:space="preserve"> </w:t>
      </w:r>
      <w:r>
        <w:rPr>
          <w:rFonts w:ascii="Arial" w:cs="Arial" w:eastAsia="Arial" w:hAnsi="Arial"/>
          <w:sz w:val="18"/>
          <w:szCs w:val="18"/>
          <w:color w:val="auto"/>
        </w:rPr>
        <w:t>2022, we now refer to the * brands as our "power brands."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Beginning in 2022, the foodservice and Canadian business formerly in our Snacks segment is now managed as part of the Meals &amp; Beverages segment.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have been adjusted retrospectively to reflect this change.</w:t>
      </w:r>
    </w:p>
    <w:p>
      <w:pPr>
        <w:spacing w:after="0" w:line="8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evaluate segment performance before interest, taxes and costs associated with restructuring activities and impairment charges.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31, 2021</w:t>
            </w:r>
          </w:p>
        </w:tc>
        <w:tc>
          <w:tcPr>
            <w:tcW w:w="100" w:type="dxa"/>
            <w:vAlign w:val="bottom"/>
          </w:tcPr>
          <w:p>
            <w:pPr>
              <w:spacing w:after="0"/>
              <w:rPr>
                <w:sz w:val="15"/>
                <w:szCs w:val="15"/>
                <w:color w:val="auto"/>
              </w:rPr>
            </w:pPr>
          </w:p>
        </w:tc>
        <w:tc>
          <w:tcPr>
            <w:tcW w:w="1200" w:type="dxa"/>
            <w:vAlign w:val="bottom"/>
          </w:tcPr>
          <w:p>
            <w:pPr>
              <w:jc w:val="right"/>
              <w:ind w:right="35"/>
              <w:spacing w:after="0"/>
              <w:rPr>
                <w:sz w:val="20"/>
                <w:szCs w:val="20"/>
                <w:color w:val="auto"/>
              </w:rPr>
            </w:pPr>
            <w:r>
              <w:rPr>
                <w:rFonts w:ascii="Arial" w:cs="Arial" w:eastAsia="Arial" w:hAnsi="Arial"/>
                <w:sz w:val="14"/>
                <w:szCs w:val="14"/>
                <w:b w:val="1"/>
                <w:bCs w:val="1"/>
                <w:color w:val="auto"/>
                <w:w w:val="88"/>
              </w:rPr>
              <w:t>November 1, 2020</w:t>
            </w:r>
          </w:p>
        </w:tc>
        <w:tc>
          <w:tcPr>
            <w:tcW w:w="0" w:type="dxa"/>
            <w:vAlign w:val="bottom"/>
          </w:tcPr>
          <w:p>
            <w:pPr>
              <w:spacing w:after="0"/>
              <w:rPr>
                <w:sz w:val="1"/>
                <w:szCs w:val="1"/>
                <w:color w:val="auto"/>
              </w:rPr>
            </w:pPr>
          </w:p>
        </w:tc>
      </w:tr>
      <w:tr>
        <w:trPr>
          <w:trHeight w:val="206"/>
        </w:trPr>
        <w:tc>
          <w:tcPr>
            <w:tcW w:w="39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sales</w:t>
            </w:r>
          </w:p>
        </w:tc>
        <w:tc>
          <w:tcPr>
            <w:tcW w:w="4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80" w:type="dxa"/>
            <w:vAlign w:val="bottom"/>
          </w:tcPr>
          <w:p>
            <w:pPr>
              <w:ind w:left="140"/>
              <w:spacing w:after="0"/>
              <w:rPr>
                <w:sz w:val="20"/>
                <w:szCs w:val="20"/>
                <w:color w:val="auto"/>
              </w:rPr>
            </w:pPr>
            <w:r>
              <w:rPr>
                <w:rFonts w:ascii="Arial" w:cs="Arial" w:eastAsia="Arial" w:hAnsi="Arial"/>
                <w:sz w:val="18"/>
                <w:szCs w:val="18"/>
                <w:color w:val="auto"/>
              </w:rPr>
              <w:t>Meals &amp; Beverages</w:t>
            </w:r>
          </w:p>
        </w:tc>
        <w:tc>
          <w:tcPr>
            <w:tcW w:w="4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1,266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45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line="204" w:lineRule="exact"/>
              <w:rPr>
                <w:sz w:val="20"/>
                <w:szCs w:val="20"/>
                <w:color w:val="auto"/>
              </w:rPr>
            </w:pPr>
            <w:r>
              <w:rPr>
                <w:rFonts w:ascii="Arial" w:cs="Arial" w:eastAsia="Arial" w:hAnsi="Arial"/>
                <w:sz w:val="18"/>
                <w:szCs w:val="18"/>
                <w:color w:val="auto"/>
              </w:rPr>
              <w:t>Total</w:t>
            </w:r>
          </w:p>
        </w:tc>
        <w:tc>
          <w:tcPr>
            <w:tcW w:w="45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9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31, 2021</w:t>
            </w:r>
          </w:p>
        </w:tc>
        <w:tc>
          <w:tcPr>
            <w:tcW w:w="100" w:type="dxa"/>
            <w:vAlign w:val="bottom"/>
          </w:tcPr>
          <w:p>
            <w:pPr>
              <w:spacing w:after="0"/>
              <w:rPr>
                <w:sz w:val="15"/>
                <w:szCs w:val="15"/>
                <w:color w:val="auto"/>
              </w:rPr>
            </w:pPr>
          </w:p>
        </w:tc>
        <w:tc>
          <w:tcPr>
            <w:tcW w:w="1200" w:type="dxa"/>
            <w:vAlign w:val="bottom"/>
          </w:tcPr>
          <w:p>
            <w:pPr>
              <w:jc w:val="right"/>
              <w:ind w:right="35"/>
              <w:spacing w:after="0"/>
              <w:rPr>
                <w:sz w:val="20"/>
                <w:szCs w:val="20"/>
                <w:color w:val="auto"/>
              </w:rPr>
            </w:pPr>
            <w:r>
              <w:rPr>
                <w:rFonts w:ascii="Arial" w:cs="Arial" w:eastAsia="Arial" w:hAnsi="Arial"/>
                <w:sz w:val="14"/>
                <w:szCs w:val="14"/>
                <w:b w:val="1"/>
                <w:bCs w:val="1"/>
                <w:color w:val="auto"/>
                <w:w w:val="88"/>
              </w:rPr>
              <w:t>November 1, 2020</w:t>
            </w:r>
          </w:p>
        </w:tc>
        <w:tc>
          <w:tcPr>
            <w:tcW w:w="0" w:type="dxa"/>
            <w:vAlign w:val="bottom"/>
          </w:tcPr>
          <w:p>
            <w:pPr>
              <w:spacing w:after="0"/>
              <w:rPr>
                <w:sz w:val="1"/>
                <w:szCs w:val="1"/>
                <w:color w:val="auto"/>
              </w:rPr>
            </w:pPr>
          </w:p>
        </w:tc>
      </w:tr>
      <w:tr>
        <w:trPr>
          <w:trHeight w:val="206"/>
        </w:trPr>
        <w:tc>
          <w:tcPr>
            <w:tcW w:w="39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Earnings before interest and taxes</w:t>
            </w:r>
          </w:p>
        </w:tc>
        <w:tc>
          <w:tcPr>
            <w:tcW w:w="4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80" w:type="dxa"/>
            <w:vAlign w:val="bottom"/>
          </w:tcPr>
          <w:p>
            <w:pPr>
              <w:ind w:left="140"/>
              <w:spacing w:after="0"/>
              <w:rPr>
                <w:sz w:val="20"/>
                <w:szCs w:val="20"/>
                <w:color w:val="auto"/>
              </w:rPr>
            </w:pPr>
            <w:r>
              <w:rPr>
                <w:rFonts w:ascii="Arial" w:cs="Arial" w:eastAsia="Arial" w:hAnsi="Arial"/>
                <w:sz w:val="18"/>
                <w:szCs w:val="18"/>
                <w:color w:val="auto"/>
              </w:rPr>
              <w:t>Meals &amp; Beverages</w:t>
            </w:r>
          </w:p>
        </w:tc>
        <w:tc>
          <w:tcPr>
            <w:tcW w:w="4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4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5"/>
        </w:trPr>
        <w:tc>
          <w:tcPr>
            <w:tcW w:w="3980" w:type="dxa"/>
            <w:vAlign w:val="bottom"/>
          </w:tcPr>
          <w:p>
            <w:pPr>
              <w:ind w:left="140"/>
              <w:spacing w:after="0" w:line="225" w:lineRule="exact"/>
              <w:rPr>
                <w:sz w:val="20"/>
                <w:szCs w:val="20"/>
                <w:color w:val="auto"/>
              </w:rPr>
            </w:pPr>
            <w:r>
              <w:rPr>
                <w:rFonts w:ascii="Arial" w:cs="Arial" w:eastAsia="Arial" w:hAnsi="Arial"/>
                <w:sz w:val="18"/>
                <w:szCs w:val="18"/>
                <w:color w:val="auto"/>
              </w:rPr>
              <w:t>Corporate income (expense)</w:t>
            </w:r>
            <w:r>
              <w:rPr>
                <w:rFonts w:ascii="Arial" w:cs="Arial" w:eastAsia="Arial" w:hAnsi="Arial"/>
                <w:sz w:val="22"/>
                <w:szCs w:val="22"/>
                <w:color w:val="auto"/>
                <w:vertAlign w:val="superscript"/>
              </w:rPr>
              <w:t>(1)</w:t>
            </w:r>
          </w:p>
        </w:tc>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140"/>
              <w:spacing w:after="0" w:line="225"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2"/>
                <w:szCs w:val="22"/>
                <w:color w:val="auto"/>
                <w:vertAlign w:val="superscript"/>
              </w:rPr>
              <w:t>(2)</w:t>
            </w:r>
          </w:p>
        </w:tc>
        <w:tc>
          <w:tcPr>
            <w:tcW w:w="4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line="204" w:lineRule="exact"/>
              <w:rPr>
                <w:sz w:val="20"/>
                <w:szCs w:val="20"/>
                <w:color w:val="auto"/>
              </w:rPr>
            </w:pPr>
            <w:r>
              <w:rPr>
                <w:rFonts w:ascii="Arial" w:cs="Arial" w:eastAsia="Arial" w:hAnsi="Arial"/>
                <w:sz w:val="18"/>
                <w:szCs w:val="18"/>
                <w:color w:val="auto"/>
              </w:rPr>
              <w:t>Total</w:t>
            </w:r>
          </w:p>
        </w:tc>
        <w:tc>
          <w:tcPr>
            <w:tcW w:w="4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540" w:type="dxa"/>
            <w:vAlign w:val="bottom"/>
            <w:vMerge w:val="restart"/>
          </w:tcPr>
          <w:p>
            <w:pPr>
              <w:jc w:val="right"/>
              <w:ind w:right="27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398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98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_______________________________________</w:t>
      </w:r>
    </w:p>
    <w:p>
      <w:pPr>
        <w:spacing w:after="0" w:line="58" w:lineRule="exact"/>
        <w:rPr>
          <w:sz w:val="20"/>
          <w:szCs w:val="20"/>
          <w:color w:val="auto"/>
        </w:rPr>
      </w:pPr>
    </w:p>
    <w:p>
      <w:pPr>
        <w:jc w:val="both"/>
        <w:ind w:left="320" w:hanging="314"/>
        <w:spacing w:after="0" w:line="245" w:lineRule="auto"/>
        <w:tabs>
          <w:tab w:leader="none" w:pos="30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Represents unallocated items. In the three-month periods ended October 31, 2021, and November 1, 2020, there were pension actuarial losses of $6 and pension actuarial gains of $4, respectively. Costs related to the cost savings initiatives were $4 and $5 in the three-month periods ended October 31, 2021, and November 1, 2020, respectively. Unrealized mark-to-market adjustments on outstanding undesignated commodity hedges were losses of $3 and gains of $6 in the three-month periods ended October 31, 2021, and November 1, 2020, respectively.</w:t>
      </w:r>
    </w:p>
    <w:p>
      <w:pPr>
        <w:spacing w:after="0" w:line="2" w:lineRule="exact"/>
        <w:rPr>
          <w:rFonts w:ascii="Arial" w:cs="Arial" w:eastAsia="Arial" w:hAnsi="Arial"/>
          <w:sz w:val="22"/>
          <w:szCs w:val="22"/>
          <w:color w:val="auto"/>
          <w:vertAlign w:val="superscript"/>
        </w:rPr>
      </w:pPr>
    </w:p>
    <w:p>
      <w:pPr>
        <w:ind w:left="320" w:hanging="314"/>
        <w:spacing w:after="0" w:line="192"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See Note 6 for additional information.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520" w:type="dxa"/>
            <w:vAlign w:val="bottom"/>
          </w:tcPr>
          <w:p>
            <w:pPr>
              <w:ind w:left="240"/>
              <w:spacing w:after="0"/>
              <w:rPr>
                <w:sz w:val="20"/>
                <w:szCs w:val="20"/>
                <w:color w:val="auto"/>
              </w:rPr>
            </w:pPr>
            <w:r>
              <w:rPr>
                <w:rFonts w:ascii="Arial" w:cs="Arial" w:eastAsia="Arial" w:hAnsi="Arial"/>
                <w:sz w:val="18"/>
                <w:szCs w:val="18"/>
                <w:color w:val="auto"/>
              </w:rPr>
              <w:t>Our net sales based on product categories are as follows:</w:t>
            </w: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r>
      <w:tr>
        <w:trPr>
          <w:trHeight w:val="178"/>
        </w:trPr>
        <w:tc>
          <w:tcPr>
            <w:tcW w:w="8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31, 2021</w:t>
            </w:r>
          </w:p>
        </w:tc>
        <w:tc>
          <w:tcPr>
            <w:tcW w:w="100" w:type="dxa"/>
            <w:vAlign w:val="bottom"/>
          </w:tcPr>
          <w:p>
            <w:pPr>
              <w:spacing w:after="0"/>
              <w:rPr>
                <w:sz w:val="15"/>
                <w:szCs w:val="15"/>
                <w:color w:val="auto"/>
              </w:rPr>
            </w:pPr>
          </w:p>
        </w:tc>
        <w:tc>
          <w:tcPr>
            <w:tcW w:w="1200" w:type="dxa"/>
            <w:vAlign w:val="bottom"/>
          </w:tcPr>
          <w:p>
            <w:pPr>
              <w:jc w:val="right"/>
              <w:ind w:right="35"/>
              <w:spacing w:after="0"/>
              <w:rPr>
                <w:sz w:val="20"/>
                <w:szCs w:val="20"/>
                <w:color w:val="auto"/>
              </w:rPr>
            </w:pPr>
            <w:r>
              <w:rPr>
                <w:rFonts w:ascii="Arial" w:cs="Arial" w:eastAsia="Arial" w:hAnsi="Arial"/>
                <w:sz w:val="14"/>
                <w:szCs w:val="14"/>
                <w:b w:val="1"/>
                <w:bCs w:val="1"/>
                <w:color w:val="auto"/>
                <w:w w:val="88"/>
              </w:rPr>
              <w:t>November 1, 2020</w:t>
            </w:r>
          </w:p>
        </w:tc>
      </w:tr>
      <w:tr>
        <w:trPr>
          <w:trHeight w:val="206"/>
        </w:trPr>
        <w:tc>
          <w:tcPr>
            <w:tcW w:w="85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Soup</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797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Other simple meals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Beverages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18"/>
        </w:trPr>
        <w:tc>
          <w:tcPr>
            <w:tcW w:w="8520" w:type="dxa"/>
            <w:vAlign w:val="bottom"/>
          </w:tcPr>
          <w:p>
            <w:pPr>
              <w:ind w:left="20"/>
              <w:spacing w:after="0" w:line="204"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r>
      <w:tr>
        <w:trPr>
          <w:trHeight w:val="20"/>
        </w:trPr>
        <w:tc>
          <w:tcPr>
            <w:tcW w:w="8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Soup includes various soup, broth and stock products. Snacks include cookies, pretzels, crackers, popcorn, nuts, potato chips, tortilla chips and other salty snacks and baked products. Other simple meals include sauces, gravies, pasta, beans, canned poultry, and Plum products through May 3, 2021, when the business was sold. Beverages include </w:t>
      </w:r>
      <w:r>
        <w:rPr>
          <w:rFonts w:ascii="Arial" w:cs="Arial" w:eastAsia="Arial" w:hAnsi="Arial"/>
          <w:sz w:val="17"/>
          <w:szCs w:val="17"/>
          <w:i w:val="1"/>
          <w:iCs w:val="1"/>
          <w:color w:val="auto"/>
        </w:rPr>
        <w:t>V8</w:t>
      </w:r>
      <w:r>
        <w:rPr>
          <w:rFonts w:ascii="Arial" w:cs="Arial" w:eastAsia="Arial" w:hAnsi="Arial"/>
          <w:sz w:val="17"/>
          <w:szCs w:val="17"/>
          <w:color w:val="auto"/>
        </w:rPr>
        <w:t xml:space="preserve"> juices and beverages,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tomato juice and </w:t>
      </w:r>
      <w:r>
        <w:rPr>
          <w:rFonts w:ascii="Arial" w:cs="Arial" w:eastAsia="Arial" w:hAnsi="Arial"/>
          <w:sz w:val="17"/>
          <w:szCs w:val="17"/>
          <w:i w:val="1"/>
          <w:iCs w:val="1"/>
          <w:color w:val="auto"/>
        </w:rPr>
        <w:t>Pacific Foods</w:t>
      </w:r>
      <w:r>
        <w:rPr>
          <w:rFonts w:ascii="Arial" w:cs="Arial" w:eastAsia="Arial" w:hAnsi="Arial"/>
          <w:sz w:val="17"/>
          <w:szCs w:val="17"/>
          <w:color w:val="auto"/>
        </w:rPr>
        <w:t xml:space="preserve"> non-dairy beverages.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 Charges and Cost Savings Initiatives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Over the years, we expanded these initiatives by further optimizing our supply chain and manufacturing networks, including closing our manufacturing facility in Toronto, Ontario, as well as our information technology infrastructure.</w:t>
      </w:r>
    </w:p>
    <w:p>
      <w:pPr>
        <w:spacing w:after="0" w:line="6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pre-tax charges recorded in Earnings from continuing operations related to these initiatives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October 31, 2021</w:t>
            </w:r>
          </w:p>
        </w:tc>
        <w:tc>
          <w:tcPr>
            <w:tcW w:w="120" w:type="dxa"/>
            <w:vAlign w:val="bottom"/>
          </w:tcPr>
          <w:p>
            <w:pPr>
              <w:spacing w:after="0"/>
              <w:rPr>
                <w:sz w:val="10"/>
                <w:szCs w:val="10"/>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November 1, 2020</w:t>
            </w:r>
          </w:p>
        </w:tc>
        <w:tc>
          <w:tcPr>
            <w:tcW w:w="1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Recognized as of October</w:t>
            </w: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ind w:right="475"/>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219"/>
        </w:trPr>
        <w:tc>
          <w:tcPr>
            <w:tcW w:w="45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Restructuring charges</w:t>
            </w:r>
          </w:p>
        </w:tc>
        <w:tc>
          <w:tcPr>
            <w:tcW w:w="2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9"/>
        </w:trPr>
        <w:tc>
          <w:tcPr>
            <w:tcW w:w="4520" w:type="dxa"/>
            <w:vAlign w:val="bottom"/>
          </w:tcPr>
          <w:p>
            <w:pPr>
              <w:ind w:left="20"/>
              <w:spacing w:after="0" w:line="204" w:lineRule="exact"/>
              <w:rPr>
                <w:sz w:val="20"/>
                <w:szCs w:val="20"/>
                <w:color w:val="auto"/>
              </w:rPr>
            </w:pPr>
            <w:r>
              <w:rPr>
                <w:rFonts w:ascii="Arial" w:cs="Arial" w:eastAsia="Arial" w:hAnsi="Arial"/>
                <w:sz w:val="18"/>
                <w:szCs w:val="18"/>
                <w:color w:val="auto"/>
              </w:rPr>
              <w:t>Total pre-tax charges</w:t>
            </w:r>
          </w:p>
        </w:tc>
        <w:tc>
          <w:tcPr>
            <w:tcW w:w="2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620" w:type="dxa"/>
            <w:vAlign w:val="bottom"/>
            <w:gridSpan w:val="9"/>
          </w:tcPr>
          <w:p>
            <w:pPr>
              <w:ind w:left="320"/>
              <w:spacing w:after="0"/>
              <w:rPr>
                <w:sz w:val="20"/>
                <w:szCs w:val="20"/>
                <w:color w:val="auto"/>
              </w:rPr>
            </w:pPr>
            <w:r>
              <w:rPr>
                <w:rFonts w:ascii="Arial" w:cs="Arial" w:eastAsia="Arial" w:hAnsi="Arial"/>
                <w:sz w:val="18"/>
                <w:szCs w:val="18"/>
                <w:color w:val="auto"/>
              </w:rPr>
              <w:t>A summary of the pre-tax costs in Earnings from continuing operations associated with the initiatives is as follows: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175"/>
              <w:spacing w:after="0"/>
              <w:rPr>
                <w:sz w:val="20"/>
                <w:szCs w:val="20"/>
                <w:color w:val="auto"/>
              </w:rPr>
            </w:pPr>
            <w:r>
              <w:rPr>
                <w:rFonts w:ascii="Arial" w:cs="Arial" w:eastAsia="Arial" w:hAnsi="Arial"/>
                <w:sz w:val="14"/>
                <w:szCs w:val="14"/>
                <w:b w:val="1"/>
                <w:bCs w:val="1"/>
                <w:color w:val="auto"/>
                <w:w w:val="92"/>
              </w:rPr>
              <w:t>Recognized as of</w:t>
            </w:r>
          </w:p>
        </w:tc>
        <w:tc>
          <w:tcPr>
            <w:tcW w:w="0" w:type="dxa"/>
            <w:vAlign w:val="bottom"/>
          </w:tcPr>
          <w:p>
            <w:pPr>
              <w:spacing w:after="0"/>
              <w:rPr>
                <w:sz w:val="1"/>
                <w:szCs w:val="1"/>
                <w:color w:val="auto"/>
              </w:rPr>
            </w:pPr>
          </w:p>
        </w:tc>
      </w:tr>
      <w:tr>
        <w:trPr>
          <w:trHeight w:val="185"/>
        </w:trPr>
        <w:tc>
          <w:tcPr>
            <w:tcW w:w="45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335"/>
              <w:spacing w:after="0"/>
              <w:rPr>
                <w:sz w:val="20"/>
                <w:szCs w:val="20"/>
                <w:color w:val="auto"/>
              </w:rPr>
            </w:pPr>
            <w:r>
              <w:rPr>
                <w:rFonts w:ascii="Arial" w:cs="Arial" w:eastAsia="Arial" w:hAnsi="Arial"/>
                <w:sz w:val="14"/>
                <w:szCs w:val="14"/>
                <w:b w:val="1"/>
                <w:bCs w:val="1"/>
                <w:color w:val="auto"/>
              </w:rPr>
              <w:t>October 31, 2021</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Severance pay and benefits</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5"/>
        </w:trPr>
        <w:tc>
          <w:tcPr>
            <w:tcW w:w="4520" w:type="dxa"/>
            <w:vAlign w:val="bottom"/>
          </w:tcPr>
          <w:p>
            <w:pPr>
              <w:ind w:left="340"/>
              <w:spacing w:after="0"/>
              <w:rPr>
                <w:sz w:val="20"/>
                <w:szCs w:val="20"/>
                <w:color w:val="auto"/>
              </w:rPr>
            </w:pPr>
            <w:r>
              <w:rPr>
                <w:rFonts w:ascii="Arial" w:cs="Arial" w:eastAsia="Arial" w:hAnsi="Arial"/>
                <w:sz w:val="18"/>
                <w:szCs w:val="18"/>
                <w:color w:val="auto"/>
              </w:rPr>
              <w:t>Asset impairment/accelerated depreciation</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Implementation costs and other related costs</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9"/>
        </w:trPr>
        <w:tc>
          <w:tcPr>
            <w:tcW w:w="4520" w:type="dxa"/>
            <w:vAlign w:val="bottom"/>
          </w:tcPr>
          <w:p>
            <w:pPr>
              <w:ind w:left="340"/>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20" w:type="dxa"/>
            <w:vAlign w:val="bottom"/>
            <w:vMerge w:val="restart"/>
          </w:tcPr>
          <w:p>
            <w:pPr>
              <w:jc w:val="right"/>
              <w:ind w:right="9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45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5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 w:name="page12"/>
    <w:bookmarkEnd w:id="11"/>
    <w:p>
      <w:pPr>
        <w:jc w:val="both"/>
        <w:ind w:firstLine="318"/>
        <w:spacing w:after="0" w:line="264" w:lineRule="auto"/>
        <w:rPr>
          <w:sz w:val="20"/>
          <w:szCs w:val="20"/>
          <w:color w:val="auto"/>
        </w:rPr>
      </w:pPr>
      <w:r>
        <w:rPr>
          <w:rFonts w:ascii="Arial" w:cs="Arial" w:eastAsia="Arial" w:hAnsi="Arial"/>
          <w:sz w:val="18"/>
          <w:szCs w:val="18"/>
          <w:color w:val="auto"/>
        </w:rPr>
        <w:t>The total estimated pre-tax costs for actions associated with continuing operations are approximately $715 to $730. The majority of the remaining costs will be incurred in 2022.</w:t>
      </w:r>
    </w:p>
    <w:p>
      <w:pPr>
        <w:spacing w:after="0" w:line="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expect the costs for actions associated with continuing operations to consist of the following: approximately $225 in severance pay and benefits; approximately $85 in asset impairment and accelerated depreciation; and approximately $405 to $420 in implementation costs and other related costs. We expect these pre-tax costs to be associated with our segments as follows: Meals &amp; Beverages - approximately 31%; Snacks - approximately 45%; and Corporate - approximately 24%.</w:t>
      </w:r>
    </w:p>
    <w:p>
      <w:pPr>
        <w:spacing w:after="0" w:line="7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Of the aggregate $715 to $730 of pre-tax costs associated with continuing operations, we expect approximately $615 to $630 will be cash expenditures. In addition, we expect to invest approximately $450 in capital expenditures through 2022, of which we invested $415 as of October 31, 2021. The capital expenditures primarily relate to improvement of quality, safety and cost structure across the Snyder’s-Lance manufacturing network, a U.S. warehouse optimization project, implementation of our existing SAP enterprise-resource planning system for Snyder's-Lance, transition of production of the Toronto manufacturing facility to our U.S. thermal plants, optimization of information technology infrastructure and applications, and optimization of the Snyder’s-Lance warehouse and distribution network.</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restructuring activity and related reserves associated with continuing operations at October 31, 2021, is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Implementation</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660" w:type="dxa"/>
            <w:vAlign w:val="bottom"/>
          </w:tcPr>
          <w:p>
            <w:pPr>
              <w:spacing w:after="0"/>
              <w:rPr>
                <w:sz w:val="11"/>
                <w:szCs w:val="11"/>
                <w:color w:val="auto"/>
              </w:rPr>
            </w:pPr>
          </w:p>
        </w:tc>
        <w:tc>
          <w:tcPr>
            <w:tcW w:w="106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w w:val="95"/>
              </w:rPr>
              <w:t>Severance Pay</w:t>
            </w:r>
          </w:p>
        </w:tc>
        <w:tc>
          <w:tcPr>
            <w:tcW w:w="120" w:type="dxa"/>
            <w:vAlign w:val="bottom"/>
          </w:tcPr>
          <w:p>
            <w:pPr>
              <w:spacing w:after="0"/>
              <w:rPr>
                <w:sz w:val="11"/>
                <w:szCs w:val="11"/>
                <w:color w:val="auto"/>
              </w:rPr>
            </w:pPr>
          </w:p>
        </w:tc>
        <w:tc>
          <w:tcPr>
            <w:tcW w:w="14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Costs and Other</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Related</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Total Charges</w:t>
            </w:r>
          </w:p>
        </w:tc>
        <w:tc>
          <w:tcPr>
            <w:tcW w:w="0" w:type="dxa"/>
            <w:vAlign w:val="bottom"/>
          </w:tcPr>
          <w:p>
            <w:pPr>
              <w:spacing w:after="0"/>
              <w:rPr>
                <w:sz w:val="1"/>
                <w:szCs w:val="1"/>
                <w:color w:val="auto"/>
              </w:rPr>
            </w:pPr>
          </w:p>
        </w:tc>
      </w:tr>
      <w:tr>
        <w:trPr>
          <w:trHeight w:val="186"/>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w w:val="90"/>
              </w:rPr>
              <w:t>and Benefits</w:t>
            </w:r>
          </w:p>
        </w:tc>
        <w:tc>
          <w:tcPr>
            <w:tcW w:w="120" w:type="dxa"/>
            <w:vAlign w:val="bottom"/>
          </w:tcPr>
          <w:p>
            <w:pPr>
              <w:spacing w:after="0"/>
              <w:rPr>
                <w:sz w:val="16"/>
                <w:szCs w:val="16"/>
                <w:color w:val="auto"/>
              </w:rPr>
            </w:pPr>
          </w:p>
        </w:tc>
        <w:tc>
          <w:tcPr>
            <w:tcW w:w="1440" w:type="dxa"/>
            <w:vAlign w:val="bottom"/>
            <w:gridSpan w:val="2"/>
          </w:tcPr>
          <w:p>
            <w:pPr>
              <w:jc w:val="center"/>
              <w:ind w:right="120"/>
              <w:spacing w:after="0" w:line="186" w:lineRule="exact"/>
              <w:rPr>
                <w:sz w:val="20"/>
                <w:szCs w:val="20"/>
                <w:color w:val="auto"/>
              </w:rPr>
            </w:pPr>
            <w:r>
              <w:rPr>
                <w:rFonts w:ascii="Arial" w:cs="Arial" w:eastAsia="Arial" w:hAnsi="Arial"/>
                <w:sz w:val="14"/>
                <w:szCs w:val="14"/>
                <w:b w:val="1"/>
                <w:bCs w:val="1"/>
                <w:color w:val="auto"/>
                <w:w w:val="82"/>
              </w:rPr>
              <w:t>Costs</w:t>
            </w:r>
            <w:r>
              <w:rPr>
                <w:rFonts w:ascii="Arial" w:cs="Arial" w:eastAsia="Arial" w:hAnsi="Arial"/>
                <w:sz w:val="18"/>
                <w:szCs w:val="18"/>
                <w:b w:val="1"/>
                <w:bCs w:val="1"/>
                <w:color w:val="auto"/>
                <w:w w:val="82"/>
                <w:vertAlign w:val="superscript"/>
              </w:rPr>
              <w:t>(2)</w:t>
            </w: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660" w:type="dxa"/>
            <w:vAlign w:val="bottom"/>
            <w:tcBorders>
              <w:top w:val="single" w:sz="8" w:color="CCEEFF"/>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Accrued balance at August 1, 2021</w:t>
            </w:r>
            <w:r>
              <w:rPr>
                <w:rFonts w:ascii="Arial" w:cs="Arial" w:eastAsia="Arial" w:hAnsi="Arial"/>
                <w:sz w:val="22"/>
                <w:szCs w:val="22"/>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220"/>
              <w:spacing w:after="0"/>
              <w:rPr>
                <w:sz w:val="20"/>
                <w:szCs w:val="20"/>
                <w:color w:val="auto"/>
              </w:rPr>
            </w:pPr>
            <w:r>
              <w:rPr>
                <w:rFonts w:ascii="Arial" w:cs="Arial" w:eastAsia="Arial" w:hAnsi="Arial"/>
                <w:sz w:val="18"/>
                <w:szCs w:val="18"/>
                <w:b w:val="1"/>
                <w:bCs w:val="1"/>
                <w:color w:val="auto"/>
              </w:rPr>
              <w:t>2022 charges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460" w:type="dxa"/>
            <w:vAlign w:val="bottom"/>
          </w:tcPr>
          <w:p>
            <w:pPr>
              <w:jc w:val="right"/>
              <w:ind w:right="281"/>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2022 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20"/>
              <w:spacing w:after="0" w:line="219" w:lineRule="exact"/>
              <w:rPr>
                <w:sz w:val="20"/>
                <w:szCs w:val="20"/>
                <w:color w:val="auto"/>
              </w:rPr>
            </w:pPr>
            <w:r>
              <w:rPr>
                <w:rFonts w:ascii="Arial" w:cs="Arial" w:eastAsia="Arial" w:hAnsi="Arial"/>
                <w:sz w:val="18"/>
                <w:szCs w:val="18"/>
                <w:b w:val="1"/>
                <w:bCs w:val="1"/>
                <w:color w:val="auto"/>
              </w:rPr>
              <w:t>Accrued balance at October 31, 2021</w:t>
            </w:r>
            <w:r>
              <w:rPr>
                <w:rFonts w:ascii="Arial" w:cs="Arial" w:eastAsia="Arial" w:hAnsi="Arial"/>
                <w:sz w:val="22"/>
                <w:szCs w:val="22"/>
                <w:b w:val="1"/>
                <w:bCs w:val="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24" w:lineRule="exact"/>
        <w:rPr>
          <w:sz w:val="20"/>
          <w:szCs w:val="20"/>
          <w:color w:val="auto"/>
        </w:rPr>
      </w:pPr>
    </w:p>
    <w:p>
      <w:pPr>
        <w:ind w:left="320" w:hanging="314"/>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$1 of severance pay and benefits recorded in Other liabilities in the Consolidated Balance Sheet.</w:t>
      </w:r>
    </w:p>
    <w:p>
      <w:pPr>
        <w:spacing w:after="0" w:line="2" w:lineRule="exact"/>
        <w:rPr>
          <w:rFonts w:ascii="Arial" w:cs="Arial" w:eastAsia="Arial" w:hAnsi="Arial"/>
          <w:sz w:val="23"/>
          <w:szCs w:val="23"/>
          <w:color w:val="auto"/>
          <w:vertAlign w:val="superscript"/>
        </w:rPr>
      </w:pPr>
    </w:p>
    <w:p>
      <w:pPr>
        <w:ind w:left="320" w:hanging="314"/>
        <w:spacing w:after="0" w:line="214" w:lineRule="auto"/>
        <w:tabs>
          <w:tab w:leader="none" w:pos="30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and Cost of products sold in the Consolidated Statements of Earnings.</w:t>
      </w:r>
    </w:p>
    <w:p>
      <w:pPr>
        <w:spacing w:after="0" w:line="82"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2940" w:type="dxa"/>
            <w:vAlign w:val="bottom"/>
            <w:tcBorders>
              <w:bottom w:val="single" w:sz="8" w:color="auto"/>
            </w:tcBorders>
            <w:gridSpan w:val="5"/>
          </w:tcPr>
          <w:p>
            <w:pPr>
              <w:jc w:val="right"/>
              <w:ind w:right="878"/>
              <w:spacing w:after="0"/>
              <w:rPr>
                <w:sz w:val="20"/>
                <w:szCs w:val="20"/>
                <w:color w:val="auto"/>
              </w:rPr>
            </w:pPr>
            <w:r>
              <w:rPr>
                <w:rFonts w:ascii="Arial" w:cs="Arial" w:eastAsia="Arial" w:hAnsi="Arial"/>
                <w:sz w:val="14"/>
                <w:szCs w:val="14"/>
                <w:b w:val="1"/>
                <w:bCs w:val="1"/>
                <w:color w:val="auto"/>
              </w:rPr>
              <w:t>October 31, 2021</w:t>
            </w:r>
          </w:p>
        </w:tc>
      </w:tr>
      <w:tr>
        <w:trPr>
          <w:trHeight w:val="131"/>
        </w:trPr>
        <w:tc>
          <w:tcPr>
            <w:tcW w:w="826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ind w:right="98"/>
              <w:spacing w:after="0" w:line="131" w:lineRule="exact"/>
              <w:rPr>
                <w:sz w:val="20"/>
                <w:szCs w:val="20"/>
                <w:color w:val="auto"/>
              </w:rPr>
            </w:pPr>
            <w:r>
              <w:rPr>
                <w:rFonts w:ascii="Arial" w:cs="Arial" w:eastAsia="Arial" w:hAnsi="Arial"/>
                <w:sz w:val="14"/>
                <w:szCs w:val="14"/>
                <w:b w:val="1"/>
                <w:bCs w:val="1"/>
                <w:color w:val="auto"/>
                <w:w w:val="91"/>
              </w:rPr>
              <w:t>Costs Incurred to</w:t>
            </w:r>
          </w:p>
        </w:tc>
      </w:tr>
      <w:tr>
        <w:trPr>
          <w:trHeight w:val="185"/>
        </w:trPr>
        <w:tc>
          <w:tcPr>
            <w:tcW w:w="82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Ended</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Date</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Snacks</w:t>
            </w:r>
          </w:p>
        </w:tc>
        <w:tc>
          <w:tcPr>
            <w:tcW w:w="1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9"/>
        </w:trPr>
        <w:tc>
          <w:tcPr>
            <w:tcW w:w="8260" w:type="dxa"/>
            <w:vAlign w:val="bottom"/>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98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20"/>
        </w:trPr>
        <w:tc>
          <w:tcPr>
            <w:tcW w:w="8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Through April 28, 2019, we incurred pre-tax charges of $23 in Earnings from discontinued operations consisting of $19 of severance pay and benefits and $4 of implementation costs and other related costs. All of the costs were cash expenditures.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Initiatives in 2022</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continue to pursue cost savings initiatives by further optimizing our supply chain and manufacturing network and through effective cost management.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Cost estimates will be updated as the expanded initiatives are developed.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periods ended October 31, 2021, and November 1, 2020, excludes approximately 1 million stock options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8. Pension and Postretirement Benefits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Components of net benefit expense (income)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8"/>
              </w:rPr>
              <w:t>Three Months Ended</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183"/>
        </w:trPr>
        <w:tc>
          <w:tcPr>
            <w:tcW w:w="6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4"/>
                <w:szCs w:val="14"/>
                <w:b w:val="1"/>
                <w:bCs w:val="1"/>
                <w:color w:val="auto"/>
              </w:rPr>
              <w:t>Pension</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178"/>
              <w:spacing w:after="0"/>
              <w:rPr>
                <w:sz w:val="20"/>
                <w:szCs w:val="20"/>
                <w:color w:val="auto"/>
              </w:rPr>
            </w:pPr>
            <w:r>
              <w:rPr>
                <w:rFonts w:ascii="Arial" w:cs="Arial" w:eastAsia="Arial" w:hAnsi="Arial"/>
                <w:sz w:val="14"/>
                <w:szCs w:val="14"/>
                <w:b w:val="1"/>
                <w:bCs w:val="1"/>
                <w:color w:val="auto"/>
                <w:w w:val="97"/>
              </w:rPr>
              <w:t>Postretirement</w:t>
            </w:r>
          </w:p>
        </w:tc>
        <w:tc>
          <w:tcPr>
            <w:tcW w:w="500" w:type="dxa"/>
            <w:vAlign w:val="bottom"/>
            <w:tcBorders>
              <w:bottom w:val="single" w:sz="8" w:color="auto"/>
            </w:tcBorders>
          </w:tcPr>
          <w:p>
            <w:pPr>
              <w:spacing w:after="0"/>
              <w:rPr>
                <w:sz w:val="15"/>
                <w:szCs w:val="15"/>
                <w:color w:val="auto"/>
              </w:rPr>
            </w:pPr>
          </w:p>
        </w:tc>
      </w:tr>
      <w:tr>
        <w:trPr>
          <w:trHeight w:val="179"/>
        </w:trPr>
        <w:tc>
          <w:tcPr>
            <w:tcW w:w="62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 2021</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November 1, 2020</w:t>
            </w:r>
          </w:p>
        </w:tc>
        <w:tc>
          <w:tcPr>
            <w:tcW w:w="14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 2021</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November 1, 2020</w:t>
            </w:r>
          </w:p>
        </w:tc>
      </w:tr>
      <w:tr>
        <w:trPr>
          <w:trHeight w:val="219"/>
        </w:trPr>
        <w:tc>
          <w:tcPr>
            <w:tcW w:w="62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Service cost</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8"/>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4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 (gain)</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280" w:type="dxa"/>
            <w:vAlign w:val="bottom"/>
          </w:tcPr>
          <w:p>
            <w:pPr>
              <w:ind w:left="20"/>
              <w:spacing w:after="0" w:line="204" w:lineRule="exact"/>
              <w:rPr>
                <w:sz w:val="20"/>
                <w:szCs w:val="20"/>
                <w:color w:val="auto"/>
              </w:rPr>
            </w:pPr>
            <w:r>
              <w:rPr>
                <w:rFonts w:ascii="Arial" w:cs="Arial" w:eastAsia="Arial" w:hAnsi="Arial"/>
                <w:sz w:val="18"/>
                <w:szCs w:val="18"/>
                <w:color w:val="auto"/>
              </w:rPr>
              <w:t>Net periodic benefit expense (income)</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actuarial loss of $6 for the three-month period ended October 31, 2021 and the actuarial gain of $4 for the three-month period ended November 1, 2020 related to the remeasurement of a U.S. and a Canadian pension plan. These remeasurements were each due to lump sum distributions that exceeded or are expected to exceed service and interest costs resulting in settlement accounting for the plans. The actuarial loss recognized for the three-month period ended October 31, 2021 was primarily due to less than anticipated investment returns on plan assets, partially offset by an increase in the discount rates. The actuarial gain recognized for the three-month period ended November 1, 2020 was primarily due to an increase in the discount rates.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costs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9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r>
      <w:tr>
        <w:trPr>
          <w:trHeight w:val="183"/>
        </w:trPr>
        <w:tc>
          <w:tcPr>
            <w:tcW w:w="8740" w:type="dxa"/>
            <w:vAlign w:val="bottom"/>
          </w:tcPr>
          <w:p>
            <w:pPr>
              <w:spacing w:after="0"/>
              <w:rPr>
                <w:sz w:val="15"/>
                <w:szCs w:val="15"/>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31, 2021</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November 1, 2020</w:t>
            </w:r>
          </w:p>
        </w:tc>
      </w:tr>
      <w:tr>
        <w:trPr>
          <w:trHeight w:val="219"/>
        </w:trPr>
        <w:tc>
          <w:tcPr>
            <w:tcW w:w="8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8740" w:type="dxa"/>
            <w:vAlign w:val="bottom"/>
          </w:tcPr>
          <w:p>
            <w:pPr>
              <w:ind w:left="20"/>
              <w:spacing w:after="0"/>
              <w:rPr>
                <w:sz w:val="20"/>
                <w:szCs w:val="20"/>
                <w:color w:val="auto"/>
              </w:rPr>
            </w:pPr>
            <w:r>
              <w:rPr>
                <w:rFonts w:ascii="Arial" w:cs="Arial" w:eastAsia="Arial" w:hAnsi="Arial"/>
                <w:sz w:val="18"/>
                <w:szCs w:val="18"/>
                <w:color w:val="auto"/>
              </w:rPr>
              <w:t>Finance lease - amortization of right-of-use (ROU) assets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8740" w:type="dxa"/>
            <w:vAlign w:val="bottom"/>
          </w:tcPr>
          <w:p>
            <w:pPr>
              <w:ind w:left="20"/>
              <w:spacing w:after="0" w:line="225"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874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8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4"/>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labor and other overhead in our service contracts with embedded leases.</w:t>
      </w:r>
    </w:p>
    <w:p>
      <w:pPr>
        <w:spacing w:after="0" w:line="81" w:lineRule="exact"/>
        <w:rPr>
          <w:rFonts w:ascii="Arial" w:cs="Arial" w:eastAsia="Arial" w:hAnsi="Arial"/>
          <w:sz w:val="23"/>
          <w:szCs w:val="23"/>
          <w:color w:val="auto"/>
          <w:vertAlign w:val="superscript"/>
        </w:rPr>
      </w:pPr>
    </w:p>
    <w:p>
      <w:pPr>
        <w:ind w:left="320"/>
        <w:spacing w:after="0"/>
        <w:rPr>
          <w:rFonts w:ascii="Arial" w:cs="Arial" w:eastAsia="Arial" w:hAnsi="Arial"/>
          <w:sz w:val="23"/>
          <w:szCs w:val="23"/>
          <w:color w:val="auto"/>
          <w:vertAlign w:val="superscript"/>
        </w:rPr>
      </w:pPr>
      <w:r>
        <w:rPr>
          <w:rFonts w:ascii="Arial" w:cs="Arial" w:eastAsia="Arial" w:hAnsi="Arial"/>
          <w:sz w:val="18"/>
          <w:szCs w:val="18"/>
          <w:color w:val="auto"/>
        </w:rPr>
        <w:t>The following tables summarize the lease amounts recorded in the 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w w:val="95"/>
              </w:rPr>
              <w:t>Operating Leases</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5000" w:type="dxa"/>
            <w:vAlign w:val="bottom"/>
          </w:tcPr>
          <w:p>
            <w:pPr>
              <w:spacing w:after="0"/>
              <w:rPr>
                <w:sz w:val="15"/>
                <w:szCs w:val="15"/>
                <w:color w:val="auto"/>
              </w:rPr>
            </w:pPr>
          </w:p>
        </w:tc>
        <w:tc>
          <w:tcPr>
            <w:tcW w:w="2660" w:type="dxa"/>
            <w:vAlign w:val="bottom"/>
          </w:tcPr>
          <w:p>
            <w:pPr>
              <w:ind w:left="860"/>
              <w:spacing w:after="0"/>
              <w:rPr>
                <w:sz w:val="20"/>
                <w:szCs w:val="20"/>
                <w:color w:val="auto"/>
              </w:rPr>
            </w:pPr>
            <w:r>
              <w:rPr>
                <w:rFonts w:ascii="Arial" w:cs="Arial" w:eastAsia="Arial" w:hAnsi="Arial"/>
                <w:sz w:val="14"/>
                <w:szCs w:val="14"/>
                <w:b w:val="1"/>
                <w:bCs w:val="1"/>
                <w:color w:val="auto"/>
                <w:w w:val="93"/>
              </w:rPr>
              <w:t>Balance Sheet Classification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ind w:left="400"/>
              <w:spacing w:after="0"/>
              <w:rPr>
                <w:sz w:val="20"/>
                <w:szCs w:val="20"/>
                <w:color w:val="auto"/>
              </w:rPr>
            </w:pPr>
            <w:r>
              <w:rPr>
                <w:rFonts w:ascii="Arial" w:cs="Arial" w:eastAsia="Arial" w:hAnsi="Arial"/>
                <w:sz w:val="14"/>
                <w:szCs w:val="14"/>
                <w:b w:val="1"/>
                <w:bCs w:val="1"/>
                <w:color w:val="auto"/>
              </w:rPr>
              <w:t>October 31, 2021</w:t>
            </w:r>
          </w:p>
        </w:tc>
        <w:tc>
          <w:tcPr>
            <w:tcW w:w="44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August 1, 2021</w:t>
            </w:r>
          </w:p>
        </w:tc>
      </w:tr>
      <w:tr>
        <w:trPr>
          <w:trHeight w:val="219"/>
        </w:trPr>
        <w:tc>
          <w:tcPr>
            <w:tcW w:w="500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ROU assets, net</w:t>
            </w:r>
          </w:p>
        </w:tc>
        <w:tc>
          <w:tcPr>
            <w:tcW w:w="26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5"/>
        </w:trPr>
        <w:tc>
          <w:tcPr>
            <w:tcW w:w="5000" w:type="dxa"/>
            <w:vAlign w:val="bottom"/>
          </w:tcPr>
          <w:p>
            <w:pPr>
              <w:ind w:left="340"/>
              <w:spacing w:after="0"/>
              <w:rPr>
                <w:sz w:val="20"/>
                <w:szCs w:val="20"/>
                <w:color w:val="auto"/>
              </w:rPr>
            </w:pPr>
            <w:r>
              <w:rPr>
                <w:rFonts w:ascii="Arial" w:cs="Arial" w:eastAsia="Arial" w:hAnsi="Arial"/>
                <w:sz w:val="18"/>
                <w:szCs w:val="18"/>
                <w:color w:val="auto"/>
              </w:rPr>
              <w:t>Lease liabilities (current)</w:t>
            </w:r>
          </w:p>
        </w:tc>
        <w:tc>
          <w:tcPr>
            <w:tcW w:w="26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400" w:type="dxa"/>
            <w:vAlign w:val="bottom"/>
            <w:gridSpan w:val="3"/>
          </w:tcPr>
          <w:p>
            <w:pPr>
              <w:jc w:val="right"/>
              <w:ind w:right="381"/>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5"/>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liabilities (noncurrent)</w:t>
            </w:r>
          </w:p>
        </w:tc>
        <w:tc>
          <w:tcPr>
            <w:tcW w:w="2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400" w:type="dxa"/>
            <w:vAlign w:val="bottom"/>
            <w:gridSpan w:val="3"/>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445"/>
        </w:trPr>
        <w:tc>
          <w:tcPr>
            <w:tcW w:w="5000" w:type="dxa"/>
            <w:vAlign w:val="bottom"/>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Finance Leases</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3"/>
        </w:trPr>
        <w:tc>
          <w:tcPr>
            <w:tcW w:w="5000" w:type="dxa"/>
            <w:vAlign w:val="bottom"/>
          </w:tcPr>
          <w:p>
            <w:pPr>
              <w:spacing w:after="0"/>
              <w:rPr>
                <w:sz w:val="15"/>
                <w:szCs w:val="15"/>
                <w:color w:val="auto"/>
              </w:rPr>
            </w:pPr>
          </w:p>
        </w:tc>
        <w:tc>
          <w:tcPr>
            <w:tcW w:w="2660" w:type="dxa"/>
            <w:vAlign w:val="bottom"/>
          </w:tcPr>
          <w:p>
            <w:pPr>
              <w:ind w:left="860"/>
              <w:spacing w:after="0"/>
              <w:rPr>
                <w:sz w:val="20"/>
                <w:szCs w:val="20"/>
                <w:color w:val="auto"/>
              </w:rPr>
            </w:pPr>
            <w:r>
              <w:rPr>
                <w:rFonts w:ascii="Arial" w:cs="Arial" w:eastAsia="Arial" w:hAnsi="Arial"/>
                <w:sz w:val="14"/>
                <w:szCs w:val="14"/>
                <w:b w:val="1"/>
                <w:bCs w:val="1"/>
                <w:color w:val="auto"/>
                <w:w w:val="93"/>
              </w:rPr>
              <w:t>Balance Sheet Classification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ind w:left="400"/>
              <w:spacing w:after="0"/>
              <w:rPr>
                <w:sz w:val="20"/>
                <w:szCs w:val="20"/>
                <w:color w:val="auto"/>
              </w:rPr>
            </w:pPr>
            <w:r>
              <w:rPr>
                <w:rFonts w:ascii="Arial" w:cs="Arial" w:eastAsia="Arial" w:hAnsi="Arial"/>
                <w:sz w:val="14"/>
                <w:szCs w:val="14"/>
                <w:b w:val="1"/>
                <w:bCs w:val="1"/>
                <w:color w:val="auto"/>
              </w:rPr>
              <w:t>October 31, 2021</w:t>
            </w:r>
          </w:p>
        </w:tc>
        <w:tc>
          <w:tcPr>
            <w:tcW w:w="44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August 1, 2021</w:t>
            </w:r>
          </w:p>
        </w:tc>
      </w:tr>
      <w:tr>
        <w:trPr>
          <w:trHeight w:val="219"/>
        </w:trPr>
        <w:tc>
          <w:tcPr>
            <w:tcW w:w="500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ROU assets, net</w:t>
            </w:r>
          </w:p>
        </w:tc>
        <w:tc>
          <w:tcPr>
            <w:tcW w:w="26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9"/>
              </w:rPr>
              <w:t>Plant assets, net of depreciation</w:t>
            </w: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5000" w:type="dxa"/>
            <w:vAlign w:val="bottom"/>
          </w:tcPr>
          <w:p>
            <w:pPr>
              <w:ind w:left="340"/>
              <w:spacing w:after="0"/>
              <w:rPr>
                <w:sz w:val="20"/>
                <w:szCs w:val="20"/>
                <w:color w:val="auto"/>
              </w:rPr>
            </w:pPr>
            <w:r>
              <w:rPr>
                <w:rFonts w:ascii="Arial" w:cs="Arial" w:eastAsia="Arial" w:hAnsi="Arial"/>
                <w:sz w:val="18"/>
                <w:szCs w:val="18"/>
                <w:color w:val="auto"/>
              </w:rPr>
              <w:t>Lease liabilities (current)</w:t>
            </w:r>
          </w:p>
        </w:tc>
        <w:tc>
          <w:tcPr>
            <w:tcW w:w="2660" w:type="dxa"/>
            <w:vAlign w:val="bottom"/>
          </w:tcPr>
          <w:p>
            <w:pPr>
              <w:ind w:left="340"/>
              <w:spacing w:after="0"/>
              <w:rPr>
                <w:sz w:val="20"/>
                <w:szCs w:val="20"/>
                <w:color w:val="auto"/>
              </w:rPr>
            </w:pPr>
            <w:r>
              <w:rPr>
                <w:rFonts w:ascii="Arial" w:cs="Arial" w:eastAsia="Arial" w:hAnsi="Arial"/>
                <w:sz w:val="18"/>
                <w:szCs w:val="18"/>
                <w:color w:val="auto"/>
              </w:rPr>
              <w:t>Short-term borrowings</w:t>
            </w:r>
          </w:p>
        </w:tc>
        <w:tc>
          <w:tcPr>
            <w:tcW w:w="1400" w:type="dxa"/>
            <w:vAlign w:val="bottom"/>
            <w:gridSpan w:val="3"/>
          </w:tcPr>
          <w:p>
            <w:pPr>
              <w:jc w:val="right"/>
              <w:ind w:right="381"/>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liabilities (noncurrent)</w:t>
            </w:r>
          </w:p>
        </w:tc>
        <w:tc>
          <w:tcPr>
            <w:tcW w:w="2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1400" w:type="dxa"/>
            <w:vAlign w:val="bottom"/>
            <w:gridSpan w:val="3"/>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834"/>
        </w:trPr>
        <w:tc>
          <w:tcPr>
            <w:tcW w:w="5000" w:type="dxa"/>
            <w:vAlign w:val="bottom"/>
          </w:tcPr>
          <w:p>
            <w:pPr>
              <w:spacing w:after="0"/>
              <w:rPr>
                <w:sz w:val="24"/>
                <w:szCs w:val="24"/>
                <w:color w:val="auto"/>
              </w:rPr>
            </w:pPr>
          </w:p>
        </w:tc>
        <w:tc>
          <w:tcPr>
            <w:tcW w:w="2660" w:type="dxa"/>
            <w:vAlign w:val="bottom"/>
          </w:tcPr>
          <w:p>
            <w:pPr>
              <w:ind w:left="54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3"/>
        </w:trPr>
        <w:tc>
          <w:tcPr>
            <w:tcW w:w="500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p>
      <w:pPr>
        <w:ind w:left="320"/>
        <w:spacing w:after="0"/>
        <w:rPr>
          <w:sz w:val="20"/>
          <w:szCs w:val="20"/>
          <w:color w:val="auto"/>
        </w:rPr>
      </w:pPr>
      <w:r>
        <w:rPr>
          <w:rFonts w:ascii="Arial" w:cs="Arial" w:eastAsia="Arial" w:hAnsi="Arial"/>
          <w:sz w:val="18"/>
          <w:szCs w:val="18"/>
          <w:color w:val="auto"/>
        </w:rPr>
        <w:t>The following table summarizes cash flow and other information related to leases: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r>
      <w:tr>
        <w:trPr>
          <w:trHeight w:val="183"/>
        </w:trPr>
        <w:tc>
          <w:tcPr>
            <w:tcW w:w="8160" w:type="dxa"/>
            <w:vAlign w:val="bottom"/>
          </w:tcPr>
          <w:p>
            <w:pPr>
              <w:spacing w:after="0"/>
              <w:rPr>
                <w:sz w:val="15"/>
                <w:szCs w:val="15"/>
                <w:color w:val="auto"/>
              </w:rPr>
            </w:pPr>
          </w:p>
        </w:tc>
        <w:tc>
          <w:tcPr>
            <w:tcW w:w="1600" w:type="dxa"/>
            <w:vAlign w:val="bottom"/>
            <w:gridSpan w:val="3"/>
          </w:tcPr>
          <w:p>
            <w:pPr>
              <w:ind w:left="400"/>
              <w:spacing w:after="0"/>
              <w:rPr>
                <w:sz w:val="20"/>
                <w:szCs w:val="20"/>
                <w:color w:val="auto"/>
              </w:rPr>
            </w:pPr>
            <w:r>
              <w:rPr>
                <w:rFonts w:ascii="Arial" w:cs="Arial" w:eastAsia="Arial" w:hAnsi="Arial"/>
                <w:sz w:val="14"/>
                <w:szCs w:val="14"/>
                <w:b w:val="1"/>
                <w:bCs w:val="1"/>
                <w:color w:val="auto"/>
              </w:rPr>
              <w:t>October 31, 2021</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November 1, 2020</w:t>
            </w:r>
          </w:p>
        </w:tc>
      </w:tr>
      <w:tr>
        <w:trPr>
          <w:trHeight w:val="206"/>
        </w:trPr>
        <w:tc>
          <w:tcPr>
            <w:tcW w:w="816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7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r>
      <w:tr>
        <w:trPr>
          <w:trHeight w:val="225"/>
        </w:trPr>
        <w:tc>
          <w:tcPr>
            <w:tcW w:w="8160" w:type="dxa"/>
            <w:vAlign w:val="bottom"/>
          </w:tcPr>
          <w:p>
            <w:pPr>
              <w:ind w:left="440"/>
              <w:spacing w:after="0"/>
              <w:rPr>
                <w:sz w:val="20"/>
                <w:szCs w:val="20"/>
                <w:color w:val="auto"/>
              </w:rPr>
            </w:pPr>
            <w:r>
              <w:rPr>
                <w:rFonts w:ascii="Arial" w:cs="Arial" w:eastAsia="Arial" w:hAnsi="Arial"/>
                <w:sz w:val="18"/>
                <w:szCs w:val="18"/>
                <w:color w:val="auto"/>
              </w:rPr>
              <w:t>Operating cash flows from operating leases</w:t>
            </w:r>
          </w:p>
        </w:tc>
        <w:tc>
          <w:tcPr>
            <w:tcW w:w="740" w:type="dxa"/>
            <w:vAlign w:val="bottom"/>
          </w:tcPr>
          <w:p>
            <w:pPr>
              <w:jc w:val="right"/>
              <w:ind w:right="215"/>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1000" w:type="dxa"/>
            <w:vAlign w:val="bottom"/>
          </w:tcPr>
          <w:p>
            <w:pPr>
              <w:jc w:val="right"/>
              <w:ind w:right="49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Financing cash flows from finance leases</w:t>
            </w:r>
          </w:p>
        </w:tc>
        <w:tc>
          <w:tcPr>
            <w:tcW w:w="74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5"/>
        </w:trPr>
        <w:tc>
          <w:tcPr>
            <w:tcW w:w="8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25"/>
        </w:trPr>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ROU assets obtained in exchange for lease obligations:</w:t>
            </w:r>
          </w:p>
        </w:tc>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5"/>
        </w:trPr>
        <w:tc>
          <w:tcPr>
            <w:tcW w:w="8160" w:type="dxa"/>
            <w:vAlign w:val="bottom"/>
          </w:tcPr>
          <w:p>
            <w:pPr>
              <w:ind w:left="440"/>
              <w:spacing w:after="0"/>
              <w:rPr>
                <w:sz w:val="20"/>
                <w:szCs w:val="20"/>
                <w:color w:val="auto"/>
              </w:rPr>
            </w:pPr>
            <w:r>
              <w:rPr>
                <w:rFonts w:ascii="Arial" w:cs="Arial" w:eastAsia="Arial" w:hAnsi="Arial"/>
                <w:sz w:val="18"/>
                <w:szCs w:val="18"/>
                <w:color w:val="auto"/>
              </w:rPr>
              <w:t>Operating leases</w:t>
            </w:r>
          </w:p>
        </w:tc>
        <w:tc>
          <w:tcPr>
            <w:tcW w:w="740" w:type="dxa"/>
            <w:vAlign w:val="bottom"/>
          </w:tcPr>
          <w:p>
            <w:pPr>
              <w:jc w:val="right"/>
              <w:ind w:right="215"/>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1000" w:type="dxa"/>
            <w:vAlign w:val="bottom"/>
          </w:tcPr>
          <w:p>
            <w:pPr>
              <w:jc w:val="right"/>
              <w:ind w:right="49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Finance leases</w:t>
            </w:r>
          </w:p>
        </w:tc>
        <w:tc>
          <w:tcPr>
            <w:tcW w:w="74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w:t>
      </w:r>
    </w:p>
    <w:p>
      <w:pPr>
        <w:spacing w:after="0" w:line="9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October 31, 2021, or August 1, 2021.</w:t>
      </w:r>
    </w:p>
    <w:p>
      <w:pPr>
        <w:spacing w:after="0" w:line="58" w:lineRule="exact"/>
        <w:rPr>
          <w:sz w:val="20"/>
          <w:szCs w:val="20"/>
          <w:color w:val="auto"/>
        </w:rPr>
      </w:pPr>
    </w:p>
    <w:p>
      <w:pPr>
        <w:jc w:val="both"/>
        <w:ind w:firstLine="318"/>
        <w:spacing w:after="0" w:line="359" w:lineRule="auto"/>
        <w:rPr>
          <w:sz w:val="20"/>
          <w:szCs w:val="20"/>
          <w:color w:val="auto"/>
        </w:rPr>
      </w:pPr>
      <w:r>
        <w:rPr>
          <w:rFonts w:ascii="Arial" w:cs="Arial" w:eastAsia="Arial" w:hAnsi="Arial"/>
          <w:sz w:val="15"/>
          <w:szCs w:val="15"/>
          <w:color w:val="auto"/>
        </w:rPr>
        <w:t>We are also exposed to credit risk from our customers. During 2021, our largest customer accounted for approximately 21% of consolidated net sales from continuing operations. Our five largest customers accounted for approximately 46% of our consolidated net sales from continuing operations in 2021.</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8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are exposed to foreign currency exchange risk related to third-party transactions and intercompany transactions, including intercompany debt. Principal currencies hedged include the Canadian dollar.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for periods consistent with the underlying debt. The notional amount of foreign exchange forward contracts accounted for as cash-flow hedges was $144 as of October 31, 2021, and $134 as of August 1, 2021.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contracts that are not designated as accounting hedges was $18 as of October 31, 2021, and $13 as of August 1, 2021.</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manage our exposure to changes in interest rates by optimizing the use of variable-rate and fixed-rate debt and by utilizing interest rate swaps in order to maintain our variable-to-total debt ratio within targeted guidelines. There were no interest rate swaps or treasury rate lock contracts outstanding as of October 31, 2021, or August 1, 2021.</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soybean oil, diesel fuel, natural gas, aluminum, cocoa, soybean meal, corn and butter. Commodity futures, options, and swap contracts are either designated as cash-flow hedging instruments or are undesignated. We hedge a portion of commodity requirements for periods typically up to 18 months. The notional amount of commodity contracts designated as cash-flow hedges was $19 as of October 31, 2021, and $18 as of August 1, 2021. Changes in the fair value on the portion of the derivative included in the assessment of hedge effectiveness of cash-flow hedges are recorded in other comprehensive income (loss), until earnings are affected by the variability of cash flows. The notional amount of commodity contracts not designated as accounting hedges was $174 as of October 31, 2021, and $190 as of August 1, 2021. The change in fair value on undesignated instruments is recorded in Cost of products sold.</w:t>
      </w:r>
    </w:p>
    <w:p>
      <w:pPr>
        <w:spacing w:after="0" w:line="6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approximately $14 as of October 31, 2021, and $38 as of August 1, 2021. The change in fair value on the embedded derivative is recorded in Cost of products sold.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8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enter into swap contracts which hedge a portion of exposures relating to certain deferred compensation obligations linked to the total return of the Vanguard Institutional Index Institutional Plus Shares and the total return of the Vanguard Total International Stock Index. Prior to 2022, we had entered into swap contracts which hedged a portion of exposures linked to the total return of our capital stock. As of October 31, 2021, and August 1, 2021, there were no swap contracts outstanding hedging our exposure linked to the total return of our capital stock.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$29 as of October 31, 2021, and August 1, 2021.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5" w:name="page16"/>
    <w:bookmarkEnd w:id="15"/>
    <w:p>
      <w:pPr>
        <w:jc w:val="both"/>
        <w:ind w:firstLine="318"/>
        <w:spacing w:after="0" w:line="262"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October 31, 2021, and August 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gridSpan w:val="2"/>
          </w:tcPr>
          <w:p>
            <w:pPr>
              <w:ind w:left="1160"/>
              <w:spacing w:after="0"/>
              <w:rPr>
                <w:sz w:val="20"/>
                <w:szCs w:val="20"/>
                <w:color w:val="auto"/>
              </w:rPr>
            </w:pPr>
            <w:r>
              <w:rPr>
                <w:rFonts w:ascii="Arial" w:cs="Arial" w:eastAsia="Arial" w:hAnsi="Arial"/>
                <w:sz w:val="14"/>
                <w:szCs w:val="14"/>
                <w:b w:val="1"/>
                <w:bCs w:val="1"/>
                <w:color w:val="auto"/>
              </w:rPr>
              <w:t>Balance Sheet Classification</w:t>
            </w:r>
          </w:p>
        </w:tc>
        <w:tc>
          <w:tcPr>
            <w:tcW w:w="20" w:type="dxa"/>
            <w:vAlign w:val="bottom"/>
          </w:tcPr>
          <w:p>
            <w:pPr>
              <w:spacing w:after="0"/>
              <w:rPr>
                <w:sz w:val="16"/>
                <w:szCs w:val="16"/>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6"/>
              </w:rPr>
              <w:t>October 31, 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August 1, 2021</w:t>
            </w:r>
          </w:p>
        </w:tc>
      </w:tr>
      <w:tr>
        <w:trPr>
          <w:trHeight w:val="211"/>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 Derivatives</w:t>
            </w:r>
          </w:p>
        </w:tc>
        <w:tc>
          <w:tcPr>
            <w:tcW w:w="120" w:type="dxa"/>
            <w:vAlign w:val="bottom"/>
            <w:tcBorders>
              <w:top w:val="single" w:sz="8" w:color="auto"/>
            </w:tcBorders>
            <w:shd w:val="clear" w:color="auto" w:fill="CCEEFF"/>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hedges:</w:t>
            </w:r>
          </w:p>
        </w:tc>
        <w:tc>
          <w:tcPr>
            <w:tcW w:w="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12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4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Foreign exchange forward contracts</w:t>
            </w: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18"/>
        </w:trPr>
        <w:tc>
          <w:tcPr>
            <w:tcW w:w="412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Total derivatives designated as hedges</w:t>
            </w:r>
          </w:p>
        </w:tc>
        <w:tc>
          <w:tcPr>
            <w:tcW w:w="120" w:type="dxa"/>
            <w:vAlign w:val="bottom"/>
            <w:tcBorders>
              <w:top w:val="single" w:sz="8" w:color="CCEEFF"/>
            </w:tcBorders>
            <w:shd w:val="clear" w:color="auto" w:fill="CCEEFF"/>
          </w:tcPr>
          <w:p>
            <w:pPr>
              <w:spacing w:after="0"/>
              <w:rPr>
                <w:sz w:val="19"/>
                <w:szCs w:val="19"/>
                <w:color w:val="auto"/>
              </w:rPr>
            </w:pPr>
          </w:p>
        </w:tc>
        <w:tc>
          <w:tcPr>
            <w:tcW w:w="4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05"/>
        </w:trPr>
        <w:tc>
          <w:tcPr>
            <w:tcW w:w="41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Derivatives not designated as hedges:</w:t>
            </w:r>
          </w:p>
        </w:tc>
        <w:tc>
          <w:tcPr>
            <w:tcW w:w="1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6"/>
        </w:trPr>
        <w:tc>
          <w:tcPr>
            <w:tcW w:w="12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4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r>
      <w:tr>
        <w:trPr>
          <w:trHeight w:val="225"/>
        </w:trPr>
        <w:tc>
          <w:tcPr>
            <w:tcW w:w="12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contracts</w:t>
            </w:r>
          </w:p>
        </w:tc>
        <w:tc>
          <w:tcPr>
            <w:tcW w:w="4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18"/>
        </w:trPr>
        <w:tc>
          <w:tcPr>
            <w:tcW w:w="412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Total derivatives not designated as hedges</w:t>
            </w:r>
          </w:p>
        </w:tc>
        <w:tc>
          <w:tcPr>
            <w:tcW w:w="12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r>
      <w:tr>
        <w:trPr>
          <w:trHeight w:val="218"/>
        </w:trPr>
        <w:tc>
          <w:tcPr>
            <w:tcW w:w="41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Total asset derivatives</w:t>
            </w:r>
          </w:p>
        </w:tc>
        <w:tc>
          <w:tcPr>
            <w:tcW w:w="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4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4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Balance Sheet Classification</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8"/>
              </w:rPr>
              <w:t>October 31,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1"/>
              </w:rPr>
              <w:t>August 1, 2021</w:t>
            </w:r>
          </w:p>
        </w:tc>
      </w:tr>
      <w:tr>
        <w:trPr>
          <w:trHeight w:val="211"/>
        </w:trPr>
        <w:tc>
          <w:tcPr>
            <w:tcW w:w="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Liability Derivatives</w:t>
            </w:r>
          </w:p>
        </w:tc>
        <w:tc>
          <w:tcPr>
            <w:tcW w:w="1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5"/>
        </w:trPr>
        <w:tc>
          <w:tcPr>
            <w:tcW w:w="12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Derivatives designated as hedges:</w:t>
            </w:r>
          </w:p>
        </w:tc>
        <w:tc>
          <w:tcPr>
            <w:tcW w:w="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120" w:type="dxa"/>
            <w:vAlign w:val="bottom"/>
          </w:tcPr>
          <w:p>
            <w:pPr>
              <w:spacing w:after="0"/>
              <w:rPr>
                <w:sz w:val="19"/>
                <w:szCs w:val="19"/>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1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600" w:type="dxa"/>
            <w:vAlign w:val="bottom"/>
            <w:gridSpan w:val="3"/>
            <w:shd w:val="clear" w:color="auto" w:fill="CCEEFF"/>
          </w:tcPr>
          <w:p>
            <w:pPr>
              <w:jc w:val="right"/>
              <w:ind w:right="276"/>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8"/>
        </w:trPr>
        <w:tc>
          <w:tcPr>
            <w:tcW w:w="120" w:type="dxa"/>
            <w:vAlign w:val="bottom"/>
          </w:tcPr>
          <w:p>
            <w:pPr>
              <w:spacing w:after="0"/>
              <w:rPr>
                <w:sz w:val="19"/>
                <w:szCs w:val="19"/>
                <w:color w:val="auto"/>
              </w:rPr>
            </w:pPr>
          </w:p>
        </w:tc>
        <w:tc>
          <w:tcPr>
            <w:tcW w:w="400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derivatives designated as hedges</w:t>
            </w:r>
          </w:p>
        </w:tc>
        <w:tc>
          <w:tcPr>
            <w:tcW w:w="1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05"/>
        </w:trPr>
        <w:tc>
          <w:tcPr>
            <w:tcW w:w="120" w:type="dxa"/>
            <w:vAlign w:val="bottom"/>
          </w:tcPr>
          <w:p>
            <w:pPr>
              <w:spacing w:after="0"/>
              <w:rPr>
                <w:sz w:val="17"/>
                <w:szCs w:val="17"/>
                <w:color w:val="auto"/>
              </w:rPr>
            </w:pPr>
          </w:p>
        </w:tc>
        <w:tc>
          <w:tcPr>
            <w:tcW w:w="40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Derivatives not designated as hedges:</w:t>
            </w:r>
          </w:p>
        </w:tc>
        <w:tc>
          <w:tcPr>
            <w:tcW w:w="12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5"/>
        </w:trPr>
        <w:tc>
          <w:tcPr>
            <w:tcW w:w="120" w:type="dxa"/>
            <w:vAlign w:val="bottom"/>
          </w:tcPr>
          <w:p>
            <w:pPr>
              <w:spacing w:after="0"/>
              <w:rPr>
                <w:sz w:val="19"/>
                <w:szCs w:val="19"/>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Commodity derivative contracts</w:t>
            </w:r>
          </w:p>
        </w:tc>
        <w:tc>
          <w:tcPr>
            <w:tcW w:w="120" w:type="dxa"/>
            <w:vAlign w:val="bottom"/>
          </w:tcPr>
          <w:p>
            <w:pPr>
              <w:spacing w:after="0"/>
              <w:rPr>
                <w:sz w:val="19"/>
                <w:szCs w:val="19"/>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600" w:type="dxa"/>
            <w:vAlign w:val="bottom"/>
            <w:gridSpan w:val="3"/>
          </w:tcPr>
          <w:p>
            <w:pPr>
              <w:jc w:val="right"/>
              <w:ind w:right="276"/>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5"/>
        </w:trPr>
        <w:tc>
          <w:tcPr>
            <w:tcW w:w="120" w:type="dxa"/>
            <w:vAlign w:val="bottom"/>
          </w:tcPr>
          <w:p>
            <w:pPr>
              <w:spacing w:after="0"/>
              <w:rPr>
                <w:sz w:val="19"/>
                <w:szCs w:val="19"/>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1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9"/>
        </w:trPr>
        <w:tc>
          <w:tcPr>
            <w:tcW w:w="120" w:type="dxa"/>
            <w:vAlign w:val="bottom"/>
          </w:tcPr>
          <w:p>
            <w:pPr>
              <w:spacing w:after="0"/>
              <w:rPr>
                <w:sz w:val="19"/>
                <w:szCs w:val="19"/>
                <w:color w:val="auto"/>
              </w:rPr>
            </w:pPr>
          </w:p>
        </w:tc>
        <w:tc>
          <w:tcPr>
            <w:tcW w:w="400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derivatives not designated as hedges</w:t>
            </w:r>
          </w:p>
        </w:tc>
        <w:tc>
          <w:tcPr>
            <w:tcW w:w="1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1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liability derivatives</w:t>
            </w:r>
          </w:p>
        </w:tc>
        <w:tc>
          <w:tcPr>
            <w:tcW w:w="1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October 31, 2021, and August 1, 2021, would be adjusted as detailed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October 31, 2021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August 1, 2021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0"/>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31" w:lineRule="exact"/>
              <w:rPr>
                <w:sz w:val="20"/>
                <w:szCs w:val="20"/>
                <w:color w:val="auto"/>
              </w:rPr>
            </w:pPr>
            <w:r>
              <w:rPr>
                <w:rFonts w:ascii="Arial" w:cs="Arial" w:eastAsia="Arial" w:hAnsi="Arial"/>
                <w:sz w:val="14"/>
                <w:szCs w:val="14"/>
                <w:b w:val="1"/>
                <w:bCs w:val="1"/>
                <w:color w:val="auto"/>
                <w:w w:val="89"/>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Offset in the</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Gross Amounts</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Offset in the</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Consolidated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Presented in the</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Instrument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7"/>
              </w:rPr>
              <w:t>Consolidated</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Subject to Netting</w:t>
            </w:r>
          </w:p>
        </w:tc>
        <w:tc>
          <w:tcPr>
            <w:tcW w:w="180" w:type="dxa"/>
            <w:vAlign w:val="bottom"/>
          </w:tcPr>
          <w:p>
            <w:pPr>
              <w:spacing w:after="0"/>
              <w:rPr>
                <w:sz w:val="11"/>
                <w:szCs w:val="11"/>
                <w:color w:val="auto"/>
              </w:rPr>
            </w:pPr>
          </w:p>
        </w:tc>
        <w:tc>
          <w:tcPr>
            <w:tcW w:w="110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7"/>
              </w:rPr>
              <w:t>Consolidated</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Subject to Netting</w:t>
            </w:r>
          </w:p>
        </w:tc>
        <w:tc>
          <w:tcPr>
            <w:tcW w:w="180" w:type="dxa"/>
            <w:vAlign w:val="bottom"/>
          </w:tcPr>
          <w:p>
            <w:pPr>
              <w:spacing w:after="0"/>
              <w:rPr>
                <w:sz w:val="11"/>
                <w:szCs w:val="11"/>
                <w:color w:val="auto"/>
              </w:rPr>
            </w:pPr>
          </w:p>
        </w:tc>
        <w:tc>
          <w:tcPr>
            <w:tcW w:w="110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2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 derivatives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Total liability derivatives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Cash margin liability balances of $13 at October 31, 2021, and $14 at August 1, 2021, were included in Accrued liabilities in the Consolidated Balance Sheets.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6" w:name="page17"/>
    <w:bookmarkEnd w:id="16"/>
    <w:p>
      <w:pPr>
        <w:jc w:val="both"/>
        <w:ind w:firstLine="318"/>
        <w:spacing w:after="0" w:line="262"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three-month periods ended October 31, 2021, and November 1, 2020, in other comprehensive income (loss) (OCI) and the Consolidated Statements of Earnings:</w:t>
      </w:r>
    </w:p>
    <w:tbl>
      <w:tblPr>
        <w:tblLayout w:type="fixed"/>
        <w:tblInd w:w="10" w:type="dxa"/>
        <w:tblCellMar>
          <w:top w:w="0" w:type="dxa"/>
          <w:left w:w="0" w:type="dxa"/>
          <w:bottom w:w="0" w:type="dxa"/>
          <w:right w:w="0" w:type="dxa"/>
        </w:tblCellMar>
      </w:tblPr>
      <w:tr>
        <w:trPr>
          <w:trHeight w:val="143"/>
        </w:trPr>
        <w:tc>
          <w:tcPr>
            <w:tcW w:w="16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20" w:type="dxa"/>
            <w:vAlign w:val="bottom"/>
            <w:gridSpan w:val="4"/>
          </w:tcPr>
          <w:p>
            <w:pPr>
              <w:jc w:val="center"/>
              <w:ind w:right="74"/>
              <w:spacing w:after="0" w:line="143" w:lineRule="exact"/>
              <w:rPr>
                <w:sz w:val="20"/>
                <w:szCs w:val="20"/>
                <w:color w:val="auto"/>
              </w:rPr>
            </w:pPr>
            <w:r>
              <w:rPr>
                <w:rFonts w:ascii="Arial" w:cs="Arial" w:eastAsia="Arial" w:hAnsi="Arial"/>
                <w:sz w:val="14"/>
                <w:szCs w:val="14"/>
                <w:b w:val="1"/>
                <w:bCs w:val="1"/>
                <w:color w:val="auto"/>
                <w:w w:val="91"/>
              </w:rPr>
              <w:t>Total Cash-Flow Hedge</w:t>
            </w:r>
          </w:p>
        </w:tc>
      </w:tr>
      <w:tr>
        <w:trPr>
          <w:trHeight w:val="184"/>
        </w:trPr>
        <w:tc>
          <w:tcPr>
            <w:tcW w:w="16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center"/>
              <w:ind w:right="74"/>
              <w:spacing w:after="0"/>
              <w:rPr>
                <w:sz w:val="20"/>
                <w:szCs w:val="20"/>
                <w:color w:val="auto"/>
              </w:rPr>
            </w:pPr>
            <w:r>
              <w:rPr>
                <w:rFonts w:ascii="Arial" w:cs="Arial" w:eastAsia="Arial" w:hAnsi="Arial"/>
                <w:sz w:val="14"/>
                <w:szCs w:val="14"/>
                <w:b w:val="1"/>
                <w:bCs w:val="1"/>
                <w:color w:val="auto"/>
                <w:w w:val="98"/>
              </w:rPr>
              <w:t>OCI Activity</w:t>
            </w:r>
          </w:p>
        </w:tc>
      </w:tr>
      <w:tr>
        <w:trPr>
          <w:trHeight w:val="180"/>
        </w:trPr>
        <w:tc>
          <w:tcPr>
            <w:tcW w:w="5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2021</w:t>
            </w:r>
          </w:p>
        </w:tc>
        <w:tc>
          <w:tcPr>
            <w:tcW w:w="18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November 1, 2020</w:t>
            </w:r>
          </w:p>
        </w:tc>
      </w:tr>
      <w:tr>
        <w:trPr>
          <w:trHeight w:val="180"/>
        </w:trPr>
        <w:tc>
          <w:tcPr>
            <w:tcW w:w="5460" w:type="dxa"/>
            <w:vAlign w:val="bottom"/>
            <w:tcBorders>
              <w:top w:val="single" w:sz="8" w:color="auto"/>
              <w:left w:val="single" w:sz="8" w:color="CCEEFF"/>
            </w:tcBorders>
            <w:gridSpan w:val="2"/>
            <w:shd w:val="clear" w:color="auto" w:fill="CCEEFF"/>
          </w:tcPr>
          <w:p>
            <w:pPr>
              <w:ind w:left="20"/>
              <w:spacing w:after="0" w:line="180"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r>
      <w:tr>
        <w:trPr>
          <w:trHeight w:val="40"/>
        </w:trPr>
        <w:tc>
          <w:tcPr>
            <w:tcW w:w="1620" w:type="dxa"/>
            <w:vAlign w:val="bottom"/>
            <w:tcBorders>
              <w:left w:val="single" w:sz="8" w:color="CCEEFF"/>
            </w:tcBorders>
            <w:shd w:val="clear" w:color="auto" w:fill="000000"/>
          </w:tcPr>
          <w:p>
            <w:pPr>
              <w:spacing w:after="0"/>
              <w:rPr>
                <w:sz w:val="3"/>
                <w:szCs w:val="3"/>
                <w:color w:val="auto"/>
              </w:rPr>
            </w:pPr>
          </w:p>
        </w:tc>
        <w:tc>
          <w:tcPr>
            <w:tcW w:w="38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r>
        <w:trPr>
          <w:trHeight w:val="225"/>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OCI derivative gain (loss) at beginning of quarter</w:t>
            </w:r>
          </w:p>
        </w:tc>
        <w:tc>
          <w:tcPr>
            <w:tcW w:w="276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40"/>
              <w:spacing w:after="0"/>
              <w:rPr>
                <w:sz w:val="20"/>
                <w:szCs w:val="20"/>
                <w:color w:val="auto"/>
              </w:rPr>
            </w:pPr>
            <w:r>
              <w:rPr>
                <w:rFonts w:ascii="Arial" w:cs="Arial" w:eastAsia="Arial" w:hAnsi="Arial"/>
                <w:sz w:val="18"/>
                <w:szCs w:val="18"/>
                <w:color w:val="auto"/>
                <w:w w:val="99"/>
              </w:rPr>
              <w:t>(8)</w:t>
            </w:r>
          </w:p>
        </w:tc>
      </w:tr>
      <w:tr>
        <w:trPr>
          <w:trHeight w:val="225"/>
        </w:trPr>
        <w:tc>
          <w:tcPr>
            <w:tcW w:w="54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5"/>
        </w:trPr>
        <w:tc>
          <w:tcPr>
            <w:tcW w:w="5460" w:type="dxa"/>
            <w:vAlign w:val="bottom"/>
            <w:gridSpan w:val="2"/>
          </w:tcPr>
          <w:p>
            <w:pPr>
              <w:ind w:left="140"/>
              <w:spacing w:after="0"/>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r>
      <w:tr>
        <w:trPr>
          <w:trHeight w:val="225"/>
        </w:trPr>
        <w:tc>
          <w:tcPr>
            <w:tcW w:w="546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9"/>
              </w:rPr>
              <w:t>(1)</w:t>
            </w:r>
          </w:p>
        </w:tc>
      </w:tr>
      <w:tr>
        <w:trPr>
          <w:trHeight w:val="195"/>
        </w:trPr>
        <w:tc>
          <w:tcPr>
            <w:tcW w:w="5460" w:type="dxa"/>
            <w:vAlign w:val="bottom"/>
            <w:gridSpan w:val="2"/>
          </w:tcPr>
          <w:p>
            <w:pPr>
              <w:ind w:left="20"/>
              <w:spacing w:after="0" w:line="186" w:lineRule="exact"/>
              <w:rPr>
                <w:sz w:val="20"/>
                <w:szCs w:val="20"/>
                <w:color w:val="auto"/>
              </w:rPr>
            </w:pPr>
            <w:r>
              <w:rPr>
                <w:rFonts w:ascii="Arial" w:cs="Arial" w:eastAsia="Arial" w:hAnsi="Arial"/>
                <w:sz w:val="18"/>
                <w:szCs w:val="18"/>
                <w:color w:val="auto"/>
              </w:rPr>
              <w:t>Amount of loss (gain) reclassified from OCI to earnings:</w:t>
            </w:r>
          </w:p>
        </w:tc>
        <w:tc>
          <w:tcPr>
            <w:tcW w:w="20" w:type="dxa"/>
            <w:vAlign w:val="bottom"/>
          </w:tcPr>
          <w:p>
            <w:pPr>
              <w:spacing w:after="0"/>
              <w:rPr>
                <w:sz w:val="16"/>
                <w:szCs w:val="16"/>
                <w:color w:val="auto"/>
              </w:rPr>
            </w:pPr>
          </w:p>
        </w:tc>
        <w:tc>
          <w:tcPr>
            <w:tcW w:w="1600" w:type="dxa"/>
            <w:vAlign w:val="bottom"/>
            <w:tcBorders>
              <w:bottom w:val="single" w:sz="8" w:color="auto"/>
            </w:tcBorders>
          </w:tcPr>
          <w:p>
            <w:pPr>
              <w:spacing w:after="0" w:line="186" w:lineRule="exact"/>
              <w:rPr>
                <w:sz w:val="20"/>
                <w:szCs w:val="20"/>
                <w:color w:val="auto"/>
              </w:rPr>
            </w:pPr>
            <w:r>
              <w:rPr>
                <w:rFonts w:ascii="Arial" w:cs="Arial" w:eastAsia="Arial" w:hAnsi="Arial"/>
                <w:sz w:val="18"/>
                <w:szCs w:val="18"/>
                <w:b w:val="1"/>
                <w:bCs w:val="1"/>
                <w:color w:val="auto"/>
                <w:w w:val="88"/>
              </w:rPr>
              <w:t>Location in Earnings</w:t>
            </w:r>
          </w:p>
        </w:tc>
        <w:tc>
          <w:tcPr>
            <w:tcW w:w="1140" w:type="dxa"/>
            <w:vAlign w:val="bottom"/>
            <w:gridSpan w:val="2"/>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5"/>
        </w:trPr>
        <w:tc>
          <w:tcPr>
            <w:tcW w:w="546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Commodity contracts</w:t>
            </w:r>
          </w:p>
        </w:tc>
        <w:tc>
          <w:tcPr>
            <w:tcW w:w="20" w:type="dxa"/>
            <w:vAlign w:val="bottom"/>
            <w:shd w:val="clear" w:color="auto" w:fill="CCEEFF"/>
          </w:tcPr>
          <w:p>
            <w:pPr>
              <w:spacing w:after="0"/>
              <w:rPr>
                <w:sz w:val="20"/>
                <w:szCs w:val="20"/>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25"/>
        </w:trPr>
        <w:tc>
          <w:tcPr>
            <w:tcW w:w="5460" w:type="dxa"/>
            <w:vAlign w:val="bottom"/>
            <w:gridSpan w:val="2"/>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tcBorders>
              <w:top w:val="single" w:sz="8" w:color="CCEEFF"/>
              <w:left w:val="single" w:sz="8" w:color="CCEEFF"/>
              <w:bottom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OCI derivative gain (loss) at end of quarter</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99"/>
              </w:rPr>
              <w:t>(9)</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gain of $4.</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 shows the total amounts of line items presented in the Consolidated Statements of Earnings for the three-month periods ended October 31, 2021, and November 1, 2020, in which the effects of derivative instruments designated as cash-flow hedges are recorded. The total effect of hedge activity on these line items are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1"/>
        </w:trPr>
        <w:tc>
          <w:tcPr>
            <w:tcW w:w="8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October 31, 2021</w:t>
            </w:r>
          </w:p>
        </w:tc>
        <w:tc>
          <w:tcPr>
            <w:tcW w:w="140" w:type="dxa"/>
            <w:vAlign w:val="bottom"/>
          </w:tcPr>
          <w:p>
            <w:pPr>
              <w:spacing w:after="0"/>
              <w:rPr>
                <w:sz w:val="11"/>
                <w:szCs w:val="11"/>
                <w:color w:val="auto"/>
              </w:rPr>
            </w:pPr>
          </w:p>
        </w:tc>
        <w:tc>
          <w:tcPr>
            <w:tcW w:w="960" w:type="dxa"/>
            <w:vAlign w:val="bottom"/>
          </w:tcPr>
          <w:p>
            <w:pPr>
              <w:jc w:val="center"/>
              <w:ind w:right="61"/>
              <w:spacing w:after="0" w:line="131" w:lineRule="exact"/>
              <w:rPr>
                <w:sz w:val="20"/>
                <w:szCs w:val="20"/>
                <w:color w:val="auto"/>
              </w:rPr>
            </w:pPr>
            <w:r>
              <w:rPr>
                <w:rFonts w:ascii="Arial" w:cs="Arial" w:eastAsia="Arial" w:hAnsi="Arial"/>
                <w:sz w:val="14"/>
                <w:szCs w:val="14"/>
                <w:b w:val="1"/>
                <w:bCs w:val="1"/>
                <w:color w:val="auto"/>
                <w:w w:val="92"/>
              </w:rPr>
              <w:t>November 1,</w:t>
            </w:r>
          </w:p>
        </w:tc>
        <w:tc>
          <w:tcPr>
            <w:tcW w:w="0" w:type="dxa"/>
            <w:vAlign w:val="bottom"/>
          </w:tcPr>
          <w:p>
            <w:pPr>
              <w:spacing w:after="0"/>
              <w:rPr>
                <w:sz w:val="1"/>
                <w:szCs w:val="1"/>
                <w:color w:val="auto"/>
              </w:rPr>
            </w:pPr>
          </w:p>
        </w:tc>
      </w:tr>
      <w:tr>
        <w:trPr>
          <w:trHeight w:val="185"/>
        </w:trPr>
        <w:tc>
          <w:tcPr>
            <w:tcW w:w="8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27"/>
        </w:trPr>
        <w:tc>
          <w:tcPr>
            <w:tcW w:w="8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top w:val="single" w:sz="8" w:color="auto"/>
            </w:tcBorders>
            <w:gridSpan w:val="2"/>
          </w:tcPr>
          <w:p>
            <w:pPr>
              <w:ind w:left="60"/>
              <w:spacing w:after="0" w:line="127" w:lineRule="exact"/>
              <w:rPr>
                <w:sz w:val="20"/>
                <w:szCs w:val="20"/>
                <w:color w:val="auto"/>
              </w:rPr>
            </w:pPr>
            <w:r>
              <w:rPr>
                <w:rFonts w:ascii="Arial" w:cs="Arial" w:eastAsia="Arial" w:hAnsi="Arial"/>
                <w:sz w:val="14"/>
                <w:szCs w:val="14"/>
                <w:b w:val="1"/>
                <w:bCs w:val="1"/>
                <w:color w:val="auto"/>
                <w:w w:val="91"/>
              </w:rPr>
              <w:t>Cost of products</w:t>
            </w:r>
          </w:p>
        </w:tc>
        <w:tc>
          <w:tcPr>
            <w:tcW w:w="100" w:type="dxa"/>
            <w:vAlign w:val="bottom"/>
          </w:tcPr>
          <w:p>
            <w:pPr>
              <w:spacing w:after="0"/>
              <w:rPr>
                <w:sz w:val="11"/>
                <w:szCs w:val="11"/>
                <w:color w:val="auto"/>
              </w:rPr>
            </w:pPr>
          </w:p>
        </w:tc>
        <w:tc>
          <w:tcPr>
            <w:tcW w:w="1100" w:type="dxa"/>
            <w:vAlign w:val="bottom"/>
            <w:tcBorders>
              <w:top w:val="single" w:sz="8" w:color="auto"/>
            </w:tcBorders>
            <w:gridSpan w:val="2"/>
          </w:tcPr>
          <w:p>
            <w:pPr>
              <w:jc w:val="center"/>
              <w:spacing w:after="0" w:line="127" w:lineRule="exact"/>
              <w:rPr>
                <w:sz w:val="20"/>
                <w:szCs w:val="20"/>
                <w:color w:val="auto"/>
              </w:rPr>
            </w:pPr>
            <w:r>
              <w:rPr>
                <w:rFonts w:ascii="Arial" w:cs="Arial" w:eastAsia="Arial" w:hAnsi="Arial"/>
                <w:sz w:val="14"/>
                <w:szCs w:val="14"/>
                <w:b w:val="1"/>
                <w:bCs w:val="1"/>
                <w:color w:val="auto"/>
                <w:w w:val="87"/>
              </w:rPr>
              <w:t>Cost of products</w:t>
            </w:r>
          </w:p>
        </w:tc>
        <w:tc>
          <w:tcPr>
            <w:tcW w:w="0" w:type="dxa"/>
            <w:vAlign w:val="bottom"/>
          </w:tcPr>
          <w:p>
            <w:pPr>
              <w:spacing w:after="0"/>
              <w:rPr>
                <w:sz w:val="1"/>
                <w:szCs w:val="1"/>
                <w:color w:val="auto"/>
              </w:rPr>
            </w:pPr>
          </w:p>
        </w:tc>
      </w:tr>
      <w:tr>
        <w:trPr>
          <w:trHeight w:val="185"/>
        </w:trPr>
        <w:tc>
          <w:tcPr>
            <w:tcW w:w="8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sold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3"/>
              </w:rPr>
              <w:t>sold</w:t>
            </w:r>
          </w:p>
        </w:tc>
        <w:tc>
          <w:tcPr>
            <w:tcW w:w="0" w:type="dxa"/>
            <w:vAlign w:val="bottom"/>
          </w:tcPr>
          <w:p>
            <w:pPr>
              <w:spacing w:after="0"/>
              <w:rPr>
                <w:sz w:val="1"/>
                <w:szCs w:val="1"/>
                <w:color w:val="auto"/>
              </w:rPr>
            </w:pPr>
          </w:p>
        </w:tc>
      </w:tr>
      <w:tr>
        <w:trPr>
          <w:trHeight w:val="219"/>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Earnings: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65"/>
        </w:trPr>
        <w:tc>
          <w:tcPr>
            <w:tcW w:w="8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(gain) on cash-flow hedges: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940" w:type="dxa"/>
            <w:vAlign w:val="bottom"/>
            <w:gridSpan w:val="2"/>
          </w:tcPr>
          <w:p>
            <w:pPr>
              <w:ind w:left="140"/>
              <w:spacing w:after="0"/>
              <w:rPr>
                <w:sz w:val="20"/>
                <w:szCs w:val="20"/>
                <w:color w:val="auto"/>
              </w:rPr>
            </w:pPr>
            <w:r>
              <w:rPr>
                <w:rFonts w:ascii="Arial" w:cs="Arial" w:eastAsia="Arial" w:hAnsi="Arial"/>
                <w:sz w:val="18"/>
                <w:szCs w:val="18"/>
                <w:color w:val="auto"/>
              </w:rPr>
              <w:t>Amount of loss (gain) reclassified from OCI to earnings</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 excluded from effectiveness testing recognized in earnings using an amortization approach</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shows the effects of our derivative instruments not designated as hedges for the three-month periods ended October 31, 2021,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November 1, 2020, in the Consolidated Statements of Earnings: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r>
      <w:tr>
        <w:trPr>
          <w:trHeight w:val="351"/>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not Designated as Hedges</w:t>
            </w:r>
          </w:p>
        </w:tc>
        <w:tc>
          <w:tcPr>
            <w:tcW w:w="100" w:type="dxa"/>
            <w:vAlign w:val="bottom"/>
            <w:tcBorders>
              <w:bottom w:val="single" w:sz="8" w:color="CCEEFF"/>
            </w:tcBorders>
          </w:tcPr>
          <w:p>
            <w:pPr>
              <w:spacing w:after="0"/>
              <w:rPr>
                <w:sz w:val="24"/>
                <w:szCs w:val="24"/>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 of Loss (Gain) Recognized in Earnings</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October 31, 2021</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November 1, 2020</w:t>
            </w:r>
          </w:p>
        </w:tc>
      </w:tr>
      <w:tr>
        <w:trPr>
          <w:trHeight w:val="224"/>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8"/>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derivative contracts</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380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Total loss (gain) at end of quarter</w:t>
            </w: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8"/>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categorize financial assets and liabilities based on the following fair value hierarchy:</w:t>
      </w:r>
    </w:p>
    <w:p>
      <w:pPr>
        <w:spacing w:after="0" w:line="85"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9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7" w:name="page18"/>
    <w:bookmarkEnd w:id="17"/>
    <w:p>
      <w:pPr>
        <w:jc w:val="both"/>
        <w:ind w:firstLine="318"/>
        <w:spacing w:after="0" w:line="250"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8"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October 31, 2021, and August 1, 2021, consistent with the fair value hierarchy: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2440" w:type="dxa"/>
            <w:vAlign w:val="bottom"/>
            <w:gridSpan w:val="11"/>
          </w:tcPr>
          <w:p>
            <w:pPr>
              <w:ind w:left="620"/>
              <w:spacing w:after="0"/>
              <w:rPr>
                <w:sz w:val="20"/>
                <w:szCs w:val="20"/>
                <w:color w:val="auto"/>
              </w:rPr>
            </w:pPr>
            <w:r>
              <w:rPr>
                <w:rFonts w:ascii="Arial" w:cs="Arial" w:eastAsia="Arial" w:hAnsi="Arial"/>
                <w:sz w:val="14"/>
                <w:szCs w:val="14"/>
                <w:b w:val="1"/>
                <w:bCs w:val="1"/>
                <w:color w:val="auto"/>
                <w:w w:val="97"/>
              </w:rPr>
              <w:t>Fair Value Measurements at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11"/>
          </w:tcPr>
          <w:p>
            <w:pPr>
              <w:jc w:val="center"/>
              <w:ind w:left="457"/>
              <w:spacing w:after="0"/>
              <w:rPr>
                <w:sz w:val="20"/>
                <w:szCs w:val="20"/>
                <w:color w:val="auto"/>
              </w:rPr>
            </w:pPr>
            <w:r>
              <w:rPr>
                <w:rFonts w:ascii="Arial" w:cs="Arial" w:eastAsia="Arial" w:hAnsi="Arial"/>
                <w:sz w:val="14"/>
                <w:szCs w:val="14"/>
                <w:b w:val="1"/>
                <w:bCs w:val="1"/>
                <w:color w:val="auto"/>
                <w:w w:val="91"/>
              </w:rPr>
              <w:t>Fair Value Measurements at</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2200" w:type="dxa"/>
            <w:vAlign w:val="bottom"/>
            <w:gridSpan w:val="10"/>
            <w:vMerge w:val="restart"/>
          </w:tcPr>
          <w:p>
            <w:pPr>
              <w:ind w:left="620"/>
              <w:spacing w:after="0" w:line="133" w:lineRule="exact"/>
              <w:rPr>
                <w:sz w:val="20"/>
                <w:szCs w:val="20"/>
                <w:color w:val="auto"/>
              </w:rPr>
            </w:pPr>
            <w:r>
              <w:rPr>
                <w:rFonts w:ascii="Arial" w:cs="Arial" w:eastAsia="Arial" w:hAnsi="Arial"/>
                <w:sz w:val="14"/>
                <w:szCs w:val="14"/>
                <w:b w:val="1"/>
                <w:bCs w:val="1"/>
                <w:color w:val="auto"/>
              </w:rPr>
              <w:t>October 31, 2021 Using</w:t>
            </w: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7"/>
            <w:vMerge w:val="restart"/>
          </w:tcPr>
          <w:p>
            <w:pPr>
              <w:spacing w:after="0" w:line="133" w:lineRule="exact"/>
              <w:rPr>
                <w:sz w:val="20"/>
                <w:szCs w:val="20"/>
                <w:color w:val="auto"/>
              </w:rPr>
            </w:pPr>
            <w:r>
              <w:rPr>
                <w:rFonts w:ascii="Arial" w:cs="Arial" w:eastAsia="Arial" w:hAnsi="Arial"/>
                <w:sz w:val="14"/>
                <w:szCs w:val="14"/>
                <w:b w:val="1"/>
                <w:bCs w:val="1"/>
                <w:color w:val="auto"/>
                <w:w w:val="94"/>
              </w:rPr>
              <w:t>August 1, 2021 Using</w:t>
            </w: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5"/>
            <w:vMerge w:val="restart"/>
          </w:tcPr>
          <w:p>
            <w:pPr>
              <w:ind w:left="100"/>
              <w:spacing w:after="0" w:line="133" w:lineRule="exact"/>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4"/>
                <w:szCs w:val="4"/>
                <w:color w:val="auto"/>
              </w:rPr>
            </w:pPr>
          </w:p>
        </w:tc>
        <w:tc>
          <w:tcPr>
            <w:tcW w:w="2200" w:type="dxa"/>
            <w:vAlign w:val="bottom"/>
            <w:gridSpan w:val="10"/>
            <w:vMerge w:val="continue"/>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gridSpan w:val="2"/>
            <w:vMerge w:val="restart"/>
          </w:tcPr>
          <w:p>
            <w:pPr>
              <w:jc w:val="right"/>
              <w:ind w:right="540"/>
              <w:spacing w:after="0" w:line="133" w:lineRule="exact"/>
              <w:rPr>
                <w:sz w:val="20"/>
                <w:szCs w:val="20"/>
                <w:color w:val="auto"/>
              </w:rPr>
            </w:pPr>
            <w:r>
              <w:rPr>
                <w:rFonts w:ascii="Arial" w:cs="Arial" w:eastAsia="Arial" w:hAnsi="Arial"/>
                <w:sz w:val="14"/>
                <w:szCs w:val="14"/>
                <w:b w:val="1"/>
                <w:bCs w:val="1"/>
                <w:color w:val="auto"/>
                <w:w w:val="79"/>
              </w:rPr>
              <w:t>as of</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54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Fair Value Hierarchy</w:t>
            </w: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8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w w:val="98"/>
              </w:rPr>
              <w:t>Fair Value Hierarchy</w:t>
            </w: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4"/>
          </w:tcPr>
          <w:p>
            <w:pPr>
              <w:ind w:left="80"/>
              <w:spacing w:after="0" w:line="105" w:lineRule="exact"/>
              <w:rPr>
                <w:sz w:val="20"/>
                <w:szCs w:val="20"/>
                <w:color w:val="auto"/>
              </w:rPr>
            </w:pPr>
            <w:r>
              <w:rPr>
                <w:rFonts w:ascii="Arial" w:cs="Arial" w:eastAsia="Arial" w:hAnsi="Arial"/>
                <w:sz w:val="12"/>
                <w:szCs w:val="12"/>
                <w:b w:val="1"/>
                <w:bCs w:val="1"/>
                <w:color w:val="auto"/>
              </w:rPr>
              <w:t>October 31,</w:t>
            </w: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gridSpan w:val="9"/>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tcPr>
          <w:p>
            <w:pPr>
              <w:jc w:val="right"/>
              <w:ind w:right="380"/>
              <w:spacing w:after="0" w:line="105" w:lineRule="exact"/>
              <w:rPr>
                <w:sz w:val="20"/>
                <w:szCs w:val="20"/>
                <w:color w:val="auto"/>
              </w:rPr>
            </w:pPr>
            <w:r>
              <w:rPr>
                <w:rFonts w:ascii="Arial" w:cs="Arial" w:eastAsia="Arial" w:hAnsi="Arial"/>
                <w:sz w:val="12"/>
                <w:szCs w:val="12"/>
                <w:b w:val="1"/>
                <w:bCs w:val="1"/>
                <w:color w:val="auto"/>
              </w:rPr>
              <w:t>August 1,</w:t>
            </w: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8"/>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ind w:left="30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6"/>
                <w:szCs w:val="16"/>
                <w:color w:val="auto"/>
              </w:rPr>
            </w:pPr>
          </w:p>
        </w:tc>
        <w:tc>
          <w:tcPr>
            <w:tcW w:w="720" w:type="dxa"/>
            <w:vAlign w:val="bottom"/>
          </w:tcPr>
          <w:p>
            <w:pPr>
              <w:jc w:val="right"/>
              <w:ind w:right="33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66"/>
        </w:trPr>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gridSpan w:val="2"/>
            <w:shd w:val="clear" w:color="auto" w:fill="CCEEFF"/>
          </w:tcPr>
          <w:p>
            <w:pPr>
              <w:spacing w:after="0" w:line="166"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60" w:type="dxa"/>
            <w:vAlign w:val="bottom"/>
            <w:tcBorders>
              <w:right w:val="single" w:sz="8" w:color="auto"/>
            </w:tcBorders>
            <w:shd w:val="clear" w:color="auto" w:fill="000000"/>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ind w:left="120"/>
              <w:spacing w:after="0" w:line="173" w:lineRule="exact"/>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580" w:type="dxa"/>
            <w:vAlign w:val="bottom"/>
            <w:gridSpan w:val="4"/>
          </w:tcPr>
          <w:p>
            <w:pPr>
              <w:ind w:left="100"/>
              <w:spacing w:after="0" w:line="171" w:lineRule="exact"/>
              <w:rPr>
                <w:sz w:val="20"/>
                <w:szCs w:val="20"/>
                <w:color w:val="auto"/>
              </w:rPr>
            </w:pPr>
            <w:r>
              <w:rPr>
                <w:rFonts w:ascii="Arial" w:cs="Arial" w:eastAsia="Arial" w:hAnsi="Arial"/>
                <w:sz w:val="18"/>
                <w:szCs w:val="18"/>
                <w:color w:val="auto"/>
              </w:rPr>
              <w:t>exchange forward</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4"/>
            <w:vMerge w:val="restart"/>
          </w:tcPr>
          <w:p>
            <w:pPr>
              <w:jc w:val="right"/>
              <w:ind w:right="46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4"/>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4"/>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5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580" w:type="dxa"/>
            <w:vAlign w:val="bottom"/>
            <w:gridSpan w:val="4"/>
          </w:tcPr>
          <w:p>
            <w:pPr>
              <w:ind w:left="100"/>
              <w:spacing w:after="0" w:line="225" w:lineRule="exact"/>
              <w:rPr>
                <w:sz w:val="20"/>
                <w:szCs w:val="20"/>
                <w:color w:val="auto"/>
              </w:rPr>
            </w:pPr>
            <w:r>
              <w:rPr>
                <w:rFonts w:ascii="Arial" w:cs="Arial" w:eastAsia="Arial" w:hAnsi="Arial"/>
                <w:sz w:val="18"/>
                <w:szCs w:val="18"/>
                <w:color w:val="auto"/>
              </w:rPr>
              <w:t>contracts</w:t>
            </w:r>
            <w:r>
              <w:rPr>
                <w:rFonts w:ascii="Arial" w:cs="Arial" w:eastAsia="Arial" w:hAnsi="Arial"/>
                <w:sz w:val="22"/>
                <w:szCs w:val="22"/>
                <w:color w:val="auto"/>
                <w:vertAlign w:val="superscript"/>
              </w:rPr>
              <w:t>(1)</w:t>
            </w:r>
          </w:p>
        </w:tc>
        <w:tc>
          <w:tcPr>
            <w:tcW w:w="340" w:type="dxa"/>
            <w:vAlign w:val="bottom"/>
            <w:gridSpan w:val="2"/>
            <w:vMerge w:val="continue"/>
          </w:tcPr>
          <w:p>
            <w:pPr>
              <w:spacing w:after="0"/>
              <w:rPr>
                <w:sz w:val="19"/>
                <w:szCs w:val="19"/>
                <w:color w:val="auto"/>
              </w:rPr>
            </w:pPr>
          </w:p>
        </w:tc>
        <w:tc>
          <w:tcPr>
            <w:tcW w:w="1040" w:type="dxa"/>
            <w:vAlign w:val="bottom"/>
            <w:gridSpan w:val="4"/>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980" w:type="dxa"/>
            <w:vAlign w:val="bottom"/>
            <w:gridSpan w:val="4"/>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40" w:type="dxa"/>
            <w:vAlign w:val="bottom"/>
            <w:gridSpan w:val="4"/>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500" w:type="dxa"/>
            <w:vAlign w:val="bottom"/>
            <w:gridSpan w:val="3"/>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ind w:left="120"/>
              <w:spacing w:after="0" w:line="173" w:lineRule="exact"/>
              <w:rPr>
                <w:sz w:val="20"/>
                <w:szCs w:val="20"/>
                <w:color w:val="auto"/>
              </w:rPr>
            </w:pPr>
            <w:r>
              <w:rPr>
                <w:rFonts w:ascii="Arial" w:cs="Arial" w:eastAsia="Arial" w:hAnsi="Arial"/>
                <w:sz w:val="18"/>
                <w:szCs w:val="18"/>
                <w:color w:val="auto"/>
              </w:rPr>
              <w:t>Commodity</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shd w:val="clear" w:color="auto" w:fill="CCEEFF"/>
          </w:tcPr>
          <w:p>
            <w:pPr>
              <w:spacing w:after="0"/>
              <w:rPr>
                <w:sz w:val="14"/>
                <w:szCs w:val="14"/>
                <w:color w:val="auto"/>
              </w:rPr>
            </w:pPr>
          </w:p>
        </w:tc>
        <w:tc>
          <w:tcPr>
            <w:tcW w:w="1580" w:type="dxa"/>
            <w:vAlign w:val="bottom"/>
            <w:gridSpan w:val="4"/>
            <w:shd w:val="clear" w:color="auto" w:fill="CCEEFF"/>
          </w:tcPr>
          <w:p>
            <w:pPr>
              <w:ind w:left="100"/>
              <w:spacing w:after="0" w:line="171" w:lineRule="exact"/>
              <w:rPr>
                <w:sz w:val="20"/>
                <w:szCs w:val="20"/>
                <w:color w:val="auto"/>
              </w:rPr>
            </w:pPr>
            <w:r>
              <w:rPr>
                <w:rFonts w:ascii="Arial" w:cs="Arial" w:eastAsia="Arial" w:hAnsi="Arial"/>
                <w:sz w:val="18"/>
                <w:szCs w:val="18"/>
                <w:color w:val="auto"/>
              </w:rPr>
              <w:t>derivative</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1580" w:type="dxa"/>
            <w:vAlign w:val="bottom"/>
            <w:gridSpan w:val="4"/>
            <w:shd w:val="clear" w:color="auto" w:fill="CCEEFF"/>
          </w:tcPr>
          <w:p>
            <w:pPr>
              <w:ind w:left="100"/>
              <w:spacing w:after="0" w:line="225" w:lineRule="exact"/>
              <w:rPr>
                <w:sz w:val="20"/>
                <w:szCs w:val="20"/>
                <w:color w:val="auto"/>
              </w:rPr>
            </w:pPr>
            <w:r>
              <w:rPr>
                <w:rFonts w:ascii="Arial" w:cs="Arial" w:eastAsia="Arial" w:hAnsi="Arial"/>
                <w:sz w:val="18"/>
                <w:szCs w:val="18"/>
                <w:color w:val="auto"/>
              </w:rPr>
              <w:t>contracts</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ind w:left="120"/>
              <w:spacing w:after="0" w:line="173" w:lineRule="exact"/>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580" w:type="dxa"/>
            <w:vAlign w:val="bottom"/>
            <w:gridSpan w:val="4"/>
          </w:tcPr>
          <w:p>
            <w:pPr>
              <w:ind w:left="100"/>
              <w:spacing w:after="0" w:line="172" w:lineRule="exact"/>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580" w:type="dxa"/>
            <w:vAlign w:val="bottom"/>
            <w:gridSpan w:val="4"/>
          </w:tcPr>
          <w:p>
            <w:pPr>
              <w:ind w:left="100"/>
              <w:spacing w:after="0" w:line="171" w:lineRule="exact"/>
              <w:rPr>
                <w:sz w:val="20"/>
                <w:szCs w:val="20"/>
                <w:color w:val="auto"/>
              </w:rPr>
            </w:pPr>
            <w:r>
              <w:rPr>
                <w:rFonts w:ascii="Arial" w:cs="Arial" w:eastAsia="Arial" w:hAnsi="Arial"/>
                <w:sz w:val="18"/>
                <w:szCs w:val="18"/>
                <w:color w:val="auto"/>
              </w:rPr>
              <w:t>derivative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4"/>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580" w:type="dxa"/>
            <w:vAlign w:val="bottom"/>
            <w:gridSpan w:val="4"/>
          </w:tcPr>
          <w:p>
            <w:pPr>
              <w:ind w:left="100"/>
              <w:spacing w:after="0" w:line="225" w:lineRule="exact"/>
              <w:rPr>
                <w:sz w:val="20"/>
                <w:szCs w:val="20"/>
                <w:color w:val="auto"/>
              </w:rPr>
            </w:pPr>
            <w:r>
              <w:rPr>
                <w:rFonts w:ascii="Arial" w:cs="Arial" w:eastAsia="Arial" w:hAnsi="Arial"/>
                <w:sz w:val="18"/>
                <w:szCs w:val="18"/>
                <w:color w:val="auto"/>
              </w:rPr>
              <w:t>contracts</w:t>
            </w:r>
            <w:r>
              <w:rPr>
                <w:rFonts w:ascii="Arial" w:cs="Arial" w:eastAsia="Arial" w:hAnsi="Arial"/>
                <w:sz w:val="22"/>
                <w:szCs w:val="22"/>
                <w:color w:val="auto"/>
                <w:vertAlign w:val="superscript"/>
              </w:rPr>
              <w:t>(3)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ind w:left="120"/>
              <w:spacing w:after="0" w:line="173" w:lineRule="exact"/>
              <w:rPr>
                <w:sz w:val="20"/>
                <w:szCs w:val="20"/>
                <w:color w:val="auto"/>
              </w:rPr>
            </w:pPr>
            <w:r>
              <w:rPr>
                <w:rFonts w:ascii="Arial" w:cs="Arial" w:eastAsia="Arial" w:hAnsi="Arial"/>
                <w:sz w:val="18"/>
                <w:szCs w:val="18"/>
                <w:color w:val="auto"/>
              </w:rPr>
              <w:t>Deferred</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shd w:val="clear" w:color="auto" w:fill="CCEEFF"/>
          </w:tcPr>
          <w:p>
            <w:pPr>
              <w:spacing w:after="0"/>
              <w:rPr>
                <w:sz w:val="14"/>
                <w:szCs w:val="14"/>
                <w:color w:val="auto"/>
              </w:rPr>
            </w:pPr>
          </w:p>
        </w:tc>
        <w:tc>
          <w:tcPr>
            <w:tcW w:w="1580" w:type="dxa"/>
            <w:vAlign w:val="bottom"/>
            <w:gridSpan w:val="4"/>
            <w:shd w:val="clear" w:color="auto" w:fill="CCEEFF"/>
          </w:tcPr>
          <w:p>
            <w:pPr>
              <w:ind w:left="100"/>
              <w:spacing w:after="0" w:line="171" w:lineRule="exact"/>
              <w:rPr>
                <w:sz w:val="20"/>
                <w:szCs w:val="20"/>
                <w:color w:val="auto"/>
              </w:rPr>
            </w:pPr>
            <w:r>
              <w:rPr>
                <w:rFonts w:ascii="Arial" w:cs="Arial" w:eastAsia="Arial" w:hAnsi="Arial"/>
                <w:sz w:val="18"/>
                <w:szCs w:val="18"/>
                <w:color w:val="auto"/>
              </w:rPr>
              <w:t>compensation</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shd w:val="clear" w:color="auto" w:fill="CCEEFF"/>
          </w:tcPr>
          <w:p>
            <w:pPr>
              <w:spacing w:after="0"/>
              <w:rPr>
                <w:sz w:val="14"/>
                <w:szCs w:val="14"/>
                <w:color w:val="auto"/>
              </w:rPr>
            </w:pPr>
          </w:p>
        </w:tc>
        <w:tc>
          <w:tcPr>
            <w:tcW w:w="240" w:type="dxa"/>
            <w:vAlign w:val="bottom"/>
            <w:gridSpan w:val="2"/>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4"/>
                <w:szCs w:val="14"/>
                <w:color w:val="auto"/>
              </w:rPr>
            </w:pPr>
          </w:p>
        </w:tc>
        <w:tc>
          <w:tcPr>
            <w:tcW w:w="180" w:type="dxa"/>
            <w:vAlign w:val="bottom"/>
            <w:gridSpan w:val="2"/>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shd w:val="clear" w:color="auto" w:fill="CCEEFF"/>
          </w:tcPr>
          <w:p>
            <w:pPr>
              <w:spacing w:after="0"/>
              <w:rPr>
                <w:sz w:val="14"/>
                <w:szCs w:val="14"/>
                <w:color w:val="auto"/>
              </w:rPr>
            </w:pPr>
          </w:p>
        </w:tc>
        <w:tc>
          <w:tcPr>
            <w:tcW w:w="6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1440" w:type="dxa"/>
            <w:vAlign w:val="bottom"/>
            <w:gridSpan w:val="3"/>
            <w:shd w:val="clear" w:color="auto" w:fill="CCEEFF"/>
          </w:tcPr>
          <w:p>
            <w:pPr>
              <w:ind w:left="100"/>
              <w:spacing w:after="0" w:line="225" w:lineRule="exact"/>
              <w:rPr>
                <w:sz w:val="20"/>
                <w:szCs w:val="20"/>
                <w:color w:val="auto"/>
              </w:rPr>
            </w:pPr>
            <w:r>
              <w:rPr>
                <w:rFonts w:ascii="Arial" w:cs="Arial" w:eastAsia="Arial" w:hAnsi="Arial"/>
                <w:sz w:val="18"/>
                <w:szCs w:val="18"/>
                <w:color w:val="auto"/>
              </w:rPr>
              <w:t>investments</w:t>
            </w:r>
            <w:r>
              <w:rPr>
                <w:rFonts w:ascii="Arial" w:cs="Arial" w:eastAsia="Arial" w:hAnsi="Arial"/>
                <w:sz w:val="22"/>
                <w:szCs w:val="22"/>
                <w:color w:val="auto"/>
                <w:vertAlign w:val="superscript"/>
              </w:rPr>
              <w:t>(4)</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240" w:type="dxa"/>
            <w:vAlign w:val="bottom"/>
            <w:tcBorders>
              <w:bottom w:val="single" w:sz="8" w:color="auto"/>
            </w:tcBorders>
            <w:gridSpan w:val="2"/>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gridSpan w:val="2"/>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gridSpan w:val="2"/>
            <w:vMerge w:val="continue"/>
            <w:shd w:val="clear" w:color="auto" w:fill="CCEEFF"/>
          </w:tcPr>
          <w:p>
            <w:pPr>
              <w:spacing w:after="0"/>
              <w:rPr>
                <w:sz w:val="19"/>
                <w:szCs w:val="19"/>
                <w:color w:val="auto"/>
              </w:rPr>
            </w:pPr>
          </w:p>
        </w:tc>
        <w:tc>
          <w:tcPr>
            <w:tcW w:w="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spacing w:after="0" w:line="154" w:lineRule="exact"/>
              <w:rPr>
                <w:sz w:val="20"/>
                <w:szCs w:val="20"/>
                <w:color w:val="auto"/>
              </w:rPr>
            </w:pPr>
            <w:r>
              <w:rPr>
                <w:rFonts w:ascii="Arial" w:cs="Arial" w:eastAsia="Arial" w:hAnsi="Arial"/>
                <w:sz w:val="17"/>
                <w:szCs w:val="17"/>
                <w:color w:val="auto"/>
              </w:rPr>
              <w:t>Total assets at</w:t>
            </w:r>
          </w:p>
        </w:tc>
        <w:tc>
          <w:tcPr>
            <w:tcW w:w="140" w:type="dxa"/>
            <w:vAlign w:val="bottom"/>
          </w:tcPr>
          <w:p>
            <w:pPr>
              <w:spacing w:after="0"/>
              <w:rPr>
                <w:sz w:val="13"/>
                <w:szCs w:val="13"/>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ind w:left="4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3"/>
                <w:szCs w:val="13"/>
                <w:color w:val="auto"/>
              </w:rPr>
            </w:pPr>
          </w:p>
        </w:tc>
        <w:tc>
          <w:tcPr>
            <w:tcW w:w="60" w:type="dxa"/>
            <w:vAlign w:val="bottom"/>
            <w:vMerge w:val="restart"/>
          </w:tcPr>
          <w:p>
            <w:pPr>
              <w:spacing w:after="0"/>
              <w:rPr>
                <w:sz w:val="13"/>
                <w:szCs w:val="13"/>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440" w:type="dxa"/>
            <w:vAlign w:val="bottom"/>
            <w:gridSpan w:val="3"/>
          </w:tcPr>
          <w:p>
            <w:pPr>
              <w:spacing w:after="0" w:line="198" w:lineRule="exact"/>
              <w:rPr>
                <w:sz w:val="20"/>
                <w:szCs w:val="20"/>
                <w:color w:val="auto"/>
              </w:rPr>
            </w:pPr>
            <w:r>
              <w:rPr>
                <w:rFonts w:ascii="Arial" w:cs="Arial" w:eastAsia="Arial" w:hAnsi="Arial"/>
                <w:sz w:val="18"/>
                <w:szCs w:val="18"/>
                <w:color w:val="auto"/>
              </w:rPr>
              <w:t>fair value</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440" w:type="dxa"/>
            <w:vAlign w:val="bottom"/>
            <w:tcBorders>
              <w:bottom w:val="single" w:sz="8" w:color="auto"/>
            </w:tcBorders>
            <w:gridSpan w:val="2"/>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1"/>
              </w:rPr>
              <w:t>Fair Value Measurements at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10"/>
          </w:tcPr>
          <w:p>
            <w:pPr>
              <w:jc w:val="center"/>
              <w:ind w:left="457"/>
              <w:spacing w:after="0"/>
              <w:rPr>
                <w:sz w:val="20"/>
                <w:szCs w:val="20"/>
                <w:color w:val="auto"/>
              </w:rPr>
            </w:pPr>
            <w:r>
              <w:rPr>
                <w:rFonts w:ascii="Arial" w:cs="Arial" w:eastAsia="Arial" w:hAnsi="Arial"/>
                <w:sz w:val="14"/>
                <w:szCs w:val="14"/>
                <w:b w:val="1"/>
                <w:bCs w:val="1"/>
                <w:color w:val="auto"/>
                <w:w w:val="91"/>
              </w:rPr>
              <w:t>Fair Value Measurements at</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8"/>
            <w:vMerge w:val="restart"/>
          </w:tcPr>
          <w:p>
            <w:pPr>
              <w:jc w:val="center"/>
              <w:ind w:right="92"/>
              <w:spacing w:after="0" w:line="133" w:lineRule="exact"/>
              <w:rPr>
                <w:sz w:val="20"/>
                <w:szCs w:val="20"/>
                <w:color w:val="auto"/>
              </w:rPr>
            </w:pPr>
            <w:r>
              <w:rPr>
                <w:rFonts w:ascii="Arial" w:cs="Arial" w:eastAsia="Arial" w:hAnsi="Arial"/>
                <w:sz w:val="14"/>
                <w:szCs w:val="14"/>
                <w:b w:val="1"/>
                <w:bCs w:val="1"/>
                <w:color w:val="auto"/>
                <w:w w:val="91"/>
              </w:rPr>
              <w:t>October 31, 2021 Using</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gridSpan w:val="6"/>
            <w:vMerge w:val="restart"/>
          </w:tcPr>
          <w:p>
            <w:pPr>
              <w:jc w:val="center"/>
              <w:spacing w:after="0" w:line="133" w:lineRule="exact"/>
              <w:rPr>
                <w:sz w:val="20"/>
                <w:szCs w:val="20"/>
                <w:color w:val="auto"/>
              </w:rPr>
            </w:pPr>
            <w:r>
              <w:rPr>
                <w:rFonts w:ascii="Arial" w:cs="Arial" w:eastAsia="Arial" w:hAnsi="Arial"/>
                <w:sz w:val="14"/>
                <w:szCs w:val="14"/>
                <w:b w:val="1"/>
                <w:bCs w:val="1"/>
                <w:color w:val="auto"/>
                <w:w w:val="88"/>
              </w:rPr>
              <w:t>August 1, 2021 Using</w:t>
            </w: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4"/>
            <w:vMerge w:val="restart"/>
          </w:tcPr>
          <w:p>
            <w:pPr>
              <w:jc w:val="center"/>
              <w:ind w:right="240"/>
              <w:spacing w:after="0" w:line="133" w:lineRule="exact"/>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8"/>
            <w:vMerge w:val="continue"/>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gridSpan w:val="2"/>
            <w:vMerge w:val="restart"/>
          </w:tcPr>
          <w:p>
            <w:pPr>
              <w:jc w:val="center"/>
              <w:ind w:right="220"/>
              <w:spacing w:after="0" w:line="133" w:lineRule="exact"/>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30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5"/>
              </w:rPr>
              <w:t>Fair Value Hierarchy</w:t>
            </w: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4"/>
          </w:tcPr>
          <w:p>
            <w:pPr>
              <w:jc w:val="center"/>
              <w:ind w:right="240"/>
              <w:spacing w:after="0" w:line="105" w:lineRule="exact"/>
              <w:rPr>
                <w:sz w:val="20"/>
                <w:szCs w:val="20"/>
                <w:color w:val="auto"/>
              </w:rPr>
            </w:pPr>
            <w:r>
              <w:rPr>
                <w:rFonts w:ascii="Arial" w:cs="Arial" w:eastAsia="Arial" w:hAnsi="Arial"/>
                <w:sz w:val="12"/>
                <w:szCs w:val="12"/>
                <w:b w:val="1"/>
                <w:bCs w:val="1"/>
                <w:color w:val="auto"/>
              </w:rPr>
              <w:t>October 31,</w:t>
            </w: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6"/>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tcPr>
          <w:p>
            <w:pPr>
              <w:jc w:val="center"/>
              <w:ind w:right="200"/>
              <w:spacing w:after="0" w:line="105" w:lineRule="exact"/>
              <w:rPr>
                <w:sz w:val="20"/>
                <w:szCs w:val="20"/>
                <w:color w:val="auto"/>
              </w:rPr>
            </w:pPr>
            <w:r>
              <w:rPr>
                <w:rFonts w:ascii="Arial" w:cs="Arial" w:eastAsia="Arial" w:hAnsi="Arial"/>
                <w:sz w:val="12"/>
                <w:szCs w:val="12"/>
                <w:b w:val="1"/>
                <w:bCs w:val="1"/>
                <w:color w:val="auto"/>
              </w:rPr>
              <w:t>August 1,</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6"/>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center"/>
              <w:ind w:left="5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6"/>
                <w:szCs w:val="16"/>
                <w:color w:val="auto"/>
              </w:rPr>
            </w:pP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6"/>
                <w:szCs w:val="16"/>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6"/>
                <w:szCs w:val="16"/>
                <w:color w:val="auto"/>
              </w:rPr>
            </w:pPr>
          </w:p>
        </w:tc>
        <w:tc>
          <w:tcPr>
            <w:tcW w:w="84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6"/>
        </w:trPr>
        <w:tc>
          <w:tcPr>
            <w:tcW w:w="40" w:type="dxa"/>
            <w:vAlign w:val="bottom"/>
            <w:tcBorders>
              <w:right w:val="single" w:sz="8" w:color="CCEEFF"/>
            </w:tcBorders>
          </w:tcPr>
          <w:p>
            <w:pPr>
              <w:spacing w:after="0"/>
              <w:rPr>
                <w:sz w:val="14"/>
                <w:szCs w:val="14"/>
                <w:color w:val="auto"/>
              </w:rPr>
            </w:pPr>
          </w:p>
        </w:tc>
        <w:tc>
          <w:tcPr>
            <w:tcW w:w="1580" w:type="dxa"/>
            <w:vAlign w:val="bottom"/>
            <w:tcBorders>
              <w:top w:val="single" w:sz="8" w:color="CCEEFF"/>
            </w:tcBorders>
            <w:gridSpan w:val="4"/>
            <w:shd w:val="clear" w:color="auto" w:fill="CCEEFF"/>
          </w:tcPr>
          <w:p>
            <w:pPr>
              <w:spacing w:after="0" w:line="166" w:lineRule="exact"/>
              <w:rPr>
                <w:sz w:val="20"/>
                <w:szCs w:val="20"/>
                <w:color w:val="auto"/>
              </w:rPr>
            </w:pPr>
            <w:r>
              <w:rPr>
                <w:rFonts w:ascii="Arial" w:cs="Arial" w:eastAsia="Arial" w:hAnsi="Arial"/>
                <w:sz w:val="18"/>
                <w:szCs w:val="18"/>
                <w:color w:val="auto"/>
              </w:rPr>
              <w:t>Liabilities</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460" w:type="dxa"/>
            <w:vAlign w:val="bottom"/>
            <w:tcBorders>
              <w:right w:val="single" w:sz="8" w:color="CCEEFF"/>
            </w:tcBorders>
            <w:shd w:val="clear" w:color="auto" w:fill="000000"/>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1580" w:type="dxa"/>
            <w:vAlign w:val="bottom"/>
            <w:gridSpan w:val="4"/>
          </w:tcPr>
          <w:p>
            <w:pPr>
              <w:ind w:left="120"/>
              <w:spacing w:after="0" w:line="173" w:lineRule="exact"/>
              <w:rPr>
                <w:sz w:val="20"/>
                <w:szCs w:val="20"/>
                <w:color w:val="auto"/>
              </w:rPr>
            </w:pPr>
            <w:r>
              <w:rPr>
                <w:rFonts w:ascii="Arial" w:cs="Arial" w:eastAsia="Arial" w:hAnsi="Arial"/>
                <w:sz w:val="18"/>
                <w:szCs w:val="18"/>
                <w:color w:val="auto"/>
                <w:w w:val="99"/>
              </w:rPr>
              <w:t>Foreign exchange</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5"/>
                <w:szCs w:val="15"/>
                <w:color w:val="auto"/>
              </w:rPr>
            </w:pP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4"/>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ind w:right="41"/>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w:t>
            </w:r>
          </w:p>
        </w:tc>
        <w:tc>
          <w:tcPr>
            <w:tcW w:w="2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vMerge w:val="restart"/>
          </w:tcPr>
          <w:p>
            <w:pPr>
              <w:ind w:left="540"/>
              <w:spacing w:after="0"/>
              <w:rPr>
                <w:sz w:val="20"/>
                <w:szCs w:val="20"/>
                <w:color w:val="auto"/>
              </w:rPr>
            </w:pPr>
            <w:r>
              <w:rPr>
                <w:rFonts w:ascii="Arial" w:cs="Arial" w:eastAsia="Arial" w:hAnsi="Arial"/>
                <w:sz w:val="18"/>
                <w:szCs w:val="18"/>
                <w:color w:val="auto"/>
                <w:w w:val="88"/>
              </w:rPr>
              <w:t>—</w:t>
            </w:r>
          </w:p>
        </w:tc>
        <w:tc>
          <w:tcPr>
            <w:tcW w:w="50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580" w:type="dxa"/>
            <w:vAlign w:val="bottom"/>
            <w:gridSpan w:val="4"/>
          </w:tcPr>
          <w:p>
            <w:pPr>
              <w:ind w:left="120"/>
              <w:spacing w:after="0" w:line="224" w:lineRule="exact"/>
              <w:rPr>
                <w:sz w:val="20"/>
                <w:szCs w:val="20"/>
                <w:color w:val="auto"/>
              </w:rPr>
            </w:pPr>
            <w:r>
              <w:rPr>
                <w:rFonts w:ascii="Arial" w:cs="Arial" w:eastAsia="Arial" w:hAnsi="Arial"/>
                <w:sz w:val="18"/>
                <w:szCs w:val="18"/>
                <w:color w:val="auto"/>
                <w:w w:val="92"/>
              </w:rPr>
              <w:t>forward contracts</w:t>
            </w:r>
            <w:r>
              <w:rPr>
                <w:rFonts w:ascii="Arial" w:cs="Arial" w:eastAsia="Arial" w:hAnsi="Arial"/>
                <w:sz w:val="22"/>
                <w:szCs w:val="22"/>
                <w:color w:val="auto"/>
                <w:w w:val="92"/>
                <w:vertAlign w:val="superscript"/>
              </w:rPr>
              <w:t>(1)</w:t>
            </w:r>
          </w:p>
        </w:tc>
        <w:tc>
          <w:tcPr>
            <w:tcW w:w="340" w:type="dxa"/>
            <w:vAlign w:val="bottom"/>
            <w:gridSpan w:val="2"/>
            <w:vMerge w:val="continue"/>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40" w:type="dxa"/>
            <w:vAlign w:val="bottom"/>
            <w:gridSpan w:val="4"/>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500" w:type="dxa"/>
            <w:vAlign w:val="bottom"/>
            <w:gridSpan w:val="3"/>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CCEEFF"/>
            </w:tcBorders>
          </w:tcPr>
          <w:p>
            <w:pPr>
              <w:spacing w:after="0"/>
              <w:rPr>
                <w:sz w:val="15"/>
                <w:szCs w:val="15"/>
                <w:color w:val="auto"/>
              </w:rPr>
            </w:pPr>
          </w:p>
        </w:tc>
        <w:tc>
          <w:tcPr>
            <w:tcW w:w="1920" w:type="dxa"/>
            <w:vAlign w:val="bottom"/>
            <w:gridSpan w:val="6"/>
            <w:shd w:val="clear" w:color="auto" w:fill="CCEEFF"/>
          </w:tcPr>
          <w:p>
            <w:pPr>
              <w:ind w:left="120"/>
              <w:spacing w:after="0" w:line="173" w:lineRule="exact"/>
              <w:rPr>
                <w:sz w:val="20"/>
                <w:szCs w:val="20"/>
                <w:color w:val="auto"/>
              </w:rPr>
            </w:pPr>
            <w:r>
              <w:rPr>
                <w:rFonts w:ascii="Arial" w:cs="Arial" w:eastAsia="Arial" w:hAnsi="Arial"/>
                <w:sz w:val="18"/>
                <w:szCs w:val="18"/>
                <w:color w:val="auto"/>
              </w:rPr>
              <w:t>Commodity derivative</w:t>
            </w:r>
          </w:p>
        </w:tc>
        <w:tc>
          <w:tcPr>
            <w:tcW w:w="9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4"/>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 w:type="dxa"/>
            <w:vAlign w:val="bottom"/>
            <w:tcBorders>
              <w:right w:val="single" w:sz="8" w:color="CCEEFF"/>
            </w:tcBorders>
          </w:tcPr>
          <w:p>
            <w:pPr>
              <w:spacing w:after="0"/>
              <w:rPr>
                <w:sz w:val="19"/>
                <w:szCs w:val="19"/>
                <w:color w:val="auto"/>
              </w:rPr>
            </w:pPr>
          </w:p>
        </w:tc>
        <w:tc>
          <w:tcPr>
            <w:tcW w:w="1580" w:type="dxa"/>
            <w:vAlign w:val="bottom"/>
            <w:gridSpan w:val="4"/>
            <w:shd w:val="clear" w:color="auto" w:fill="CCEEFF"/>
          </w:tcPr>
          <w:p>
            <w:pPr>
              <w:ind w:left="120"/>
              <w:spacing w:after="0" w:line="224" w:lineRule="exact"/>
              <w:rPr>
                <w:sz w:val="20"/>
                <w:szCs w:val="20"/>
                <w:color w:val="auto"/>
              </w:rPr>
            </w:pPr>
            <w:r>
              <w:rPr>
                <w:rFonts w:ascii="Arial" w:cs="Arial" w:eastAsia="Arial" w:hAnsi="Arial"/>
                <w:sz w:val="18"/>
                <w:szCs w:val="18"/>
                <w:color w:val="auto"/>
              </w:rPr>
              <w:t>contracts</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4"/>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4"/>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4"/>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580" w:type="dxa"/>
            <w:vAlign w:val="bottom"/>
            <w:gridSpan w:val="4"/>
          </w:tcPr>
          <w:p>
            <w:pPr>
              <w:ind w:left="120"/>
              <w:spacing w:after="0" w:line="173" w:lineRule="exact"/>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580" w:type="dxa"/>
            <w:vAlign w:val="bottom"/>
            <w:gridSpan w:val="4"/>
          </w:tcPr>
          <w:p>
            <w:pPr>
              <w:ind w:left="120"/>
              <w:spacing w:after="0" w:line="172" w:lineRule="exact"/>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109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8"/>
                <w:szCs w:val="18"/>
                <w:color w:val="auto"/>
                <w:w w:val="86"/>
              </w:rPr>
              <w:t>105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580" w:type="dxa"/>
            <w:vAlign w:val="bottom"/>
            <w:tcBorders>
              <w:bottom w:val="single" w:sz="8" w:color="CCEEFF"/>
            </w:tcBorders>
            <w:gridSpan w:val="4"/>
          </w:tcPr>
          <w:p>
            <w:pPr>
              <w:ind w:left="120"/>
              <w:spacing w:after="0" w:line="224" w:lineRule="exact"/>
              <w:rPr>
                <w:sz w:val="20"/>
                <w:szCs w:val="20"/>
                <w:color w:val="auto"/>
              </w:rPr>
            </w:pPr>
            <w:r>
              <w:rPr>
                <w:rFonts w:ascii="Arial" w:cs="Arial" w:eastAsia="Arial" w:hAnsi="Arial"/>
                <w:sz w:val="18"/>
                <w:szCs w:val="18"/>
                <w:color w:val="auto"/>
              </w:rPr>
              <w:t>obligation</w:t>
            </w:r>
            <w:r>
              <w:rPr>
                <w:rFonts w:ascii="Arial" w:cs="Arial" w:eastAsia="Arial" w:hAnsi="Arial"/>
                <w:sz w:val="22"/>
                <w:szCs w:val="22"/>
                <w:color w:val="auto"/>
                <w:vertAlign w:val="superscript"/>
              </w:rPr>
              <w:t>(4)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0" w:type="dxa"/>
            <w:vAlign w:val="bottom"/>
            <w:tcBorders>
              <w:right w:val="single" w:sz="8" w:color="CCEEFF"/>
            </w:tcBorders>
          </w:tcPr>
          <w:p>
            <w:pPr>
              <w:spacing w:after="0"/>
              <w:rPr>
                <w:sz w:val="13"/>
                <w:szCs w:val="13"/>
                <w:color w:val="auto"/>
              </w:rPr>
            </w:pPr>
          </w:p>
        </w:tc>
        <w:tc>
          <w:tcPr>
            <w:tcW w:w="1580" w:type="dxa"/>
            <w:vAlign w:val="bottom"/>
            <w:gridSpan w:val="4"/>
            <w:shd w:val="clear" w:color="auto" w:fill="CCEEFF"/>
          </w:tcPr>
          <w:p>
            <w:pPr>
              <w:spacing w:after="0" w:line="154" w:lineRule="exact"/>
              <w:rPr>
                <w:sz w:val="20"/>
                <w:szCs w:val="20"/>
                <w:color w:val="auto"/>
              </w:rPr>
            </w:pPr>
            <w:r>
              <w:rPr>
                <w:rFonts w:ascii="Arial" w:cs="Arial" w:eastAsia="Arial" w:hAnsi="Arial"/>
                <w:sz w:val="17"/>
                <w:szCs w:val="17"/>
                <w:color w:val="auto"/>
              </w:rPr>
              <w:t>Total liabilities at fair</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110</w:t>
            </w:r>
          </w:p>
        </w:tc>
        <w:tc>
          <w:tcPr>
            <w:tcW w:w="3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4"/>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2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w w:val="86"/>
              </w:rPr>
              <w:t>105</w:t>
            </w:r>
          </w:p>
        </w:tc>
        <w:tc>
          <w:tcPr>
            <w:tcW w:w="5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0" w:type="dxa"/>
            <w:vAlign w:val="bottom"/>
            <w:tcBorders>
              <w:right w:val="single" w:sz="8" w:color="CCEEFF"/>
            </w:tcBorders>
          </w:tcPr>
          <w:p>
            <w:pPr>
              <w:spacing w:after="0"/>
              <w:rPr>
                <w:sz w:val="18"/>
                <w:szCs w:val="18"/>
                <w:color w:val="auto"/>
              </w:rPr>
            </w:pPr>
          </w:p>
        </w:tc>
        <w:tc>
          <w:tcPr>
            <w:tcW w:w="158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color w:val="auto"/>
              </w:rPr>
              <w:t>value</w:t>
            </w:r>
          </w:p>
        </w:tc>
        <w:tc>
          <w:tcPr>
            <w:tcW w:w="340" w:type="dxa"/>
            <w:vAlign w:val="bottom"/>
            <w:gridSpan w:val="2"/>
            <w:vMerge w:val="continue"/>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40" w:type="dxa"/>
            <w:vAlign w:val="bottom"/>
            <w:gridSpan w:val="4"/>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8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00" w:type="dxa"/>
            <w:vAlign w:val="bottom"/>
            <w:gridSpan w:val="3"/>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24"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2" w:lineRule="exact"/>
        <w:rPr>
          <w:rFonts w:ascii="Arial" w:cs="Arial" w:eastAsia="Arial" w:hAnsi="Arial"/>
          <w:sz w:val="23"/>
          <w:szCs w:val="23"/>
          <w:color w:val="auto"/>
          <w:vertAlign w:val="superscript"/>
        </w:rPr>
      </w:pPr>
    </w:p>
    <w:p>
      <w:pPr>
        <w:ind w:left="320" w:hanging="314"/>
        <w:spacing w:after="0" w:line="237" w:lineRule="auto"/>
        <w:tabs>
          <w:tab w:leader="none" w:pos="30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Arial" w:cs="Arial" w:eastAsia="Arial" w:hAnsi="Arial"/>
          <w:sz w:val="21"/>
          <w:szCs w:val="21"/>
          <w:color w:val="auto"/>
          <w:vertAlign w:val="superscript"/>
        </w:rPr>
      </w:pPr>
    </w:p>
    <w:p>
      <w:pPr>
        <w:ind w:left="320" w:hanging="314"/>
        <w:spacing w:after="0" w:line="192"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Based on LIBOR and equity index swap rates.</w:t>
      </w:r>
    </w:p>
    <w:p>
      <w:pPr>
        <w:spacing w:after="0" w:line="3" w:lineRule="exact"/>
        <w:rPr>
          <w:rFonts w:ascii="Arial" w:cs="Arial" w:eastAsia="Arial" w:hAnsi="Arial"/>
          <w:sz w:val="23"/>
          <w:szCs w:val="23"/>
          <w:color w:val="auto"/>
          <w:vertAlign w:val="superscript"/>
        </w:rPr>
      </w:pPr>
    </w:p>
    <w:p>
      <w:pPr>
        <w:ind w:left="320" w:hanging="314"/>
        <w:spacing w:after="0" w:line="189"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Based on the fair value of the participants’ investments.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of cash and cash equivalents, accounts receivable and accounts payable approximate fair value.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8" w:name="page19"/>
    <w:bookmarkEnd w:id="18"/>
    <w:p>
      <w:pPr>
        <w:jc w:val="both"/>
        <w:ind w:right="20" w:firstLine="318"/>
        <w:spacing w:after="0" w:line="264" w:lineRule="auto"/>
        <w:rPr>
          <w:sz w:val="20"/>
          <w:szCs w:val="20"/>
          <w:color w:val="auto"/>
        </w:rPr>
      </w:pPr>
      <w:r>
        <w:rPr>
          <w:rFonts w:ascii="Arial" w:cs="Arial" w:eastAsia="Arial" w:hAnsi="Arial"/>
          <w:sz w:val="18"/>
          <w:szCs w:val="18"/>
          <w:color w:val="auto"/>
        </w:rPr>
        <w:t>There were $32 of cash equivalents at October 31, 2021, and none at August 1, 2021. Cash equivalents represent fair value as these highly liquid investments have an original maturity of three months or less. Fair value of cash equivalents is based on Level 2 inputs.</w:t>
      </w:r>
    </w:p>
    <w:p>
      <w:pPr>
        <w:spacing w:after="0" w:line="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 of short- and long-term debt was $5,518 at October 31, 2021, and $5,613 at August 1, 2021. The carrying value was $5,047 at October 31, 2021, and $5,058 at August 1, 2021. The fair value of long-term debt is principally estimated using Level 2 inputs based on quoted market prices or pricing models using current market rates.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Repurchases</w:t>
      </w:r>
    </w:p>
    <w:p>
      <w:pPr>
        <w:spacing w:after="0" w:line="9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June 2021, the Board authorized an anti-dilutive share repurchase program of up to $250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w:t>
      </w:r>
    </w:p>
    <w:p>
      <w:pPr>
        <w:spacing w:after="0" w:line="5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September 2021, the Board approved a new strategic share repurchase program of up to $500 (September 2021 program). The September 2021 program has no expiration date, but it may be suspended or discontinued at any time. Repurchases under the September 2021 program may be made in open-market or privately negotiated transactions. The September 2021 program replaced the prior $1,500 program, which our Board approved in March 2017 and has been cancelled.</w:t>
      </w:r>
    </w:p>
    <w:p>
      <w:pPr>
        <w:spacing w:after="0" w:line="7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During the three-month period ended October 31, 2021, we repurchased approximately 1.5 million shares at a cost of $63. Of this amount, $38 was used to repurchase shares pursuant to our June 2021 program and $25 was used to repurchase shares pursuant to our September 2021 program. As of October 31, 2021, approximately $176 remained available under the June 2021 program and approximately $475 remained available under the September 2021 program.</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0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2022, we issued time-lapse restricted stock units, unrestricted stock, TSR performance restricted stock units and EPS performance restricted stock units. We last issued stock options and FCF performance restricted stock units in 2019.</w:t>
      </w:r>
    </w:p>
    <w:p>
      <w:pPr>
        <w:spacing w:after="0" w:line="4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In determining stock-based compensation expense, we estimate forfeitures expected to occur. Total pre-tax stock-based compensation expense and tax-related benefits recognized in Earnings from continuing operations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3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r>
      <w:tr>
        <w:trPr>
          <w:trHeight w:val="183"/>
        </w:trPr>
        <w:tc>
          <w:tcPr>
            <w:tcW w:w="8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October 31, 2021</w:t>
            </w:r>
          </w:p>
        </w:tc>
        <w:tc>
          <w:tcPr>
            <w:tcW w:w="12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7"/>
              </w:rPr>
              <w:t>November 1, 2020</w:t>
            </w:r>
          </w:p>
        </w:tc>
      </w:tr>
      <w:tr>
        <w:trPr>
          <w:trHeight w:val="219"/>
        </w:trPr>
        <w:tc>
          <w:tcPr>
            <w:tcW w:w="86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pre-tax stock-based compensation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14</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9"/>
                <w:szCs w:val="19"/>
                <w:color w:val="auto"/>
              </w:rPr>
            </w:pPr>
          </w:p>
        </w:tc>
        <w:tc>
          <w:tcPr>
            <w:tcW w:w="820" w:type="dxa"/>
            <w:vAlign w:val="bottom"/>
          </w:tcPr>
          <w:p>
            <w:pPr>
              <w:jc w:val="right"/>
              <w:ind w:right="618"/>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stock option activity as of October 31,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19"/>
              <w:spacing w:after="0" w:line="133"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1040" w:type="dxa"/>
            <w:vAlign w:val="bottom"/>
          </w:tcPr>
          <w:p>
            <w:pPr>
              <w:jc w:val="center"/>
              <w:ind w:left="419"/>
              <w:spacing w:after="0" w:line="133" w:lineRule="exact"/>
              <w:rPr>
                <w:sz w:val="20"/>
                <w:szCs w:val="20"/>
                <w:color w:val="auto"/>
              </w:rPr>
            </w:pPr>
            <w:r>
              <w:rPr>
                <w:rFonts w:ascii="Arial" w:cs="Arial" w:eastAsia="Arial" w:hAnsi="Arial"/>
                <w:sz w:val="14"/>
                <w:szCs w:val="14"/>
                <w:b w:val="1"/>
                <w:bCs w:val="1"/>
                <w:color w:val="auto"/>
                <w:w w:val="86"/>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11"/>
                <w:szCs w:val="11"/>
                <w:color w:val="auto"/>
              </w:rPr>
            </w:pPr>
          </w:p>
        </w:tc>
        <w:tc>
          <w:tcPr>
            <w:tcW w:w="1260" w:type="dxa"/>
            <w:vAlign w:val="bottom"/>
          </w:tcPr>
          <w:p>
            <w:pPr>
              <w:jc w:val="center"/>
              <w:ind w:right="222"/>
              <w:spacing w:after="0" w:line="13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419"/>
              <w:spacing w:after="0"/>
              <w:rPr>
                <w:sz w:val="20"/>
                <w:szCs w:val="20"/>
                <w:color w:val="auto"/>
              </w:rPr>
            </w:pPr>
            <w:r>
              <w:rPr>
                <w:rFonts w:ascii="Arial" w:cs="Arial" w:eastAsia="Arial" w:hAnsi="Arial"/>
                <w:sz w:val="14"/>
                <w:szCs w:val="14"/>
                <w:b w:val="1"/>
                <w:bCs w:val="1"/>
                <w:color w:val="auto"/>
                <w:w w:val="87"/>
              </w:rPr>
              <w:t>Price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80" w:type="dxa"/>
            <w:vAlign w:val="bottom"/>
          </w:tcPr>
          <w:p>
            <w:pPr>
              <w:spacing w:after="0"/>
              <w:rPr>
                <w:sz w:val="16"/>
                <w:szCs w:val="16"/>
                <w:color w:val="auto"/>
              </w:rPr>
            </w:pPr>
          </w:p>
        </w:tc>
        <w:tc>
          <w:tcPr>
            <w:tcW w:w="1260" w:type="dxa"/>
            <w:vAlign w:val="bottom"/>
          </w:tcPr>
          <w:p>
            <w:pPr>
              <w:jc w:val="center"/>
              <w:ind w:right="20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7"/>
        </w:trPr>
        <w:tc>
          <w:tcPr>
            <w:tcW w:w="4740" w:type="dxa"/>
            <w:vAlign w:val="bottom"/>
          </w:tcPr>
          <w:p>
            <w:pPr>
              <w:spacing w:after="0"/>
              <w:rPr>
                <w:sz w:val="11"/>
                <w:szCs w:val="11"/>
                <w:color w:val="auto"/>
              </w:rPr>
            </w:pPr>
          </w:p>
        </w:tc>
        <w:tc>
          <w:tcPr>
            <w:tcW w:w="15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91"/>
              </w:rPr>
              <w:t>(Options in</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thousands)</w:t>
            </w: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August 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45.61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36.60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4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October 31, 2021</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October 31, 2021</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1,129</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39"/>
              <w:spacing w:after="0" w:line="198"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88"/>
              </w:rPr>
              <w:t>47.84</w:t>
            </w: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2"/>
              <w:spacing w:after="0" w:line="198"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The total intrinsic value of options exercised during the three-month period ended October 31, 2021 was not material. No options were exercised during the three-month period ended November 1, 2020. We measured the fair value of stock options using the Black-Scholes option pricing model.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9" w:name="page20"/>
    <w:bookmarkEnd w:id="19"/>
    <w:p>
      <w:pPr>
        <w:jc w:val="both"/>
        <w:ind w:firstLine="318"/>
        <w:spacing w:after="0" w:line="255"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October 31, 2021, total remaining unearned compensation related to nonvested stock options was less than $1, which will be amortized over the weighted-average remaining service period of less than one year.</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time-lapse restricted stock units, EPS performance restricted stock units and FCF performance restricted stock units as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17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7"/>
              </w:rPr>
              <w:t>Weighted-Average Grant-</w:t>
            </w: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15"/>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27"/>
        </w:trPr>
        <w:tc>
          <w:tcPr>
            <w:tcW w:w="7580" w:type="dxa"/>
            <w:vAlign w:val="bottom"/>
          </w:tcPr>
          <w:p>
            <w:pPr>
              <w:spacing w:after="0"/>
              <w:rPr>
                <w:sz w:val="11"/>
                <w:szCs w:val="11"/>
                <w:color w:val="auto"/>
              </w:rPr>
            </w:pPr>
          </w:p>
        </w:tc>
        <w:tc>
          <w:tcPr>
            <w:tcW w:w="176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89"/>
              </w:rPr>
              <w:t>(Restricted stock</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units in thousands)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August 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Nonvested at October 31, 2021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which we expense on an accelerated basis.</w:t>
      </w:r>
    </w:p>
    <w:p>
      <w:pPr>
        <w:spacing w:after="0" w:line="5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2022, we granted EPS performance restricted stock units that will be earned upon the achievement of our adjusted EPS compound annual growth rate goal, measured over a three-year period. The actual number of EPS performance restricted stock units issued at the vesting date could range from 0% to 200% of the initial grant depending on actual performance achieved. The fair value of EPS performance restricted stock units is based upon the quoted price of our stock at the date of grant. We expense EPS performance restricted stock units on a straight-line basis over the service period, except for awards issued to retirement-eligible participants, which we expense on an accelerated basis. We estimate expense based on the number of awards expected to vest. There were 318 thousand EPS performance target grants outstanding at October 31, 2021, with a grant-date fair value of $41.53.</w:t>
      </w:r>
    </w:p>
    <w:p>
      <w:pPr>
        <w:spacing w:after="0" w:line="3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2019, we issued approximately 388 thousand FCF performance restricted stock units for which vesting was contingent upon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was averaged at the end of the three-year period to determine the number of underlying units that would vest at the end of the three years. The actual number of FCF performance restricted stock units issued at the vesting date could range from 0% to 200% of the initial grant depending on actual performance achieved. The fair value of FCF performance restricted stock units was based upon the quoted price of our stock at the date of grant. We expensed FCF performance restricted stock units over the requisite service period of each objective. We estimated expense based on the number of awards expected to vest. In the first quarter of 2022, recipients of FCF performance restricted stock units earned 167% of the initial grants based upon the average of actual performance achieved during a three-year period ended August 1, 2021. As a result, approximately 158 thousand additional shares were awarded. As of October 31, 2021, there were no FCF performance target grants outstanding.</w:t>
      </w:r>
    </w:p>
    <w:p>
      <w:pPr>
        <w:spacing w:after="0" w:line="25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of October 31, 2021, total remaining unearned compensation related to nonvested time-lapse restricted stock units and EPS performance restricted stock units was $64, which will be amortized over the weighted-average remaining service period of 2.1 years. The fair value of restricted stock units vested during the three-month periods ended October 31, 2021, and November 1, 2020, was $48, and $34, respectively. The weighted-average grant-date fair value of the restricted stock units granted during the three-month period ended November 1, 2020 was $48.43.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0" w:name="page21"/>
    <w:bookmarkEnd w:id="20"/>
    <w:p>
      <w:pPr>
        <w:ind w:left="320"/>
        <w:spacing w:after="0"/>
        <w:rPr>
          <w:sz w:val="20"/>
          <w:szCs w:val="20"/>
          <w:color w:val="auto"/>
        </w:rPr>
      </w:pPr>
      <w:r>
        <w:rPr>
          <w:rFonts w:ascii="Arial" w:cs="Arial" w:eastAsia="Arial" w:hAnsi="Arial"/>
          <w:sz w:val="18"/>
          <w:szCs w:val="18"/>
          <w:color w:val="auto"/>
        </w:rPr>
        <w:t>The following table summarizes TSR performance restricted stock units as of October 31,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7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Weighted-Average Grant-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6"/>
              </w:rPr>
              <w:t>Date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7820" w:type="dxa"/>
            <w:vAlign w:val="bottom"/>
          </w:tcPr>
          <w:p>
            <w:pPr>
              <w:spacing w:after="0"/>
              <w:rPr>
                <w:sz w:val="11"/>
                <w:szCs w:val="11"/>
                <w:color w:val="auto"/>
              </w:rPr>
            </w:pPr>
          </w:p>
        </w:tc>
        <w:tc>
          <w:tcPr>
            <w:tcW w:w="1640" w:type="dxa"/>
            <w:vAlign w:val="bottom"/>
            <w:tcBorders>
              <w:top w:val="single" w:sz="8" w:color="auto"/>
            </w:tcBorders>
            <w:gridSpan w:val="2"/>
          </w:tcPr>
          <w:p>
            <w:pPr>
              <w:jc w:val="center"/>
              <w:spacing w:after="0" w:line="127" w:lineRule="exact"/>
              <w:rPr>
                <w:sz w:val="20"/>
                <w:szCs w:val="20"/>
                <w:color w:val="auto"/>
              </w:rPr>
            </w:pPr>
            <w:r>
              <w:rPr>
                <w:rFonts w:ascii="Arial" w:cs="Arial" w:eastAsia="Arial" w:hAnsi="Arial"/>
                <w:sz w:val="14"/>
                <w:szCs w:val="14"/>
                <w:b w:val="1"/>
                <w:bCs w:val="1"/>
                <w:color w:val="auto"/>
                <w:w w:val="89"/>
              </w:rPr>
              <w:t>(Restricted stock</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820" w:type="dxa"/>
            <w:vAlign w:val="bottom"/>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units in thousands)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August 1, 2021</w:t>
            </w: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Nonvested at October 31, 2021</w:t>
            </w:r>
          </w:p>
        </w:tc>
        <w:tc>
          <w:tcPr>
            <w:tcW w:w="1640" w:type="dxa"/>
            <w:vAlign w:val="bottom"/>
            <w:tcBorders>
              <w:bottom w:val="single" w:sz="8" w:color="auto"/>
            </w:tcBorders>
            <w:gridSpan w:val="2"/>
            <w:shd w:val="clear" w:color="auto" w:fill="CCEEFF"/>
          </w:tcPr>
          <w:p>
            <w:pPr>
              <w:ind w:left="1160"/>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560" w:type="dxa"/>
            <w:vAlign w:val="bottom"/>
            <w:gridSpan w:val="4"/>
          </w:tcPr>
          <w:p>
            <w:pPr>
              <w:ind w:left="320"/>
              <w:spacing w:after="0"/>
              <w:rPr>
                <w:sz w:val="20"/>
                <w:szCs w:val="20"/>
                <w:color w:val="auto"/>
              </w:rPr>
            </w:pPr>
            <w:r>
              <w:rPr>
                <w:rFonts w:ascii="Arial" w:cs="Arial" w:eastAsia="Arial" w:hAnsi="Arial"/>
                <w:sz w:val="18"/>
                <w:szCs w:val="18"/>
                <w:color w:val="auto"/>
                <w:w w:val="97"/>
              </w:rPr>
              <w:t>We estimated the fair value of TSR performance restricted stock units at the grant date using a Monte Carlo simulation.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820" w:type="dxa"/>
            <w:vAlign w:val="bottom"/>
          </w:tcPr>
          <w:p>
            <w:pPr>
              <w:ind w:left="320"/>
              <w:spacing w:after="0"/>
              <w:rPr>
                <w:sz w:val="20"/>
                <w:szCs w:val="20"/>
                <w:color w:val="auto"/>
              </w:rPr>
            </w:pPr>
            <w:r>
              <w:rPr>
                <w:rFonts w:ascii="Arial" w:cs="Arial" w:eastAsia="Arial" w:hAnsi="Arial"/>
                <w:sz w:val="18"/>
                <w:szCs w:val="18"/>
                <w:color w:val="auto"/>
              </w:rPr>
              <w:t>Assumptions used in the Monte Carlo simulation were as follows: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8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0.45%</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0"/>
              </w:rPr>
              <w:t>0.15%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40" w:type="dxa"/>
            <w:vAlign w:val="bottom"/>
            <w:gridSpan w:val="3"/>
          </w:tcPr>
          <w:p>
            <w:pPr>
              <w:ind w:left="1160"/>
              <w:spacing w:after="0"/>
              <w:rPr>
                <w:sz w:val="20"/>
                <w:szCs w:val="20"/>
                <w:color w:val="auto"/>
              </w:rPr>
            </w:pPr>
            <w:r>
              <w:rPr>
                <w:rFonts w:ascii="Arial" w:cs="Arial" w:eastAsia="Arial" w:hAnsi="Arial"/>
                <w:sz w:val="18"/>
                <w:szCs w:val="18"/>
                <w:b w:val="1"/>
                <w:bCs w:val="1"/>
                <w:color w:val="auto"/>
              </w:rPr>
              <w:t>3.50%</w:t>
            </w:r>
          </w:p>
        </w:tc>
        <w:tc>
          <w:tcPr>
            <w:tcW w:w="300" w:type="dxa"/>
            <w:vAlign w:val="bottom"/>
          </w:tcPr>
          <w:p>
            <w:pPr>
              <w:spacing w:after="0"/>
              <w:rPr>
                <w:sz w:val="19"/>
                <w:szCs w:val="19"/>
                <w:color w:val="auto"/>
              </w:rPr>
            </w:pPr>
          </w:p>
        </w:tc>
        <w:tc>
          <w:tcPr>
            <w:tcW w:w="1340" w:type="dxa"/>
            <w:vAlign w:val="bottom"/>
            <w:gridSpan w:val="2"/>
          </w:tcPr>
          <w:p>
            <w:pPr>
              <w:jc w:val="center"/>
              <w:ind w:left="74"/>
              <w:spacing w:after="0"/>
              <w:rPr>
                <w:sz w:val="20"/>
                <w:szCs w:val="20"/>
                <w:color w:val="auto"/>
              </w:rPr>
            </w:pPr>
            <w:r>
              <w:rPr>
                <w:rFonts w:ascii="Arial" w:cs="Arial" w:eastAsia="Arial" w:hAnsi="Arial"/>
                <w:sz w:val="18"/>
                <w:szCs w:val="18"/>
                <w:color w:val="auto"/>
                <w:w w:val="90"/>
              </w:rPr>
              <w:t>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740" w:type="dxa"/>
            <w:vAlign w:val="bottom"/>
            <w:gridSpan w:val="3"/>
            <w:shd w:val="clear" w:color="auto" w:fill="CCEEFF"/>
          </w:tcPr>
          <w:p>
            <w:pPr>
              <w:ind w:left="1120"/>
              <w:spacing w:after="0"/>
              <w:rPr>
                <w:sz w:val="20"/>
                <w:szCs w:val="20"/>
                <w:color w:val="auto"/>
              </w:rPr>
            </w:pPr>
            <w:r>
              <w:rPr>
                <w:rFonts w:ascii="Arial" w:cs="Arial" w:eastAsia="Arial" w:hAnsi="Arial"/>
                <w:sz w:val="18"/>
                <w:szCs w:val="18"/>
                <w:b w:val="1"/>
                <w:bCs w:val="1"/>
                <w:color w:val="auto"/>
                <w:w w:val="98"/>
              </w:rPr>
              <w:t>27.43%</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88"/>
              </w:rPr>
              <w:t>29.99%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780" w:type="dxa"/>
            <w:vAlign w:val="bottom"/>
          </w:tcPr>
          <w:p>
            <w:pPr>
              <w:spacing w:after="0"/>
              <w:rPr>
                <w:sz w:val="19"/>
                <w:szCs w:val="19"/>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b w:val="1"/>
                <w:bCs w:val="1"/>
                <w:color w:val="auto"/>
                <w:w w:val="93"/>
              </w:rPr>
              <w:t>3 years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261"/>
              <w:spacing w:after="0"/>
              <w:rPr>
                <w:sz w:val="20"/>
                <w:szCs w:val="20"/>
                <w:color w:val="auto"/>
              </w:rPr>
            </w:pPr>
            <w:r>
              <w:rPr>
                <w:rFonts w:ascii="Arial" w:cs="Arial" w:eastAsia="Arial" w:hAnsi="Arial"/>
                <w:sz w:val="18"/>
                <w:szCs w:val="18"/>
                <w:color w:val="auto"/>
              </w:rPr>
              <w:t>3 years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recognize compensation expense on a straight-line basis over the service period, except for awards issued to retirement eligible participants, which we expense on an accelerated basis. As of October 31, 2021, total remaining unearned compensation related to TSR performance restricted stock units was $31, which will be amortized over the weighted-average remaining service period of 1.9 years. In the first quarter of 2022, recipients of TSR performance restricted stock units earned 75% of the initial grants based upon our TSR ranking in a performance peer group during a three-year period ended July 30, 2021. In the first quarter of 2021, recipients of TSR performance restricted stock units earned 50% of the initial grants based upon our TSR ranking in a performance peer group during a three-year period ended July 31, 2020. The fair value of TSR performance restricted stock units vested during the three-month periods ended October 31, 2021 and November 1, 2020 was $8 and $11, respectively. The grant-date fair value of the TSR performance restricted stock units granted during 2021 was $54.93.</w:t>
      </w:r>
    </w:p>
    <w:p>
      <w:pPr>
        <w:spacing w:after="0" w:line="6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excess tax benefits of $1 in the three-month periods ended October 31, 2021 and November 1, 2020 on the exercise of stock options and vested restricted stock were presented as cash flows from operating activities. Cash received from the exercise of stock options was $1 for the three-month period ended October 31, 2021 and is reflected in cash flows from financing activities in the Consolidated Statements of Cash Flows.</w:t>
      </w:r>
    </w:p>
    <w:p>
      <w:pPr>
        <w:spacing w:after="0" w:line="125" w:lineRule="exact"/>
        <w:rPr>
          <w:sz w:val="20"/>
          <w:szCs w:val="20"/>
          <w:color w:val="auto"/>
        </w:rPr>
      </w:pPr>
    </w:p>
    <w:p>
      <w:pPr>
        <w:ind w:right="8460" w:firstLine="6"/>
        <w:spacing w:after="0" w:line="418" w:lineRule="auto"/>
        <w:tabs>
          <w:tab w:leader="none" w:pos="265"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Regulatory and Litigation Matters</w:t>
      </w:r>
    </w:p>
    <w:p>
      <w:pPr>
        <w:spacing w:after="0" w:line="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On January 7, 2019, three purported shareholder class action lawsuits pending in the United States District Court for the District of New Jersey (the Court) were consolidated under the caption, </w:t>
      </w:r>
      <w:r>
        <w:rPr>
          <w:rFonts w:ascii="Arial" w:cs="Arial" w:eastAsia="Arial" w:hAnsi="Arial"/>
          <w:sz w:val="18"/>
          <w:szCs w:val="18"/>
          <w:i w:val="1"/>
          <w:iCs w:val="1"/>
          <w:color w:val="auto"/>
        </w:rPr>
        <w:t>In re Campbell Soup Company Securities Litigation</w:t>
      </w:r>
      <w:r>
        <w:rPr>
          <w:rFonts w:ascii="Arial" w:cs="Arial" w:eastAsia="Arial" w:hAnsi="Arial"/>
          <w:sz w:val="18"/>
          <w:szCs w:val="18"/>
          <w:color w:val="auto"/>
        </w:rPr>
        <w:t>, Civ. No. 1:18-cv-14385-NLH-JS (the Action). Oklahoma Firefighters Pension and Retirement System was appointed lead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7"/>
          <w:szCs w:val="17"/>
          <w:color w:val="auto"/>
        </w:rPr>
        <w:t>plaintiff in the Action and, on March 1, 2019, filed an amended consolidated complaint. The company, Denise Morrison (the company's former President and Chief Executive Officer), and Anthony DiSilvestro (the company's former Senior Vice President and Chief Financial Officer) are defendants in the Action. The amended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amended consolidated complaint seeks unspecified monetary damages and other relief. On April 30, 2019, the defendants filed a motion to dismiss the amended consolidated complaint, which the Court granted on November 30, 2020, with leave to amend the complaint. On January 15, 2021, the plaintiff filed its second amended consolidated complaint. The second amended consolidated complaint again names as defendants the company and certain of its former officers and alleges that, in public statements between August 31, 2017 and May 17, 2018, the defendants made materially false and misleading statements and/or omitted material information about the company's business, operations, customer relationships, and prospects, specifically with regard to the Campbell Fresh segment. The second amended consolidated complaint seeks unspecified monetary damages and other relief. On March 10, 2021 the defendants filed a motion to dismiss the second amended consolidated complaint. We are vigorously defending against the Action.</w:t>
      </w:r>
    </w:p>
    <w:p>
      <w:pPr>
        <w:spacing w:after="0" w:line="5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October 31, 2021.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October 31,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tcPr>
          <w:p>
            <w:pPr>
              <w:spacing w:after="0"/>
              <w:rPr>
                <w:sz w:val="20"/>
                <w:szCs w:val="20"/>
                <w:color w:val="auto"/>
              </w:rPr>
            </w:pPr>
            <w:r>
              <w:rPr>
                <w:rFonts w:ascii="Arial" w:cs="Arial" w:eastAsia="Arial" w:hAnsi="Arial"/>
                <w:sz w:val="18"/>
                <w:szCs w:val="18"/>
                <w:b w:val="1"/>
                <w:bCs w:val="1"/>
                <w:color w:val="auto"/>
              </w:rPr>
              <w:t>15. Supplemental Financial Statement Data</w:t>
            </w:r>
          </w:p>
        </w:tc>
        <w:tc>
          <w:tcPr>
            <w:tcW w:w="3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780" w:type="dxa"/>
            <w:vAlign w:val="bottom"/>
          </w:tcPr>
          <w:p>
            <w:pPr>
              <w:ind w:left="20"/>
              <w:spacing w:after="0" w:line="200" w:lineRule="exact"/>
              <w:rPr>
                <w:sz w:val="20"/>
                <w:szCs w:val="20"/>
                <w:color w:val="auto"/>
              </w:rPr>
            </w:pPr>
            <w:r>
              <w:rPr>
                <w:rFonts w:ascii="Arial" w:cs="Arial" w:eastAsia="Arial" w:hAnsi="Arial"/>
                <w:sz w:val="18"/>
                <w:szCs w:val="18"/>
                <w:b w:val="1"/>
                <w:bCs w:val="1"/>
                <w:i w:val="1"/>
                <w:iCs w:val="1"/>
                <w:color w:val="auto"/>
              </w:rPr>
              <w:t>Balance Sheets</w:t>
            </w: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October 31, 2021</w:t>
            </w:r>
          </w:p>
        </w:tc>
        <w:tc>
          <w:tcPr>
            <w:tcW w:w="100" w:type="dxa"/>
            <w:vAlign w:val="bottom"/>
          </w:tcPr>
          <w:p>
            <w:pPr>
              <w:spacing w:after="0"/>
              <w:rPr>
                <w:sz w:val="17"/>
                <w:szCs w:val="17"/>
                <w:color w:val="auto"/>
              </w:rPr>
            </w:pPr>
          </w:p>
        </w:tc>
        <w:tc>
          <w:tcPr>
            <w:tcW w:w="120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August 1,</w:t>
            </w: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6"/>
              <w:spacing w:after="0" w:line="146" w:lineRule="exact"/>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5"/>
        </w:trPr>
        <w:tc>
          <w:tcPr>
            <w:tcW w:w="47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Inventories</w:t>
            </w:r>
          </w:p>
        </w:tc>
        <w:tc>
          <w:tcPr>
            <w:tcW w:w="3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140"/>
              <w:spacing w:after="0"/>
              <w:rPr>
                <w:sz w:val="20"/>
                <w:szCs w:val="20"/>
                <w:color w:val="auto"/>
              </w:rPr>
            </w:pPr>
            <w:r>
              <w:rPr>
                <w:rFonts w:ascii="Arial" w:cs="Arial" w:eastAsia="Arial" w:hAnsi="Arial"/>
                <w:sz w:val="18"/>
                <w:szCs w:val="18"/>
                <w:color w:val="auto"/>
              </w:rPr>
              <w:t>Raw materials, containers and supplies</w:t>
            </w:r>
          </w:p>
        </w:tc>
        <w:tc>
          <w:tcPr>
            <w:tcW w:w="38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products</w:t>
            </w:r>
          </w:p>
        </w:tc>
        <w:tc>
          <w:tcPr>
            <w:tcW w:w="37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9"/>
        </w:trPr>
        <w:tc>
          <w:tcPr>
            <w:tcW w:w="47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Statements of Earnings</w:t>
            </w:r>
          </w:p>
        </w:tc>
        <w:tc>
          <w:tcPr>
            <w:tcW w:w="3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780" w:type="dxa"/>
            <w:vAlign w:val="bottom"/>
            <w:vMerge w:val="continue"/>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63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8"/>
        </w:trPr>
        <w:tc>
          <w:tcPr>
            <w:tcW w:w="47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 2021</w:t>
            </w:r>
          </w:p>
        </w:tc>
        <w:tc>
          <w:tcPr>
            <w:tcW w:w="100" w:type="dxa"/>
            <w:vAlign w:val="bottom"/>
          </w:tcPr>
          <w:p>
            <w:pPr>
              <w:spacing w:after="0"/>
              <w:rPr>
                <w:sz w:val="15"/>
                <w:szCs w:val="15"/>
                <w:color w:val="auto"/>
              </w:rPr>
            </w:pPr>
          </w:p>
        </w:tc>
        <w:tc>
          <w:tcPr>
            <w:tcW w:w="120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November 1, 2020</w:t>
            </w:r>
          </w:p>
        </w:tc>
        <w:tc>
          <w:tcPr>
            <w:tcW w:w="0" w:type="dxa"/>
            <w:vAlign w:val="bottom"/>
          </w:tcPr>
          <w:p>
            <w:pPr>
              <w:spacing w:after="0"/>
              <w:rPr>
                <w:sz w:val="1"/>
                <w:szCs w:val="1"/>
                <w:color w:val="auto"/>
              </w:rPr>
            </w:pPr>
          </w:p>
        </w:tc>
      </w:tr>
      <w:tr>
        <w:trPr>
          <w:trHeight w:val="206"/>
        </w:trPr>
        <w:tc>
          <w:tcPr>
            <w:tcW w:w="47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Other expenses / (income)</w:t>
            </w:r>
          </w:p>
        </w:tc>
        <w:tc>
          <w:tcPr>
            <w:tcW w:w="3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38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income other than the service cost</w:t>
            </w:r>
          </w:p>
        </w:tc>
        <w:tc>
          <w:tcPr>
            <w:tcW w:w="3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4780" w:type="dxa"/>
            <w:vAlign w:val="bottom"/>
          </w:tcPr>
          <w:p>
            <w:pPr>
              <w:ind w:left="140"/>
              <w:spacing w:after="0"/>
              <w:rPr>
                <w:sz w:val="20"/>
                <w:szCs w:val="20"/>
                <w:color w:val="auto"/>
              </w:rPr>
            </w:pPr>
            <w:r>
              <w:rPr>
                <w:rFonts w:ascii="Arial" w:cs="Arial" w:eastAsia="Arial" w:hAnsi="Arial"/>
                <w:sz w:val="18"/>
                <w:szCs w:val="18"/>
                <w:color w:val="auto"/>
              </w:rPr>
              <w:t>Pension actuarial losses (gains)</w:t>
            </w:r>
          </w:p>
        </w:tc>
        <w:tc>
          <w:tcPr>
            <w:tcW w:w="3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Transition services fees</w:t>
            </w:r>
          </w:p>
        </w:tc>
        <w:tc>
          <w:tcPr>
            <w:tcW w:w="3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7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712"/>
              <w:spacing w:after="0"/>
              <w:rPr>
                <w:sz w:val="20"/>
                <w:szCs w:val="20"/>
                <w:color w:val="auto"/>
              </w:rPr>
            </w:pPr>
            <w:r>
              <w:rPr>
                <w:rFonts w:ascii="Arial" w:cs="Arial" w:eastAsia="Arial" w:hAnsi="Arial"/>
                <w:sz w:val="18"/>
                <w:szCs w:val="18"/>
                <w:color w:val="auto"/>
              </w:rPr>
              <w:t>22</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478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78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2" w:name="page23"/>
    <w:bookmarkEnd w:id="22"/>
    <w:p>
      <w:pPr>
        <w:ind w:right="4100"/>
        <w:spacing w:after="0" w:line="349"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jc w:val="both"/>
        <w:ind w:firstLine="318"/>
        <w:spacing w:after="0" w:line="252"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August 1, 2021, including but not limited to "Part I - Item 1A. Risk Factors" and "Part II - Item 7. Management's Discussion and Analysis of Financial Condition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Unless otherwise stated, the terms "we," "us," "our" and the "company" refer to Campbell Soup Company and its consolidated subsidiaries.</w:t>
      </w:r>
    </w:p>
    <w:p>
      <w:pPr>
        <w:spacing w:after="0" w:line="10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w:t>
      </w:r>
    </w:p>
    <w:p>
      <w:pPr>
        <w:spacing w:after="0" w:line="6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May 3, 2021, we completed the sale of our Plum baby food and snacks business. The results of the business through the date of sale were reflected in continuing operations within the Meals &amp; Beverages reportable segment.</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Beginning in 2022, the foodservice and Canadian business formerly in our Snacks segment is managed as part of the Meals &amp; Beverages segment.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have been adjusted retrospectively to reflect this change.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Trends</w:t>
      </w:r>
    </w:p>
    <w:p>
      <w:pPr>
        <w:spacing w:after="0" w:line="9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have been actively monitoring the impact of the COVID-19 pandemic on all aspects of our business. During the first quarter of 2022, we continued to experience elevated demand for our retail products, but net sales were lower than in the first quarter of 2021 due to cycling the retailer inventory recovery in the prior-year quarter and the impact of supply constraints which held back our ability to meet persistent elevated demand.</w:t>
      </w:r>
    </w:p>
    <w:p>
      <w:pPr>
        <w:spacing w:after="0" w:line="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anticipate that 2022 will continue to be a dynamic macroeconomic environment and we expect elevated levels of input cost inflation and a constrained labor market to persist throughout the remainder of 2022. We anticipate that these headwinds will be partially mitigated by pricing actions that have either taken effect or are expected to take effect in the remaining part of the fiscal year, supply chain productivity improvements and cost saving initiatives, but we do not expect such benefits will fully offset the incremental costs in 2022.</w:t>
      </w:r>
    </w:p>
    <w:p>
      <w:pPr>
        <w:spacing w:after="0" w:line="7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Although we expect the impacts of the COVID-19 pandemic on our business to moderate in the second quarter and beyond there still remains uncertainty around the pandemic. The ultimate impact depends on the severity and duration of the pandemic, including the emergence and spread of COVID-19 variants, the continued availability and effectiveness of vaccines and actions taken by government authorities, including the recent U.S. vaccine mandate, and other third parties in response to the pandemic. We will continue to evaluate the extent to which the COVID-19 pandemic will impact our business, consolidated results of operations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98" w:lineRule="exact"/>
        <w:rPr>
          <w:sz w:val="20"/>
          <w:szCs w:val="20"/>
          <w:color w:val="auto"/>
        </w:rPr>
      </w:pPr>
    </w:p>
    <w:p>
      <w:pPr>
        <w:jc w:val="both"/>
        <w:ind w:left="640" w:hanging="316"/>
        <w:spacing w:after="0" w:line="25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sales decreased 4% in 2022 to $2,236 million due to volume declines and increased promotional spending, partially offset by favorable price and sales allowances. Volumes declined as a result of cycling retailer inventory recovery in the prior-year quarter and supply pressures. Promotional spending increased due in part to moderated levels in the prior-year quarter. Net sales increased 2% in 2022 from $2,183 million in 2020, including a 2-point impact from divestitures.</w:t>
      </w:r>
    </w:p>
    <w:p>
      <w:pPr>
        <w:spacing w:after="0" w:line="7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profit, as a percent of sales, decreased to 32.3% in 2022 from 34.7% in the prior-year quarter. The decrease was primarily due to higher cost inflation, higher levels of promotional spending and unfavorable product mix, partially offset by the benefits of recent pricing actions and supply chain productivity improvements.</w:t>
      </w:r>
    </w:p>
    <w:p>
      <w:pPr>
        <w:spacing w:after="0" w:line="55"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Earnings per share from continuing operations were $.86 in 2022, compared to $1.02 a year ago. The current quarter and prior-year quarter included expenses of $.03 per share and gains of $.01 per share, respectively, from items impacting comparability as discussed below.</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items impacted the comparability of net earnings and net earnings per share: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Continuing Operations</w:t>
      </w:r>
    </w:p>
    <w:p>
      <w:pPr>
        <w:spacing w:after="0" w:line="98" w:lineRule="exact"/>
        <w:rPr>
          <w:sz w:val="20"/>
          <w:szCs w:val="20"/>
          <w:color w:val="auto"/>
        </w:rPr>
      </w:pPr>
    </w:p>
    <w:p>
      <w:pPr>
        <w:jc w:val="both"/>
        <w:ind w:left="640" w:hanging="316"/>
        <w:spacing w:after="0" w:line="249"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implemented several cost savings initiatives in recent years. In the first quarter of 2022, we recorded implementation costs and other related costs of $2 million in Administrative expenses and $2 million in Cost of products sold (aggregate impact of $3 million after tax, or $.01 per share) related to these initiatives. In the first quarter of 2021, we recorded Restructuring charges of $1 million and implementation costs and other related costs of $4 million in Administrative expenses and $1 million in Cost of products sold (aggregate impact of $5 million after tax, or $.02 per share) related to these initiatives. See Note 6 to the Consolidated Financial Statements and "Restructuring Charges and Cost Savings Initiatives" for additional information;</w:t>
      </w:r>
    </w:p>
    <w:p>
      <w:pPr>
        <w:spacing w:after="0" w:line="63" w:lineRule="exact"/>
        <w:rPr>
          <w:rFonts w:ascii="Arial" w:cs="Arial" w:eastAsia="Arial" w:hAnsi="Arial"/>
          <w:sz w:val="18"/>
          <w:szCs w:val="18"/>
          <w:color w:val="auto"/>
        </w:rPr>
      </w:pPr>
    </w:p>
    <w:p>
      <w:pPr>
        <w:jc w:val="both"/>
        <w:ind w:left="640" w:hanging="316"/>
        <w:spacing w:after="0" w:line="318" w:lineRule="auto"/>
        <w:tabs>
          <w:tab w:leader="none" w:pos="6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the first quarter of 2022, we recognized actuarial losses in Other expenses / (income) of $6 million ($5 million after tax, or $.02 per share). In the first quarter of 2021, we recognized actuarial gains in Other expenses / (income) of $4 million ($3 million after tax, or $.01 per share). The actuarial gains and losses related to the remeasurements of a U.S. and a Canadian pension plan. These interim remeasurements were each due to lump sum distributions that exceeded or are expected to exceed service and interest costs resulting in settlement accounting for the plans; and</w:t>
      </w:r>
    </w:p>
    <w:p>
      <w:pPr>
        <w:spacing w:after="0" w:line="26" w:lineRule="exact"/>
        <w:rPr>
          <w:rFonts w:ascii="Arial" w:cs="Arial" w:eastAsia="Arial" w:hAnsi="Arial"/>
          <w:sz w:val="15"/>
          <w:szCs w:val="15"/>
          <w:color w:val="auto"/>
        </w:rPr>
      </w:pPr>
    </w:p>
    <w:p>
      <w:pPr>
        <w:jc w:val="both"/>
        <w:ind w:left="640" w:hanging="316"/>
        <w:spacing w:after="0" w:line="252"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first quarter of 2022, we recognized losses in Cost of products sold of $3 million ($2 million after tax, or $.01 per share) associated with unrealized mark-to-market adjustments on outstanding undesignated commodity hedges. In the first quarter of 2021, we recognized gains in Cost of products sold of $6 million ($5 million after tax, or $.02 per share) associated with unrealized mark-to-market adjustments on outstanding undesignated commodity hedges.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items impacting comparability are summarized below:</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3"/>
        </w:trPr>
        <w:tc>
          <w:tcPr>
            <w:tcW w:w="16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October 31, 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November 1, 2020</w:t>
            </w:r>
          </w:p>
        </w:tc>
      </w:tr>
      <w:tr>
        <w:trPr>
          <w:trHeight w:val="157"/>
        </w:trPr>
        <w:tc>
          <w:tcPr>
            <w:tcW w:w="16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3"/>
                <w:szCs w:val="13"/>
                <w:color w:val="auto"/>
              </w:rPr>
            </w:pPr>
          </w:p>
        </w:tc>
        <w:tc>
          <w:tcPr>
            <w:tcW w:w="9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EPS</w:t>
            </w:r>
          </w:p>
        </w:tc>
        <w:tc>
          <w:tcPr>
            <w:tcW w:w="180" w:type="dxa"/>
            <w:vAlign w:val="bottom"/>
          </w:tcPr>
          <w:p>
            <w:pPr>
              <w:spacing w:after="0"/>
              <w:rPr>
                <w:sz w:val="13"/>
                <w:szCs w:val="13"/>
                <w:color w:val="auto"/>
              </w:rPr>
            </w:pPr>
          </w:p>
        </w:tc>
        <w:tc>
          <w:tcPr>
            <w:tcW w:w="9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3"/>
                <w:szCs w:val="13"/>
                <w:color w:val="auto"/>
              </w:rPr>
            </w:pPr>
          </w:p>
        </w:tc>
        <w:tc>
          <w:tcPr>
            <w:tcW w:w="800" w:type="dxa"/>
            <w:vAlign w:val="bottom"/>
          </w:tcPr>
          <w:p>
            <w:pPr>
              <w:jc w:val="right"/>
              <w:ind w:right="276"/>
              <w:spacing w:after="0" w:line="157" w:lineRule="exact"/>
              <w:rPr>
                <w:sz w:val="20"/>
                <w:szCs w:val="20"/>
                <w:color w:val="auto"/>
              </w:rPr>
            </w:pPr>
            <w:r>
              <w:rPr>
                <w:rFonts w:ascii="Arial" w:cs="Arial" w:eastAsia="Arial" w:hAnsi="Arial"/>
                <w:sz w:val="14"/>
                <w:szCs w:val="14"/>
                <w:b w:val="1"/>
                <w:bCs w:val="1"/>
                <w:color w:val="auto"/>
              </w:rPr>
              <w:t>EPS</w:t>
            </w:r>
          </w:p>
        </w:tc>
      </w:tr>
      <w:tr>
        <w:trPr>
          <w:trHeight w:val="203"/>
        </w:trPr>
        <w:tc>
          <w:tcPr>
            <w:tcW w:w="6940" w:type="dxa"/>
            <w:vAlign w:val="bottom"/>
            <w:gridSpan w:val="2"/>
          </w:tcPr>
          <w:p>
            <w:pPr>
              <w:ind w:left="2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7"/>
                <w:szCs w:val="17"/>
                <w:color w:val="auto"/>
              </w:rPr>
            </w:pPr>
          </w:p>
        </w:tc>
        <w:tc>
          <w:tcPr>
            <w:tcW w:w="800" w:type="dxa"/>
            <w:vAlign w:val="bottom"/>
          </w:tcPr>
          <w:p>
            <w:pPr>
              <w:jc w:val="right"/>
              <w:ind w:right="196"/>
              <w:spacing w:after="0"/>
              <w:rPr>
                <w:sz w:val="20"/>
                <w:szCs w:val="20"/>
                <w:color w:val="auto"/>
              </w:rPr>
            </w:pPr>
            <w:r>
              <w:rPr>
                <w:rFonts w:ascii="Arial" w:cs="Arial" w:eastAsia="Arial" w:hAnsi="Arial"/>
                <w:sz w:val="14"/>
                <w:szCs w:val="14"/>
                <w:b w:val="1"/>
                <w:bCs w:val="1"/>
                <w:color w:val="auto"/>
              </w:rPr>
              <w:t>Impact</w:t>
            </w:r>
          </w:p>
        </w:tc>
      </w:tr>
      <w:tr>
        <w:trPr>
          <w:trHeight w:val="249"/>
        </w:trPr>
        <w:tc>
          <w:tcPr>
            <w:tcW w:w="6940" w:type="dxa"/>
            <w:vAlign w:val="bottom"/>
            <w:tcBorders>
              <w:top w:val="single" w:sz="8" w:color="CCEEFF"/>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94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Earnings (loss) from discontinued operations</w:t>
            </w:r>
          </w:p>
        </w:tc>
        <w:tc>
          <w:tcPr>
            <w:tcW w:w="1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94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16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86"/>
        </w:trPr>
        <w:tc>
          <w:tcPr>
            <w:tcW w:w="6940" w:type="dxa"/>
            <w:vAlign w:val="bottom"/>
            <w:tcBorders>
              <w:left w:val="single" w:sz="8" w:color="CCEEFF"/>
            </w:tcBorders>
            <w:gridSpan w:val="2"/>
            <w:shd w:val="clear" w:color="auto" w:fill="CCEEFF"/>
          </w:tcPr>
          <w:p>
            <w:pPr>
              <w:ind w:left="20"/>
              <w:spacing w:after="0" w:line="186" w:lineRule="exact"/>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40"/>
        </w:trPr>
        <w:tc>
          <w:tcPr>
            <w:tcW w:w="1640" w:type="dxa"/>
            <w:vAlign w:val="bottom"/>
            <w:tcBorders>
              <w:left w:val="single" w:sz="8" w:color="CCEEFF"/>
            </w:tcBorders>
            <w:shd w:val="clear" w:color="auto" w:fill="000000"/>
          </w:tcPr>
          <w:p>
            <w:pPr>
              <w:spacing w:after="0"/>
              <w:rPr>
                <w:sz w:val="3"/>
                <w:szCs w:val="3"/>
                <w:color w:val="auto"/>
              </w:rPr>
            </w:pPr>
          </w:p>
        </w:tc>
        <w:tc>
          <w:tcPr>
            <w:tcW w:w="5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225"/>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5"/>
        </w:trPr>
        <w:tc>
          <w:tcPr>
            <w:tcW w:w="694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Pension actuarial gains (losses)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5"/>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Commodity mark-to-market gains (losses)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940" w:type="dxa"/>
            <w:vAlign w:val="bottom"/>
            <w:tcBorders>
              <w:left w:val="single" w:sz="8" w:color="CCEEFF"/>
              <w:bottom w:val="single" w:sz="8" w:color="CCEEFF"/>
            </w:tcBorders>
            <w:gridSpan w:val="2"/>
            <w:shd w:val="clear" w:color="auto" w:fill="CCEEFF"/>
          </w:tcPr>
          <w:p>
            <w:pPr>
              <w:ind w:left="20"/>
              <w:spacing w:after="0" w:line="219"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2"/>
                <w:szCs w:val="22"/>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may not add due to rounding.</w:t>
      </w:r>
    </w:p>
    <w:p>
      <w:pPr>
        <w:spacing w:after="0" w:line="82"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Earnings from continuing operations were $261 million ($.86 per share) in the current quarter, compared to $309 million ($1.02 per share) in the year-ago quarter. After adjusting for items impacting comparability, earnings from continuing operations decreased reflecting a lower gross profit performance, sales volume declines and higher administrative expenses, partially offset by lower marketing and selling expenses and a lower effective tax rate.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FIRST-QUARTER DISCUSSION AND ANALYSIS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net sales by reportable segment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Pr>
          <w:p>
            <w:pPr>
              <w:spacing w:after="0"/>
              <w:rPr>
                <w:sz w:val="16"/>
                <w:szCs w:val="16"/>
                <w:color w:val="auto"/>
              </w:rPr>
            </w:pPr>
          </w:p>
        </w:tc>
      </w:tr>
      <w:tr>
        <w:trPr>
          <w:trHeight w:val="185"/>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October 31, 2021</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November 1, 2020</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19"/>
        </w:trPr>
        <w:tc>
          <w:tcPr>
            <w:tcW w:w="69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Meals &amp; Beverages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Snacks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43"/>
        </w:trPr>
        <w:tc>
          <w:tcPr>
            <w:tcW w:w="6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4" w:name="page25"/>
    <w:bookmarkEnd w:id="24"/>
    <w:p>
      <w:pPr>
        <w:ind w:left="32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Meals &amp; Beverages</w:t>
            </w:r>
            <w:r>
              <w:rPr>
                <w:rFonts w:ascii="Arial" w:cs="Arial" w:eastAsia="Arial" w:hAnsi="Arial"/>
                <w:sz w:val="18"/>
                <w:szCs w:val="18"/>
                <w:b w:val="1"/>
                <w:bCs w:val="1"/>
                <w:color w:val="auto"/>
                <w:vertAlign w:val="superscript"/>
              </w:rPr>
              <w:t>(2)</w:t>
            </w:r>
          </w:p>
        </w:tc>
        <w:tc>
          <w:tcPr>
            <w:tcW w:w="1540" w:type="dxa"/>
            <w:vAlign w:val="bottom"/>
            <w:gridSpan w:val="2"/>
          </w:tcPr>
          <w:p>
            <w:pPr>
              <w:ind w:left="500"/>
              <w:spacing w:after="0"/>
              <w:rPr>
                <w:sz w:val="20"/>
                <w:szCs w:val="20"/>
                <w:color w:val="auto"/>
              </w:rPr>
            </w:pPr>
            <w:r>
              <w:rPr>
                <w:rFonts w:ascii="Arial" w:cs="Arial" w:eastAsia="Arial" w:hAnsi="Arial"/>
                <w:sz w:val="14"/>
                <w:szCs w:val="14"/>
                <w:b w:val="1"/>
                <w:bCs w:val="1"/>
                <w:color w:val="auto"/>
              </w:rPr>
              <w:t>Snacks</w:t>
            </w: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(2)</w:t>
            </w:r>
          </w:p>
        </w:tc>
      </w:tr>
      <w:tr>
        <w:trPr>
          <w:trHeight w:val="218"/>
        </w:trPr>
        <w:tc>
          <w:tcPr>
            <w:tcW w:w="67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Volume and mix</w:t>
            </w: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w:t>
            </w: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26"/>
        </w:trPr>
        <w:tc>
          <w:tcPr>
            <w:tcW w:w="67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Decreased / (increased) promotional spending</w:t>
            </w:r>
            <w:r>
              <w:rPr>
                <w:rFonts w:ascii="Arial" w:cs="Arial" w:eastAsia="Arial" w:hAnsi="Arial"/>
                <w:sz w:val="22"/>
                <w:szCs w:val="22"/>
                <w:color w:val="auto"/>
                <w:vertAlign w:val="superscript"/>
              </w:rPr>
              <w:t>(1)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Divestiture</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44"/>
        </w:trPr>
        <w:tc>
          <w:tcPr>
            <w:tcW w:w="674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2" w:lineRule="exact"/>
        <w:rPr>
          <w:rFonts w:ascii="Arial" w:cs="Arial" w:eastAsia="Arial" w:hAnsi="Arial"/>
          <w:sz w:val="23"/>
          <w:szCs w:val="23"/>
          <w:color w:val="auto"/>
          <w:vertAlign w:val="superscript"/>
        </w:rPr>
      </w:pPr>
    </w:p>
    <w:p>
      <w:pPr>
        <w:ind w:left="320" w:hanging="314"/>
        <w:spacing w:after="0" w:line="189"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does not add due to rounding.</w:t>
      </w:r>
    </w:p>
    <w:p>
      <w:pPr>
        <w:spacing w:after="0" w:line="8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In Meals &amp; Beverages, sales decreased 7%. Excluding the impact from the divestiture of the Plum baby food and snacks business, sales decreased primarily due to declines across U.S. retail products, including </w:t>
      </w:r>
      <w:r>
        <w:rPr>
          <w:rFonts w:ascii="Arial" w:cs="Arial" w:eastAsia="Arial" w:hAnsi="Arial"/>
          <w:sz w:val="15"/>
          <w:szCs w:val="15"/>
          <w:i w:val="1"/>
          <w:iCs w:val="1"/>
          <w:color w:val="auto"/>
        </w:rPr>
        <w:t>V8</w:t>
      </w:r>
      <w:r>
        <w:rPr>
          <w:rFonts w:ascii="Arial" w:cs="Arial" w:eastAsia="Arial" w:hAnsi="Arial"/>
          <w:sz w:val="15"/>
          <w:szCs w:val="15"/>
          <w:color w:val="auto"/>
        </w:rPr>
        <w:t xml:space="preserve"> beverages, </w:t>
      </w:r>
      <w:r>
        <w:rPr>
          <w:rFonts w:ascii="Arial" w:cs="Arial" w:eastAsia="Arial" w:hAnsi="Arial"/>
          <w:sz w:val="15"/>
          <w:szCs w:val="15"/>
          <w:i w:val="1"/>
          <w:iCs w:val="1"/>
          <w:color w:val="auto"/>
        </w:rPr>
        <w:t>Prego</w:t>
      </w:r>
      <w:r>
        <w:rPr>
          <w:rFonts w:ascii="Arial" w:cs="Arial" w:eastAsia="Arial" w:hAnsi="Arial"/>
          <w:sz w:val="15"/>
          <w:szCs w:val="15"/>
          <w:color w:val="auto"/>
        </w:rPr>
        <w:t xml:space="preserve"> pasta sauces and U.S. soup, as well as in Canada. Volume decreased primarily due to cycling the retailer inventory recovery in the prior-year quarter and due to supply pressures. Promotional spending increased relative to moderated levels in the prior-year quarter, partly offsetting the impact of recent price increases. Sales of U.S. soup decreased 2%, cycling a 21% increase in the first quarter of the prior year, due to volume declines in ready-to-serve soups and condensed soups, partially offset by gains in broth.</w:t>
      </w:r>
    </w:p>
    <w:p>
      <w:pPr>
        <w:spacing w:after="0" w:line="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In Snacks, sales decreased 1% as volume declines and increased promotional spending relative to moderated levels in the prior-year quarter were partly offset by favorable price and sales allowances. Declines in partner brands, in </w:t>
      </w:r>
      <w:r>
        <w:rPr>
          <w:rFonts w:ascii="Arial" w:cs="Arial" w:eastAsia="Arial" w:hAnsi="Arial"/>
          <w:sz w:val="18"/>
          <w:szCs w:val="18"/>
          <w:i w:val="1"/>
          <w:iCs w:val="1"/>
          <w:color w:val="auto"/>
        </w:rPr>
        <w:t>Pop Secret</w:t>
      </w:r>
      <w:r>
        <w:rPr>
          <w:rFonts w:ascii="Arial" w:cs="Arial" w:eastAsia="Arial" w:hAnsi="Arial"/>
          <w:sz w:val="18"/>
          <w:szCs w:val="18"/>
          <w:color w:val="auto"/>
        </w:rPr>
        <w:t xml:space="preserve"> popcorn due to elevated demand in the prior-year quarter and in </w:t>
      </w:r>
      <w:r>
        <w:rPr>
          <w:rFonts w:ascii="Arial" w:cs="Arial" w:eastAsia="Arial" w:hAnsi="Arial"/>
          <w:sz w:val="18"/>
          <w:szCs w:val="18"/>
          <w:i w:val="1"/>
          <w:iCs w:val="1"/>
          <w:color w:val="auto"/>
        </w:rPr>
        <w:t>Late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July </w:t>
      </w:r>
      <w:r>
        <w:rPr>
          <w:rFonts w:ascii="Arial" w:cs="Arial" w:eastAsia="Arial" w:hAnsi="Arial"/>
          <w:sz w:val="18"/>
          <w:szCs w:val="18"/>
          <w:color w:val="auto"/>
        </w:rPr>
        <w:t>snacks due to supply pressures were partially offset by gains in</w:t>
      </w:r>
      <w:r>
        <w:rPr>
          <w:rFonts w:ascii="Arial" w:cs="Arial" w:eastAsia="Arial" w:hAnsi="Arial"/>
          <w:sz w:val="18"/>
          <w:szCs w:val="18"/>
          <w:i w:val="1"/>
          <w:iCs w:val="1"/>
          <w:color w:val="auto"/>
        </w:rPr>
        <w:t xml:space="preserve"> Goldfish </w:t>
      </w:r>
      <w:r>
        <w:rPr>
          <w:rFonts w:ascii="Arial" w:cs="Arial" w:eastAsia="Arial" w:hAnsi="Arial"/>
          <w:sz w:val="18"/>
          <w:szCs w:val="18"/>
          <w:color w:val="auto"/>
        </w:rPr>
        <w:t>crackers and Pepperidge Farm cookies. Partner brands consist of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branded products that we sell. Sales of our power brands increased 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Gross profit, defined as Net sales less Cost of products sold, decreased by $91 million in 2022 from 2021. As a percent of sales, gross profit was 32.3% in 2022 and 34.7% in 2021.</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240 basis-point decrease in gross profit margin was due to the following factors: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Margin Impact</w:t>
            </w:r>
          </w:p>
        </w:tc>
      </w:tr>
      <w:tr>
        <w:trPr>
          <w:trHeight w:val="224"/>
        </w:trPr>
        <w:tc>
          <w:tcPr>
            <w:tcW w:w="99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(480)</w:t>
            </w:r>
          </w:p>
        </w:tc>
      </w:tr>
      <w:tr>
        <w:trPr>
          <w:trHeight w:val="225"/>
        </w:trPr>
        <w:tc>
          <w:tcPr>
            <w:tcW w:w="9960" w:type="dxa"/>
            <w:vAlign w:val="bottom"/>
          </w:tcPr>
          <w:p>
            <w:pPr>
              <w:ind w:left="20"/>
              <w:spacing w:after="0"/>
              <w:rPr>
                <w:sz w:val="20"/>
                <w:szCs w:val="20"/>
                <w:color w:val="auto"/>
              </w:rPr>
            </w:pPr>
            <w:r>
              <w:rPr>
                <w:rFonts w:ascii="Arial" w:cs="Arial" w:eastAsia="Arial" w:hAnsi="Arial"/>
                <w:sz w:val="18"/>
                <w:szCs w:val="18"/>
                <w:color w:val="auto"/>
              </w:rPr>
              <w:t>Higher level of promotional spending</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(130)</w:t>
            </w:r>
          </w:p>
        </w:tc>
      </w:tr>
      <w:tr>
        <w:trPr>
          <w:trHeight w:val="225"/>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Mix</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(70)</w:t>
            </w:r>
          </w:p>
        </w:tc>
      </w:tr>
      <w:tr>
        <w:trPr>
          <w:trHeight w:val="225"/>
        </w:trPr>
        <w:tc>
          <w:tcPr>
            <w:tcW w:w="9960" w:type="dxa"/>
            <w:vAlign w:val="bottom"/>
          </w:tcPr>
          <w:p>
            <w:pPr>
              <w:ind w:left="20"/>
              <w:spacing w:after="0"/>
              <w:rPr>
                <w:sz w:val="20"/>
                <w:szCs w:val="20"/>
                <w:color w:val="auto"/>
              </w:rPr>
            </w:pPr>
            <w:r>
              <w:rPr>
                <w:rFonts w:ascii="Arial" w:cs="Arial" w:eastAsia="Arial" w:hAnsi="Arial"/>
                <w:sz w:val="18"/>
                <w:szCs w:val="18"/>
                <w:color w:val="auto"/>
              </w:rPr>
              <w:t>Productivity improvements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120</w:t>
            </w:r>
          </w:p>
        </w:tc>
      </w:tr>
      <w:tr>
        <w:trPr>
          <w:trHeight w:val="225"/>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and sales allowances</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320</w:t>
            </w:r>
          </w:p>
        </w:tc>
      </w:tr>
      <w:tr>
        <w:trPr>
          <w:trHeight w:val="218"/>
        </w:trPr>
        <w:tc>
          <w:tcPr>
            <w:tcW w:w="996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(240)</w:t>
            </w:r>
          </w:p>
        </w:tc>
      </w:tr>
      <w:tr>
        <w:trPr>
          <w:trHeight w:val="20"/>
        </w:trPr>
        <w:tc>
          <w:tcPr>
            <w:tcW w:w="9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52" w:lineRule="exact"/>
        <w:rPr>
          <w:sz w:val="20"/>
          <w:szCs w:val="20"/>
          <w:color w:val="auto"/>
        </w:rPr>
      </w:pPr>
    </w:p>
    <w:p>
      <w:pPr>
        <w:jc w:val="both"/>
        <w:ind w:left="320" w:hanging="314"/>
        <w:spacing w:after="0" w:line="229" w:lineRule="auto"/>
        <w:tabs>
          <w:tab w:leader="none" w:pos="30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Includes an estimated positive margin impact of 30 basis points from the benefit of cost savings initiatives, which was more than offset by cost inflation and other factors, including a 40 basis-point impact from the change in unrealized mark-to-market adjustments on outstanding undesignated commodity hedges.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Marketing and selling expenses as a percent of sales were 7.6% in 2022 compared to 8.9% in 2021. Marketing and selling expenses decreased 18% in 2022 from 2021. The decrease was primarily due to lower advertising and consumer promotion expense (approximately 15 points) and lower selling expenses (approximately 3 points). The decrease in advertising and consumer promotion expense was due in part to supply constraints.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9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Administrative expenses as a percent of sales were 7.0% in 2022 compared to 6.0% in 2021. Administrative expenses increased 11% in 2022 from 2021. The increase was primarily due to expenses related to the settlement of certain legal claims (approximately 11 points) and higher general administrative costs (approximately 4 points), partially offset by increased benefits from cost savings initiatives (approximately 4 points).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income was $1 million in 2022 compared to other income of $18 million in 2021. Other income in 2022 included pension actuarial losses of $6 million. Other income in 2021 included pension actuarial gains of $4 million. Excluding these amounts, the remaining decrease in other income was primarily due to income from transition services fees in the prior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Segment operating earnings decreased 14% in 2022 from 2021.</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analysis of operating earnings by segment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0"/>
              </w:rPr>
              <w:t>October 31, 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November 1, 2020</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219"/>
        </w:trPr>
        <w:tc>
          <w:tcPr>
            <w:tcW w:w="73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Meals &amp; Beverages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337</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(17)</w:t>
            </w:r>
          </w:p>
        </w:tc>
      </w:tr>
      <w:tr>
        <w:trPr>
          <w:trHeight w:val="22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Snacks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w:t>
            </w:r>
          </w:p>
        </w:tc>
      </w:tr>
      <w:tr>
        <w:trPr>
          <w:trHeight w:val="219"/>
        </w:trPr>
        <w:tc>
          <w:tcPr>
            <w:tcW w:w="7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408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472</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(14)</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Corporate income (expense)</w:t>
            </w:r>
          </w:p>
        </w:tc>
        <w:tc>
          <w:tcPr>
            <w:tcW w:w="140" w:type="dxa"/>
            <w:vAlign w:val="bottom"/>
          </w:tcPr>
          <w:p>
            <w:pPr>
              <w:spacing w:after="0"/>
              <w:rPr>
                <w:sz w:val="19"/>
                <w:szCs w:val="19"/>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73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8"/>
        </w:trPr>
        <w:tc>
          <w:tcPr>
            <w:tcW w:w="7380" w:type="dxa"/>
            <w:vAlign w:val="bottom"/>
          </w:tcPr>
          <w:p>
            <w:pPr>
              <w:ind w:left="20"/>
              <w:spacing w:after="0" w:line="204" w:lineRule="exact"/>
              <w:rPr>
                <w:sz w:val="20"/>
                <w:szCs w:val="20"/>
                <w:color w:val="auto"/>
              </w:rPr>
            </w:pPr>
            <w:r>
              <w:rPr>
                <w:rFonts w:ascii="Arial" w:cs="Arial" w:eastAsia="Arial" w:hAnsi="Arial"/>
                <w:sz w:val="18"/>
                <w:szCs w:val="18"/>
                <w:color w:val="auto"/>
              </w:rPr>
              <w:t>Earnings before interest and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376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4"/>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See Note 6 to the Consolidated Financial Statements for additional information on restructuring charges.</w:t>
      </w:r>
    </w:p>
    <w:p>
      <w:pPr>
        <w:spacing w:after="0" w:line="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Operating earnings from Meals &amp; Beverages decreased 17%. The decrease was primarily due to lower gross profit performance and sales volume declines, partially offset by lower marketing and selling expenses. Gross profit performance was impacted by higher cost inflation, higher levels of promotional spending, higher other supply chain costs and unfavorable product mix, partially offset by the benefits of recent pricing actions and supply chain productivity improvements.</w:t>
      </w:r>
    </w:p>
    <w:p>
      <w:pPr>
        <w:spacing w:after="0" w:line="5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Operating earnings from Snacks decreased 5%. The decrease was driven by higher administrative expenses due to the settlement of certain legal claims and a slightly lower gross profit performance, partially offset by lower marketing and selling expenses. Gross profit performance was impacted by higher cost inflation, unfavorable product mix and higher levels of promotional spending, largely offset by the benefits of recent pricing actions, supply chain productivity improvements and cost savings initiatives as well as lower other supply chain costs.</w:t>
      </w:r>
    </w:p>
    <w:p>
      <w:pPr>
        <w:spacing w:after="0" w:line="5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Corporate expense in 2022 included pension actuarial losses of $6 million, costs of $4 million related to costs savings initiatives and unrealized mark-to-market losses on outstanding undesignated commodity hedges of $3 million. Corporate expense in 2021 included costs of $5 million related to cost savings initiatives, pension actuarial gains of $4 million and unrealized mark-to-market gains on outstanding undesignated commodity hedges of $6 million.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decreased to $47 million in 2022 from $55 million in 2021, primarily due to lower levels of debt.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effective tax rate was 20.7% in 2022 and 23.9% in 2021. The decrease in the effective tax rate was primarily due to the favorable resolution of several tax matters in 2022.</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Over the years, we expanded these initiatives by further optimizing our supply chain and manufacturing networks, including closing our manufacturing facility in Toronto, Ontario, as well as our information technology infrastructure.</w:t>
      </w:r>
    </w:p>
    <w:p>
      <w:pPr>
        <w:spacing w:after="0" w:line="6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March 26, 2018, we completed the acquisition of Snyder's-Lance, Inc.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6" w:name="page27"/>
    <w:bookmarkEnd w:id="26"/>
    <w:p>
      <w:pPr>
        <w:ind w:left="320"/>
        <w:spacing w:after="0"/>
        <w:rPr>
          <w:sz w:val="20"/>
          <w:szCs w:val="20"/>
          <w:color w:val="auto"/>
        </w:rPr>
      </w:pPr>
      <w:r>
        <w:rPr>
          <w:rFonts w:ascii="Arial" w:cs="Arial" w:eastAsia="Arial" w:hAnsi="Arial"/>
          <w:sz w:val="18"/>
          <w:szCs w:val="18"/>
          <w:color w:val="auto"/>
        </w:rPr>
        <w:t>A summary of charges recorded in Earnings from continuing operations related to these initiatives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(Millions, except per share amounts)</w:t>
            </w:r>
          </w:p>
        </w:tc>
        <w:tc>
          <w:tcPr>
            <w:tcW w:w="42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October 31, 2021</w:t>
            </w:r>
          </w:p>
        </w:tc>
        <w:tc>
          <w:tcPr>
            <w:tcW w:w="2000" w:type="dxa"/>
            <w:vAlign w:val="bottom"/>
            <w:gridSpan w:val="4"/>
            <w:vMerge w:val="restart"/>
          </w:tcPr>
          <w:p>
            <w:pPr>
              <w:jc w:val="right"/>
              <w:ind w:right="449"/>
              <w:spacing w:after="0"/>
              <w:rPr>
                <w:sz w:val="20"/>
                <w:szCs w:val="20"/>
                <w:color w:val="auto"/>
              </w:rPr>
            </w:pPr>
            <w:r>
              <w:rPr>
                <w:rFonts w:ascii="Arial" w:cs="Arial" w:eastAsia="Arial" w:hAnsi="Arial"/>
                <w:sz w:val="14"/>
                <w:szCs w:val="14"/>
                <w:b w:val="1"/>
                <w:bCs w:val="1"/>
                <w:color w:val="auto"/>
              </w:rPr>
              <w:t>November 1, 2020</w:t>
            </w:r>
          </w:p>
        </w:tc>
        <w:tc>
          <w:tcPr>
            <w:tcW w:w="120" w:type="dxa"/>
            <w:vAlign w:val="bottom"/>
          </w:tcPr>
          <w:p>
            <w:pPr>
              <w:spacing w:after="0"/>
              <w:rPr>
                <w:sz w:val="10"/>
                <w:szCs w:val="10"/>
                <w:color w:val="auto"/>
              </w:rPr>
            </w:pPr>
          </w:p>
        </w:tc>
        <w:tc>
          <w:tcPr>
            <w:tcW w:w="132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Recognized as of</w:t>
            </w:r>
          </w:p>
        </w:tc>
        <w:tc>
          <w:tcPr>
            <w:tcW w:w="0" w:type="dxa"/>
            <w:vAlign w:val="bottom"/>
          </w:tcPr>
          <w:p>
            <w:pPr>
              <w:spacing w:after="0"/>
              <w:rPr>
                <w:sz w:val="1"/>
                <w:szCs w:val="1"/>
                <w:color w:val="auto"/>
              </w:rPr>
            </w:pPr>
          </w:p>
        </w:tc>
      </w:tr>
      <w:tr>
        <w:trPr>
          <w:trHeight w:val="185"/>
        </w:trPr>
        <w:tc>
          <w:tcPr>
            <w:tcW w:w="61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0" w:type="dxa"/>
            <w:vAlign w:val="bottom"/>
            <w:gridSpan w:val="4"/>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 2021</w:t>
            </w:r>
          </w:p>
        </w:tc>
        <w:tc>
          <w:tcPr>
            <w:tcW w:w="0" w:type="dxa"/>
            <w:vAlign w:val="bottom"/>
          </w:tcPr>
          <w:p>
            <w:pPr>
              <w:spacing w:after="0"/>
              <w:rPr>
                <w:sz w:val="1"/>
                <w:szCs w:val="1"/>
                <w:color w:val="auto"/>
              </w:rPr>
            </w:pPr>
          </w:p>
        </w:tc>
      </w:tr>
      <w:tr>
        <w:trPr>
          <w:trHeight w:val="219"/>
        </w:trPr>
        <w:tc>
          <w:tcPr>
            <w:tcW w:w="612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Restructuring charges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tcPr>
          <w:p>
            <w:pPr>
              <w:ind w:left="340"/>
              <w:spacing w:after="0"/>
              <w:rPr>
                <w:sz w:val="20"/>
                <w:szCs w:val="20"/>
                <w:color w:val="auto"/>
              </w:rPr>
            </w:pPr>
            <w:r>
              <w:rPr>
                <w:rFonts w:ascii="Arial" w:cs="Arial" w:eastAsia="Arial" w:hAnsi="Arial"/>
                <w:sz w:val="18"/>
                <w:szCs w:val="18"/>
                <w:color w:val="auto"/>
              </w:rPr>
              <w:t>Administrative expenses</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tcPr>
          <w:p>
            <w:pPr>
              <w:ind w:left="340"/>
              <w:spacing w:after="0"/>
              <w:rPr>
                <w:sz w:val="20"/>
                <w:szCs w:val="20"/>
                <w:color w:val="auto"/>
              </w:rPr>
            </w:pPr>
            <w:r>
              <w:rPr>
                <w:rFonts w:ascii="Arial" w:cs="Arial" w:eastAsia="Arial" w:hAnsi="Arial"/>
                <w:sz w:val="18"/>
                <w:szCs w:val="18"/>
                <w:color w:val="auto"/>
              </w:rPr>
              <w:t>Marketing and selling expenses</w:t>
            </w:r>
          </w:p>
        </w:tc>
        <w:tc>
          <w:tcPr>
            <w:tcW w:w="4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spacing w:after="0"/>
              <w:rPr>
                <w:sz w:val="19"/>
                <w:szCs w:val="19"/>
                <w:color w:val="auto"/>
              </w:rPr>
            </w:pPr>
          </w:p>
        </w:tc>
        <w:tc>
          <w:tcPr>
            <w:tcW w:w="940" w:type="dxa"/>
            <w:vAlign w:val="bottom"/>
            <w:gridSpan w:val="3"/>
          </w:tcPr>
          <w:p>
            <w:pPr>
              <w:jc w:val="right"/>
              <w:ind w:right="42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20" w:type="dxa"/>
            <w:vAlign w:val="bottom"/>
          </w:tcPr>
          <w:p>
            <w:pPr>
              <w:ind w:left="340"/>
              <w:spacing w:after="0" w:line="204" w:lineRule="exact"/>
              <w:rPr>
                <w:sz w:val="20"/>
                <w:szCs w:val="20"/>
                <w:color w:val="auto"/>
              </w:rPr>
            </w:pPr>
            <w:r>
              <w:rPr>
                <w:rFonts w:ascii="Arial" w:cs="Arial" w:eastAsia="Arial" w:hAnsi="Arial"/>
                <w:sz w:val="18"/>
                <w:szCs w:val="18"/>
                <w:color w:val="auto"/>
              </w:rPr>
              <w:t>Total pre-tax charges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120" w:type="dxa"/>
            <w:vAlign w:val="bottom"/>
          </w:tcPr>
          <w:p>
            <w:pPr>
              <w:ind w:left="340"/>
              <w:spacing w:after="0" w:line="204" w:lineRule="exact"/>
              <w:rPr>
                <w:sz w:val="20"/>
                <w:szCs w:val="20"/>
                <w:color w:val="auto"/>
              </w:rPr>
            </w:pPr>
            <w:r>
              <w:rPr>
                <w:rFonts w:ascii="Arial" w:cs="Arial" w:eastAsia="Arial" w:hAnsi="Arial"/>
                <w:sz w:val="18"/>
                <w:szCs w:val="18"/>
                <w:color w:val="auto"/>
              </w:rPr>
              <w:t>Aggregate after-tax impact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20" w:type="dxa"/>
            <w:vAlign w:val="bottom"/>
            <w:tcBorders>
              <w:bottom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Per share impact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8860" w:type="dxa"/>
            <w:vAlign w:val="bottom"/>
            <w:gridSpan w:val="5"/>
          </w:tcPr>
          <w:p>
            <w:pPr>
              <w:ind w:left="320"/>
              <w:spacing w:after="0"/>
              <w:rPr>
                <w:sz w:val="20"/>
                <w:szCs w:val="20"/>
                <w:color w:val="auto"/>
              </w:rPr>
            </w:pPr>
            <w:r>
              <w:rPr>
                <w:rFonts w:ascii="Arial" w:cs="Arial" w:eastAsia="Arial" w:hAnsi="Arial"/>
                <w:sz w:val="18"/>
                <w:szCs w:val="18"/>
                <w:color w:val="auto"/>
                <w:w w:val="92"/>
              </w:rPr>
              <w:t>A summary of the pre-tax costs in Earnings from continuing operations associated with these initiatives is as follows: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(Millions)</w:t>
            </w: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Recognized as of</w:t>
            </w:r>
          </w:p>
        </w:tc>
        <w:tc>
          <w:tcPr>
            <w:tcW w:w="0" w:type="dxa"/>
            <w:vAlign w:val="bottom"/>
          </w:tcPr>
          <w:p>
            <w:pPr>
              <w:spacing w:after="0"/>
              <w:rPr>
                <w:sz w:val="1"/>
                <w:szCs w:val="1"/>
                <w:color w:val="auto"/>
              </w:rPr>
            </w:pPr>
          </w:p>
        </w:tc>
      </w:tr>
      <w:tr>
        <w:trPr>
          <w:trHeight w:val="185"/>
        </w:trPr>
        <w:tc>
          <w:tcPr>
            <w:tcW w:w="61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October 31, 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Severance pay and benefits</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tcPr>
          <w:p>
            <w:pPr>
              <w:ind w:left="340"/>
              <w:spacing w:after="0"/>
              <w:rPr>
                <w:sz w:val="20"/>
                <w:szCs w:val="20"/>
                <w:color w:val="auto"/>
              </w:rPr>
            </w:pPr>
            <w:r>
              <w:rPr>
                <w:rFonts w:ascii="Arial" w:cs="Arial" w:eastAsia="Arial" w:hAnsi="Arial"/>
                <w:sz w:val="18"/>
                <w:szCs w:val="18"/>
                <w:color w:val="auto"/>
              </w:rPr>
              <w:t>Asset impairment/accelerated depreciation</w:t>
            </w: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Implementation costs and other related costs</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20" w:type="dxa"/>
            <w:vAlign w:val="bottom"/>
          </w:tcPr>
          <w:p>
            <w:pPr>
              <w:ind w:left="34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total estimated pre-tax costs for actions associated with continuing operations are approximately $715 million to $730 million. The majority of the remaining costs will be incurred in 2022.</w:t>
      </w:r>
    </w:p>
    <w:p>
      <w:pPr>
        <w:spacing w:after="0" w:line="6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expect the costs for actions associated with continuing operations to consist of the following: approximately $225 million in severance pay and benefits; approximately $85 million in asset impairment and accelerated depreciation; and approximately $405 million to $420 million in implementation costs and other related costs. We expect these pre-tax costs to be associated with our segments as follows: Meals &amp; Beverages - approximately 31%; Snacks - approximately 45%; and Corporate - approximately 24%.</w:t>
      </w:r>
    </w:p>
    <w:p>
      <w:pPr>
        <w:spacing w:after="0" w:line="7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Of the aggregate $715 million to $730 million of pre-tax costs associated with continuing operations, we expect approximately $615 million to $630 million will be cash expenditures. In addition, we expect to invest approximately $450 million in capital expenditures through 2022, of which we invested $415 million as of October 31, 2021. The capital expenditures primarily relate to improvement of quality, safety and cost structure across the Snyder’s-Lance manufacturing network, a U.S. warehouse optimization project, implementation of our existing SAP enterprise-resource planning system for Snyder's-Lance, transition of production of the Toronto manufacturing facility to our U.S. thermal plants, optimization of information technology infrastructure and applications, and optimization of the Snyder’s-Lance warehouse and distribution network.</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to fund the costs through cash flows from operations and short-term borrowings.</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the initiatives for actions associated with continuing operations, once all phases are implemented, to generate annual ongoing savings of approximately $850 million by the end of 2022. In the three-month period ended October 31, 2021, we generated an additional $15 million of pre-tax savings. The annual pre-tax savings associated with continuing operations generated were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5"/>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1, 2021</w:t>
            </w: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2, 2020</w:t>
            </w:r>
          </w:p>
        </w:tc>
        <w:tc>
          <w:tcPr>
            <w:tcW w:w="18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28, 2019</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July 29, 2018</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30, 2017</w:t>
            </w:r>
          </w:p>
        </w:tc>
        <w:tc>
          <w:tcPr>
            <w:tcW w:w="16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31, 2016</w:t>
            </w:r>
          </w:p>
        </w:tc>
        <w:tc>
          <w:tcPr>
            <w:tcW w:w="140" w:type="dxa"/>
            <w:vAlign w:val="bottom"/>
          </w:tcPr>
          <w:p>
            <w:pPr>
              <w:spacing w:after="0"/>
              <w:rPr>
                <w:sz w:val="16"/>
                <w:szCs w:val="16"/>
                <w:color w:val="auto"/>
              </w:rPr>
            </w:pPr>
          </w:p>
        </w:tc>
        <w:tc>
          <w:tcPr>
            <w:tcW w:w="1080" w:type="dxa"/>
            <w:vAlign w:val="bottom"/>
          </w:tcPr>
          <w:p>
            <w:pPr>
              <w:jc w:val="right"/>
              <w:ind w:right="81"/>
              <w:spacing w:after="0"/>
              <w:rPr>
                <w:sz w:val="20"/>
                <w:szCs w:val="20"/>
                <w:color w:val="auto"/>
              </w:rPr>
            </w:pPr>
            <w:r>
              <w:rPr>
                <w:rFonts w:ascii="Arial" w:cs="Arial" w:eastAsia="Arial" w:hAnsi="Arial"/>
                <w:sz w:val="14"/>
                <w:szCs w:val="14"/>
                <w:b w:val="1"/>
                <w:bCs w:val="1"/>
                <w:color w:val="auto"/>
                <w:w w:val="91"/>
              </w:rPr>
              <w:t>August 2, 2015</w:t>
            </w:r>
          </w:p>
        </w:tc>
      </w:tr>
      <w:tr>
        <w:trPr>
          <w:trHeight w:val="219"/>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savings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7" w:name="page28"/>
    <w:bookmarkEnd w:id="27"/>
    <w:p>
      <w:pPr>
        <w:jc w:val="both"/>
        <w:ind w:firstLine="318"/>
        <w:spacing w:after="0" w:line="278"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4"/>
                <w:szCs w:val="14"/>
                <w:b w:val="1"/>
                <w:bCs w:val="1"/>
                <w:color w:val="auto"/>
              </w:rPr>
              <w:t>October 31, 2021</w:t>
            </w:r>
          </w:p>
        </w:tc>
        <w:tc>
          <w:tcPr>
            <w:tcW w:w="700" w:type="dxa"/>
            <w:vAlign w:val="bottom"/>
            <w:tcBorders>
              <w:bottom w:val="single" w:sz="8" w:color="auto"/>
            </w:tcBorders>
          </w:tcPr>
          <w:p>
            <w:pPr>
              <w:spacing w:after="0"/>
              <w:rPr>
                <w:sz w:val="16"/>
                <w:szCs w:val="16"/>
                <w:color w:val="auto"/>
              </w:rPr>
            </w:pPr>
          </w:p>
        </w:tc>
      </w:tr>
      <w:tr>
        <w:trPr>
          <w:trHeight w:val="185"/>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6"/>
                <w:szCs w:val="16"/>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Costs Incurred to Date</w:t>
            </w:r>
          </w:p>
        </w:tc>
      </w:tr>
      <w:tr>
        <w:trPr>
          <w:trHeight w:val="219"/>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Snacks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25"/>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9"/>
        </w:trPr>
        <w:tc>
          <w:tcPr>
            <w:tcW w:w="80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20"/>
        </w:trPr>
        <w:tc>
          <w:tcPr>
            <w:tcW w:w="8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Through April 28, 2019, we incurred pre-tax charges of $23 million in Earnings from discontinued operations consisting of $19 million of severance pay and benefits and $4 million of implementation costs and other related costs. All of the costs were cash expenditures.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Initiatives in 2022</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continue to pursue cost savings initiatives by further optimizing our supply chain and manufacturing network and through effective cost management. We are pursuing additional initiatives that will generate incremental annual ongoing savings of approximately $150 million by the end of 2025. With these expanded initiatives, we expect to generate cumulative annual pre-tax savings of approximately $1 billion by the end of 2025. Cost estimates will be updated as the expanded initiatives are developed.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5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generated cash flows from operations of $288 million in 2022, compared to $180 million in 2021. The increase in 2022 was primarily due to changes in working capital, principally accounts payable and accrued liabilities, partially offset by lower cash earnings.</w:t>
      </w:r>
    </w:p>
    <w:p>
      <w:pPr>
        <w:spacing w:after="0" w:line="6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Current assets are less than current liabilities as a result of our level of current maturities of long-term debt and short-term borrowings and our focus to lower core working capital requirements. We had negative working capital of $462 million as of October 31, 2021, and $119 million as of August 1, 2021. Total debt maturing within one year was $480 million as of October</w:t>
      </w:r>
      <w:r>
        <w:rPr>
          <w:rFonts w:ascii="Arial" w:cs="Arial" w:eastAsia="Arial" w:hAnsi="Arial"/>
          <w:sz w:val="17"/>
          <w:szCs w:val="17"/>
          <w:color w:val="FFFFFF"/>
        </w:rPr>
        <w:t>-</w:t>
      </w:r>
      <w:r>
        <w:rPr>
          <w:rFonts w:ascii="Arial" w:cs="Arial" w:eastAsia="Arial" w:hAnsi="Arial"/>
          <w:sz w:val="17"/>
          <w:szCs w:val="17"/>
          <w:color w:val="auto"/>
        </w:rPr>
        <w:t>31, 2021, and $48 million as of August 1, 2021.</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Capital expenditures were $69 million in 2022 and $74 million in 2021. Capital expenditures are expected to total approximately $300 million in 2022.</w:t>
      </w:r>
    </w:p>
    <w:p>
      <w:pPr>
        <w:spacing w:after="0" w:line="119" w:lineRule="exact"/>
        <w:rPr>
          <w:sz w:val="20"/>
          <w:szCs w:val="20"/>
          <w:color w:val="auto"/>
        </w:rPr>
      </w:pPr>
    </w:p>
    <w:p>
      <w:pPr>
        <w:jc w:val="both"/>
        <w:ind w:firstLine="318"/>
        <w:spacing w:after="0" w:line="359" w:lineRule="auto"/>
        <w:rPr>
          <w:sz w:val="20"/>
          <w:szCs w:val="20"/>
          <w:color w:val="auto"/>
        </w:rPr>
      </w:pPr>
      <w:r>
        <w:rPr>
          <w:rFonts w:ascii="Arial" w:cs="Arial" w:eastAsia="Arial" w:hAnsi="Arial"/>
          <w:sz w:val="15"/>
          <w:szCs w:val="15"/>
          <w:color w:val="auto"/>
        </w:rPr>
        <w:t>Pepperidge Farm and Snyder’s-Lance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Dividend payments were $116 million in 2022 and $108 million in 2021. The regular quarterly dividend paid on our capital stock was $.37 per share in the first quarter of 2022 and $.35 per share in the first quarter of 2021. On December 1, 2021, the Board of Directors declared a regular quarterly dividend of $.37 per share payable on January 31, 2022 to shareholders of record at the close of business on January 6, 2022.</w:t>
      </w:r>
    </w:p>
    <w:p>
      <w:pPr>
        <w:spacing w:after="0" w:line="5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In September 2021, the Board approved a new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The September 2021 program replaced the prior $1,500 million program, which our Board approved in March 2017 and has been cancelled. We repurchased approximately 1.5 million shares at a cost of $63 million in 2022. Of this amount, $38 million was used to repurchase shares pursuant to our June 2021 program and $25 million was used to repurchase shares pursuant to our September 2021 program. As of October 31, 2021, approximately $176 million remained available under the June 2021 program and approximately $475 million remained available under the September 2021 program. See Note 12 to the Consolidated Financial Statements and “Unregistered Sales of Equity Securities and Use of Proceeds” for additional information.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8" w:name="page29"/>
    <w:bookmarkEnd w:id="28"/>
    <w:p>
      <w:pPr>
        <w:jc w:val="both"/>
        <w:ind w:firstLine="318"/>
        <w:spacing w:after="0" w:line="264" w:lineRule="auto"/>
        <w:rPr>
          <w:sz w:val="20"/>
          <w:szCs w:val="20"/>
          <w:color w:val="auto"/>
        </w:rPr>
      </w:pPr>
      <w:r>
        <w:rPr>
          <w:rFonts w:ascii="Arial" w:cs="Arial" w:eastAsia="Arial" w:hAnsi="Arial"/>
          <w:sz w:val="17"/>
          <w:szCs w:val="17"/>
          <w:color w:val="auto"/>
        </w:rPr>
        <w:t>As of October 31, 2021, we had $480 million of short-term borrowings due within one year, $15 million of which was comprised of commercial paper borrowings. As of October 31, 2021, we issued $32 million of standby letters of credit. On November 2, 2020, we entered into a committed revolving credit facility totaling $1,850 million scheduled to mature on November 2, 2023. On September 27, 2021, we replaced the current facility with a new $1,850 million committed revolving facility that matures on September 27, 2026. The facility remained unused at October 31, 2021,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in compliance with the covenants contained in our credit facilities and debt securities.</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September 2020,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91" w:lineRule="exact"/>
        <w:rPr>
          <w:sz w:val="20"/>
          <w:szCs w:val="20"/>
          <w:color w:val="auto"/>
        </w:rPr>
      </w:pPr>
    </w:p>
    <w:p>
      <w:pPr>
        <w:jc w:val="both"/>
        <w:ind w:firstLine="318"/>
        <w:spacing w:after="0" w:line="214" w:lineRule="exact"/>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August 1, 2021 (2021 Annual Report on Form 10-K). The accounting policies we used in preparing these financial statements are substantially consistent with those we applied in our 2021 Annual Report on Form 10-K. Our significant accounting estimates are described in Management’s Discussion and Analysis included in the 2021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2021 Annual Report on Form 10-K, could affect our actual results and could cause such results to vary materially from those expressed in any forward-looking statements made by, or on behalf of, us:</w:t>
      </w:r>
    </w:p>
    <w:p>
      <w:pPr>
        <w:spacing w:after="0" w:line="56"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impacts of, and associated responses to the COVID-19 pandemic on our business, suppliers, customers, consumers and employees;</w:t>
      </w:r>
    </w:p>
    <w:p>
      <w:pPr>
        <w:spacing w:after="0" w:line="9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execute on and realize the expected benefits from our strategy, including growing sales in snacks and growing/maintaining our market share position in soup;</w:t>
      </w:r>
    </w:p>
    <w:p>
      <w:pPr>
        <w:spacing w:after="0" w:line="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6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cost savings initiatives and the integration of recent acquisitions;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9" w:name="page30"/>
    <w:bookmarkEnd w:id="29"/>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in or inefficiencies to our supply chain and/or operations including the impacts of the COVID-19 pandemic;</w:t>
      </w:r>
    </w:p>
    <w:p>
      <w:pPr>
        <w:spacing w:after="0" w:line="8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risks related to the availability of, and cost inflation in, supply chain inputs, including labor, raw materials, commodities, packaging and transportation;</w:t>
      </w:r>
    </w:p>
    <w:p>
      <w:pPr>
        <w:spacing w:after="0" w:line="61"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the effectiveness of our hedging activities and our ability to respond to volatility in commodity prices;</w:t>
      </w:r>
    </w:p>
    <w:p>
      <w:pPr>
        <w:spacing w:after="0" w:line="9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48"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9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48"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9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61"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activist investors;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material failure in or breach of our or our vendors' information technology systems;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goals and initiatives related to, and the impacts of, climate change, including from weather-related events;</w:t>
      </w:r>
    </w:p>
    <w:p>
      <w:pPr>
        <w:spacing w:after="0" w:line="9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changes and volatility in financial and credit markets, deteriorating economic conditions and other external factors, including changes in laws and regulations; and</w:t>
      </w:r>
    </w:p>
    <w:p>
      <w:pPr>
        <w:spacing w:after="0" w:line="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other pandemics or other calamities.</w:t>
      </w:r>
    </w:p>
    <w:p>
      <w:pPr>
        <w:spacing w:after="0" w:line="61" w:lineRule="exact"/>
        <w:rPr>
          <w:sz w:val="20"/>
          <w:szCs w:val="20"/>
          <w:color w:val="auto"/>
        </w:rPr>
      </w:pPr>
    </w:p>
    <w:p>
      <w:pPr>
        <w:jc w:val="both"/>
        <w:ind w:firstLine="318"/>
        <w:spacing w:after="0" w:line="355" w:lineRule="auto"/>
        <w:rPr>
          <w:sz w:val="20"/>
          <w:szCs w:val="20"/>
          <w:color w:val="auto"/>
        </w:rPr>
      </w:pPr>
      <w:r>
        <w:rPr>
          <w:rFonts w:ascii="Arial" w:cs="Arial" w:eastAsia="Arial" w:hAnsi="Arial"/>
          <w:sz w:val="15"/>
          <w:szCs w:val="15"/>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 About Market Risk, in the 2021 Annual Report on Form 10-K. There have been no significant changes in our portfolio of financial instruments or market risk exposures from the 2021 year-end.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w:t>
      </w:r>
    </w:p>
    <w:p>
      <w:pPr>
        <w:spacing w:after="0" w:line="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October 31, 2021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88"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October 31, 2021.</w:t>
      </w:r>
    </w:p>
    <w:p>
      <w:pPr>
        <w:sectPr>
          <w:pgSz w:w="11900" w:h="16838" w:orient="portrait"/>
          <w:cols w:equalWidth="0" w:num="1">
            <w:col w:w="11240"/>
          </w:cols>
          <w:pgMar w:left="320" w:top="9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type w:val="continuous"/>
        </w:sectPr>
      </w:pPr>
    </w:p>
    <w:bookmarkStart w:id="30" w:name="page31"/>
    <w:bookmarkEnd w:id="30"/>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PART II -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Information regarding reportable legal proceedings is contained in Note 14 to the Consolidated Financial Statements and incorporated herein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Total Number of</w:t>
            </w:r>
          </w:p>
        </w:tc>
        <w:tc>
          <w:tcPr>
            <w:tcW w:w="14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4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Total Number</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20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Shares Purchased</w:t>
            </w:r>
          </w:p>
        </w:tc>
        <w:tc>
          <w:tcPr>
            <w:tcW w:w="14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be Purchased</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0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as Part of Publicly</w:t>
            </w:r>
          </w:p>
        </w:tc>
        <w:tc>
          <w:tcPr>
            <w:tcW w:w="14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Under the Plans</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2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87"/>
              </w:rPr>
              <w:t>of Shares</w:t>
            </w:r>
          </w:p>
        </w:tc>
        <w:tc>
          <w:tcPr>
            <w:tcW w:w="150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Price Paid</w:t>
            </w:r>
          </w:p>
        </w:tc>
        <w:tc>
          <w:tcPr>
            <w:tcW w:w="204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89"/>
              </w:rPr>
              <w:t>Announced Plans or</w:t>
            </w:r>
          </w:p>
        </w:tc>
        <w:tc>
          <w:tcPr>
            <w:tcW w:w="1420" w:type="dxa"/>
            <w:vAlign w:val="bottom"/>
          </w:tcPr>
          <w:p>
            <w:pPr>
              <w:jc w:val="right"/>
              <w:ind w:right="64"/>
              <w:spacing w:after="0" w:line="133"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00" w:type="dxa"/>
            <w:vAlign w:val="bottom"/>
            <w:gridSpan w:val="2"/>
            <w:vMerge w:val="continue"/>
          </w:tcPr>
          <w:p>
            <w:pPr>
              <w:spacing w:after="0"/>
              <w:rPr>
                <w:sz w:val="12"/>
                <w:szCs w:val="12"/>
                <w:color w:val="auto"/>
              </w:rPr>
            </w:pPr>
          </w:p>
        </w:tc>
        <w:tc>
          <w:tcPr>
            <w:tcW w:w="162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1"/>
              </w:rPr>
              <w:t xml:space="preserve">Purchased </w:t>
            </w:r>
            <w:r>
              <w:rPr>
                <w:rFonts w:ascii="Arial" w:cs="Arial" w:eastAsia="Arial" w:hAnsi="Arial"/>
                <w:sz w:val="16"/>
                <w:szCs w:val="16"/>
                <w:b w:val="1"/>
                <w:bCs w:val="1"/>
                <w:color w:val="auto"/>
                <w:w w:val="91"/>
                <w:vertAlign w:val="superscript"/>
              </w:rPr>
              <w:t>(1)</w:t>
            </w:r>
          </w:p>
        </w:tc>
        <w:tc>
          <w:tcPr>
            <w:tcW w:w="150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95"/>
              </w:rPr>
              <w:t xml:space="preserve">Per Share </w:t>
            </w:r>
            <w:r>
              <w:rPr>
                <w:rFonts w:ascii="Arial" w:cs="Arial" w:eastAsia="Arial" w:hAnsi="Arial"/>
                <w:sz w:val="16"/>
                <w:szCs w:val="16"/>
                <w:b w:val="1"/>
                <w:bCs w:val="1"/>
                <w:color w:val="auto"/>
                <w:w w:val="95"/>
                <w:vertAlign w:val="superscript"/>
              </w:rPr>
              <w:t>(2)</w:t>
            </w:r>
          </w:p>
        </w:tc>
        <w:tc>
          <w:tcPr>
            <w:tcW w:w="204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5"/>
              </w:rPr>
              <w:t xml:space="preserve">Programs </w:t>
            </w:r>
            <w:r>
              <w:rPr>
                <w:rFonts w:ascii="Arial" w:cs="Arial" w:eastAsia="Arial" w:hAnsi="Arial"/>
                <w:sz w:val="16"/>
                <w:szCs w:val="16"/>
                <w:b w:val="1"/>
                <w:bCs w:val="1"/>
                <w:color w:val="auto"/>
                <w:w w:val="95"/>
                <w:vertAlign w:val="superscript"/>
              </w:rPr>
              <w:t>(3)</w:t>
            </w:r>
          </w:p>
        </w:tc>
        <w:tc>
          <w:tcPr>
            <w:tcW w:w="142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 xml:space="preserve">($ in Millions)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0" w:type="dxa"/>
            <w:vAlign w:val="bottom"/>
          </w:tcPr>
          <w:p>
            <w:pPr>
              <w:spacing w:after="0"/>
              <w:rPr>
                <w:sz w:val="18"/>
                <w:szCs w:val="18"/>
                <w:color w:val="auto"/>
              </w:rPr>
            </w:pPr>
          </w:p>
        </w:tc>
        <w:tc>
          <w:tcPr>
            <w:tcW w:w="44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8/2/21 - 8/31/21</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40" w:type="dxa"/>
            <w:vAlign w:val="bottom"/>
            <w:gridSpan w:val="3"/>
          </w:tcPr>
          <w:p>
            <w:pPr>
              <w:ind w:left="340"/>
              <w:spacing w:after="0"/>
              <w:rPr>
                <w:sz w:val="20"/>
                <w:szCs w:val="20"/>
                <w:color w:val="auto"/>
              </w:rPr>
            </w:pPr>
            <w:r>
              <w:rPr>
                <w:rFonts w:ascii="Arial" w:cs="Arial" w:eastAsia="Arial" w:hAnsi="Arial"/>
                <w:sz w:val="18"/>
                <w:szCs w:val="18"/>
                <w:b w:val="1"/>
                <w:bCs w:val="1"/>
                <w:color w:val="auto"/>
              </w:rPr>
              <w:t>9/1/21 - 9/30/21</w:t>
            </w:r>
          </w:p>
        </w:tc>
        <w:tc>
          <w:tcPr>
            <w:tcW w:w="1240" w:type="dxa"/>
            <w:vAlign w:val="bottom"/>
          </w:tcPr>
          <w:p>
            <w:pPr>
              <w:jc w:val="right"/>
              <w:spacing w:after="0"/>
              <w:rPr>
                <w:sz w:val="20"/>
                <w:szCs w:val="20"/>
                <w:color w:val="auto"/>
              </w:rPr>
            </w:pPr>
            <w:r>
              <w:rPr>
                <w:rFonts w:ascii="Arial" w:cs="Arial" w:eastAsia="Arial" w:hAnsi="Arial"/>
                <w:sz w:val="18"/>
                <w:szCs w:val="18"/>
                <w:color w:val="auto"/>
              </w:rPr>
              <w:t>1,076,807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$42.94</w:t>
            </w:r>
          </w:p>
        </w:tc>
        <w:tc>
          <w:tcPr>
            <w:tcW w:w="380" w:type="dxa"/>
            <w:vAlign w:val="bottom"/>
          </w:tcPr>
          <w:p>
            <w:pPr>
              <w:spacing w:after="0"/>
              <w:rPr>
                <w:sz w:val="19"/>
                <w:szCs w:val="19"/>
                <w:color w:val="auto"/>
              </w:rPr>
            </w:pPr>
          </w:p>
        </w:tc>
        <w:tc>
          <w:tcPr>
            <w:tcW w:w="1660" w:type="dxa"/>
            <w:vAlign w:val="bottom"/>
          </w:tcPr>
          <w:p>
            <w:pPr>
              <w:jc w:val="right"/>
              <w:ind w:right="2"/>
              <w:spacing w:after="0"/>
              <w:rPr>
                <w:sz w:val="20"/>
                <w:szCs w:val="20"/>
                <w:color w:val="auto"/>
              </w:rPr>
            </w:pPr>
            <w:r>
              <w:rPr>
                <w:rFonts w:ascii="Arial" w:cs="Arial" w:eastAsia="Arial" w:hAnsi="Arial"/>
                <w:sz w:val="18"/>
                <w:szCs w:val="18"/>
                <w:color w:val="auto"/>
              </w:rPr>
              <w:t>1,076,807</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10/1/21 - 10/29/21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3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405,000</w:t>
            </w:r>
          </w:p>
        </w:tc>
        <w:tc>
          <w:tcPr>
            <w:tcW w:w="3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1,481,807</w:t>
            </w:r>
          </w:p>
        </w:tc>
        <w:tc>
          <w:tcPr>
            <w:tcW w:w="3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w:t>
            </w:r>
          </w:p>
        </w:tc>
        <w:tc>
          <w:tcPr>
            <w:tcW w:w="380" w:type="dxa"/>
            <w:vAlign w:val="bottom"/>
          </w:tcPr>
          <w:p>
            <w:pPr>
              <w:spacing w:after="0"/>
              <w:rPr>
                <w:sz w:val="18"/>
                <w:szCs w:val="18"/>
                <w:color w:val="auto"/>
              </w:rPr>
            </w:pP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1,481,807</w:t>
            </w:r>
          </w:p>
        </w:tc>
        <w:tc>
          <w:tcPr>
            <w:tcW w:w="3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4760" w:type="dxa"/>
            <w:vAlign w:val="bottom"/>
            <w:gridSpan w:val="4"/>
            <w:vMerge w:val="restart"/>
          </w:tcPr>
          <w:p>
            <w:pPr>
              <w:jc w:val="right"/>
              <w:ind w:right="1900"/>
              <w:spacing w:after="0"/>
              <w:rPr>
                <w:sz w:val="20"/>
                <w:szCs w:val="20"/>
                <w:color w:val="auto"/>
              </w:rPr>
            </w:pPr>
            <w:r>
              <w:rPr>
                <w:rFonts w:ascii="Arial" w:cs="Arial" w:eastAsia="Arial" w:hAnsi="Arial"/>
                <w:sz w:val="16"/>
                <w:szCs w:val="16"/>
                <w:color w:val="auto"/>
                <w:w w:val="88"/>
              </w:rPr>
              <w:t>____________________________________</w:t>
            </w: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3"/>
        </w:trPr>
        <w:tc>
          <w:tcPr>
            <w:tcW w:w="476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Shares purchased are as of the trade date.</w:t>
      </w:r>
    </w:p>
    <w:p>
      <w:pPr>
        <w:spacing w:after="0" w:line="2" w:lineRule="exact"/>
        <w:rPr>
          <w:rFonts w:ascii="Arial" w:cs="Arial" w:eastAsia="Arial" w:hAnsi="Arial"/>
          <w:sz w:val="23"/>
          <w:szCs w:val="23"/>
          <w:color w:val="auto"/>
          <w:vertAlign w:val="superscript"/>
        </w:rPr>
      </w:pPr>
    </w:p>
    <w:p>
      <w:pPr>
        <w:ind w:left="320" w:hanging="314"/>
        <w:spacing w:after="0" w:line="189" w:lineRule="auto"/>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Average price paid per share is calculated on a settlement basis and excludes commission.</w:t>
      </w:r>
    </w:p>
    <w:p>
      <w:pPr>
        <w:spacing w:after="0" w:line="3" w:lineRule="exact"/>
        <w:rPr>
          <w:rFonts w:ascii="Arial" w:cs="Arial" w:eastAsia="Arial" w:hAnsi="Arial"/>
          <w:sz w:val="23"/>
          <w:szCs w:val="23"/>
          <w:color w:val="auto"/>
          <w:vertAlign w:val="superscript"/>
        </w:rPr>
      </w:pPr>
    </w:p>
    <w:p>
      <w:pPr>
        <w:jc w:val="both"/>
        <w:ind w:left="320" w:right="100" w:hanging="314"/>
        <w:spacing w:after="0" w:line="236" w:lineRule="auto"/>
        <w:tabs>
          <w:tab w:leader="none" w:pos="30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 June 2021, our Board of Directors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 In September 2021, the Board approved a new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The September 2021 program replaced the company's suspended $1,500 million share repurchase program, which has been cancelled.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1" w:name="page32"/>
    <w:bookmarkEnd w:id="31"/>
    <w:tbl>
      <w:tblPr>
        <w:tblLayout w:type="fixed"/>
        <w:tblInd w:w="3" w:type="dxa"/>
        <w:tblCellMar>
          <w:top w:w="0" w:type="dxa"/>
          <w:left w:w="0" w:type="dxa"/>
          <w:bottom w:w="0" w:type="dxa"/>
          <w:right w:w="0" w:type="dxa"/>
        </w:tblCellMar>
      </w:tblPr>
      <w:tr>
        <w:trPr>
          <w:trHeight w:val="223"/>
        </w:trPr>
        <w:tc>
          <w:tcPr>
            <w:tcW w:w="1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40" w:type="dxa"/>
            <w:vAlign w:val="bottom"/>
            <w:gridSpan w:val="7"/>
          </w:tcPr>
          <w:p>
            <w:pPr>
              <w:ind w:left="1120"/>
              <w:spacing w:after="0"/>
              <w:rPr>
                <w:sz w:val="20"/>
                <w:szCs w:val="20"/>
                <w:color w:val="auto"/>
              </w:rPr>
            </w:pPr>
            <w:r>
              <w:rPr>
                <w:rFonts w:ascii="Arial" w:cs="Arial" w:eastAsia="Arial" w:hAnsi="Arial"/>
                <w:sz w:val="18"/>
                <w:szCs w:val="18"/>
                <w:color w:val="auto"/>
              </w:rPr>
              <w:t>INDEX TO EXHIBITS</w:t>
            </w:r>
          </w:p>
        </w:tc>
      </w:tr>
      <w:tr>
        <w:trPr>
          <w:trHeight w:val="306"/>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2520" w:type="dxa"/>
            <w:vAlign w:val="bottom"/>
            <w:tcBorders>
              <w:bottom w:val="single" w:sz="8" w:color="0000FF"/>
            </w:tcBorders>
          </w:tcPr>
          <w:p>
            <w:pPr>
              <w:spacing w:after="0"/>
              <w:rPr>
                <w:rFonts w:ascii="Arial" w:cs="Arial" w:eastAsia="Arial" w:hAnsi="Arial"/>
                <w:sz w:val="18"/>
                <w:szCs w:val="18"/>
                <w:color w:val="0000FF"/>
                <w:w w:val="88"/>
              </w:rPr>
            </w:pPr>
            <w:hyperlink w:anchor="page34">
              <w:r>
                <w:rPr>
                  <w:rFonts w:ascii="Arial" w:cs="Arial" w:eastAsia="Arial" w:hAnsi="Arial"/>
                  <w:sz w:val="18"/>
                  <w:szCs w:val="18"/>
                  <w:color w:val="0000FF"/>
                  <w:w w:val="88"/>
                </w:rPr>
                <w:t>2022 Non-Employee Director Fees.</w:t>
              </w:r>
            </w:hyperlink>
          </w:p>
        </w:tc>
        <w:tc>
          <w:tcPr>
            <w:tcW w:w="7440" w:type="dxa"/>
            <w:vAlign w:val="bottom"/>
            <w:gridSpan w:val="7"/>
          </w:tcPr>
          <w:p>
            <w:pPr>
              <w:spacing w:after="0"/>
              <w:rPr>
                <w:sz w:val="24"/>
                <w:szCs w:val="24"/>
                <w:color w:val="auto"/>
              </w:rPr>
            </w:pPr>
          </w:p>
        </w:tc>
      </w:tr>
      <w:tr>
        <w:trPr>
          <w:trHeight w:val="351"/>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9960" w:type="dxa"/>
            <w:vAlign w:val="bottom"/>
            <w:tcBorders>
              <w:bottom w:val="single" w:sz="8" w:color="0000FF"/>
            </w:tcBorders>
            <w:gridSpan w:val="8"/>
          </w:tcPr>
          <w:p>
            <w:pPr>
              <w:spacing w:after="0"/>
              <w:rPr>
                <w:rFonts w:ascii="Arial" w:cs="Arial" w:eastAsia="Arial" w:hAnsi="Arial"/>
                <w:sz w:val="18"/>
                <w:szCs w:val="18"/>
                <w:color w:val="0000FF"/>
                <w:w w:val="88"/>
              </w:rPr>
            </w:pPr>
            <w:hyperlink r:id="rId46">
              <w:r>
                <w:rPr>
                  <w:rFonts w:ascii="Arial" w:cs="Arial" w:eastAsia="Arial" w:hAnsi="Arial"/>
                  <w:sz w:val="18"/>
                  <w:szCs w:val="18"/>
                  <w:color w:val="0000FF"/>
                  <w:w w:val="88"/>
                </w:rPr>
                <w:t>Five-Year Credit Agreement dated September 27, 2021 by and among Campbell Soup Company, the Eligible Subsidiaries party thereto from</w:t>
              </w:r>
            </w:hyperlink>
          </w:p>
        </w:tc>
      </w:tr>
      <w:tr>
        <w:trPr>
          <w:trHeight w:val="152"/>
        </w:trPr>
        <w:tc>
          <w:tcPr>
            <w:tcW w:w="1100" w:type="dxa"/>
            <w:vAlign w:val="bottom"/>
          </w:tcPr>
          <w:p>
            <w:pPr>
              <w:spacing w:after="0"/>
              <w:rPr>
                <w:sz w:val="13"/>
                <w:szCs w:val="13"/>
                <w:color w:val="auto"/>
              </w:rPr>
            </w:pPr>
          </w:p>
        </w:tc>
        <w:tc>
          <w:tcPr>
            <w:tcW w:w="9960" w:type="dxa"/>
            <w:vAlign w:val="bottom"/>
            <w:gridSpan w:val="8"/>
          </w:tcPr>
          <w:p>
            <w:pPr>
              <w:spacing w:after="0" w:line="152" w:lineRule="exact"/>
              <w:rPr>
                <w:rFonts w:ascii="Arial" w:cs="Arial" w:eastAsia="Arial" w:hAnsi="Arial"/>
                <w:sz w:val="17"/>
                <w:szCs w:val="17"/>
                <w:color w:val="0000FF"/>
                <w:w w:val="97"/>
              </w:rPr>
            </w:pPr>
            <w:hyperlink r:id="rId46">
              <w:r>
                <w:rPr>
                  <w:rFonts w:ascii="Arial" w:cs="Arial" w:eastAsia="Arial" w:hAnsi="Arial"/>
                  <w:sz w:val="17"/>
                  <w:szCs w:val="17"/>
                  <w:color w:val="0000FF"/>
                  <w:w w:val="97"/>
                </w:rPr>
                <w:t>time to time, JPMorgan Chase Bank, N.A., as administrative agent, and the other lenders named therein is incorporated by reference to</w:t>
              </w:r>
            </w:hyperlink>
          </w:p>
        </w:tc>
      </w:tr>
      <w:tr>
        <w:trPr>
          <w:trHeight w:val="152"/>
        </w:trPr>
        <w:tc>
          <w:tcPr>
            <w:tcW w:w="1100" w:type="dxa"/>
            <w:vAlign w:val="bottom"/>
          </w:tcPr>
          <w:p>
            <w:pPr>
              <w:spacing w:after="0"/>
              <w:rPr>
                <w:sz w:val="13"/>
                <w:szCs w:val="13"/>
                <w:color w:val="auto"/>
              </w:rPr>
            </w:pPr>
          </w:p>
        </w:tc>
        <w:tc>
          <w:tcPr>
            <w:tcW w:w="9520" w:type="dxa"/>
            <w:vAlign w:val="bottom"/>
            <w:tcBorders>
              <w:top w:val="single" w:sz="8" w:color="0000FF"/>
            </w:tcBorders>
            <w:gridSpan w:val="7"/>
          </w:tcPr>
          <w:p>
            <w:pPr>
              <w:spacing w:after="0" w:line="152" w:lineRule="exact"/>
              <w:rPr>
                <w:rFonts w:ascii="Arial" w:cs="Arial" w:eastAsia="Arial" w:hAnsi="Arial"/>
                <w:sz w:val="17"/>
                <w:szCs w:val="17"/>
                <w:color w:val="0000FF"/>
              </w:rPr>
            </w:pPr>
            <w:hyperlink r:id="rId46">
              <w:r>
                <w:rPr>
                  <w:rFonts w:ascii="Arial" w:cs="Arial" w:eastAsia="Arial" w:hAnsi="Arial"/>
                  <w:sz w:val="17"/>
                  <w:szCs w:val="17"/>
                  <w:color w:val="0000FF"/>
                </w:rPr>
                <w:t>Registrant's Current Report on Form 8-K (SEC file number 1-3822) filed with the SEC on September 27, 2021.</w:t>
              </w:r>
            </w:hyperlink>
          </w:p>
        </w:tc>
        <w:tc>
          <w:tcPr>
            <w:tcW w:w="440" w:type="dxa"/>
            <w:vAlign w:val="bottom"/>
          </w:tcPr>
          <w:p>
            <w:pPr>
              <w:spacing w:after="0"/>
              <w:rPr>
                <w:sz w:val="13"/>
                <w:szCs w:val="13"/>
                <w:color w:val="auto"/>
              </w:rPr>
            </w:pPr>
          </w:p>
        </w:tc>
      </w:tr>
      <w:tr>
        <w:trPr>
          <w:trHeight w:val="351"/>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7860" w:type="dxa"/>
            <w:vAlign w:val="bottom"/>
            <w:tcBorders>
              <w:top w:val="single" w:sz="8" w:color="0000FF"/>
            </w:tcBorders>
            <w:gridSpan w:val="6"/>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Certification of Mark A. Clouse pursuant to Rule 13a-14(a).</w:t>
              </w:r>
            </w:hyperlink>
          </w:p>
        </w:tc>
        <w:tc>
          <w:tcPr>
            <w:tcW w:w="2100" w:type="dxa"/>
            <w:vAlign w:val="bottom"/>
            <w:gridSpan w:val="2"/>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960" w:type="dxa"/>
            <w:vAlign w:val="bottom"/>
            <w:gridSpan w:val="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Certification of Mick J. Beekhuizen pursuant to Rule 13a-14(a)</w:t>
              </w:r>
            </w:hyperlink>
            <w:r>
              <w:rPr>
                <w:rFonts w:ascii="Arial" w:cs="Arial" w:eastAsia="Arial" w:hAnsi="Arial"/>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960" w:type="dxa"/>
            <w:vAlign w:val="bottom"/>
            <w:gridSpan w:val="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Certification of Mark A. Clouse pursuant to 18 U.S.C. Section 1350.</w:t>
              </w:r>
            </w:hyperlink>
          </w:p>
        </w:tc>
      </w:tr>
      <w:tr>
        <w:trPr>
          <w:trHeight w:val="20"/>
        </w:trPr>
        <w:tc>
          <w:tcPr>
            <w:tcW w:w="1100" w:type="dxa"/>
            <w:vAlign w:val="bottom"/>
          </w:tcPr>
          <w:p>
            <w:pPr>
              <w:spacing w:after="0" w:line="20" w:lineRule="exact"/>
              <w:rPr>
                <w:sz w:val="1"/>
                <w:szCs w:val="1"/>
                <w:color w:val="auto"/>
              </w:rPr>
            </w:pPr>
          </w:p>
        </w:tc>
        <w:tc>
          <w:tcPr>
            <w:tcW w:w="48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9960" w:type="dxa"/>
            <w:vAlign w:val="bottom"/>
            <w:gridSpan w:val="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Mick J. Beekhuizen pursuant to 18 U.S.C. Section 1350.</w:t>
              </w:r>
            </w:hyperlink>
          </w:p>
        </w:tc>
      </w:tr>
      <w:tr>
        <w:trPr>
          <w:trHeight w:val="20"/>
        </w:trPr>
        <w:tc>
          <w:tcPr>
            <w:tcW w:w="110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r>
      <w:tr>
        <w:trPr>
          <w:trHeight w:val="286"/>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8"/>
          </w:tcPr>
          <w:p>
            <w:pPr>
              <w:spacing w:after="0"/>
              <w:rPr>
                <w:sz w:val="20"/>
                <w:szCs w:val="20"/>
                <w:color w:val="auto"/>
              </w:rPr>
            </w:pPr>
            <w:r>
              <w:rPr>
                <w:rFonts w:ascii="Arial" w:cs="Arial" w:eastAsia="Arial" w:hAnsi="Arial"/>
                <w:sz w:val="18"/>
                <w:szCs w:val="18"/>
                <w:color w:val="auto"/>
                <w:w w:val="89"/>
              </w:rPr>
              <w:t>Inline XBRL Instance Document - the instance document does not appear on the Interactive Data File because its XBRL tags are embedded</w:t>
            </w:r>
          </w:p>
        </w:tc>
      </w:tr>
      <w:tr>
        <w:trPr>
          <w:trHeight w:val="223"/>
        </w:trPr>
        <w:tc>
          <w:tcPr>
            <w:tcW w:w="1100" w:type="dxa"/>
            <w:vAlign w:val="bottom"/>
          </w:tcPr>
          <w:p>
            <w:pPr>
              <w:spacing w:after="0"/>
              <w:rPr>
                <w:sz w:val="19"/>
                <w:szCs w:val="19"/>
                <w:color w:val="auto"/>
              </w:rPr>
            </w:pPr>
          </w:p>
        </w:tc>
        <w:tc>
          <w:tcPr>
            <w:tcW w:w="996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8"/>
          </w:tcPr>
          <w:p>
            <w:pPr>
              <w:spacing w:after="0"/>
              <w:rPr>
                <w:sz w:val="20"/>
                <w:szCs w:val="20"/>
                <w:color w:val="auto"/>
              </w:rPr>
            </w:pPr>
            <w:r>
              <w:rPr>
                <w:rFonts w:ascii="Arial" w:cs="Arial" w:eastAsia="Arial" w:hAnsi="Arial"/>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8"/>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8"/>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8"/>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8"/>
          </w:tcPr>
          <w:p>
            <w:pPr>
              <w:spacing w:after="0"/>
              <w:rPr>
                <w:sz w:val="20"/>
                <w:szCs w:val="20"/>
                <w:color w:val="auto"/>
              </w:rPr>
            </w:pPr>
            <w:r>
              <w:rPr>
                <w:rFonts w:ascii="Arial" w:cs="Arial" w:eastAsia="Arial" w:hAnsi="Arial"/>
                <w:sz w:val="18"/>
                <w:szCs w:val="18"/>
                <w:color w:val="auto"/>
              </w:rPr>
              <w:t>Inline XBRL Extension Presentation Linkbase Document.</w:t>
            </w:r>
          </w:p>
        </w:tc>
      </w:tr>
    </w:tbl>
    <w:p>
      <w:pPr>
        <w:spacing w:after="0" w:line="95" w:lineRule="exact"/>
        <w:rPr>
          <w:sz w:val="20"/>
          <w:szCs w:val="20"/>
          <w:color w:val="auto"/>
        </w:rPr>
      </w:pPr>
    </w:p>
    <w:p>
      <w:pPr>
        <w:ind w:left="-37" w:right="2100" w:firstLine="37"/>
        <w:spacing w:after="0" w:line="479" w:lineRule="auto"/>
        <w:tabs>
          <w:tab w:leader="none" w:pos="10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 (included in Exhibit 101). *This exhibit is a management contract or compensatory plan or arrangement.</w:t>
      </w:r>
    </w:p>
    <w:p>
      <w:pPr>
        <w:spacing w:after="0" w:line="200" w:lineRule="exact"/>
        <w:rPr>
          <w:sz w:val="20"/>
          <w:szCs w:val="20"/>
          <w:color w:val="auto"/>
        </w:rPr>
      </w:pPr>
    </w:p>
    <w:p>
      <w:pPr>
        <w:spacing w:after="0" w:line="206" w:lineRule="exact"/>
        <w:rPr>
          <w:sz w:val="20"/>
          <w:szCs w:val="20"/>
          <w:color w:val="auto"/>
        </w:rPr>
      </w:pPr>
    </w:p>
    <w:p>
      <w:pPr>
        <w:jc w:val="center"/>
        <w:ind w:right="-102"/>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3"/>
          </w:cols>
          <w:pgMar w:left="357" w:top="1293" w:right="47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December 8, 2021</w:t>
      </w:r>
    </w:p>
    <w:p>
      <w:pPr>
        <w:spacing w:after="0" w:line="39"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CAMPBELL SOUP COMPANY</w:t>
      </w:r>
    </w:p>
    <w:p>
      <w:pPr>
        <w:spacing w:after="0" w:line="2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10795</wp:posOffset>
            </wp:positionV>
            <wp:extent cx="31718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Mick J. Beekhuizen</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10795</wp:posOffset>
            </wp:positionV>
            <wp:extent cx="31718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Stanley Polomski</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876" w:right="459" w:bottom="1440" w:gutter="0" w:footer="0" w:header="0"/>
        </w:sectPr>
      </w:pPr>
    </w:p>
    <w:bookmarkStart w:id="33" w:name="page34"/>
    <w:bookmarkEnd w:id="33"/>
    <w:p>
      <w:pPr>
        <w:jc w:val="right"/>
        <w:spacing w:after="0"/>
        <w:rPr>
          <w:sz w:val="20"/>
          <w:szCs w:val="20"/>
          <w:color w:val="auto"/>
        </w:rPr>
      </w:pPr>
      <w:r>
        <w:rPr>
          <w:rFonts w:ascii="Arial" w:cs="Arial" w:eastAsia="Arial" w:hAnsi="Arial"/>
          <w:sz w:val="21"/>
          <w:szCs w:val="21"/>
          <w:b w:val="1"/>
          <w:bCs w:val="1"/>
          <w:color w:val="auto"/>
        </w:rPr>
        <w:t>Exhibit 10.1</w:t>
      </w:r>
    </w:p>
    <w:p>
      <w:pPr>
        <w:spacing w:after="0" w:line="8"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CAMPBELL SOUP COMPANY</w:t>
      </w:r>
    </w:p>
    <w:p>
      <w:pPr>
        <w:spacing w:after="0" w:line="198" w:lineRule="exact"/>
        <w:rPr>
          <w:sz w:val="20"/>
          <w:szCs w:val="20"/>
          <w:color w:val="auto"/>
        </w:rPr>
      </w:pPr>
    </w:p>
    <w:p>
      <w:pPr>
        <w:ind w:left="3020"/>
        <w:spacing w:after="0"/>
        <w:rPr>
          <w:sz w:val="20"/>
          <w:szCs w:val="20"/>
          <w:color w:val="auto"/>
        </w:rPr>
      </w:pPr>
      <w:r>
        <w:rPr>
          <w:rFonts w:ascii="Arial" w:cs="Arial" w:eastAsia="Arial" w:hAnsi="Arial"/>
          <w:sz w:val="21"/>
          <w:szCs w:val="21"/>
          <w:b w:val="1"/>
          <w:bCs w:val="1"/>
          <w:u w:val="single" w:color="auto"/>
          <w:color w:val="auto"/>
        </w:rPr>
        <w:t>Non-Employee Director Compensation for Calendar 2022</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Board and Committee Retainer for Calendar 2022</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$119,000 shall be paid in cash</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$144,500 shall be paid in shares of Campbell stock</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Additional Retainers for Board Chair, Committee Chairs and Audit Committee Members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In addition to the above Board and Committee retainer, the following amounts shall be paid 50% in cash and 50% in shares of</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Campbell stock:</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1740" w:type="dxa"/>
            <w:vAlign w:val="bottom"/>
          </w:tcPr>
          <w:p>
            <w:pPr>
              <w:spacing w:after="0"/>
              <w:rPr>
                <w:sz w:val="20"/>
                <w:szCs w:val="20"/>
                <w:color w:val="auto"/>
              </w:rPr>
            </w:pPr>
            <w:r>
              <w:rPr>
                <w:rFonts w:ascii="Arial" w:cs="Arial" w:eastAsia="Arial" w:hAnsi="Arial"/>
                <w:sz w:val="21"/>
                <w:szCs w:val="21"/>
                <w:color w:val="auto"/>
              </w:rPr>
              <w:t>$350,000</w:t>
            </w:r>
          </w:p>
        </w:tc>
        <w:tc>
          <w:tcPr>
            <w:tcW w:w="6580" w:type="dxa"/>
            <w:vAlign w:val="bottom"/>
          </w:tcPr>
          <w:p>
            <w:pPr>
              <w:ind w:left="920"/>
              <w:spacing w:after="0"/>
              <w:rPr>
                <w:sz w:val="20"/>
                <w:szCs w:val="20"/>
                <w:color w:val="auto"/>
              </w:rPr>
            </w:pPr>
            <w:r>
              <w:rPr>
                <w:rFonts w:ascii="Arial" w:cs="Arial" w:eastAsia="Arial" w:hAnsi="Arial"/>
                <w:sz w:val="21"/>
                <w:szCs w:val="21"/>
                <w:color w:val="auto"/>
              </w:rPr>
              <w:t>Chair of the Board</w:t>
            </w:r>
          </w:p>
        </w:tc>
      </w:tr>
      <w:tr>
        <w:trPr>
          <w:trHeight w:val="278"/>
        </w:trPr>
        <w:tc>
          <w:tcPr>
            <w:tcW w:w="1740" w:type="dxa"/>
            <w:vAlign w:val="bottom"/>
          </w:tcPr>
          <w:p>
            <w:pPr>
              <w:spacing w:after="0"/>
              <w:rPr>
                <w:sz w:val="20"/>
                <w:szCs w:val="20"/>
                <w:color w:val="auto"/>
              </w:rPr>
            </w:pPr>
            <w:r>
              <w:rPr>
                <w:rFonts w:ascii="Arial" w:cs="Arial" w:eastAsia="Arial" w:hAnsi="Arial"/>
                <w:sz w:val="21"/>
                <w:szCs w:val="21"/>
                <w:color w:val="auto"/>
              </w:rPr>
              <w:t>$25,000</w:t>
            </w:r>
          </w:p>
        </w:tc>
        <w:tc>
          <w:tcPr>
            <w:tcW w:w="6580" w:type="dxa"/>
            <w:vAlign w:val="bottom"/>
          </w:tcPr>
          <w:p>
            <w:pPr>
              <w:ind w:left="920"/>
              <w:spacing w:after="0"/>
              <w:rPr>
                <w:sz w:val="20"/>
                <w:szCs w:val="20"/>
                <w:color w:val="auto"/>
              </w:rPr>
            </w:pPr>
            <w:r>
              <w:rPr>
                <w:rFonts w:ascii="Arial" w:cs="Arial" w:eastAsia="Arial" w:hAnsi="Arial"/>
                <w:sz w:val="21"/>
                <w:szCs w:val="21"/>
                <w:color w:val="auto"/>
              </w:rPr>
              <w:t>Audit Committee chair</w:t>
            </w:r>
          </w:p>
        </w:tc>
      </w:tr>
      <w:tr>
        <w:trPr>
          <w:trHeight w:val="278"/>
        </w:trPr>
        <w:tc>
          <w:tcPr>
            <w:tcW w:w="1740" w:type="dxa"/>
            <w:vAlign w:val="bottom"/>
          </w:tcPr>
          <w:p>
            <w:pPr>
              <w:spacing w:after="0"/>
              <w:rPr>
                <w:sz w:val="20"/>
                <w:szCs w:val="20"/>
                <w:color w:val="auto"/>
              </w:rPr>
            </w:pPr>
            <w:r>
              <w:rPr>
                <w:rFonts w:ascii="Arial" w:cs="Arial" w:eastAsia="Arial" w:hAnsi="Arial"/>
                <w:sz w:val="21"/>
                <w:szCs w:val="21"/>
                <w:color w:val="auto"/>
              </w:rPr>
              <w:t>$20,000</w:t>
            </w:r>
          </w:p>
        </w:tc>
        <w:tc>
          <w:tcPr>
            <w:tcW w:w="6580" w:type="dxa"/>
            <w:vAlign w:val="bottom"/>
          </w:tcPr>
          <w:p>
            <w:pPr>
              <w:ind w:left="920"/>
              <w:spacing w:after="0"/>
              <w:rPr>
                <w:sz w:val="20"/>
                <w:szCs w:val="20"/>
                <w:color w:val="auto"/>
              </w:rPr>
            </w:pPr>
            <w:r>
              <w:rPr>
                <w:rFonts w:ascii="Arial" w:cs="Arial" w:eastAsia="Arial" w:hAnsi="Arial"/>
                <w:sz w:val="21"/>
                <w:szCs w:val="21"/>
                <w:color w:val="auto"/>
              </w:rPr>
              <w:t>Compensation and Organization Committee chair</w:t>
            </w:r>
          </w:p>
        </w:tc>
      </w:tr>
      <w:tr>
        <w:trPr>
          <w:trHeight w:val="278"/>
        </w:trPr>
        <w:tc>
          <w:tcPr>
            <w:tcW w:w="1740" w:type="dxa"/>
            <w:vAlign w:val="bottom"/>
          </w:tcPr>
          <w:p>
            <w:pPr>
              <w:spacing w:after="0"/>
              <w:rPr>
                <w:sz w:val="20"/>
                <w:szCs w:val="20"/>
                <w:color w:val="auto"/>
              </w:rPr>
            </w:pPr>
            <w:r>
              <w:rPr>
                <w:rFonts w:ascii="Arial" w:cs="Arial" w:eastAsia="Arial" w:hAnsi="Arial"/>
                <w:sz w:val="21"/>
                <w:szCs w:val="21"/>
                <w:color w:val="auto"/>
              </w:rPr>
              <w:t>$15,000</w:t>
            </w:r>
          </w:p>
        </w:tc>
        <w:tc>
          <w:tcPr>
            <w:tcW w:w="6580" w:type="dxa"/>
            <w:vAlign w:val="bottom"/>
          </w:tcPr>
          <w:p>
            <w:pPr>
              <w:ind w:left="920"/>
              <w:spacing w:after="0"/>
              <w:rPr>
                <w:sz w:val="20"/>
                <w:szCs w:val="20"/>
                <w:color w:val="auto"/>
              </w:rPr>
            </w:pPr>
            <w:r>
              <w:rPr>
                <w:rFonts w:ascii="Arial" w:cs="Arial" w:eastAsia="Arial" w:hAnsi="Arial"/>
                <w:sz w:val="21"/>
                <w:szCs w:val="21"/>
                <w:color w:val="auto"/>
              </w:rPr>
              <w:t>Finance Committee chair</w:t>
            </w:r>
          </w:p>
        </w:tc>
      </w:tr>
      <w:tr>
        <w:trPr>
          <w:trHeight w:val="278"/>
        </w:trPr>
        <w:tc>
          <w:tcPr>
            <w:tcW w:w="1740" w:type="dxa"/>
            <w:vAlign w:val="bottom"/>
          </w:tcPr>
          <w:p>
            <w:pPr>
              <w:spacing w:after="0"/>
              <w:rPr>
                <w:sz w:val="20"/>
                <w:szCs w:val="20"/>
                <w:color w:val="auto"/>
              </w:rPr>
            </w:pPr>
            <w:r>
              <w:rPr>
                <w:rFonts w:ascii="Arial" w:cs="Arial" w:eastAsia="Arial" w:hAnsi="Arial"/>
                <w:sz w:val="21"/>
                <w:szCs w:val="21"/>
                <w:color w:val="auto"/>
              </w:rPr>
              <w:t>$15,000</w:t>
            </w:r>
          </w:p>
        </w:tc>
        <w:tc>
          <w:tcPr>
            <w:tcW w:w="6580" w:type="dxa"/>
            <w:vAlign w:val="bottom"/>
          </w:tcPr>
          <w:p>
            <w:pPr>
              <w:ind w:left="920"/>
              <w:spacing w:after="0"/>
              <w:rPr>
                <w:sz w:val="20"/>
                <w:szCs w:val="20"/>
                <w:color w:val="auto"/>
              </w:rPr>
            </w:pPr>
            <w:r>
              <w:rPr>
                <w:rFonts w:ascii="Arial" w:cs="Arial" w:eastAsia="Arial" w:hAnsi="Arial"/>
                <w:sz w:val="21"/>
                <w:szCs w:val="21"/>
                <w:color w:val="auto"/>
              </w:rPr>
              <w:t>Governance Committee chair</w:t>
            </w:r>
          </w:p>
        </w:tc>
      </w:tr>
      <w:tr>
        <w:trPr>
          <w:trHeight w:val="278"/>
        </w:trPr>
        <w:tc>
          <w:tcPr>
            <w:tcW w:w="1740" w:type="dxa"/>
            <w:vAlign w:val="bottom"/>
          </w:tcPr>
          <w:p>
            <w:pPr>
              <w:spacing w:after="0"/>
              <w:rPr>
                <w:sz w:val="20"/>
                <w:szCs w:val="20"/>
                <w:color w:val="auto"/>
              </w:rPr>
            </w:pPr>
            <w:r>
              <w:rPr>
                <w:rFonts w:ascii="Arial" w:cs="Arial" w:eastAsia="Arial" w:hAnsi="Arial"/>
                <w:sz w:val="21"/>
                <w:szCs w:val="21"/>
                <w:color w:val="auto"/>
              </w:rPr>
              <w:t>$7,500</w:t>
            </w:r>
          </w:p>
        </w:tc>
        <w:tc>
          <w:tcPr>
            <w:tcW w:w="6580" w:type="dxa"/>
            <w:vAlign w:val="bottom"/>
          </w:tcPr>
          <w:p>
            <w:pPr>
              <w:ind w:left="920"/>
              <w:spacing w:after="0"/>
              <w:rPr>
                <w:sz w:val="20"/>
                <w:szCs w:val="20"/>
                <w:color w:val="auto"/>
              </w:rPr>
            </w:pPr>
            <w:r>
              <w:rPr>
                <w:rFonts w:ascii="Arial" w:cs="Arial" w:eastAsia="Arial" w:hAnsi="Arial"/>
                <w:sz w:val="21"/>
                <w:szCs w:val="21"/>
                <w:color w:val="auto"/>
                <w:w w:val="93"/>
              </w:rPr>
              <w:t>Audit Committee members (excluding the Audit Committee chair)</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80"/>
        <w:spacing w:after="0" w:line="235" w:lineRule="auto"/>
        <w:rPr>
          <w:sz w:val="20"/>
          <w:szCs w:val="20"/>
          <w:color w:val="auto"/>
        </w:rPr>
      </w:pPr>
      <w:r>
        <w:rPr>
          <w:rFonts w:ascii="Arial" w:cs="Arial" w:eastAsia="Arial" w:hAnsi="Arial"/>
          <w:sz w:val="21"/>
          <w:szCs w:val="21"/>
          <w:color w:val="auto"/>
        </w:rPr>
        <w:t>The retainers will be paid quarterly in arrears. Prior to the beginning of a calendar year, a non-employee director may elect to (i) receive shares of Campbell stock in lieu of the cash portion of any retainer (such election to be made in 10% increments) and/or (ii) defer all or a portion of any cash or stock retainer in accordance with the terms and conditions of the Campbell Soup Company Supplemental Retirement Plan.</w:t>
      </w:r>
    </w:p>
    <w:p>
      <w:pPr>
        <w:sectPr>
          <w:pgSz w:w="11900" w:h="16838" w:orient="portrait"/>
          <w:cols w:equalWidth="0" w:num="1">
            <w:col w:w="11240"/>
          </w:cols>
          <w:pgMar w:left="320" w:top="138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Mark A. Clouse, certify that:</w:t>
      </w:r>
    </w:p>
    <w:p>
      <w:pPr>
        <w:spacing w:after="0" w:line="164" w:lineRule="exact"/>
        <w:rPr>
          <w:sz w:val="20"/>
          <w:szCs w:val="20"/>
          <w:color w:val="auto"/>
        </w:rPr>
      </w:pPr>
    </w:p>
    <w:p>
      <w:pPr>
        <w:ind w:left="380" w:hanging="175"/>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64" w:lineRule="exact"/>
        <w:rPr>
          <w:rFonts w:ascii="Arial" w:cs="Arial" w:eastAsia="Arial" w:hAnsi="Arial"/>
          <w:sz w:val="18"/>
          <w:szCs w:val="18"/>
          <w:color w:val="auto"/>
        </w:rPr>
      </w:pPr>
    </w:p>
    <w:p>
      <w:pPr>
        <w:ind w:right="460" w:firstLine="205"/>
        <w:spacing w:after="0" w:line="365" w:lineRule="auto"/>
        <w:tabs>
          <w:tab w:leader="none" w:pos="375"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right="560" w:firstLine="205"/>
        <w:spacing w:after="0" w:line="294" w:lineRule="auto"/>
        <w:tabs>
          <w:tab w:leader="none" w:pos="3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ind w:right="40" w:firstLine="205"/>
        <w:spacing w:after="0" w:line="255" w:lineRule="auto"/>
        <w:tabs>
          <w:tab w:leader="none" w:pos="3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ind w:right="140" w:firstLine="443"/>
        <w:spacing w:after="0" w:line="255" w:lineRule="auto"/>
        <w:tabs>
          <w:tab w:leader="none" w:pos="61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right="120" w:firstLine="443"/>
        <w:spacing w:after="0" w:line="255" w:lineRule="auto"/>
        <w:tabs>
          <w:tab w:leader="none" w:pos="62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right="160" w:firstLine="443"/>
        <w:spacing w:after="0" w:line="294" w:lineRule="auto"/>
        <w:tabs>
          <w:tab w:leader="none" w:pos="619"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7"/>
          <w:szCs w:val="17"/>
          <w:color w:val="auto"/>
        </w:rPr>
      </w:pPr>
    </w:p>
    <w:p>
      <w:pPr>
        <w:ind w:right="200" w:firstLine="443"/>
        <w:spacing w:after="0" w:line="255" w:lineRule="auto"/>
        <w:tabs>
          <w:tab w:leader="none" w:pos="62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right="300" w:firstLine="205"/>
        <w:spacing w:after="0" w:line="365" w:lineRule="auto"/>
        <w:tabs>
          <w:tab w:leader="none" w:pos="372"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right="100" w:firstLine="443"/>
        <w:spacing w:after="0" w:line="264" w:lineRule="auto"/>
        <w:tabs>
          <w:tab w:leader="none" w:pos="61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right="140" w:firstLine="443"/>
        <w:spacing w:after="0" w:line="264" w:lineRule="auto"/>
        <w:tabs>
          <w:tab w:leader="none" w:pos="62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2021</w:t>
      </w:r>
    </w:p>
    <w:p>
      <w:pPr>
        <w:spacing w:after="0" w:line="45" w:lineRule="exact"/>
        <w:rPr>
          <w:sz w:val="20"/>
          <w:szCs w:val="20"/>
          <w:color w:val="auto"/>
        </w:rPr>
      </w:pPr>
    </w:p>
    <w:p>
      <w:pPr>
        <w:ind w:left="4200"/>
        <w:spacing w:after="0"/>
        <w:tabs>
          <w:tab w:leader="none" w:pos="4640" w:val="left"/>
        </w:tabs>
        <w:rPr>
          <w:sz w:val="20"/>
          <w:szCs w:val="20"/>
          <w:color w:val="auto"/>
        </w:rPr>
      </w:pPr>
      <w:r>
        <w:rPr>
          <w:rFonts w:ascii="Arial" w:cs="Arial" w:eastAsia="Arial" w:hAnsi="Arial"/>
          <w:sz w:val="18"/>
          <w:szCs w:val="18"/>
          <w:color w:val="auto"/>
        </w:rPr>
        <w:t>By:</w:t>
        <w:tab/>
        <w:t>/s/ Mark A. Clouse</w:t>
      </w:r>
    </w:p>
    <w:p>
      <w:pPr>
        <w:spacing w:after="0" w:line="16" w:lineRule="exact"/>
        <w:rPr>
          <w:sz w:val="20"/>
          <w:szCs w:val="20"/>
          <w:color w:val="auto"/>
        </w:rPr>
      </w:pPr>
    </w:p>
    <w:tbl>
      <w:tblPr>
        <w:tblLayout w:type="fixed"/>
        <w:tblInd w:w="4640" w:type="dxa"/>
        <w:tblCellMar>
          <w:top w:w="0" w:type="dxa"/>
          <w:left w:w="0" w:type="dxa"/>
          <w:bottom w:w="0" w:type="dxa"/>
          <w:right w:w="0" w:type="dxa"/>
        </w:tblCellMar>
      </w:tblPr>
      <w:tr>
        <w:trPr>
          <w:trHeight w:val="220"/>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Mark A. Clouse</w:t>
            </w:r>
          </w:p>
        </w:tc>
      </w:tr>
      <w:tr>
        <w:trPr>
          <w:trHeight w:val="223"/>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34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76"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Mick J. Beekhuizen, certify that:</w:t>
      </w:r>
    </w:p>
    <w:p>
      <w:pPr>
        <w:spacing w:after="0" w:line="164" w:lineRule="exact"/>
        <w:rPr>
          <w:sz w:val="20"/>
          <w:szCs w:val="20"/>
          <w:color w:val="auto"/>
        </w:rPr>
      </w:pPr>
    </w:p>
    <w:p>
      <w:pPr>
        <w:ind w:left="380" w:hanging="175"/>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64" w:lineRule="exact"/>
        <w:rPr>
          <w:rFonts w:ascii="Arial" w:cs="Arial" w:eastAsia="Arial" w:hAnsi="Arial"/>
          <w:sz w:val="18"/>
          <w:szCs w:val="18"/>
          <w:color w:val="auto"/>
        </w:rPr>
      </w:pPr>
    </w:p>
    <w:p>
      <w:pPr>
        <w:ind w:right="460" w:firstLine="205"/>
        <w:spacing w:after="0" w:line="365" w:lineRule="auto"/>
        <w:tabs>
          <w:tab w:leader="none" w:pos="375"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right="560" w:firstLine="205"/>
        <w:spacing w:after="0" w:line="294" w:lineRule="auto"/>
        <w:tabs>
          <w:tab w:leader="none" w:pos="3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ind w:right="40" w:firstLine="205"/>
        <w:spacing w:after="0" w:line="255" w:lineRule="auto"/>
        <w:tabs>
          <w:tab w:leader="none" w:pos="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ind w:right="140" w:firstLine="443"/>
        <w:spacing w:after="0" w:line="255" w:lineRule="auto"/>
        <w:tabs>
          <w:tab w:leader="none" w:pos="61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right="120" w:firstLine="443"/>
        <w:spacing w:after="0" w:line="255" w:lineRule="auto"/>
        <w:tabs>
          <w:tab w:leader="none" w:pos="62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right="160" w:firstLine="443"/>
        <w:spacing w:after="0" w:line="294" w:lineRule="auto"/>
        <w:tabs>
          <w:tab w:leader="none" w:pos="619"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7"/>
          <w:szCs w:val="17"/>
          <w:color w:val="auto"/>
        </w:rPr>
      </w:pPr>
    </w:p>
    <w:p>
      <w:pPr>
        <w:ind w:right="200" w:firstLine="443"/>
        <w:spacing w:after="0" w:line="255" w:lineRule="auto"/>
        <w:tabs>
          <w:tab w:leader="none" w:pos="62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right="300" w:firstLine="205"/>
        <w:spacing w:after="0" w:line="365" w:lineRule="auto"/>
        <w:tabs>
          <w:tab w:leader="none" w:pos="372"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right="100" w:firstLine="443"/>
        <w:spacing w:after="0" w:line="264" w:lineRule="auto"/>
        <w:tabs>
          <w:tab w:leader="none" w:pos="61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right="140" w:firstLine="443"/>
        <w:spacing w:after="0" w:line="264" w:lineRule="auto"/>
        <w:tabs>
          <w:tab w:leader="none" w:pos="62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2021</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Arial" w:cs="Arial" w:eastAsia="Arial" w:hAnsi="Arial"/>
          <w:sz w:val="18"/>
          <w:szCs w:val="18"/>
          <w:color w:val="auto"/>
        </w:rPr>
        <w:t>By:</w:t>
        <w:tab/>
        <w:t>/s/ Mick J. Beekhuizen</w:t>
      </w:r>
    </w:p>
    <w:p>
      <w:pPr>
        <w:spacing w:after="0" w:line="16" w:lineRule="exact"/>
        <w:rPr>
          <w:sz w:val="20"/>
          <w:szCs w:val="20"/>
          <w:color w:val="auto"/>
        </w:rPr>
      </w:pPr>
    </w:p>
    <w:tbl>
      <w:tblPr>
        <w:tblLayout w:type="fixed"/>
        <w:tblInd w:w="4580" w:type="dxa"/>
        <w:tblCellMar>
          <w:top w:w="0" w:type="dxa"/>
          <w:left w:w="0" w:type="dxa"/>
          <w:bottom w:w="0" w:type="dxa"/>
          <w:right w:w="0" w:type="dxa"/>
        </w:tblCellMar>
      </w:tblPr>
      <w:tr>
        <w:trPr>
          <w:trHeight w:val="220"/>
        </w:trPr>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Mick J. Beekhuizen</w:t>
            </w:r>
          </w:p>
        </w:tc>
      </w:tr>
      <w:tr>
        <w:trPr>
          <w:trHeight w:val="223"/>
        </w:trPr>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30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r>
      <w:tr>
        <w:trPr>
          <w:trHeight w:val="225"/>
        </w:trPr>
        <w:tc>
          <w:tcPr>
            <w:tcW w:w="6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76"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3" w:lineRule="exact"/>
        <w:rPr>
          <w:sz w:val="20"/>
          <w:szCs w:val="20"/>
          <w:color w:val="auto"/>
        </w:rPr>
      </w:pPr>
    </w:p>
    <w:p>
      <w:pPr>
        <w:ind w:right="80" w:firstLine="199"/>
        <w:spacing w:after="0" w:line="255"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October 31, 2021 (the “Report”), I, Mark A. Clouse, President and Chief Executive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700" w:hanging="257"/>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700" w:hanging="257"/>
        <w:spacing w:after="0"/>
        <w:tabs>
          <w:tab w:leader="none" w:pos="7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2021</w:t>
      </w:r>
    </w:p>
    <w:p>
      <w:pPr>
        <w:spacing w:after="0" w:line="45" w:lineRule="exact"/>
        <w:rPr>
          <w:sz w:val="20"/>
          <w:szCs w:val="20"/>
          <w:color w:val="auto"/>
        </w:rPr>
      </w:pPr>
    </w:p>
    <w:p>
      <w:pPr>
        <w:ind w:left="4140"/>
        <w:spacing w:after="0"/>
        <w:tabs>
          <w:tab w:leader="none" w:pos="4580" w:val="left"/>
        </w:tabs>
        <w:rPr>
          <w:sz w:val="20"/>
          <w:szCs w:val="20"/>
          <w:color w:val="auto"/>
        </w:rPr>
      </w:pPr>
      <w:r>
        <w:rPr>
          <w:rFonts w:ascii="Arial" w:cs="Arial" w:eastAsia="Arial" w:hAnsi="Arial"/>
          <w:sz w:val="18"/>
          <w:szCs w:val="18"/>
          <w:color w:val="auto"/>
        </w:rPr>
        <w:t>By:</w:t>
        <w:tab/>
        <w:t>/s/ Mark A. Clouse</w:t>
      </w:r>
    </w:p>
    <w:p>
      <w:pPr>
        <w:spacing w:after="0" w:line="16" w:lineRule="exact"/>
        <w:rPr>
          <w:sz w:val="20"/>
          <w:szCs w:val="20"/>
          <w:color w:val="auto"/>
        </w:rPr>
      </w:pPr>
    </w:p>
    <w:tbl>
      <w:tblPr>
        <w:tblLayout w:type="fixed"/>
        <w:tblInd w:w="4580" w:type="dxa"/>
        <w:tblCellMar>
          <w:top w:w="0" w:type="dxa"/>
          <w:left w:w="0" w:type="dxa"/>
          <w:bottom w:w="0" w:type="dxa"/>
          <w:right w:w="0" w:type="dxa"/>
        </w:tblCellMar>
      </w:tblPr>
      <w:tr>
        <w:trPr>
          <w:trHeight w:val="220"/>
        </w:trPr>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Mark A. Clouse</w:t>
            </w:r>
          </w:p>
        </w:tc>
      </w:tr>
      <w:tr>
        <w:trPr>
          <w:trHeight w:val="223"/>
        </w:trPr>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30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2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3" w:lineRule="exact"/>
        <w:rPr>
          <w:sz w:val="20"/>
          <w:szCs w:val="20"/>
          <w:color w:val="auto"/>
        </w:rPr>
      </w:pPr>
    </w:p>
    <w:p>
      <w:pPr>
        <w:ind w:right="180" w:firstLine="199"/>
        <w:spacing w:after="0" w:line="255"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October 31, 2021 (the “Report”), I, Mick J. Beekhuizen, Executive Vice President and Chief Financial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700" w:hanging="257"/>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700" w:hanging="257"/>
        <w:spacing w:after="0"/>
        <w:tabs>
          <w:tab w:leader="none" w:pos="7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2021</w:t>
      </w:r>
    </w:p>
    <w:p>
      <w:pPr>
        <w:spacing w:after="0" w:line="45" w:lineRule="exact"/>
        <w:rPr>
          <w:sz w:val="20"/>
          <w:szCs w:val="20"/>
          <w:color w:val="auto"/>
        </w:rPr>
      </w:pPr>
    </w:p>
    <w:p>
      <w:pPr>
        <w:ind w:left="4140"/>
        <w:spacing w:after="0"/>
        <w:tabs>
          <w:tab w:leader="none" w:pos="4580" w:val="left"/>
        </w:tabs>
        <w:rPr>
          <w:sz w:val="20"/>
          <w:szCs w:val="20"/>
          <w:color w:val="auto"/>
        </w:rPr>
      </w:pPr>
      <w:r>
        <w:rPr>
          <w:rFonts w:ascii="Arial" w:cs="Arial" w:eastAsia="Arial" w:hAnsi="Arial"/>
          <w:sz w:val="18"/>
          <w:szCs w:val="18"/>
          <w:color w:val="auto"/>
        </w:rPr>
        <w:t>By:</w:t>
        <w:tab/>
        <w:t>/s/ Mick J. Beekhuizen</w:t>
      </w:r>
    </w:p>
    <w:p>
      <w:pPr>
        <w:spacing w:after="0" w:line="16" w:lineRule="exact"/>
        <w:rPr>
          <w:sz w:val="20"/>
          <w:szCs w:val="20"/>
          <w:color w:val="auto"/>
        </w:rPr>
      </w:pPr>
    </w:p>
    <w:tbl>
      <w:tblPr>
        <w:tblLayout w:type="fixed"/>
        <w:tblInd w:w="4580" w:type="dxa"/>
        <w:tblCellMar>
          <w:top w:w="0" w:type="dxa"/>
          <w:left w:w="0" w:type="dxa"/>
          <w:bottom w:w="0" w:type="dxa"/>
          <w:right w:w="0" w:type="dxa"/>
        </w:tblCellMar>
      </w:tblPr>
      <w:tr>
        <w:trPr>
          <w:trHeight w:val="220"/>
        </w:trPr>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Mick J. Beekhuizen</w:t>
            </w:r>
          </w:p>
        </w:tc>
      </w:tr>
      <w:tr>
        <w:trPr>
          <w:trHeight w:val="223"/>
        </w:trPr>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36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r>
      <w:tr>
        <w:trPr>
          <w:trHeight w:val="225"/>
        </w:trPr>
        <w:tc>
          <w:tcPr>
            <w:tcW w:w="660" w:type="dxa"/>
            <w:vAlign w:val="bottom"/>
          </w:tcPr>
          <w:p>
            <w:pPr>
              <w:spacing w:after="0"/>
              <w:rPr>
                <w:sz w:val="19"/>
                <w:szCs w:val="19"/>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2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2"/>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4"/>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4"/>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2"/>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04"/>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46" Type="http://schemas.openxmlformats.org/officeDocument/2006/relationships/hyperlink" Target="https://www.sec.gov/Archives/edgar/data/16732/000119312521284156/d216246d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2021-12-08T06:34:12Z</dcterms:created>
  <dcterms:modified xsi:type="dcterms:W3CDTF">2021-12-08T06:34:12Z</dcterms:modified>
</cp:coreProperties>
</file>