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367665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ind w:left="332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w:t>
      </w:r>
    </w:p>
    <w:p>
      <w:pPr>
        <w:spacing w:after="0" w:line="109" w:lineRule="exact"/>
        <w:rPr>
          <w:sz w:val="24"/>
          <w:szCs w:val="24"/>
          <w:color w:val="auto"/>
        </w:rPr>
      </w:pPr>
    </w:p>
    <w:p>
      <w:pPr>
        <w:jc w:val="center"/>
        <w:ind w:right="-39"/>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80"/>
          </w:cols>
          <w:pgMar w:left="240" w:top="1143" w:right="279" w:bottom="1440" w:gutter="0" w:footer="0" w:header="0"/>
        </w:sectPr>
      </w:pPr>
    </w:p>
    <w:p>
      <w:pPr>
        <w:spacing w:after="0" w:line="353"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For the Quarterly Period Ended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May 3, 2015</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Commission File Number</w:t>
      </w:r>
    </w:p>
    <w:p>
      <w:pPr>
        <w:spacing w:after="0" w:line="50"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160020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60" w:space="720"/>
            <w:col w:w="4100"/>
          </w:cols>
          <w:pgMar w:left="240" w:top="1143"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380"/>
          </w:cols>
          <w:pgMar w:left="240" w:top="1143" w:right="279" w:bottom="1440" w:gutter="0" w:footer="0" w:header="0"/>
          <w:type w:val="continuous"/>
        </w:sectPr>
      </w:pPr>
    </w:p>
    <w:p>
      <w:pPr>
        <w:spacing w:after="0" w:line="200" w:lineRule="exact"/>
        <w:rPr>
          <w:sz w:val="24"/>
          <w:szCs w:val="24"/>
          <w:color w:val="auto"/>
        </w:rPr>
      </w:pPr>
    </w:p>
    <w:p>
      <w:pPr>
        <w:spacing w:after="0" w:line="287"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20" w:space="720"/>
            <w:col w:w="3340"/>
          </w:cols>
          <w:pgMar w:left="240" w:top="1143" w:right="279" w:bottom="1440" w:gutter="0" w:footer="0" w:header="0"/>
          <w:type w:val="continuous"/>
        </w:sectPr>
      </w:pPr>
    </w:p>
    <w:p>
      <w:pPr>
        <w:ind w:left="21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40"/>
          </w:cols>
          <w:pgMar w:left="240" w:top="1143" w:right="279" w:bottom="1440" w:gutter="0" w:footer="0" w:header="0"/>
          <w:type w:val="continuous"/>
        </w:sectPr>
      </w:pPr>
    </w:p>
    <w:p>
      <w:pPr>
        <w:spacing w:after="0" w:line="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Number: (856) 342-4800</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__________________________________________________</w:t>
      </w:r>
    </w:p>
    <w:p>
      <w:pPr>
        <w:spacing w:after="0" w:line="200" w:lineRule="exact"/>
        <w:rPr>
          <w:sz w:val="24"/>
          <w:szCs w:val="24"/>
          <w:color w:val="auto"/>
        </w:rPr>
      </w:pPr>
    </w:p>
    <w:p>
      <w:pPr>
        <w:spacing w:after="0" w:line="227" w:lineRule="exact"/>
        <w:rPr>
          <w:sz w:val="24"/>
          <w:szCs w:val="24"/>
          <w:color w:val="auto"/>
        </w:rPr>
      </w:pPr>
    </w:p>
    <w:p>
      <w:pPr>
        <w:ind w:right="6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R Yes o No</w:t>
      </w:r>
    </w:p>
    <w:p>
      <w:pPr>
        <w:spacing w:after="0" w:line="73"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R Yes o No</w:t>
      </w:r>
    </w:p>
    <w:p>
      <w:pPr>
        <w:spacing w:after="0" w:line="73" w:lineRule="exact"/>
        <w:rPr>
          <w:sz w:val="24"/>
          <w:szCs w:val="24"/>
          <w:color w:val="auto"/>
        </w:rPr>
      </w:pPr>
    </w:p>
    <w:p>
      <w:pPr>
        <w:ind w:right="40"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1143" w:right="279" w:bottom="1440" w:gutter="0" w:footer="0" w:header="0"/>
          <w:type w:val="continuous"/>
        </w:sectPr>
      </w:pPr>
    </w:p>
    <w:p>
      <w:pPr>
        <w:spacing w:after="0" w:line="60"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auto"/>
        </w:rPr>
        <w:t>Non-accelerated filer o</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91" w:lineRule="exact"/>
        <w:rPr>
          <w:sz w:val="24"/>
          <w:szCs w:val="24"/>
          <w:color w:val="auto"/>
        </w:rPr>
      </w:pPr>
    </w:p>
    <w:p>
      <w:pPr>
        <w:sectPr>
          <w:pgSz w:w="11900" w:h="16838" w:orient="portrait"/>
          <w:cols w:equalWidth="0" w:num="4">
            <w:col w:w="2760" w:space="720"/>
            <w:col w:w="1740" w:space="720"/>
            <w:col w:w="1940" w:space="720"/>
            <w:col w:w="2780"/>
          </w:cols>
          <w:pgMar w:left="240" w:top="1143" w:right="27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o Yes R No</w:t>
      </w:r>
    </w:p>
    <w:p>
      <w:pPr>
        <w:spacing w:after="0" w:line="356"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There were 310,520,682 shares of capital stock outstanding as of June 5,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249555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143"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615"/>
        </w:trPr>
        <w:tc>
          <w:tcPr>
            <w:tcW w:w="4720" w:type="dxa"/>
            <w:vAlign w:val="bottom"/>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PART I</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Information</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26</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1260" w:type="dxa"/>
            <w:vAlign w:val="bottom"/>
          </w:tcPr>
          <w:p>
            <w:pPr>
              <w:spacing w:after="0"/>
              <w:rPr>
                <w:sz w:val="23"/>
                <w:szCs w:val="23"/>
                <w:color w:val="auto"/>
              </w:rPr>
            </w:pPr>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8">
              <w:r>
                <w:rPr>
                  <w:rFonts w:ascii="Arial" w:cs="Arial" w:eastAsia="Arial" w:hAnsi="Arial"/>
                  <w:sz w:val="18"/>
                  <w:szCs w:val="18"/>
                  <w:color w:val="0000EE"/>
                </w:rPr>
                <w:t>Item 1A. Risk Factors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8">
              <w:r>
                <w:rPr>
                  <w:rFonts w:ascii="Arial" w:cs="Arial" w:eastAsia="Arial" w:hAnsi="Arial"/>
                  <w:sz w:val="18"/>
                  <w:szCs w:val="18"/>
                  <w:color w:val="0000EE"/>
                </w:rPr>
                <w:t>Item 2. 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39</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260" w:type="dxa"/>
            <w:vAlign w:val="bottom"/>
          </w:tcPr>
          <w:p>
            <w:pPr>
              <w:ind w:left="108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40</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41</w:t>
              </w:r>
            </w:hyperlink>
          </w:p>
        </w:tc>
      </w:tr>
      <w:tr>
        <w:trPr>
          <w:trHeight w:val="702"/>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2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27,</w:t>
            </w:r>
          </w:p>
        </w:tc>
        <w:tc>
          <w:tcPr>
            <w:tcW w:w="280" w:type="dxa"/>
            <w:vAlign w:val="bottom"/>
          </w:tcPr>
          <w:p>
            <w:pPr>
              <w:spacing w:after="0"/>
              <w:rPr>
                <w:sz w:val="13"/>
                <w:szCs w:val="13"/>
                <w:color w:val="auto"/>
              </w:rPr>
            </w:pPr>
          </w:p>
        </w:tc>
        <w:tc>
          <w:tcPr>
            <w:tcW w:w="120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3"/>
                <w:szCs w:val="13"/>
                <w:color w:val="auto"/>
              </w:rPr>
            </w:pPr>
          </w:p>
        </w:tc>
        <w:tc>
          <w:tcPr>
            <w:tcW w:w="110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6,389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702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5,422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287</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967</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.936</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vMerge w:val="continue"/>
            <w:shd w:val="clear" w:color="auto" w:fill="CCEEFF"/>
          </w:tcPr>
          <w:p>
            <w:pPr>
              <w:spacing w:after="0"/>
              <w:rPr>
                <w:sz w:val="20"/>
                <w:szCs w:val="20"/>
                <w:color w:val="auto"/>
              </w:rPr>
            </w:pPr>
          </w:p>
        </w:tc>
        <w:tc>
          <w:tcPr>
            <w:tcW w:w="10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80" w:type="dxa"/>
            <w:vAlign w:val="bottom"/>
          </w:tcPr>
          <w:p>
            <w:pPr>
              <w:spacing w:after="0"/>
              <w:rPr>
                <w:sz w:val="19"/>
                <w:szCs w:val="19"/>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312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May 3, 2015</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April 27, 2014</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Tax (expense)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Tax (expense)</w:t>
            </w:r>
          </w:p>
        </w:tc>
        <w:tc>
          <w:tcPr>
            <w:tcW w:w="76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5"/>
                <w:szCs w:val="15"/>
                <w:b w:val="1"/>
                <w:bCs w:val="1"/>
                <w:color w:val="auto"/>
              </w:rPr>
              <w:t>Other comprehensive income (loss):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Foreign currency translation:</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12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Cash-flow hedges: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Unrealized gains (losses) arising during the period</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b w:val="1"/>
                <w:bCs w:val="1"/>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Reclassification adjustment for (gains) losses included in 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b w:val="1"/>
                <w:bCs w:val="1"/>
                <w:color w:val="auto"/>
              </w:rPr>
              <w:t>Pension and other postretirement benefits: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Net actuarial gain (loss) arising during the period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Reclassification of prior service credit included in net earnings</w:t>
            </w:r>
          </w:p>
        </w:tc>
        <w:tc>
          <w:tcPr>
            <w:tcW w:w="140" w:type="dxa"/>
            <w:vAlign w:val="bottom"/>
          </w:tcPr>
          <w:p>
            <w:pPr>
              <w:spacing w:after="0"/>
              <w:rPr>
                <w:sz w:val="23"/>
                <w:szCs w:val="23"/>
                <w:color w:val="auto"/>
              </w:rPr>
            </w:pPr>
          </w:p>
        </w:tc>
        <w:tc>
          <w:tcPr>
            <w:tcW w:w="680" w:type="dxa"/>
            <w:vAlign w:val="bottom"/>
          </w:tcPr>
          <w:p>
            <w:pPr>
              <w:jc w:val="right"/>
              <w:ind w:right="4"/>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Reclassification of net actuarial loss included in net earnings</w:t>
            </w: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rPr>
              <w:t>24</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(9)</w:t>
            </w:r>
          </w:p>
        </w:tc>
        <w:tc>
          <w:tcPr>
            <w:tcW w:w="1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15</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40</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Other comprehensive income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42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(12)</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30</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Total comprehensive income (loss)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212</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Total comprehensive income (loss) attributable to noncontrolling interests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w w:val="94"/>
              </w:rPr>
              <w:t>Total comprehensive income (loss) attributable to Campbell Soup Company</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212</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May 3, 2015</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April 27, 2014</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Tax (expense)</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89"/>
              </w:rPr>
              <w:t>Tax (expense)</w:t>
            </w:r>
          </w:p>
        </w:tc>
        <w:tc>
          <w:tcPr>
            <w:tcW w:w="760" w:type="dxa"/>
            <w:vAlign w:val="bottom"/>
          </w:tcPr>
          <w:p>
            <w:pPr>
              <w:jc w:val="center"/>
              <w:ind w:right="44"/>
              <w:spacing w:after="0" w:line="153" w:lineRule="exact"/>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5"/>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5"/>
                <w:szCs w:val="15"/>
                <w:b w:val="1"/>
                <w:bCs w:val="1"/>
                <w:color w:val="auto"/>
              </w:rPr>
              <w:t>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rPr>
              <w:t>623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672</w:t>
            </w:r>
          </w:p>
        </w:tc>
        <w:tc>
          <w:tcPr>
            <w:tcW w:w="0" w:type="dxa"/>
            <w:vAlign w:val="bottom"/>
          </w:tcPr>
          <w:p>
            <w:pPr>
              <w:spacing w:after="0"/>
              <w:rPr>
                <w:sz w:val="1"/>
                <w:szCs w:val="1"/>
                <w:color w:val="auto"/>
              </w:rPr>
            </w:pPr>
          </w:p>
        </w:tc>
      </w:tr>
      <w:tr>
        <w:trPr>
          <w:trHeight w:val="266"/>
        </w:trPr>
        <w:tc>
          <w:tcPr>
            <w:tcW w:w="5160" w:type="dxa"/>
            <w:vAlign w:val="bottom"/>
          </w:tcPr>
          <w:p>
            <w:pPr>
              <w:ind w:left="40"/>
              <w:spacing w:after="0"/>
              <w:rPr>
                <w:sz w:val="20"/>
                <w:szCs w:val="20"/>
                <w:color w:val="auto"/>
              </w:rPr>
            </w:pPr>
            <w:r>
              <w:rPr>
                <w:rFonts w:ascii="Arial" w:cs="Arial" w:eastAsia="Arial" w:hAnsi="Arial"/>
                <w:sz w:val="15"/>
                <w:szCs w:val="15"/>
                <w:b w:val="1"/>
                <w:bCs w:val="1"/>
                <w:color w:val="auto"/>
              </w:rPr>
              <w:t>Other comprehensive income (loss):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Foreign currency translation:</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Foreign currency translation adjustments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Pr>
          <w:p>
            <w:pPr>
              <w:jc w:val="right"/>
              <w:ind w:right="4"/>
              <w:spacing w:after="0"/>
              <w:rPr>
                <w:sz w:val="20"/>
                <w:szCs w:val="20"/>
                <w:color w:val="auto"/>
              </w:rPr>
            </w:pPr>
            <w:r>
              <w:rPr>
                <w:rFonts w:ascii="Arial" w:cs="Arial" w:eastAsia="Arial" w:hAnsi="Arial"/>
                <w:sz w:val="15"/>
                <w:szCs w:val="15"/>
                <w:b w:val="1"/>
                <w:bCs w:val="1"/>
                <w:color w:val="auto"/>
              </w:rPr>
              <w:t>(238)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Pr>
          <w:p>
            <w:pPr>
              <w:jc w:val="right"/>
              <w:ind w:right="45"/>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(237)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80"/>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w w:val="93"/>
              </w:rPr>
              <w:t>Reclassification of currency translation adjustments realized upon disposal of</w:t>
            </w:r>
          </w:p>
        </w:tc>
        <w:tc>
          <w:tcPr>
            <w:tcW w:w="14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business</w:t>
            </w: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66"/>
        </w:trPr>
        <w:tc>
          <w:tcPr>
            <w:tcW w:w="5160" w:type="dxa"/>
            <w:vAlign w:val="bottom"/>
          </w:tcPr>
          <w:p>
            <w:pPr>
              <w:ind w:left="180"/>
              <w:spacing w:after="0"/>
              <w:rPr>
                <w:sz w:val="20"/>
                <w:szCs w:val="20"/>
                <w:color w:val="auto"/>
              </w:rPr>
            </w:pPr>
            <w:r>
              <w:rPr>
                <w:rFonts w:ascii="Arial" w:cs="Arial" w:eastAsia="Arial" w:hAnsi="Arial"/>
                <w:sz w:val="15"/>
                <w:szCs w:val="15"/>
                <w:b w:val="1"/>
                <w:bCs w:val="1"/>
                <w:color w:val="auto"/>
              </w:rPr>
              <w:t>Cash-flow hedges: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Unrealized gains (losses) arising during period</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rPr>
              <w:t>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Reclassification adjustment for (gains) losses included in net earnings</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Pension and other postretirement benefits: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160" w:type="dxa"/>
            <w:vAlign w:val="bottom"/>
          </w:tcPr>
          <w:p>
            <w:pPr>
              <w:ind w:left="340"/>
              <w:spacing w:after="0"/>
              <w:rPr>
                <w:sz w:val="20"/>
                <w:szCs w:val="20"/>
                <w:color w:val="auto"/>
              </w:rPr>
            </w:pPr>
            <w:r>
              <w:rPr>
                <w:rFonts w:ascii="Arial" w:cs="Arial" w:eastAsia="Arial" w:hAnsi="Arial"/>
                <w:sz w:val="15"/>
                <w:szCs w:val="15"/>
                <w:color w:val="auto"/>
              </w:rPr>
              <w:t>Net actuarial gain (loss) arising during the period</w:t>
            </w:r>
          </w:p>
        </w:tc>
        <w:tc>
          <w:tcPr>
            <w:tcW w:w="140" w:type="dxa"/>
            <w:vAlign w:val="bottom"/>
          </w:tcPr>
          <w:p>
            <w:pPr>
              <w:spacing w:after="0"/>
              <w:rPr>
                <w:sz w:val="23"/>
                <w:szCs w:val="23"/>
                <w:color w:val="auto"/>
              </w:rPr>
            </w:pPr>
          </w:p>
        </w:tc>
        <w:tc>
          <w:tcPr>
            <w:tcW w:w="680" w:type="dxa"/>
            <w:vAlign w:val="bottom"/>
          </w:tcPr>
          <w:p>
            <w:pPr>
              <w:jc w:val="right"/>
              <w:ind w:right="44"/>
              <w:spacing w:after="0"/>
              <w:rPr>
                <w:sz w:val="20"/>
                <w:szCs w:val="20"/>
                <w:color w:val="auto"/>
              </w:rPr>
            </w:pPr>
            <w:r>
              <w:rPr>
                <w:rFonts w:ascii="Arial" w:cs="Arial" w:eastAsia="Arial" w:hAnsi="Arial"/>
                <w:sz w:val="15"/>
                <w:szCs w:val="15"/>
                <w:b w:val="1"/>
                <w:bCs w:val="1"/>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5"/>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24"/>
              <w:spacing w:after="0"/>
              <w:rPr>
                <w:sz w:val="20"/>
                <w:szCs w:val="20"/>
                <w:color w:val="auto"/>
              </w:rPr>
            </w:pPr>
            <w:r>
              <w:rPr>
                <w:rFonts w:ascii="Arial" w:cs="Arial" w:eastAsia="Arial" w:hAnsi="Arial"/>
                <w:sz w:val="15"/>
                <w:szCs w:val="15"/>
                <w:b w:val="1"/>
                <w:bCs w:val="1"/>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4"/>
              <w:spacing w:after="0"/>
              <w:rPr>
                <w:sz w:val="20"/>
                <w:szCs w:val="20"/>
                <w:color w:val="auto"/>
              </w:rPr>
            </w:pPr>
            <w:r>
              <w:rPr>
                <w:rFonts w:ascii="Arial" w:cs="Arial" w:eastAsia="Arial" w:hAnsi="Arial"/>
                <w:sz w:val="15"/>
                <w:szCs w:val="15"/>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2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74"/>
        </w:trPr>
        <w:tc>
          <w:tcPr>
            <w:tcW w:w="5160" w:type="dxa"/>
            <w:vAlign w:val="bottom"/>
            <w:shd w:val="clear" w:color="auto" w:fill="CCEEFF"/>
          </w:tcPr>
          <w:p>
            <w:pPr>
              <w:ind w:left="340"/>
              <w:spacing w:after="0"/>
              <w:rPr>
                <w:sz w:val="20"/>
                <w:szCs w:val="20"/>
                <w:color w:val="auto"/>
              </w:rPr>
            </w:pPr>
            <w:r>
              <w:rPr>
                <w:rFonts w:ascii="Arial" w:cs="Arial" w:eastAsia="Arial" w:hAnsi="Arial"/>
                <w:sz w:val="15"/>
                <w:szCs w:val="15"/>
                <w:color w:val="auto"/>
              </w:rPr>
              <w:t>Reclassification of prior service credit included in net earnings</w:t>
            </w: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66"/>
        </w:trPr>
        <w:tc>
          <w:tcPr>
            <w:tcW w:w="516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Reclassification of net actuarial loss included in net earnings</w:t>
            </w: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72</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(25)</w:t>
            </w: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47</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6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(176)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(20)</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(196)</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66</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Total comprehensive income (loss)</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427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710</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w w:val="94"/>
              </w:rPr>
              <w:t>Total comprehensive income (loss) attributable to Campbell Soup Company</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427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719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29"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29" w:right="239" w:bottom="1440" w:gutter="0" w:footer="0" w:header="0"/>
          <w:type w:val="continuous"/>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May 3,</w:t>
            </w:r>
          </w:p>
        </w:tc>
        <w:tc>
          <w:tcPr>
            <w:tcW w:w="300" w:type="dxa"/>
            <w:vAlign w:val="bottom"/>
          </w:tcPr>
          <w:p>
            <w:pPr>
              <w:spacing w:after="0"/>
              <w:rPr>
                <w:sz w:val="14"/>
                <w:szCs w:val="14"/>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August 3,</w:t>
            </w:r>
          </w:p>
        </w:tc>
      </w:tr>
      <w:tr>
        <w:trPr>
          <w:trHeight w:val="192"/>
        </w:trPr>
        <w:tc>
          <w:tcPr>
            <w:tcW w:w="6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230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232</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876</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155</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1,902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2,100</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2,292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2,281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2,433</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1,133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151</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7,759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8,113</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1,232</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1,771</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Payable to suppliers and others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462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527</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491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Dividend payable</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38</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2,323</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2,989</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2,553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2,244</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573</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548</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725</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6,174</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6,510</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authorized 40 shares; none issued</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331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Earnings retained in the business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2,526</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2,198</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stock in treasury, at cost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(765)</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(569)</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1,597</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1,585</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7,759</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8,113</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1229"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599"/>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88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April 27,</w:t>
            </w:r>
          </w:p>
        </w:tc>
      </w:tr>
      <w:tr>
        <w:trPr>
          <w:trHeight w:val="192"/>
        </w:trPr>
        <w:tc>
          <w:tcPr>
            <w:tcW w:w="88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1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60"/>
        </w:trPr>
        <w:tc>
          <w:tcPr>
            <w:tcW w:w="88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840" w:type="dxa"/>
            <w:vAlign w:val="bottom"/>
          </w:tcPr>
          <w:p>
            <w:pPr>
              <w:jc w:val="right"/>
              <w:ind w:right="664"/>
              <w:spacing w:after="0"/>
              <w:rPr>
                <w:sz w:val="20"/>
                <w:szCs w:val="20"/>
                <w:color w:val="auto"/>
              </w:rPr>
            </w:pPr>
            <w:r>
              <w:rPr>
                <w:rFonts w:ascii="Arial" w:cs="Arial" w:eastAsia="Arial" w:hAnsi="Arial"/>
                <w:sz w:val="16"/>
                <w:szCs w:val="16"/>
                <w:b w:val="1"/>
                <w:bCs w:val="1"/>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623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672</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Gain on sale of business</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net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r>
      <w:tr>
        <w:trPr>
          <w:trHeight w:val="224"/>
        </w:trPr>
        <w:tc>
          <w:tcPr>
            <w:tcW w:w="8800" w:type="dxa"/>
            <w:vAlign w:val="bottom"/>
          </w:tcPr>
          <w:p>
            <w:pPr>
              <w:ind w:left="180"/>
              <w:spacing w:after="0"/>
              <w:rPr>
                <w:sz w:val="20"/>
                <w:szCs w:val="20"/>
                <w:color w:val="auto"/>
              </w:rPr>
            </w:pPr>
            <w:r>
              <w:rPr>
                <w:rFonts w:ascii="Arial" w:cs="Arial" w:eastAsia="Arial" w:hAnsi="Arial"/>
                <w:sz w:val="16"/>
                <w:szCs w:val="16"/>
                <w:color w:val="auto"/>
              </w:rPr>
              <w:t>Changes in working capital</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7"/>
        </w:trPr>
        <w:tc>
          <w:tcPr>
            <w:tcW w:w="8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108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6"/>
              </w:rPr>
              <w:t>(112)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fund contributions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Receipts from (payments of) hedging activities</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31"/>
        </w:trPr>
        <w:tc>
          <w:tcPr>
            <w:tcW w:w="880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971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763</w:t>
            </w:r>
          </w:p>
        </w:tc>
      </w:tr>
      <w:tr>
        <w:trPr>
          <w:trHeight w:val="33"/>
        </w:trPr>
        <w:tc>
          <w:tcPr>
            <w:tcW w:w="8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Purchases of plant assets</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6"/>
              </w:rPr>
              <w:t>(242)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(198)</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plant assets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Business acquired, net of cash acquired</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 of business, net of cash divested</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7"/>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47"/>
        </w:trPr>
        <w:tc>
          <w:tcPr>
            <w:tcW w:w="88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repayments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borrowings</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notes payable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6"/>
              </w:rPr>
              <w:t>(297)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purchases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Treasury stock issuances</w:t>
            </w:r>
          </w:p>
        </w:tc>
        <w:tc>
          <w:tcPr>
            <w:tcW w:w="8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Excess tax benefits on stock-based compensation</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Contribution from noncontrolling interest</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80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(711)</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(942)</w:t>
            </w:r>
          </w:p>
        </w:tc>
      </w:tr>
      <w:tr>
        <w:trPr>
          <w:trHeight w:val="33"/>
        </w:trPr>
        <w:tc>
          <w:tcPr>
            <w:tcW w:w="8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31"/>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beginning of period</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beginning of period</w:t>
            </w:r>
          </w:p>
        </w:tc>
        <w:tc>
          <w:tcPr>
            <w:tcW w:w="84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68</w:t>
            </w:r>
          </w:p>
        </w:tc>
      </w:tr>
      <w:tr>
        <w:trPr>
          <w:trHeight w:val="33"/>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discontinued operations — end of period</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8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continuing operations — end of period</w:t>
            </w:r>
          </w:p>
        </w:tc>
        <w:tc>
          <w:tcPr>
            <w:tcW w:w="840" w:type="dxa"/>
            <w:vAlign w:val="bottom"/>
            <w:tcBorders>
              <w:top w:val="single" w:sz="8" w:color="auto"/>
            </w:tcBorders>
          </w:tcPr>
          <w:p>
            <w:pPr>
              <w:jc w:val="right"/>
              <w:ind w:right="664"/>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230</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w:t>
            </w:r>
          </w:p>
        </w:tc>
      </w:tr>
      <w:tr>
        <w:trPr>
          <w:trHeight w:val="33"/>
        </w:trPr>
        <w:tc>
          <w:tcPr>
            <w:tcW w:w="8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8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29"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28, 2013</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362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($.936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April 27, 2014</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1,591</w:t>
            </w:r>
          </w:p>
        </w:tc>
        <w:tc>
          <w:tcPr>
            <w:tcW w:w="0" w:type="dxa"/>
            <w:vAlign w:val="bottom"/>
          </w:tcPr>
          <w:p>
            <w:pPr>
              <w:spacing w:after="0"/>
              <w:rPr>
                <w:sz w:val="1"/>
                <w:szCs w:val="1"/>
                <w:color w:val="auto"/>
              </w:rPr>
            </w:pPr>
          </w:p>
        </w:tc>
      </w:tr>
      <w:tr>
        <w:trPr>
          <w:trHeight w:val="251"/>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August 3,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2,198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623</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623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Dividends ($.936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(295)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w:t>
            </w:r>
          </w:p>
        </w:tc>
        <w:tc>
          <w:tcPr>
            <w:tcW w:w="24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42</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May 3,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2,526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In this Form 10-Q, unless otherwise stated, the terms "we," "us" and "our" refer to Campbell Soup Company and its consolidated subsidiaries.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August 3, 2014. The results for the period are not necessarily indicative of the results to be expected for other interim periods or the full year. Our fiscal year ends on the Sunday nearest July 31. There were 53 weeks in 2014. There will be 52 weeks in 2015.</w:t>
      </w:r>
    </w:p>
    <w:p>
      <w:pPr>
        <w:spacing w:after="0" w:line="130"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2013, the Financial Accounting Standards Board (FASB) issued guidance for the recognition, measurement and disclosure of certain obligations resulting from joint and several liability arrangements for which the total amount is fixed. Such obligations may include debt arrangements, legal settlements, and other contractual arrangements. The guidance was effective for fiscal years, and interim periods within those years, beginning after December 15, 2013, and should be applied retrospectively to all prior periods presented for applicable obligations that existed as of the beginning of the fiscal year of adoption. We adopted the guidance in the first quarter of 2015. The adoption did not have an impact on our consolidated financial statements.</w:t>
      </w:r>
    </w:p>
    <w:p>
      <w:pPr>
        <w:spacing w:after="0" w:line="1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2013, the FASB issued guidance on the accounting for the cumulative translation adjustment upon derecognition of certain subsidiaries or groups of assets within a foreign entity or of an investment in a foreign entity. The guidance was effective prospectively for fiscal years, and interim periods within those years, beginning after December 15, 2013. We adopted the guidance in the first quarter of 2015. The adoption did not have an impact on our consolidated financial statements.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2013, the FASB issued guidance on the presentation of an unrecognized tax benefit when a net operating loss carryforward, a similar tax loss, or a tax credit carryforward exists. The guidance requires the netting of unrecognized tax benefits (UTBs) against a deferred tax asset for a loss or other carryforward that would apply in settlement of uncertain tax positions. Under the new standard, UTBs will be netted against all available same-jurisdiction loss or other tax carryforwards that would be utilized, rather than only against carryforwards that are created by the UTBs. The guidance was effective for fiscal years, and interim periods within those years, beginning after December 15, 2013, and should be applied prospectively to all UTBs that exist at the effective date. We adopted the guidance prospectively in the first quarter of 2015. The adoption did not have a material impact on our consolidated financial statements.</w:t>
      </w:r>
    </w:p>
    <w:p>
      <w:pPr>
        <w:spacing w:after="0" w:line="1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2014, the FASB issued revised guidance that modifies the criteria for determining which disposals can be presented as discontinued operations and requires additional disclosures. The guidance is effective for fiscal years beginning on or after December 15, 2014, and interim periods within those years. Early adoption is permitted. We will prospectively apply the guidance to applicable transactions.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is effective for fiscal years, and interim periods within those years, beginning after December 15, 2016. On April 29, 2015, the FASB issued an exposure draft that would delay the effective date of the new revenue guidance by one year. Under the exposure draft, the updated guidance will be effective for fiscal years, and interim periods within those years, beginning after December 15, 2017. Under the exposure draft, entities will be permitted to adopt the new revenue standard early, but not before the original effective date. Comments on the proposal are due by May 29, 2015.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that requires debt issuance costs to be presented in the balance sheet as a reduction from the carrying value of the associated debt liability, consistent with the presentation of a debt discount. The guidance must be applied on a retrospective basis and is effective for fiscal years beginning after December 15, 2015, and interim periods within those years. Early adoption is permitted. We do not expect the adoption to have a material impact on the consolidated financial statements.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intended to provide a practical expedient for the measurement date of defined benefit plan assets and obligations. The practical expedient allows employers with fiscal year-end dates that do not fall on a calendar month-end to measure pension and postretirement benefit plan assets and obligations as of the calendar month-end date closest to the fiscal year-end.The guidance is effective for fiscal years beginning on or after December 15, 2015, and interim periods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within those years. Early adoption is permitted. We do not expect the adoption to have a material impact on the consolidated financial statements.</w:t>
      </w:r>
    </w:p>
    <w:p>
      <w:pPr>
        <w:spacing w:after="0" w:line="1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to clarify the accounting for fees paid by a customer in a cloud computing arrangement. The guidance is effective for fiscal years beginning on or after December 15, 2015, and interim periods within those years. Early adoption is permitted. Entities should apply the new guidance either prospectively to all arrangements entered into or materially modified after the effective date or retrospectively.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May 2015, the FASB issued guidance that eliminates the requirement to categorize investments measured using the net asset value (NAV) practical expedient in the fair value hierarchy table. Entities will be required to disclose the fair value of investments measured using the NAV practical expedient so that financial statement users can reconcile amounts reported in the fair value hierarchy table to amounts reported on the balance sheet. The new guidance will be applied retrospectively and is effective for fiscal years beginning after December 15, 2015, and interim periods within those fiscal years. Early adoption is permitted. We do not expect the adoption to have a material impact on the consolidated financial statements.</w:t>
      </w:r>
    </w:p>
    <w:p>
      <w:pPr>
        <w:spacing w:after="0" w:line="11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 xml:space="preserve">On August 8, 2013, we completed the acquisition of Kelsen Group A/S (Kelsen). The final all-cash purchase price was $331. Kelsen is a producer of quality baked snacks that are sold in approximately 85 countries around the world. Its primary brands include </w:t>
      </w:r>
      <w:r>
        <w:rPr>
          <w:rFonts w:ascii="Arial" w:cs="Arial" w:eastAsia="Arial" w:hAnsi="Arial"/>
          <w:sz w:val="17"/>
          <w:szCs w:val="17"/>
          <w:i w:val="1"/>
          <w:iCs w:val="1"/>
          <w:color w:val="auto"/>
        </w:rPr>
        <w:t>Kjeldsens</w:t>
      </w:r>
      <w:r>
        <w:rPr>
          <w:rFonts w:ascii="Arial" w:cs="Arial" w:eastAsia="Arial" w:hAnsi="Arial"/>
          <w:sz w:val="17"/>
          <w:szCs w:val="17"/>
          <w:color w:val="auto"/>
        </w:rPr>
        <w:t xml:space="preserve"> and </w:t>
      </w:r>
      <w:r>
        <w:rPr>
          <w:rFonts w:ascii="Arial" w:cs="Arial" w:eastAsia="Arial" w:hAnsi="Arial"/>
          <w:sz w:val="17"/>
          <w:szCs w:val="17"/>
          <w:i w:val="1"/>
          <w:iCs w:val="1"/>
          <w:color w:val="auto"/>
        </w:rPr>
        <w:t>Royal Dansk</w:t>
      </w:r>
      <w:r>
        <w:rPr>
          <w:rFonts w:ascii="Arial" w:cs="Arial" w:eastAsia="Arial" w:hAnsi="Arial"/>
          <w:sz w:val="17"/>
          <w:szCs w:val="17"/>
          <w:color w:val="auto"/>
        </w:rPr>
        <w:t>.</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three-month period ended April 27, 2014, the Kelsen acquisition contributed $17 to Net sales and resulted in a Net loss of $4. The acquisition also contributed $161 to Net sales and $7 to Net earnings from August 8, 2013, to April 27, 2014.</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unaudited summary information is presented on a consolidated pro forma basis as if the Kelsen acquisition had occurred on July 30, 2012: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3"/>
              </w:rPr>
              <w:t>Nine Months Ended</w:t>
            </w:r>
          </w:p>
        </w:tc>
      </w:tr>
      <w:tr>
        <w:trPr>
          <w:trHeight w:val="250"/>
        </w:trPr>
        <w:tc>
          <w:tcPr>
            <w:tcW w:w="99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April 27, 2014</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6,420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7"/>
              <w:spacing w:after="0"/>
              <w:rPr>
                <w:sz w:val="20"/>
                <w:szCs w:val="20"/>
                <w:color w:val="auto"/>
              </w:rPr>
            </w:pPr>
            <w:r>
              <w:rPr>
                <w:rFonts w:ascii="Arial" w:cs="Arial" w:eastAsia="Arial" w:hAnsi="Arial"/>
                <w:sz w:val="18"/>
                <w:szCs w:val="18"/>
                <w:color w:val="auto"/>
              </w:rPr>
              <w:t>601</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attributable to Campbell Soup Company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r>
      <w:tr>
        <w:trPr>
          <w:trHeight w:val="27"/>
        </w:trPr>
        <w:tc>
          <w:tcPr>
            <w:tcW w:w="9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Kelsen acquisition been completed on July 30, 2012, nor are they indicative of future combined results.</w:t>
      </w:r>
    </w:p>
    <w:p>
      <w:pPr>
        <w:spacing w:after="0" w:line="8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2013, we completed the sale of our European simple meals business to Soppa Investments S.à r.l., an affiliate of CVC Capital Partners. The all-cash preliminary sale price was €400, or $548, and was subject to certain post-closing adjustments, which resulted in a $14 reduction of proceeds. We recognized a pre-tax gain of $141 ($72 after tax or $.23 per share) in 2014. We used the proceeds from the sale to pay taxes on the sale, to reduce debt and for other general corporate purposes.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reflected the results of the European simple meals business as discontinued operations in the Consolidated Statements of Earnings.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tcPr>
          <w:p>
            <w:pPr>
              <w:spacing w:after="0"/>
              <w:rPr>
                <w:sz w:val="21"/>
                <w:szCs w:val="21"/>
                <w:color w:val="auto"/>
              </w:rPr>
            </w:pPr>
          </w:p>
        </w:tc>
        <w:tc>
          <w:tcPr>
            <w:tcW w:w="5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April 27, 2014</w:t>
            </w:r>
          </w:p>
        </w:tc>
        <w:tc>
          <w:tcPr>
            <w:tcW w:w="0" w:type="dxa"/>
            <w:vAlign w:val="bottom"/>
          </w:tcPr>
          <w:p>
            <w:pPr>
              <w:spacing w:after="0"/>
              <w:rPr>
                <w:sz w:val="1"/>
                <w:szCs w:val="1"/>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5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 before taxes</w:t>
            </w:r>
          </w:p>
        </w:tc>
        <w:tc>
          <w:tcPr>
            <w:tcW w:w="5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Earnings before taxes</w:t>
            </w:r>
          </w:p>
        </w:tc>
        <w:tc>
          <w:tcPr>
            <w:tcW w:w="5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5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472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5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5220" w:type="dxa"/>
            <w:vAlign w:val="bottom"/>
            <w:vMerge w:val="restart"/>
          </w:tcPr>
          <w:p>
            <w:pPr>
              <w:jc w:val="right"/>
              <w:ind w:right="409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52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20" w:type="dxa"/>
            <w:vAlign w:val="bottom"/>
          </w:tcPr>
          <w:p>
            <w:pPr>
              <w:spacing w:after="0"/>
              <w:rPr>
                <w:sz w:val="24"/>
                <w:szCs w:val="24"/>
                <w:color w:val="auto"/>
              </w:rPr>
            </w:pPr>
          </w:p>
        </w:tc>
        <w:tc>
          <w:tcPr>
            <w:tcW w:w="5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9" w:name="page10"/>
    <w:bookmarkEnd w:id="9"/>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45</w:t>
            </w:r>
          </w:p>
        </w:tc>
        <w:tc>
          <w:tcPr>
            <w:tcW w:w="0" w:type="dxa"/>
            <w:vAlign w:val="bottom"/>
          </w:tcPr>
          <w:p>
            <w:pPr>
              <w:spacing w:after="0"/>
              <w:rPr>
                <w:sz w:val="1"/>
                <w:szCs w:val="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3,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2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3"/>
          <w:szCs w:val="13"/>
          <w:color w:val="auto"/>
        </w:rPr>
      </w:pPr>
      <w:r>
        <w:rPr>
          <w:rFonts w:ascii="Arial" w:cs="Arial" w:eastAsia="Arial" w:hAnsi="Arial"/>
          <w:sz w:val="18"/>
          <w:szCs w:val="18"/>
          <w:color w:val="auto"/>
        </w:rPr>
        <w:t>Included a tax expense of $6 as of May 3, 2015, and $7 as of August 3, 2014.</w:t>
      </w:r>
    </w:p>
    <w:p>
      <w:pPr>
        <w:ind w:left="340" w:hanging="332"/>
        <w:spacing w:after="0" w:line="203"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8"/>
          <w:szCs w:val="18"/>
          <w:color w:val="auto"/>
        </w:rPr>
        <w:t>Included a tax benefit of $9 as of May 3, 2015, and $1 as of August 3, 2014.</w:t>
      </w:r>
    </w:p>
    <w:p>
      <w:pPr>
        <w:ind w:left="340" w:right="5240" w:hanging="332"/>
        <w:spacing w:after="0" w:line="319" w:lineRule="auto"/>
        <w:tabs>
          <w:tab w:leader="none" w:pos="340" w:val="left"/>
        </w:tabs>
        <w:numPr>
          <w:ilvl w:val="0"/>
          <w:numId w:val="6"/>
        </w:numPr>
        <w:rPr>
          <w:rFonts w:ascii="Arial" w:cs="Arial" w:eastAsia="Arial" w:hAnsi="Arial"/>
          <w:sz w:val="13"/>
          <w:szCs w:val="13"/>
          <w:color w:val="auto"/>
        </w:rPr>
      </w:pPr>
      <w:r>
        <w:rPr>
          <w:rFonts w:ascii="Arial" w:cs="Arial" w:eastAsia="Arial" w:hAnsi="Arial"/>
          <w:sz w:val="18"/>
          <w:szCs w:val="18"/>
          <w:color w:val="auto"/>
        </w:rPr>
        <w:t>Included a tax benefit of $376 as of May 3, 2015, and $405 as of August 3, 2014.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43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140" w:type="dxa"/>
            <w:vAlign w:val="bottom"/>
          </w:tcPr>
          <w:p>
            <w:pPr>
              <w:spacing w:after="0"/>
              <w:rPr>
                <w:sz w:val="12"/>
                <w:szCs w:val="12"/>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May 3, 2015</w:t>
            </w:r>
          </w:p>
        </w:tc>
        <w:tc>
          <w:tcPr>
            <w:tcW w:w="100" w:type="dxa"/>
            <w:vAlign w:val="bottom"/>
            <w:vMerge w:val="restart"/>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27, 2014</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May 3, 2015</w:t>
            </w:r>
          </w:p>
        </w:tc>
        <w:tc>
          <w:tcPr>
            <w:tcW w:w="100" w:type="dxa"/>
            <w:vAlign w:val="bottom"/>
            <w:vMerge w:val="restart"/>
          </w:tcPr>
          <w:p>
            <w:pPr>
              <w:spacing w:after="0"/>
              <w:rPr>
                <w:sz w:val="12"/>
                <w:szCs w:val="12"/>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27, 2014</w:t>
            </w:r>
          </w:p>
        </w:tc>
        <w:tc>
          <w:tcPr>
            <w:tcW w:w="10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14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actuarial losses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26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Total before tax</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4"/>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vMerge w:val="restart"/>
          </w:tcPr>
          <w:p>
            <w:pPr>
              <w:jc w:val="right"/>
              <w:ind w:right="852"/>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340" w:hanging="332"/>
        <w:spacing w:after="0" w:line="224"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8"/>
          <w:szCs w:val="18"/>
          <w:color w:val="auto"/>
        </w:rPr>
        <w:t>In 2014, net actuarial losses of $2 were recognized in Earnings (loss) from discontinued operations as a result of the sale of the European simple meals business. Excluding the net actuarial losses related to the sale of the business in 2014, these items are included in the components of net periodic benefit costs (see Note 11 for additional details).</w:t>
      </w:r>
    </w:p>
    <w:p>
      <w:pPr>
        <w:spacing w:after="0" w:line="82" w:lineRule="exact"/>
        <w:rPr>
          <w:sz w:val="20"/>
          <w:szCs w:val="20"/>
          <w:color w:val="auto"/>
        </w:rPr>
      </w:pPr>
    </w:p>
    <w:p>
      <w:pPr>
        <w:ind w:left="60"/>
        <w:spacing w:after="0" w:line="289" w:lineRule="auto"/>
        <w:rPr>
          <w:sz w:val="20"/>
          <w:szCs w:val="20"/>
          <w:color w:val="auto"/>
        </w:rPr>
      </w:pPr>
      <w:r>
        <w:rPr>
          <w:rFonts w:ascii="Arial" w:cs="Arial" w:eastAsia="Arial" w:hAnsi="Arial"/>
          <w:sz w:val="16"/>
          <w:szCs w:val="16"/>
          <w:color w:val="auto"/>
        </w:rPr>
        <w:t>In 2014, a pre-tax loss of $22 ($19 after tax) on foreign currency translation adjustments was also reclassified from Accumulated other comprehensive income. The loss was related to the divestiture of the European simple meals business and was included in Earnings (loss) from discontinued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0" w:right="239" w:bottom="1440" w:gutter="0" w:footer="0" w:header="0"/>
        </w:sectPr>
      </w:pPr>
    </w:p>
    <w:bookmarkStart w:id="10" w:name="page11"/>
    <w:bookmarkEnd w:id="10"/>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U.S.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International</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Baking</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Simple Meals</w:t>
            </w:r>
          </w:p>
        </w:tc>
        <w:tc>
          <w:tcPr>
            <w:tcW w:w="22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Bolthouse and</w:t>
            </w: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b w:val="1"/>
                <w:bCs w:val="1"/>
                <w:color w:val="auto"/>
                <w:w w:val="87"/>
              </w:rPr>
              <w:t>Simple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820" w:type="dxa"/>
            <w:vAlign w:val="bottom"/>
          </w:tcPr>
          <w:p>
            <w:pPr>
              <w:ind w:left="420"/>
              <w:spacing w:after="0"/>
              <w:rPr>
                <w:sz w:val="20"/>
                <w:szCs w:val="20"/>
                <w:color w:val="auto"/>
              </w:rPr>
            </w:pPr>
            <w:r>
              <w:rPr>
                <w:rFonts w:ascii="Arial" w:cs="Arial" w:eastAsia="Arial" w:hAnsi="Arial"/>
                <w:sz w:val="14"/>
                <w:szCs w:val="14"/>
                <w:b w:val="1"/>
                <w:bCs w:val="1"/>
                <w:color w:val="auto"/>
                <w:w w:val="97"/>
              </w:rPr>
              <w:t>Meals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Snacking</w:t>
            </w: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Beverages</w:t>
            </w:r>
          </w:p>
        </w:tc>
        <w:tc>
          <w:tcPr>
            <w:tcW w:w="220" w:type="dxa"/>
            <w:vAlign w:val="bottom"/>
          </w:tcPr>
          <w:p>
            <w:pPr>
              <w:spacing w:after="0"/>
              <w:rPr>
                <w:sz w:val="16"/>
                <w:szCs w:val="16"/>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Foodservice</w:t>
            </w:r>
          </w:p>
        </w:tc>
        <w:tc>
          <w:tcPr>
            <w:tcW w:w="2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3, 2014</w:t>
            </w:r>
          </w:p>
        </w:tc>
        <w:tc>
          <w:tcPr>
            <w:tcW w:w="82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25"/>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adjustments</w:t>
            </w:r>
          </w:p>
        </w:tc>
        <w:tc>
          <w:tcPr>
            <w:tcW w:w="82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May 3, 2015</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3"/>
              </w:rPr>
              <w:t>450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2,281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3,</w:t>
            </w:r>
          </w:p>
        </w:tc>
        <w:tc>
          <w:tcPr>
            <w:tcW w:w="28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August 3,</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932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1,133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Organics, Kjeldsens</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 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 assets of continuing operations was $13 for the nine-month periods ended May 3, 2015, and April 27, 2014. Amortization expense for the next 5 years is estimated to be $17 in each of the fiscal periods 2015 through 2017, and $13 in 2018 and 2019. Asset useful lives range from 5 to 20 years.</w:t>
      </w:r>
    </w:p>
    <w:p>
      <w:pPr>
        <w:spacing w:after="0" w:line="12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operations through 10 operating segments based on product type and geographic location and have aggregated the operating segments into the appropriate reportable segment based on similar economic characteristics; products; production processes; types or classes of customers; distribution methods; and regulatory environment. The reportable segments are discussed in greater detail below.</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 xml:space="preserve">The U.S. Simple Meals segment includes the following products: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condensed and ready-to-serve soups; </w:t>
      </w:r>
      <w:r>
        <w:rPr>
          <w:rFonts w:ascii="Arial" w:cs="Arial" w:eastAsia="Arial" w:hAnsi="Arial"/>
          <w:sz w:val="16"/>
          <w:szCs w:val="16"/>
          <w:i w:val="1"/>
          <w:iCs w:val="1"/>
          <w:color w:val="auto"/>
        </w:rPr>
        <w:t>Swanson</w:t>
      </w:r>
      <w:r>
        <w:rPr>
          <w:rFonts w:ascii="Arial" w:cs="Arial" w:eastAsia="Arial" w:hAnsi="Arial"/>
          <w:sz w:val="16"/>
          <w:szCs w:val="16"/>
          <w:color w:val="auto"/>
        </w:rPr>
        <w:t xml:space="preserve"> broth and stocks; </w:t>
      </w:r>
      <w:r>
        <w:rPr>
          <w:rFonts w:ascii="Arial" w:cs="Arial" w:eastAsia="Arial" w:hAnsi="Arial"/>
          <w:sz w:val="16"/>
          <w:szCs w:val="16"/>
          <w:i w:val="1"/>
          <w:iCs w:val="1"/>
          <w:color w:val="auto"/>
        </w:rPr>
        <w:t>Prego</w:t>
      </w:r>
      <w:r>
        <w:rPr>
          <w:rFonts w:ascii="Arial" w:cs="Arial" w:eastAsia="Arial" w:hAnsi="Arial"/>
          <w:sz w:val="16"/>
          <w:szCs w:val="16"/>
          <w:color w:val="auto"/>
        </w:rPr>
        <w:t xml:space="preserve"> pasta sauces; </w:t>
      </w:r>
      <w:r>
        <w:rPr>
          <w:rFonts w:ascii="Arial" w:cs="Arial" w:eastAsia="Arial" w:hAnsi="Arial"/>
          <w:sz w:val="16"/>
          <w:szCs w:val="16"/>
          <w:i w:val="1"/>
          <w:iCs w:val="1"/>
          <w:color w:val="auto"/>
        </w:rPr>
        <w:t>Pace</w:t>
      </w:r>
      <w:r>
        <w:rPr>
          <w:rFonts w:ascii="Arial" w:cs="Arial" w:eastAsia="Arial" w:hAnsi="Arial"/>
          <w:sz w:val="16"/>
          <w:szCs w:val="16"/>
          <w:color w:val="auto"/>
        </w:rPr>
        <w:t xml:space="preserve"> Mexican sauces;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gravies, pasta, beans and dinner sauces; </w:t>
      </w:r>
      <w:r>
        <w:rPr>
          <w:rFonts w:ascii="Arial" w:cs="Arial" w:eastAsia="Arial" w:hAnsi="Arial"/>
          <w:sz w:val="16"/>
          <w:szCs w:val="16"/>
          <w:i w:val="1"/>
          <w:iCs w:val="1"/>
          <w:color w:val="auto"/>
        </w:rPr>
        <w:t>Swanson</w:t>
      </w:r>
      <w:r>
        <w:rPr>
          <w:rFonts w:ascii="Arial" w:cs="Arial" w:eastAsia="Arial" w:hAnsi="Arial"/>
          <w:sz w:val="16"/>
          <w:szCs w:val="16"/>
          <w:color w:val="auto"/>
        </w:rPr>
        <w:t xml:space="preserve"> canned poultry; and </w:t>
      </w:r>
      <w:r>
        <w:rPr>
          <w:rFonts w:ascii="Arial" w:cs="Arial" w:eastAsia="Arial" w:hAnsi="Arial"/>
          <w:sz w:val="16"/>
          <w:szCs w:val="16"/>
          <w:i w:val="1"/>
          <w:iCs w:val="1"/>
          <w:color w:val="auto"/>
        </w:rPr>
        <w:t>Plum Organics</w:t>
      </w:r>
      <w:r>
        <w:rPr>
          <w:rFonts w:ascii="Arial" w:cs="Arial" w:eastAsia="Arial" w:hAnsi="Arial"/>
          <w:sz w:val="16"/>
          <w:szCs w:val="16"/>
          <w:color w:val="auto"/>
        </w:rPr>
        <w:t xml:space="preserve"> food and snacks.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Global Baking and Snacking segment aggregates the following operating segments: Pepperidge Farm cookies, crackers, bakery and frozen products in U.S. retail; Arnott’s biscuits in Australia and Asia Pacific; and as of August 8, 2013, Kelsen cookies globally.</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International Simple Meals and Beverages segment aggregates the following operating segments: the retail business in Canada and the simple meals and beverages business in Asia Pacific, Latin America and China.</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U.S. Beverages segment represents the U.S. retail beverages business, including the following products: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Bolthouse and Foodservice comprises the Bolthouse Farms carrot products operating segment, including fresh carrots, juice concentrate and fiber; the Bolthouse Farms super-premium refrigerated beverages and refrigerated salad dressings operating segment; and the North America Foodservice operating segment. The North America Foodservice operating segment represents the distribution of products such as soup, specialty entrées, beverage products, other prepared foods and Pepperidge Farm products</w:t>
      </w:r>
    </w:p>
    <w:p>
      <w:pPr>
        <w:sectPr>
          <w:pgSz w:w="11900" w:h="16838" w:orient="portrait"/>
          <w:cols w:equalWidth="0" w:num="1">
            <w:col w:w="11420"/>
          </w:cols>
          <w:pgMar w:left="240" w:top="131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0" w:right="239" w:bottom="1440" w:gutter="0" w:footer="0" w:header="0"/>
          <w:type w:val="continuous"/>
        </w:sectPr>
      </w:pPr>
    </w:p>
    <w:bookmarkStart w:id="11" w:name="page12"/>
    <w:bookmarkEnd w:id="11"/>
    <w:p>
      <w:pPr>
        <w:jc w:val="both"/>
        <w:ind w:right="20"/>
        <w:spacing w:after="0" w:line="277" w:lineRule="auto"/>
        <w:rPr>
          <w:sz w:val="20"/>
          <w:szCs w:val="20"/>
          <w:color w:val="auto"/>
        </w:rPr>
      </w:pPr>
      <w:r>
        <w:rPr>
          <w:rFonts w:ascii="Arial" w:cs="Arial" w:eastAsia="Arial" w:hAnsi="Arial"/>
          <w:sz w:val="18"/>
          <w:szCs w:val="18"/>
          <w:color w:val="auto"/>
        </w:rPr>
        <w:t>through various food service channels in the U.S. and Canada. None of these operating segments meets the criteria for aggregation nor the thresholds for separate disclosure.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evaluate segment performance before interest, taxes and costs associated with restructuring activities. Unrealized gains and losses on commodity hedging activities are excluded from segment operating earnings and are recorded in Corporate expenses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Certain manufacturing, warehousing and distribution activities of the segments are integrated in order to maximize efficiency and productivity. As a result, asset information by segment is not discretely maintained for internal reporting or used in evaluating performance.</w:t>
      </w:r>
    </w:p>
    <w:p>
      <w:pPr>
        <w:spacing w:after="0" w:line="7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our businesses will be organized in the following three new divisions: Americas Simple Meals and Beverages, Global Biscuits and Snacks, and Campbell Fresh (previously known as Packaged Fresh). We are in the process of implementing plans for this new enterprise design. We expect to manage our operations under the new structure beginning in 2016, and will modify segment reporting as appropriate.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April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0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7"/>
              </w:rPr>
              <w:t>April 27,</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U.S. Simple Meals</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630</w:t>
            </w: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2,425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175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558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Beverages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Bolthouse and Foodservice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353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1,060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1,900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6,389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May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April 27,</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0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97"/>
              </w:rPr>
              <w:t>April 27,</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U.S. Simple Meals</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147</w:t>
            </w:r>
          </w:p>
        </w:tc>
        <w:tc>
          <w:tcPr>
            <w:tcW w:w="2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3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559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Baking and Snacking</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International Simple Meals and Beverages</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Beverages</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Bolthouse and Foodservice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287</w:t>
            </w:r>
          </w:p>
        </w:tc>
        <w:tc>
          <w:tcPr>
            <w:tcW w:w="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3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37"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Represents unallocated corporate expenses. Costs of $9 related to the implementation of our new organizational structure and cost reduction initiatives were included in the three- and nine-month periods ended May 3, 2015. See Note 8 for additional information. A pension settlement charge of $18 associated with a U.S. pension plan was included in the three- and nine-month periods ended April 27, 2014. The settlement resulted from the level of lump sum distributions from the plan's assets in 2014, primarily due to the closure of the facility in Sacramento, California. Restructuring-related costs of $2 and a loss of $9 on foreign exchange forward contracts related to the sale of the European simple meals business were included in the nine-month period ended April 27, 2014.</w:t>
      </w:r>
    </w:p>
    <w:p>
      <w:pPr>
        <w:spacing w:after="0" w:line="4"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4" w:right="239" w:bottom="1440" w:gutter="0" w:footer="0" w:header="0"/>
        </w:sectPr>
      </w:pPr>
    </w:p>
    <w:bookmarkStart w:id="12" w:name="page13"/>
    <w:bookmarkEnd w:id="12"/>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27,</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0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April 27,</w:t>
            </w:r>
          </w:p>
        </w:tc>
      </w:tr>
      <w:tr>
        <w:trPr>
          <w:trHeight w:val="192"/>
        </w:trPr>
        <w:tc>
          <w:tcPr>
            <w:tcW w:w="6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Simple Meals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1,011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8"/>
              <w:spacing w:after="0"/>
              <w:rPr>
                <w:sz w:val="20"/>
                <w:szCs w:val="20"/>
                <w:color w:val="auto"/>
              </w:rPr>
            </w:pPr>
            <w:r>
              <w:rPr>
                <w:rFonts w:ascii="Arial" w:cs="Arial" w:eastAsia="Arial" w:hAnsi="Arial"/>
                <w:sz w:val="18"/>
                <w:szCs w:val="18"/>
                <w:b w:val="1"/>
                <w:bCs w:val="1"/>
                <w:color w:val="auto"/>
              </w:rPr>
              <w:t>3,612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3,626</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1,919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1,912</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Beverages</w:t>
            </w:r>
          </w:p>
        </w:tc>
        <w:tc>
          <w:tcPr>
            <w:tcW w:w="2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b w:val="1"/>
                <w:bCs w:val="1"/>
                <w:color w:val="auto"/>
              </w:rPr>
              <w:t>302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8"/>
              <w:spacing w:after="0"/>
              <w:rPr>
                <w:sz w:val="20"/>
                <w:szCs w:val="20"/>
                <w:color w:val="auto"/>
              </w:rPr>
            </w:pPr>
            <w:r>
              <w:rPr>
                <w:rFonts w:ascii="Arial" w:cs="Arial" w:eastAsia="Arial" w:hAnsi="Arial"/>
                <w:sz w:val="18"/>
                <w:szCs w:val="18"/>
                <w:b w:val="1"/>
                <w:bCs w:val="1"/>
                <w:color w:val="auto"/>
              </w:rPr>
              <w:t>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878</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1,900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6,389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Simple Meals include condensed and ready-to-serve soups, broths, sauces, carrot products, refrigerated salad dressings and Plum foods and snacks. Baked Snacks include cookies, crackers, biscuits and other baked products.</w:t>
      </w:r>
    </w:p>
    <w:p>
      <w:pPr>
        <w:spacing w:after="0" w:line="11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our businesses will be organized in the following three new divisions: Americas Simple Meals and Beverages, Global Biscuits and Snacks, and Campbell Fresh. We are in the process of implementing plans for this new enterprise design.</w:t>
      </w:r>
    </w:p>
    <w:p>
      <w:pPr>
        <w:spacing w:after="0" w:line="12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To support our new enterprise design, we are designing and implementing a new Integrated Global Services organization to reduce our costs, improve our capabilities by establishing dedicated centers of excellence, and improve our efficiency. We are still in the process of designing this organization.</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pursuing additional initiatives to reduce costs and to streamline our organizational structure. In the third quarter of 2015, we commenced a voluntary employee separation program and recorded a restructuring charge of $9 related to the program for severance pay and benefits. The program was available to certain U.S.-based salaried employees nearing retirement who met age, length-of-service and business unit/function criteria. A total of 471 employees elected the program. Most of the electing employees will remain with the company through July 31, 2015, with some remaining with the company beyond July 31.</w:t>
      </w:r>
    </w:p>
    <w:p>
      <w:pPr>
        <w:spacing w:after="0" w:line="13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Finally, we incurred charges of $9 recorded in Administrative expenses related to the implementation of the new organizational structure and cost reduction initiatives.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after-tax impact of restructuring charges and implementation costs recorded in 2015 was $11, or $.04 per share. A summary of the pre-tax costs and remaining costs associated with the 2015 initiatives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left="301"/>
              <w:spacing w:after="0"/>
              <w:rPr>
                <w:sz w:val="20"/>
                <w:szCs w:val="20"/>
                <w:color w:val="auto"/>
              </w:rPr>
            </w:pPr>
            <w:r>
              <w:rPr>
                <w:rFonts w:ascii="Arial" w:cs="Arial" w:eastAsia="Arial" w:hAnsi="Arial"/>
                <w:sz w:val="14"/>
                <w:szCs w:val="14"/>
                <w:b w:val="1"/>
                <w:bCs w:val="1"/>
                <w:color w:val="auto"/>
                <w:w w:val="91"/>
              </w:rPr>
              <w:t>Recognized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7"/>
              </w:rPr>
              <w:t>May 3, 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Implementation costs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Of the aggregate $131 of pre-tax costs, approximately $124 represents cash expenditures. We expect to incur the majority of these costs in the fourth quarter of 2015.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May 3,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3"/>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448"/>
              <w:spacing w:after="0"/>
              <w:rPr>
                <w:sz w:val="20"/>
                <w:szCs w:val="20"/>
                <w:color w:val="auto"/>
              </w:rPr>
            </w:pPr>
            <w:r>
              <w:rPr>
                <w:rFonts w:ascii="Arial" w:cs="Arial" w:eastAsia="Arial" w:hAnsi="Arial"/>
                <w:sz w:val="14"/>
                <w:szCs w:val="14"/>
                <w:b w:val="1"/>
                <w:bCs w:val="1"/>
                <w:color w:val="auto"/>
                <w:w w:val="95"/>
              </w:rPr>
              <w:t>May 3, 2015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80" w:type="dxa"/>
            <w:vAlign w:val="bottom"/>
          </w:tcPr>
          <w:p>
            <w:pPr>
              <w:spacing w:after="0"/>
              <w:rPr>
                <w:sz w:val="12"/>
                <w:szCs w:val="12"/>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Accrued Balance at</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w w:val="93"/>
              </w:rPr>
              <w:t>Cash</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4"/>
              <w:spacing w:after="0" w:line="139"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Charges</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August 3, 2014</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0"/>
              </w:rPr>
              <w:t>Payments</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7"/>
              </w:rPr>
              <w:t>May 3, 2015</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140" w:type="dxa"/>
            <w:vAlign w:val="bottom"/>
            <w:tcBorders>
              <w:bottom w:val="single" w:sz="8" w:color="CCEEFF"/>
            </w:tcBorders>
            <w:gridSpan w:val="2"/>
            <w:shd w:val="clear" w:color="auto" w:fill="CCEEFF"/>
          </w:tcPr>
          <w:p>
            <w:pPr>
              <w:jc w:val="right"/>
              <w:ind w:right="828"/>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b w:val="1"/>
                <w:bCs w:val="1"/>
                <w:color w:val="auto"/>
              </w:rPr>
              <w:t>—   $</w:t>
            </w:r>
          </w:p>
        </w:tc>
        <w:tc>
          <w:tcPr>
            <w:tcW w:w="13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line="270" w:lineRule="exact"/>
              <w:rPr>
                <w:sz w:val="20"/>
                <w:szCs w:val="20"/>
                <w:color w:val="auto"/>
              </w:rPr>
            </w:pPr>
            <w:r>
              <w:rPr>
                <w:rFonts w:ascii="Arial" w:cs="Arial" w:eastAsia="Arial" w:hAnsi="Arial"/>
                <w:sz w:val="18"/>
                <w:szCs w:val="18"/>
                <w:color w:val="auto"/>
              </w:rPr>
              <w:t>Non-cash benefits</w:t>
            </w:r>
            <w:r>
              <w:rPr>
                <w:rFonts w:ascii="Arial" w:cs="Arial" w:eastAsia="Arial" w:hAnsi="Arial"/>
                <w:sz w:val="25"/>
                <w:szCs w:val="25"/>
                <w:color w:val="auto"/>
                <w:vertAlign w:val="superscript"/>
              </w:rPr>
              <w:t>(1)</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60" w:type="dxa"/>
            <w:vAlign w:val="bottom"/>
          </w:tcPr>
          <w:p>
            <w:pPr>
              <w:jc w:val="right"/>
              <w:ind w:right="14"/>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380" w:type="dxa"/>
            <w:vAlign w:val="bottom"/>
          </w:tcPr>
          <w:p>
            <w:pPr>
              <w:ind w:left="40"/>
              <w:spacing w:after="0"/>
              <w:rPr>
                <w:sz w:val="20"/>
                <w:szCs w:val="20"/>
                <w:color w:val="auto"/>
              </w:rPr>
            </w:pPr>
            <w:r>
              <w:rPr>
                <w:rFonts w:ascii="Arial" w:cs="Arial" w:eastAsia="Arial" w:hAnsi="Arial"/>
                <w:sz w:val="18"/>
                <w:szCs w:val="18"/>
                <w:color w:val="auto"/>
              </w:rPr>
              <w:t>Total charges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53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Represents postretirement and pension curtailment costs. See Note 11.</w:t>
      </w:r>
    </w:p>
    <w:p>
      <w:pPr>
        <w:spacing w:after="0" w:line="2" w:lineRule="exact"/>
        <w:rPr>
          <w:rFonts w:ascii="Arial" w:cs="Arial" w:eastAsia="Arial" w:hAnsi="Arial"/>
          <w:sz w:val="25"/>
          <w:szCs w:val="25"/>
          <w:color w:val="auto"/>
          <w:vertAlign w:val="superscript"/>
        </w:rPr>
      </w:pPr>
    </w:p>
    <w:p>
      <w:pPr>
        <w:ind w:left="340" w:right="80" w:hanging="332"/>
        <w:spacing w:after="0" w:line="208"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ectPr>
          <w:pgSz w:w="11900" w:h="16838" w:orient="portrait"/>
          <w:cols w:equalWidth="0" w:num="1">
            <w:col w:w="11420"/>
          </w:cols>
          <w:pgMar w:left="240" w:top="1314"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and implementation costs because we evaluate segment performance excluding such charges. A summary of restructuring charges and implementation costs incurred to date associated with segments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820" w:type="dxa"/>
            <w:vAlign w:val="bottom"/>
          </w:tcPr>
          <w:p>
            <w:pPr>
              <w:jc w:val="center"/>
              <w:ind w:left="261"/>
              <w:spacing w:after="0"/>
              <w:rPr>
                <w:sz w:val="20"/>
                <w:szCs w:val="20"/>
                <w:color w:val="auto"/>
              </w:rPr>
            </w:pPr>
            <w:r>
              <w:rPr>
                <w:rFonts w:ascii="Arial" w:cs="Arial" w:eastAsia="Arial" w:hAnsi="Arial"/>
                <w:sz w:val="14"/>
                <w:szCs w:val="14"/>
                <w:b w:val="1"/>
                <w:bCs w:val="1"/>
                <w:color w:val="auto"/>
                <w:w w:val="87"/>
              </w:rPr>
              <w:t>U.S.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Global Baking</w:t>
            </w:r>
          </w:p>
        </w:tc>
        <w:tc>
          <w:tcPr>
            <w:tcW w:w="160" w:type="dxa"/>
            <w:vAlign w:val="bottom"/>
          </w:tcPr>
          <w:p>
            <w:pPr>
              <w:spacing w:after="0"/>
              <w:rPr>
                <w:sz w:val="14"/>
                <w:szCs w:val="14"/>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82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5"/>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820" w:type="dxa"/>
            <w:vAlign w:val="bottom"/>
          </w:tcPr>
          <w:p>
            <w:pPr>
              <w:jc w:val="center"/>
              <w:ind w:left="261"/>
              <w:spacing w:after="0"/>
              <w:rPr>
                <w:sz w:val="20"/>
                <w:szCs w:val="20"/>
                <w:color w:val="auto"/>
              </w:rPr>
            </w:pPr>
            <w:r>
              <w:rPr>
                <w:rFonts w:ascii="Arial" w:cs="Arial" w:eastAsia="Arial" w:hAnsi="Arial"/>
                <w:sz w:val="14"/>
                <w:szCs w:val="14"/>
                <w:b w:val="1"/>
                <w:bCs w:val="1"/>
                <w:color w:val="auto"/>
                <w:w w:val="92"/>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and Snacking</w:t>
            </w:r>
          </w:p>
        </w:tc>
        <w:tc>
          <w:tcPr>
            <w:tcW w:w="16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82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Implementation costs</w:t>
            </w:r>
          </w:p>
        </w:tc>
        <w:tc>
          <w:tcPr>
            <w:tcW w:w="820" w:type="dxa"/>
            <w:vAlign w:val="bottom"/>
          </w:tcPr>
          <w:p>
            <w:pPr>
              <w:spacing w:after="0"/>
              <w:rPr>
                <w:sz w:val="21"/>
                <w:szCs w:val="21"/>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additional pre-tax costs of approximately $113 associated with segments as follows: U.S. Simple Meals - $37; Global Baking and Snacking - $45; U.S. Beverages - $9; Bolthouse and Foodservice - $5; and Corporate - $17.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1300" w:right="20" w:hanging="968"/>
        <w:spacing w:after="0" w:line="277" w:lineRule="auto"/>
        <w:tabs>
          <w:tab w:leader="none" w:pos="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agreed to restructure manufacturing and streamline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Australia, we implemented an initiative to improve supply chain efficiency by relocating production from our biscuit plant in Marleston to Huntingwood. The relocation will continue through the second quarter of 2016 and will result in the elimination of approximately 90 positions.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will be completed in 2015.</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2014, we recorded a restructuring charge of $54 ($33 after tax or $.10 per share in earnings from continuing operations attributable to Campbell Soup Company) related to the 2014 initiatives. Of the amounts recorded in 2014, $34 ($19 after tax or $.06 per share in earnings from continuing operations attributable to Campbell Soup Company) was recorded in the nine-month period ended April 27, 2014. A summary of the pre-tax costs and remaining costs associated with the 2014 initiatives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2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Recognized</w:t>
            </w:r>
          </w:p>
        </w:tc>
        <w:tc>
          <w:tcPr>
            <w:tcW w:w="28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4"/>
                <w:szCs w:val="14"/>
                <w:b w:val="1"/>
                <w:bCs w:val="1"/>
                <w:color w:val="auto"/>
              </w:rPr>
              <w:t>Program</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May 3, 2015</w:t>
            </w:r>
          </w:p>
        </w:tc>
        <w:tc>
          <w:tcPr>
            <w:tcW w:w="280" w:type="dxa"/>
            <w:vAlign w:val="bottom"/>
          </w:tcPr>
          <w:p>
            <w:pPr>
              <w:spacing w:after="0"/>
              <w:rPr>
                <w:sz w:val="16"/>
                <w:szCs w:val="16"/>
                <w:color w:val="auto"/>
              </w:rPr>
            </w:pP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20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Of the aggregate $56 of pre-tax costs, approximately $43 represents cash expenditures. In addition, we expect to invest approximately $6 in capital expenditures, primarily to relocate biscuit production and packaging capabilities, of which we invested approximately $1 as of May 3, 2015. We expect to complete the remaining aspects of the 2014 initiatives through 2016.</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2014 initiatives at May 3,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May 3, 2015</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20" w:type="dxa"/>
            <w:vAlign w:val="bottom"/>
          </w:tcPr>
          <w:p>
            <w:pPr>
              <w:spacing w:after="0"/>
              <w:rPr>
                <w:sz w:val="13"/>
                <w:szCs w:val="13"/>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Accrued Balance at</w:t>
            </w: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Cash</w:t>
            </w: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Foreign Currency</w:t>
            </w:r>
          </w:p>
        </w:tc>
        <w:tc>
          <w:tcPr>
            <w:tcW w:w="280" w:type="dxa"/>
            <w:vAlign w:val="bottom"/>
          </w:tcPr>
          <w:p>
            <w:pPr>
              <w:spacing w:after="0"/>
              <w:rPr>
                <w:sz w:val="13"/>
                <w:szCs w:val="13"/>
                <w:color w:val="auto"/>
              </w:rPr>
            </w:pPr>
          </w:p>
        </w:tc>
        <w:tc>
          <w:tcPr>
            <w:tcW w:w="1320" w:type="dxa"/>
            <w:vAlign w:val="bottom"/>
          </w:tcPr>
          <w:p>
            <w:pPr>
              <w:jc w:val="center"/>
              <w:ind w:right="204"/>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1"/>
              </w:rPr>
              <w:t>August 3, 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Adjustment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7"/>
              </w:rPr>
              <w:t>May 3, 2015</w:t>
            </w: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4" w:right="239" w:bottom="1440" w:gutter="0" w:footer="0" w:header="0"/>
        </w:sectPr>
      </w:pPr>
    </w:p>
    <w:bookmarkStart w:id="14" w:name="page15"/>
    <w:bookmarkEnd w:id="14"/>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because we evaluate segment performance excluding such charges. A summary of restructuring charges incurred to date associated with segments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8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Global Baking</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160" w:type="dxa"/>
            <w:vAlign w:val="bottom"/>
          </w:tcPr>
          <w:p>
            <w:pPr>
              <w:spacing w:after="0"/>
              <w:rPr>
                <w:sz w:val="14"/>
                <w:szCs w:val="1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U.S.</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Bolthouse and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8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1"/>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Simple Meals</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840" w:type="dxa"/>
            <w:vAlign w:val="bottom"/>
          </w:tcPr>
          <w:p>
            <w:pPr>
              <w:jc w:val="center"/>
              <w:ind w:left="261"/>
              <w:spacing w:after="0"/>
              <w:rPr>
                <w:sz w:val="20"/>
                <w:szCs w:val="20"/>
                <w:color w:val="auto"/>
              </w:rPr>
            </w:pPr>
            <w:r>
              <w:rPr>
                <w:rFonts w:ascii="Arial" w:cs="Arial" w:eastAsia="Arial" w:hAnsi="Arial"/>
                <w:sz w:val="14"/>
                <w:szCs w:val="14"/>
                <w:b w:val="1"/>
                <w:bCs w:val="1"/>
                <w:color w:val="auto"/>
                <w:w w:val="97"/>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and Beverages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Beverages</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Foodservice</w:t>
            </w: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8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980" w:type="dxa"/>
            <w:vAlign w:val="bottom"/>
          </w:tcPr>
          <w:p>
            <w:pPr>
              <w:spacing w:after="0"/>
              <w:rPr>
                <w:sz w:val="20"/>
                <w:szCs w:val="20"/>
                <w:color w:val="auto"/>
              </w:rPr>
            </w:pP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expect additional pre-tax costs of approximately $2 associated with segments as follows: U.S. Simple Meals - $1 and Global Baking and Snacking -</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2013 initiatives include:</w:t>
      </w:r>
    </w:p>
    <w:p>
      <w:pPr>
        <w:spacing w:after="0" w:line="157" w:lineRule="exact"/>
        <w:rPr>
          <w:sz w:val="20"/>
          <w:szCs w:val="20"/>
          <w:color w:val="auto"/>
        </w:rPr>
      </w:pPr>
    </w:p>
    <w:p>
      <w:pPr>
        <w:jc w:val="both"/>
        <w:ind w:left="660" w:hanging="328"/>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 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13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streamlined our salaried workforce in U.S. Simple Meals, North America Foodservice and U.S. Beverages by approximately 70 positions. This action was substantially completed in August 2013.</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2014, we recorded a restructuring charge of $1 related to the 2013 initiatives. In addition, we recorded approximately $3 of costs related to the 2013 initiatives in Cost of products sold, representing other exit costs. The aggregate after-tax impact of restructuring charges and related costs recorded in 2014 was $3, or $.01 per share. Of the amounts recorded in 2014, a restructuring charge of $1 was recorded in the nine-month period ended April 27, 2014, and approximately $2 of costs related to these initiatives were recorded in Cost of products sold, representing other exit costs. The aggregate after-tax impact of restructuring charges and related costs recorded in the nine-month period ended April 27, 2014, was $2, or $.01 per share. In 2013, we recorded a restructuring charge of $51. In addition, we recorded approximately $91 of costs related to these initiatives in 2013 in Cost of products sold, representing accelerated depreciation and other exit costs. The aggregate after-tax impact of restructuring charges and related costs recorded in 2013 was $90, or $.28 per share. A summary of the pre-tax costs and remaining costs associated with the 2013 initiatives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30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May 3,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11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36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Of the aggregate $148 of pre-tax costs, approximately $46 represents cash expenditures. In addition, we expect to invest approximately $31 in capital expenditures, primarily to relocate and refurbish a beverage filling and packaging line, and relocate bread production, of which we invested approximately $29 as of May 3, 2015. We expect to complete the remaining aspects of the 2013 initiatives in 2015.</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2013 initiatives at May 3, 2015,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5"/>
          </w:tcPr>
          <w:p>
            <w:pPr>
              <w:ind w:left="540"/>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97"/>
              </w:rPr>
              <w:t>May 3, 2015</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80" w:type="dxa"/>
            <w:vAlign w:val="bottom"/>
          </w:tcPr>
          <w:p>
            <w:pPr>
              <w:spacing w:after="0"/>
              <w:rPr>
                <w:sz w:val="12"/>
                <w:szCs w:val="12"/>
                <w:color w:val="auto"/>
              </w:rPr>
            </w:pPr>
          </w:p>
        </w:tc>
        <w:tc>
          <w:tcPr>
            <w:tcW w:w="15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Accrued Balance at</w:t>
            </w: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2"/>
                <w:szCs w:val="12"/>
                <w:color w:val="auto"/>
              </w:rPr>
            </w:pPr>
          </w:p>
        </w:tc>
        <w:tc>
          <w:tcPr>
            <w:tcW w:w="1320" w:type="dxa"/>
            <w:vAlign w:val="bottom"/>
          </w:tcPr>
          <w:p>
            <w:pPr>
              <w:jc w:val="center"/>
              <w:ind w:right="204"/>
              <w:spacing w:after="0" w:line="139"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Charges</w:t>
            </w:r>
          </w:p>
        </w:tc>
        <w:tc>
          <w:tcPr>
            <w:tcW w:w="120" w:type="dxa"/>
            <w:vAlign w:val="bottom"/>
            <w:vMerge w:val="restart"/>
          </w:tcPr>
          <w:p>
            <w:pPr>
              <w:spacing w:after="0"/>
              <w:rPr>
                <w:sz w:val="12"/>
                <w:szCs w:val="12"/>
                <w:color w:val="auto"/>
              </w:rPr>
            </w:pPr>
          </w:p>
        </w:tc>
        <w:tc>
          <w:tcPr>
            <w:tcW w:w="36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92"/>
        </w:trPr>
        <w:tc>
          <w:tcPr>
            <w:tcW w:w="5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August 3, 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ind w:right="282"/>
              <w:spacing w:after="0"/>
              <w:rPr>
                <w:sz w:val="20"/>
                <w:szCs w:val="20"/>
                <w:color w:val="auto"/>
              </w:rPr>
            </w:pPr>
            <w:r>
              <w:rPr>
                <w:rFonts w:ascii="Arial" w:cs="Arial" w:eastAsia="Arial" w:hAnsi="Arial"/>
                <w:sz w:val="14"/>
                <w:szCs w:val="14"/>
                <w:b w:val="1"/>
                <w:bCs w:val="1"/>
                <w:color w:val="auto"/>
                <w:w w:val="90"/>
              </w:rPr>
              <w:t>Payments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7"/>
              </w:rPr>
              <w:t>May 3, 2015</w:t>
            </w: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560" w:type="dxa"/>
            <w:vAlign w:val="bottom"/>
            <w:gridSpan w:val="3"/>
            <w:shd w:val="clear" w:color="auto" w:fill="CCEEFF"/>
          </w:tcPr>
          <w:p>
            <w:pPr>
              <w:ind w:left="800"/>
              <w:spacing w:after="0"/>
              <w:rPr>
                <w:sz w:val="20"/>
                <w:szCs w:val="20"/>
                <w:color w:val="auto"/>
              </w:rPr>
            </w:pPr>
            <w:r>
              <w:rPr>
                <w:rFonts w:ascii="Arial" w:cs="Arial" w:eastAsia="Arial" w:hAnsi="Arial"/>
                <w:sz w:val="18"/>
                <w:szCs w:val="18"/>
                <w:b w:val="1"/>
                <w:bCs w:val="1"/>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5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and related costs because we evaluate segment performance excluding such charges. A summary of restructuring charges and related costs incurred to date associated with segments is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U.S.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Global Baking</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International</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Bolthouse and</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840" w:type="dxa"/>
            <w:vAlign w:val="bottom"/>
          </w:tcPr>
          <w:p>
            <w:pPr>
              <w:jc w:val="center"/>
              <w:ind w:left="261"/>
              <w:spacing w:after="0" w:line="149" w:lineRule="exact"/>
              <w:rPr>
                <w:sz w:val="20"/>
                <w:szCs w:val="20"/>
                <w:color w:val="auto"/>
              </w:rPr>
            </w:pPr>
            <w:r>
              <w:rPr>
                <w:rFonts w:ascii="Arial" w:cs="Arial" w:eastAsia="Arial" w:hAnsi="Arial"/>
                <w:sz w:val="14"/>
                <w:szCs w:val="14"/>
                <w:b w:val="1"/>
                <w:bCs w:val="1"/>
                <w:color w:val="auto"/>
                <w:w w:val="91"/>
              </w:rPr>
              <w:t>Simple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840" w:type="dxa"/>
            <w:vAlign w:val="bottom"/>
          </w:tcPr>
          <w:p>
            <w:pPr>
              <w:jc w:val="center"/>
              <w:ind w:left="241"/>
              <w:spacing w:after="0"/>
              <w:rPr>
                <w:sz w:val="20"/>
                <w:szCs w:val="20"/>
                <w:color w:val="auto"/>
              </w:rPr>
            </w:pPr>
            <w:r>
              <w:rPr>
                <w:rFonts w:ascii="Arial" w:cs="Arial" w:eastAsia="Arial" w:hAnsi="Arial"/>
                <w:sz w:val="14"/>
                <w:szCs w:val="14"/>
                <w:b w:val="1"/>
                <w:bCs w:val="1"/>
                <w:color w:val="auto"/>
                <w:w w:val="92"/>
              </w:rPr>
              <w:t>Meals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and Snacking</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and Beverages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Beverages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Foodservice</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840" w:type="dxa"/>
            <w:vAlign w:val="bottom"/>
            <w:tcBorders>
              <w:top w:val="single" w:sz="8" w:color="auto"/>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Accelerated depreciation/asset impairment</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w w:val="99"/>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840" w:type="dxa"/>
            <w:vAlign w:val="bottom"/>
            <w:tcBorders>
              <w:top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90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additional pre-tax costs of approximately $2 associated with the Global Baking and Snacking segment.</w:t>
      </w:r>
    </w:p>
    <w:p>
      <w:pPr>
        <w:spacing w:after="0" w:line="8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There were no antidilutive stock options for the three-month and nine-month periods ended May 3, 2015, and April 27, 2014.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the development of our soup and broth business in China. The joint venture began operations on January 31, 2011. In the three-month period ended January 26, 2014, together with our joint venture partner, we agreed to restructure manufacturing and streamline operations for our soup and broth business in China. The after-tax restructuring charge attributable to the noncontrolling interest was $5. See also Note 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own a 70% controlling interest in a Malaysian food products manufacturing company.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4" w:right="239" w:bottom="1440" w:gutter="0" w:footer="0" w:header="0"/>
        </w:sectPr>
      </w:pPr>
    </w:p>
    <w:bookmarkStart w:id="16" w:name="page17"/>
    <w:bookmarkEnd w:id="16"/>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We sponsor certain defined benefit pension plans and postretirement benefit plans for employees. Components of benefit expense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1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27,</w:t>
            </w:r>
          </w:p>
        </w:tc>
        <w:tc>
          <w:tcPr>
            <w:tcW w:w="220" w:type="dxa"/>
            <w:vAlign w:val="bottom"/>
          </w:tcPr>
          <w:p>
            <w:pPr>
              <w:spacing w:after="0"/>
              <w:rPr>
                <w:sz w:val="13"/>
                <w:szCs w:val="13"/>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3,</w:t>
            </w:r>
          </w:p>
        </w:tc>
        <w:tc>
          <w:tcPr>
            <w:tcW w:w="200" w:type="dxa"/>
            <w:vAlign w:val="bottom"/>
          </w:tcPr>
          <w:p>
            <w:pPr>
              <w:spacing w:after="0"/>
              <w:rPr>
                <w:sz w:val="13"/>
                <w:szCs w:val="13"/>
                <w:color w:val="auto"/>
              </w:rPr>
            </w:pPr>
          </w:p>
        </w:tc>
        <w:tc>
          <w:tcPr>
            <w:tcW w:w="10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27,</w:t>
            </w:r>
          </w:p>
        </w:tc>
        <w:tc>
          <w:tcPr>
            <w:tcW w:w="22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27,</w:t>
            </w:r>
          </w:p>
        </w:tc>
        <w:tc>
          <w:tcPr>
            <w:tcW w:w="220" w:type="dxa"/>
            <w:vAlign w:val="bottom"/>
          </w:tcPr>
          <w:p>
            <w:pPr>
              <w:spacing w:after="0"/>
              <w:rPr>
                <w:sz w:val="13"/>
                <w:szCs w:val="13"/>
                <w:color w:val="auto"/>
              </w:rPr>
            </w:pPr>
          </w:p>
        </w:tc>
        <w:tc>
          <w:tcPr>
            <w:tcW w:w="9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3,</w:t>
            </w:r>
          </w:p>
        </w:tc>
        <w:tc>
          <w:tcPr>
            <w:tcW w:w="200" w:type="dxa"/>
            <w:vAlign w:val="bottom"/>
          </w:tcPr>
          <w:p>
            <w:pPr>
              <w:spacing w:after="0"/>
              <w:rPr>
                <w:sz w:val="13"/>
                <w:szCs w:val="13"/>
                <w:color w:val="auto"/>
              </w:rPr>
            </w:pPr>
          </w:p>
        </w:tc>
        <w:tc>
          <w:tcPr>
            <w:tcW w:w="92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92"/>
        </w:trPr>
        <w:tc>
          <w:tcPr>
            <w:tcW w:w="14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return</w:t>
            </w:r>
          </w:p>
        </w:tc>
        <w:tc>
          <w:tcPr>
            <w:tcW w:w="2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 plan assets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2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8"/>
                <w:szCs w:val="18"/>
                <w:color w:val="auto"/>
              </w:rPr>
              <w:t>prior service</w:t>
            </w:r>
          </w:p>
        </w:tc>
        <w:tc>
          <w:tcPr>
            <w:tcW w:w="20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credit</w:t>
            </w:r>
          </w:p>
        </w:tc>
        <w:tc>
          <w:tcPr>
            <w:tcW w:w="2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net</w:t>
            </w:r>
          </w:p>
        </w:tc>
        <w:tc>
          <w:tcPr>
            <w:tcW w:w="20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loss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142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20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Settlement charge</w:t>
            </w: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420" w:type="dxa"/>
            <w:vAlign w:val="bottom"/>
          </w:tcPr>
          <w:p>
            <w:pPr>
              <w:ind w:left="40"/>
              <w:spacing w:after="0"/>
              <w:rPr>
                <w:sz w:val="20"/>
                <w:szCs w:val="20"/>
                <w:color w:val="auto"/>
              </w:rPr>
            </w:pPr>
            <w:r>
              <w:rPr>
                <w:rFonts w:ascii="Arial" w:cs="Arial" w:eastAsia="Arial" w:hAnsi="Arial"/>
                <w:sz w:val="18"/>
                <w:szCs w:val="18"/>
                <w:color w:val="auto"/>
              </w:rPr>
              <w:t>Net periodic</w:t>
            </w:r>
          </w:p>
        </w:tc>
        <w:tc>
          <w:tcPr>
            <w:tcW w:w="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18"/>
                <w:szCs w:val="18"/>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2"/>
        </w:trPr>
        <w:tc>
          <w:tcPr>
            <w:tcW w:w="1420" w:type="dxa"/>
            <w:vAlign w:val="bottom"/>
          </w:tcPr>
          <w:p>
            <w:pPr>
              <w:ind w:left="40"/>
              <w:spacing w:after="0"/>
              <w:rPr>
                <w:sz w:val="20"/>
                <w:szCs w:val="20"/>
                <w:color w:val="auto"/>
              </w:rPr>
            </w:pPr>
            <w:r>
              <w:rPr>
                <w:rFonts w:ascii="Arial" w:cs="Arial" w:eastAsia="Arial" w:hAnsi="Arial"/>
                <w:sz w:val="18"/>
                <w:szCs w:val="18"/>
                <w:color w:val="auto"/>
              </w:rPr>
              <w:t>benefit expense</w:t>
            </w:r>
          </w:p>
        </w:tc>
        <w:tc>
          <w:tcPr>
            <w:tcW w:w="20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curtailment loss of $7 was related to a voluntary employee separation program and was included in Restructuring charges. See also Note 8.</w:t>
      </w:r>
    </w:p>
    <w:p>
      <w:pPr>
        <w:spacing w:after="0" w:line="18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settlement charge of $18 in 2014 was associated with a U.S. pension plan. The settlement resulted from the level of lump sum distributions from the plan's assets in 2014, primarily due to the closure of the facility in Sacramento, California.</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No contributions are expected to be made to U.S. pension plans in 2015. Contributions to non-U.S. pension plans during the nine-month period ended May 3, 2015, were $3. We expect contributions to non-U.S. pension plans during the remainder of the year to be approximately $1.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Long-term Debt</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2015, we issued $300 of 3.30% notes which mature on March 19, 2025. Interest on the notes is due semi-annually on March 19 and September 19, commencing on September 19, 2015. The notes may be redeemed in whole, or in part, at our option at any time at the applicable redemption price. The notes include a change in control repurchase provision.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May 3, 2015. During 2014, our largest customer accounted for approximately 19% of consolidated net sales. We closely monitor credit risk associated with counterparties and customers.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As of May 3, 2015, cross-currency swap contracts mature between 15 and 27 months. The notional amount of foreign exchange forward and cross-currency swap contracts accounted for as cash-flow hedges was $45 at May 3, 2015, and $58 at August 3, 2014.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and cross-currency swap contracts that are not designated as accounting hedges was $528 and $561 at May 3, 2015, and August 3, 2014,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May 3, 2015, which relates to an anticipated debt issuance in 2018. The notional amount of outstanding forward starting interest rate swaps totaled $250 at August 3, 2014. We settled forward starting interest rate swaps with a notional value of $250 during 2015 at a loss of $4. The effective portion of the loss was recorded in other comprehensive income (loss) and will be recognized as additional interest expense over the 10-year life of debt issued in March 2015.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natural gas, aluminum, soybean oil, dairy, cocoa and corn, which impact the cost of raw materials. Commodity futures, options, and swap contracts are either accounted for as cash-flow hedges or are not designated as accounting hedges. We hedge a portion of commodity requirements for periods typically up to 18 months. There were no commodity contracts accounted for as cash-flow hedges as of May 3, 2015, or August 3, 2014. The notional amount of commodity contracts not designated as accounting hedges was $100 at May 3, 2015, and $146 at August 3, 2014.</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May 3, 2015, and August 3, 2014, were $48 and $56,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4" w:right="239" w:bottom="1440" w:gutter="0" w:footer="0" w:header="0"/>
        </w:sectPr>
      </w:pPr>
    </w:p>
    <w:bookmarkStart w:id="18" w:name="page19"/>
    <w:bookmarkEnd w:id="18"/>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May 3, 2015, and August 3, 2014:</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335"/>
              <w:spacing w:after="0"/>
              <w:rPr>
                <w:sz w:val="20"/>
                <w:szCs w:val="20"/>
                <w:color w:val="auto"/>
              </w:rPr>
            </w:pPr>
            <w:r>
              <w:rPr>
                <w:rFonts w:ascii="Arial" w:cs="Arial" w:eastAsia="Arial" w:hAnsi="Arial"/>
                <w:sz w:val="14"/>
                <w:szCs w:val="14"/>
                <w:b w:val="1"/>
                <w:bCs w:val="1"/>
                <w:color w:val="auto"/>
                <w:w w:val="98"/>
              </w:rPr>
              <w:t>May 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3"/>
              <w:spacing w:after="0"/>
              <w:rPr>
                <w:sz w:val="20"/>
                <w:szCs w:val="20"/>
                <w:color w:val="auto"/>
              </w:rPr>
            </w:pPr>
            <w:r>
              <w:rPr>
                <w:rFonts w:ascii="Arial" w:cs="Arial" w:eastAsia="Arial" w:hAnsi="Arial"/>
                <w:sz w:val="14"/>
                <w:szCs w:val="14"/>
                <w:b w:val="1"/>
                <w:bCs w:val="1"/>
                <w:color w:val="auto"/>
                <w:w w:val="90"/>
              </w:rPr>
              <w:t>August 3,</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60" w:type="dxa"/>
            <w:vAlign w:val="bottom"/>
          </w:tcPr>
          <w:p>
            <w:pPr>
              <w:jc w:val="center"/>
              <w:ind w:left="355"/>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335"/>
              <w:spacing w:after="0"/>
              <w:rPr>
                <w:sz w:val="20"/>
                <w:szCs w:val="20"/>
                <w:color w:val="auto"/>
              </w:rPr>
            </w:pPr>
            <w:r>
              <w:rPr>
                <w:rFonts w:ascii="Arial" w:cs="Arial" w:eastAsia="Arial" w:hAnsi="Arial"/>
                <w:sz w:val="14"/>
                <w:szCs w:val="14"/>
                <w:b w:val="1"/>
                <w:bCs w:val="1"/>
                <w:color w:val="auto"/>
                <w:w w:val="98"/>
              </w:rPr>
              <w:t>May 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33"/>
              <w:spacing w:after="0"/>
              <w:rPr>
                <w:sz w:val="20"/>
                <w:szCs w:val="20"/>
                <w:color w:val="auto"/>
              </w:rPr>
            </w:pPr>
            <w:r>
              <w:rPr>
                <w:rFonts w:ascii="Arial" w:cs="Arial" w:eastAsia="Arial" w:hAnsi="Arial"/>
                <w:sz w:val="14"/>
                <w:szCs w:val="14"/>
                <w:b w:val="1"/>
                <w:bCs w:val="1"/>
                <w:color w:val="auto"/>
                <w:w w:val="90"/>
              </w:rPr>
              <w:t>August 3,</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60" w:type="dxa"/>
            <w:vAlign w:val="bottom"/>
          </w:tcPr>
          <w:p>
            <w:pPr>
              <w:jc w:val="center"/>
              <w:ind w:left="355"/>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May 3, 2015, and August 3, 2014,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May 3, 2015</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August 3, 2014</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May 3, 2015, and August 3, 2014, a cash margin account balance of $11 and $14, respectively,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May 3, 2015, and April 27, 2014, in other comprehensive income (loss) (OCI) and the Consolidated Statements of Earnings:</w:t>
      </w:r>
    </w:p>
    <w:p>
      <w:pPr>
        <w:spacing w:after="0" w:line="108"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Total</w:t>
      </w:r>
    </w:p>
    <w:p>
      <w:pPr>
        <w:jc w:val="center"/>
        <w:ind w:left="8160"/>
        <w:spacing w:after="0" w:line="226" w:lineRule="auto"/>
        <w:rPr>
          <w:sz w:val="20"/>
          <w:szCs w:val="20"/>
          <w:color w:val="auto"/>
        </w:rPr>
      </w:pPr>
      <w:r>
        <w:rPr>
          <w:rFonts w:ascii="Arial" w:cs="Arial" w:eastAsia="Arial" w:hAnsi="Arial"/>
          <w:sz w:val="14"/>
          <w:szCs w:val="14"/>
          <w:b w:val="1"/>
          <w:bCs w:val="1"/>
          <w:color w:val="auto"/>
        </w:rPr>
        <w:t>Cash-Flow Hedge</w:t>
      </w:r>
    </w:p>
    <w:p>
      <w:pPr>
        <w:spacing w:after="0" w:line="1"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OCI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13335</wp:posOffset>
            </wp:positionV>
            <wp:extent cx="20923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3,</w:t>
            </w:r>
          </w:p>
        </w:tc>
        <w:tc>
          <w:tcPr>
            <w:tcW w:w="320" w:type="dxa"/>
            <w:vAlign w:val="bottom"/>
          </w:tcPr>
          <w:p>
            <w:pPr>
              <w:spacing w:after="0"/>
              <w:rPr>
                <w:sz w:val="14"/>
                <w:szCs w:val="14"/>
                <w:color w:val="auto"/>
              </w:rPr>
            </w:pPr>
          </w:p>
        </w:tc>
        <w:tc>
          <w:tcPr>
            <w:tcW w:w="1280" w:type="dxa"/>
            <w:vAlign w:val="bottom"/>
          </w:tcPr>
          <w:p>
            <w:pPr>
              <w:jc w:val="right"/>
              <w:ind w:right="452"/>
              <w:spacing w:after="0"/>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5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20" w:type="dxa"/>
            <w:vAlign w:val="bottom"/>
            <w:tcBorders>
              <w:bottom w:val="single" w:sz="8" w:color="CCEEFF"/>
            </w:tcBorders>
            <w:gridSpan w:val="2"/>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94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96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$4.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effect of our derivative instruments designated as fair-value hedges in the Consolidated Statements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40" w:type="dxa"/>
            <w:vAlign w:val="bottom"/>
            <w:gridSpan w:val="3"/>
          </w:tcPr>
          <w:p>
            <w:pPr>
              <w:jc w:val="center"/>
              <w:ind w:right="419"/>
              <w:spacing w:after="0"/>
              <w:rPr>
                <w:sz w:val="20"/>
                <w:szCs w:val="20"/>
                <w:color w:val="auto"/>
              </w:rPr>
            </w:pPr>
            <w:r>
              <w:rPr>
                <w:rFonts w:ascii="Arial" w:cs="Arial" w:eastAsia="Arial" w:hAnsi="Arial"/>
                <w:sz w:val="14"/>
                <w:szCs w:val="14"/>
                <w:b w:val="1"/>
                <w:bCs w:val="1"/>
                <w:color w:val="auto"/>
                <w:w w:val="94"/>
              </w:rPr>
              <w:t>Amount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gridSpan w:val="3"/>
          </w:tcPr>
          <w:p>
            <w:pPr>
              <w:jc w:val="center"/>
              <w:ind w:left="624"/>
              <w:spacing w:after="0"/>
              <w:rPr>
                <w:sz w:val="20"/>
                <w:szCs w:val="20"/>
                <w:color w:val="auto"/>
              </w:rPr>
            </w:pPr>
            <w:r>
              <w:rPr>
                <w:rFonts w:ascii="Arial" w:cs="Arial" w:eastAsia="Arial" w:hAnsi="Arial"/>
                <w:sz w:val="14"/>
                <w:szCs w:val="14"/>
                <w:b w:val="1"/>
                <w:bCs w:val="1"/>
                <w:color w:val="auto"/>
                <w:w w:val="94"/>
              </w:rPr>
              <w:t>Amount of</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40" w:type="dxa"/>
            <w:vAlign w:val="bottom"/>
            <w:gridSpan w:val="3"/>
          </w:tcPr>
          <w:p>
            <w:pPr>
              <w:jc w:val="center"/>
              <w:ind w:right="399"/>
              <w:spacing w:after="0" w:line="149" w:lineRule="exact"/>
              <w:rPr>
                <w:sz w:val="20"/>
                <w:szCs w:val="20"/>
                <w:color w:val="auto"/>
              </w:rPr>
            </w:pPr>
            <w:r>
              <w:rPr>
                <w:rFonts w:ascii="Arial" w:cs="Arial" w:eastAsia="Arial" w:hAnsi="Arial"/>
                <w:sz w:val="14"/>
                <w:szCs w:val="14"/>
                <w:b w:val="1"/>
                <w:bCs w:val="1"/>
                <w:color w:val="auto"/>
                <w:w w:val="93"/>
              </w:rPr>
              <w:t>Gain (Loss)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604"/>
              <w:spacing w:after="0" w:line="149" w:lineRule="exact"/>
              <w:rPr>
                <w:sz w:val="20"/>
                <w:szCs w:val="20"/>
                <w:color w:val="auto"/>
              </w:rPr>
            </w:pPr>
            <w:r>
              <w:rPr>
                <w:rFonts w:ascii="Arial" w:cs="Arial" w:eastAsia="Arial" w:hAnsi="Arial"/>
                <w:sz w:val="14"/>
                <w:szCs w:val="14"/>
                <w:b w:val="1"/>
                <w:bCs w:val="1"/>
                <w:color w:val="auto"/>
                <w:w w:val="93"/>
              </w:rPr>
              <w:t>Gain (Loss)</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4"/>
          </w:tcPr>
          <w:p>
            <w:pPr>
              <w:jc w:val="center"/>
              <w:ind w:left="261"/>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4"/>
          </w:tcPr>
          <w:p>
            <w:pPr>
              <w:jc w:val="center"/>
              <w:ind w:right="139"/>
              <w:spacing w:after="0" w:line="149" w:lineRule="exact"/>
              <w:rPr>
                <w:sz w:val="20"/>
                <w:szCs w:val="20"/>
                <w:color w:val="auto"/>
              </w:rPr>
            </w:pPr>
            <w:r>
              <w:rPr>
                <w:rFonts w:ascii="Arial" w:cs="Arial" w:eastAsia="Arial" w:hAnsi="Arial"/>
                <w:sz w:val="14"/>
                <w:szCs w:val="14"/>
                <w:b w:val="1"/>
                <w:bCs w:val="1"/>
                <w:color w:val="auto"/>
                <w:w w:val="91"/>
              </w:rPr>
              <w:t>Recognized in Earnings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4"/>
                <w:szCs w:val="14"/>
                <w:b w:val="1"/>
                <w:bCs w:val="1"/>
                <w:color w:val="auto"/>
                <w:w w:val="91"/>
              </w:rPr>
              <w:t>on Derivatives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4"/>
                <w:szCs w:val="14"/>
                <w:b w:val="1"/>
                <w:bCs w:val="1"/>
                <w:color w:val="auto"/>
                <w:w w:val="93"/>
              </w:rPr>
              <w:t>on Hedged Item</w:t>
            </w:r>
          </w:p>
        </w:tc>
        <w:tc>
          <w:tcPr>
            <w:tcW w:w="0" w:type="dxa"/>
            <w:vAlign w:val="bottom"/>
          </w:tcPr>
          <w:p>
            <w:pPr>
              <w:spacing w:after="0"/>
              <w:rPr>
                <w:sz w:val="1"/>
                <w:szCs w:val="1"/>
                <w:color w:val="auto"/>
              </w:rPr>
            </w:pPr>
          </w:p>
        </w:tc>
      </w:tr>
      <w:tr>
        <w:trPr>
          <w:trHeight w:val="153"/>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Fair-Value Hedges</w:t>
            </w:r>
          </w:p>
        </w:tc>
        <w:tc>
          <w:tcPr>
            <w:tcW w:w="120" w:type="dxa"/>
            <w:vAlign w:val="bottom"/>
            <w:vMerge w:val="restart"/>
          </w:tcPr>
          <w:p>
            <w:pPr>
              <w:spacing w:after="0"/>
              <w:rPr>
                <w:sz w:val="13"/>
                <w:szCs w:val="13"/>
                <w:color w:val="auto"/>
              </w:rPr>
            </w:pPr>
          </w:p>
        </w:tc>
        <w:tc>
          <w:tcPr>
            <w:tcW w:w="21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May 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3,</w:t>
            </w:r>
          </w:p>
        </w:tc>
        <w:tc>
          <w:tcPr>
            <w:tcW w:w="340" w:type="dxa"/>
            <w:vAlign w:val="bottom"/>
          </w:tcPr>
          <w:p>
            <w:pPr>
              <w:spacing w:after="0"/>
              <w:rPr>
                <w:sz w:val="13"/>
                <w:szCs w:val="13"/>
                <w:color w:val="auto"/>
              </w:rPr>
            </w:pPr>
          </w:p>
        </w:tc>
        <w:tc>
          <w:tcPr>
            <w:tcW w:w="92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w w:val="94"/>
              </w:rPr>
              <w:t>April 27,</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tcPr>
          <w:p>
            <w:pPr>
              <w:ind w:left="17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63" w:lineRule="exact"/>
        <w:rPr>
          <w:sz w:val="20"/>
          <w:szCs w:val="20"/>
          <w:color w:val="auto"/>
        </w:rPr>
      </w:pPr>
    </w:p>
    <w:p>
      <w:pPr>
        <w:jc w:val="center"/>
        <w:ind w:left="6100"/>
        <w:spacing w:after="0"/>
        <w:rPr>
          <w:sz w:val="20"/>
          <w:szCs w:val="20"/>
          <w:color w:val="auto"/>
        </w:rPr>
      </w:pPr>
      <w:r>
        <w:rPr>
          <w:rFonts w:ascii="Arial" w:cs="Arial" w:eastAsia="Arial" w:hAnsi="Arial"/>
          <w:sz w:val="14"/>
          <w:szCs w:val="14"/>
          <w:b w:val="1"/>
          <w:bCs w:val="1"/>
          <w:color w:val="auto"/>
        </w:rPr>
        <w:t>Amount of</w:t>
      </w:r>
    </w:p>
    <w:p>
      <w:pPr>
        <w:jc w:val="center"/>
        <w:ind w:left="6100"/>
        <w:spacing w:after="0" w:line="226" w:lineRule="auto"/>
        <w:rPr>
          <w:sz w:val="20"/>
          <w:szCs w:val="20"/>
          <w:color w:val="auto"/>
        </w:rPr>
      </w:pPr>
      <w:r>
        <w:rPr>
          <w:rFonts w:ascii="Arial" w:cs="Arial" w:eastAsia="Arial" w:hAnsi="Arial"/>
          <w:sz w:val="14"/>
          <w:szCs w:val="14"/>
          <w:b w:val="1"/>
          <w:bCs w:val="1"/>
          <w:color w:val="auto"/>
        </w:rPr>
        <w:t>Gain (Loss)</w:t>
      </w:r>
    </w:p>
    <w:p>
      <w:pPr>
        <w:jc w:val="center"/>
        <w:ind w:left="6100"/>
        <w:spacing w:after="0" w:line="222" w:lineRule="auto"/>
        <w:rPr>
          <w:sz w:val="20"/>
          <w:szCs w:val="20"/>
          <w:color w:val="auto"/>
        </w:rPr>
      </w:pPr>
      <w:r>
        <w:rPr>
          <w:rFonts w:ascii="Arial" w:cs="Arial" w:eastAsia="Arial" w:hAnsi="Arial"/>
          <w:sz w:val="14"/>
          <w:szCs w:val="14"/>
          <w:b w:val="1"/>
          <w:bCs w:val="1"/>
          <w:color w:val="auto"/>
        </w:rPr>
        <w:t>Recognized in Earnings</w:t>
      </w:r>
    </w:p>
    <w:p>
      <w:pPr>
        <w:jc w:val="center"/>
        <w:ind w:left="6100"/>
        <w:spacing w:after="0"/>
        <w:rPr>
          <w:sz w:val="20"/>
          <w:szCs w:val="20"/>
          <w:color w:val="auto"/>
        </w:rPr>
      </w:pPr>
      <w:r>
        <w:rPr>
          <w:rFonts w:ascii="Arial" w:cs="Arial" w:eastAsia="Arial" w:hAnsi="Arial"/>
          <w:sz w:val="14"/>
          <w:szCs w:val="14"/>
          <w:b w:val="1"/>
          <w:bCs w:val="1"/>
          <w:color w:val="auto"/>
        </w:rPr>
        <w:t>on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13335</wp:posOffset>
            </wp:positionV>
            <wp:extent cx="3395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236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4"/>
                <w:szCs w:val="14"/>
                <w:color w:val="auto"/>
              </w:rPr>
            </w:pPr>
          </w:p>
        </w:tc>
        <w:tc>
          <w:tcPr>
            <w:tcW w:w="2520" w:type="dxa"/>
            <w:vAlign w:val="bottom"/>
            <w:gridSpan w:val="2"/>
          </w:tcPr>
          <w:p>
            <w:pPr>
              <w:ind w:left="480"/>
              <w:spacing w:after="0"/>
              <w:rPr>
                <w:sz w:val="20"/>
                <w:szCs w:val="20"/>
                <w:color w:val="auto"/>
              </w:rPr>
            </w:pPr>
            <w:r>
              <w:rPr>
                <w:rFonts w:ascii="Arial" w:cs="Arial" w:eastAsia="Arial" w:hAnsi="Arial"/>
                <w:sz w:val="14"/>
                <w:szCs w:val="14"/>
                <w:b w:val="1"/>
                <w:bCs w:val="1"/>
                <w:color w:val="auto"/>
              </w:rPr>
              <w:t>Location of Gain (Loss)</w:t>
            </w:r>
          </w:p>
        </w:tc>
        <w:tc>
          <w:tcPr>
            <w:tcW w:w="240" w:type="dxa"/>
            <w:vAlign w:val="bottom"/>
          </w:tcPr>
          <w:p>
            <w:pPr>
              <w:spacing w:after="0"/>
              <w:rPr>
                <w:sz w:val="14"/>
                <w:szCs w:val="1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3,</w:t>
            </w:r>
          </w:p>
        </w:tc>
        <w:tc>
          <w:tcPr>
            <w:tcW w:w="160" w:type="dxa"/>
            <w:vAlign w:val="bottom"/>
          </w:tcPr>
          <w:p>
            <w:pPr>
              <w:spacing w:after="0"/>
              <w:rPr>
                <w:sz w:val="14"/>
                <w:szCs w:val="14"/>
                <w:color w:val="auto"/>
              </w:rPr>
            </w:pPr>
          </w:p>
        </w:tc>
        <w:tc>
          <w:tcPr>
            <w:tcW w:w="11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7"/>
              </w:rPr>
              <w:t>April 27, 2014</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4"/>
                <w:szCs w:val="14"/>
                <w:color w:val="auto"/>
              </w:rPr>
            </w:pPr>
          </w:p>
        </w:tc>
        <w:tc>
          <w:tcPr>
            <w:tcW w:w="1020" w:type="dxa"/>
            <w:vAlign w:val="bottom"/>
          </w:tcPr>
          <w:p>
            <w:pPr>
              <w:jc w:val="right"/>
              <w:ind w:right="294"/>
              <w:spacing w:after="0"/>
              <w:rPr>
                <w:sz w:val="20"/>
                <w:szCs w:val="20"/>
                <w:color w:val="auto"/>
              </w:rPr>
            </w:pPr>
            <w:r>
              <w:rPr>
                <w:rFonts w:ascii="Arial" w:cs="Arial" w:eastAsia="Arial" w:hAnsi="Arial"/>
                <w:sz w:val="14"/>
                <w:szCs w:val="14"/>
                <w:b w:val="1"/>
                <w:bCs w:val="1"/>
                <w:color w:val="auto"/>
              </w:rPr>
              <w:t>April 27,</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expenses/income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Cross-currency swap contracts</w:t>
            </w: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expenses/income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Level 3: Unobservable inputs, which are based on our estimates of assumptions that market participants would use in pricing the asset or liability.</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May 3, 2015, and August 3, 2014,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May 3, 2015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3, 2014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May 3,</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3,</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w:t>
            </w:r>
          </w:p>
        </w:tc>
        <w:tc>
          <w:tcPr>
            <w:tcW w:w="1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(4)</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tbl>
      <w:tblPr>
        <w:tblLayout w:type="fixed"/>
        <w:tblInd w:w="1760" w:type="dxa"/>
        <w:tblCellMar>
          <w:top w:w="0" w:type="dxa"/>
          <w:left w:w="0" w:type="dxa"/>
          <w:bottom w:w="0" w:type="dxa"/>
          <w:right w:w="0" w:type="dxa"/>
        </w:tblCellMar>
      </w:tblPr>
      <w:tr>
        <w:trPr>
          <w:trHeight w:val="161"/>
        </w:trPr>
        <w:tc>
          <w:tcPr>
            <w:tcW w:w="1040" w:type="dxa"/>
            <w:vAlign w:val="bottom"/>
            <w:vMerge w:val="restart"/>
          </w:tcPr>
          <w:p>
            <w:pPr>
              <w:jc w:val="center"/>
              <w:ind w:right="328"/>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9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May 3, 2015 Using</w:t>
            </w:r>
          </w:p>
        </w:tc>
        <w:tc>
          <w:tcPr>
            <w:tcW w:w="8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August 3, 2014 Using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jc w:val="center"/>
              <w:ind w:right="328"/>
              <w:spacing w:after="0" w:line="149" w:lineRule="exact"/>
              <w:rPr>
                <w:sz w:val="20"/>
                <w:szCs w:val="20"/>
                <w:color w:val="auto"/>
              </w:rPr>
            </w:pPr>
            <w:r>
              <w:rPr>
                <w:rFonts w:ascii="Arial" w:cs="Arial" w:eastAsia="Arial" w:hAnsi="Arial"/>
                <w:sz w:val="14"/>
                <w:szCs w:val="14"/>
                <w:b w:val="1"/>
                <w:bCs w:val="1"/>
                <w:color w:val="auto"/>
                <w:w w:val="85"/>
              </w:rPr>
              <w:t>as of</w:t>
            </w:r>
          </w:p>
        </w:tc>
        <w:tc>
          <w:tcPr>
            <w:tcW w:w="88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8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880" w:type="dxa"/>
            <w:vAlign w:val="bottom"/>
          </w:tcPr>
          <w:p>
            <w:pPr>
              <w:spacing w:after="0"/>
              <w:rPr>
                <w:sz w:val="12"/>
                <w:szCs w:val="12"/>
                <w:color w:val="auto"/>
              </w:rPr>
            </w:pP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40" w:type="dxa"/>
            <w:vAlign w:val="bottom"/>
            <w:vMerge w:val="restart"/>
          </w:tcPr>
          <w:p>
            <w:pPr>
              <w:jc w:val="center"/>
              <w:ind w:right="328"/>
              <w:spacing w:after="0" w:line="139" w:lineRule="exact"/>
              <w:rPr>
                <w:sz w:val="20"/>
                <w:szCs w:val="20"/>
                <w:color w:val="auto"/>
              </w:rPr>
            </w:pPr>
            <w:r>
              <w:rPr>
                <w:rFonts w:ascii="Arial" w:cs="Arial" w:eastAsia="Arial" w:hAnsi="Arial"/>
                <w:sz w:val="14"/>
                <w:szCs w:val="14"/>
                <w:b w:val="1"/>
                <w:bCs w:val="1"/>
                <w:color w:val="auto"/>
              </w:rPr>
              <w:t>May 3,</w:t>
            </w:r>
          </w:p>
        </w:tc>
        <w:tc>
          <w:tcPr>
            <w:tcW w:w="88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3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0"/>
              </w:rPr>
              <w:t>August 3,</w:t>
            </w:r>
          </w:p>
        </w:tc>
        <w:tc>
          <w:tcPr>
            <w:tcW w:w="88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040" w:type="dxa"/>
            <w:vAlign w:val="bottom"/>
            <w:vMerge w:val="continue"/>
          </w:tcPr>
          <w:p>
            <w:pPr>
              <w:spacing w:after="0"/>
              <w:rPr>
                <w:sz w:val="5"/>
                <w:szCs w:val="5"/>
                <w:color w:val="auto"/>
              </w:rPr>
            </w:pPr>
          </w:p>
        </w:tc>
        <w:tc>
          <w:tcPr>
            <w:tcW w:w="8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Level 1</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340" w:type="dxa"/>
            <w:vAlign w:val="bottom"/>
            <w:vMerge w:val="continue"/>
          </w:tcPr>
          <w:p>
            <w:pPr>
              <w:spacing w:after="0"/>
              <w:rPr>
                <w:sz w:val="5"/>
                <w:szCs w:val="5"/>
                <w:color w:val="auto"/>
              </w:rPr>
            </w:pPr>
          </w:p>
        </w:tc>
        <w:tc>
          <w:tcPr>
            <w:tcW w:w="88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Level 1</w:t>
            </w:r>
          </w:p>
        </w:tc>
        <w:tc>
          <w:tcPr>
            <w:tcW w:w="1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Level 2</w:t>
            </w: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86"/>
        </w:trPr>
        <w:tc>
          <w:tcPr>
            <w:tcW w:w="1040" w:type="dxa"/>
            <w:vAlign w:val="bottom"/>
          </w:tcPr>
          <w:p>
            <w:pPr>
              <w:jc w:val="center"/>
              <w:ind w:right="328"/>
              <w:spacing w:after="0"/>
              <w:rPr>
                <w:sz w:val="20"/>
                <w:szCs w:val="20"/>
                <w:color w:val="auto"/>
              </w:rPr>
            </w:pPr>
            <w:r>
              <w:rPr>
                <w:rFonts w:ascii="Arial" w:cs="Arial" w:eastAsia="Arial" w:hAnsi="Arial"/>
                <w:sz w:val="14"/>
                <w:szCs w:val="14"/>
                <w:b w:val="1"/>
                <w:bCs w:val="1"/>
                <w:color w:val="auto"/>
                <w:w w:val="89"/>
              </w:rPr>
              <w:t>2015</w:t>
            </w:r>
          </w:p>
        </w:tc>
        <w:tc>
          <w:tcPr>
            <w:tcW w:w="880" w:type="dxa"/>
            <w:vAlign w:val="bottom"/>
            <w:vMerge w:val="continue"/>
          </w:tcPr>
          <w:p>
            <w:pPr>
              <w:spacing w:after="0"/>
              <w:rPr>
                <w:sz w:val="16"/>
                <w:szCs w:val="16"/>
                <w:color w:val="auto"/>
              </w:rPr>
            </w:pPr>
          </w:p>
        </w:tc>
        <w:tc>
          <w:tcPr>
            <w:tcW w:w="19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2014</w:t>
            </w:r>
          </w:p>
        </w:tc>
        <w:tc>
          <w:tcPr>
            <w:tcW w:w="88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374" w:right="239" w:bottom="1440" w:gutter="0" w:footer="0" w:header="0"/>
        </w:sectPr>
      </w:pPr>
    </w:p>
    <w:p>
      <w:pPr>
        <w:spacing w:after="0" w:line="2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Liabilities</w:t>
      </w:r>
    </w:p>
    <w:p>
      <w:pPr>
        <w:spacing w:after="0" w:line="7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w w:val="99"/>
              </w:rPr>
              <w:t>Forward starting</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440" w:type="dxa"/>
            <w:vAlign w:val="bottom"/>
            <w:vMerge w:val="continue"/>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vMerge w:val="continue"/>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vMerge w:val="continue"/>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vMerge w:val="continue"/>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w w:val="90"/>
              </w:rPr>
              <w:t>Foreign exchange</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forward</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6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Commodity</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derivative</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Cross-currency</w:t>
            </w:r>
          </w:p>
        </w:tc>
        <w:tc>
          <w:tcPr>
            <w:tcW w:w="440" w:type="dxa"/>
            <w:vAlign w:val="bottom"/>
          </w:tcPr>
          <w:p>
            <w:pPr>
              <w:spacing w:after="0"/>
              <w:rPr>
                <w:sz w:val="18"/>
                <w:szCs w:val="18"/>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(4)</w:t>
            </w:r>
          </w:p>
        </w:tc>
        <w:tc>
          <w:tcPr>
            <w:tcW w:w="44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derivative</w:t>
            </w:r>
          </w:p>
        </w:tc>
        <w:tc>
          <w:tcPr>
            <w:tcW w:w="440" w:type="dxa"/>
            <w:vAlign w:val="bottom"/>
          </w:tcPr>
          <w:p>
            <w:pPr>
              <w:spacing w:after="0"/>
              <w:rPr>
                <w:sz w:val="18"/>
                <w:szCs w:val="18"/>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ind w:left="140"/>
              <w:spacing w:after="0" w:line="270"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(5)</w:t>
            </w:r>
          </w:p>
        </w:tc>
        <w:tc>
          <w:tcPr>
            <w:tcW w:w="440" w:type="dxa"/>
            <w:vAlign w:val="bottom"/>
          </w:tcPr>
          <w:p>
            <w:pPr>
              <w:spacing w:after="0"/>
              <w:rPr>
                <w:sz w:val="23"/>
                <w:szCs w:val="23"/>
                <w:color w:val="auto"/>
              </w:rPr>
            </w:pPr>
          </w:p>
        </w:tc>
        <w:tc>
          <w:tcPr>
            <w:tcW w:w="8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gridSpan w:val="2"/>
            <w:vMerge w:val="continue"/>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Deferred</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40"/>
              <w:spacing w:after="0"/>
              <w:rPr>
                <w:sz w:val="20"/>
                <w:szCs w:val="20"/>
                <w:color w:val="auto"/>
              </w:rPr>
            </w:pPr>
            <w:r>
              <w:rPr>
                <w:rFonts w:ascii="Arial" w:cs="Arial" w:eastAsia="Arial" w:hAnsi="Arial"/>
                <w:sz w:val="18"/>
                <w:szCs w:val="18"/>
                <w:color w:val="auto"/>
              </w:rPr>
              <w:t>compensation</w:t>
            </w: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60" w:type="dxa"/>
            <w:vAlign w:val="bottom"/>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20"/>
                <w:szCs w:val="20"/>
                <w:color w:val="auto"/>
              </w:rPr>
            </w:pPr>
            <w:r>
              <w:rPr>
                <w:rFonts w:ascii="Arial" w:cs="Arial" w:eastAsia="Arial" w:hAnsi="Arial"/>
                <w:sz w:val="18"/>
                <w:szCs w:val="18"/>
                <w:color w:val="auto"/>
              </w:rPr>
              <w:t>Total liabilities at</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145</w:t>
            </w:r>
          </w:p>
        </w:tc>
        <w:tc>
          <w:tcPr>
            <w:tcW w:w="140" w:type="dxa"/>
            <w:vAlign w:val="bottom"/>
          </w:tcPr>
          <w:p>
            <w:pPr>
              <w:spacing w:after="0"/>
              <w:rPr>
                <w:sz w:val="18"/>
                <w:szCs w:val="18"/>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7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6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w:t>
            </w: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440" w:type="dxa"/>
            <w:vAlign w:val="bottom"/>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r>
              <w:rPr>
                <w:rFonts w:ascii="Arial" w:cs="Arial" w:eastAsia="Arial" w:hAnsi="Arial"/>
                <w:sz w:val="18"/>
                <w:szCs w:val="18"/>
                <w:color w:val="auto"/>
              </w:rPr>
              <w:t>fair value</w:t>
            </w:r>
          </w:p>
        </w:tc>
        <w:tc>
          <w:tcPr>
            <w:tcW w:w="4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-2520950</wp:posOffset>
            </wp:positionV>
            <wp:extent cx="72466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-1628775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246620" cy="445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45770"/>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8890</wp:posOffset>
            </wp:positionV>
            <wp:extent cx="551434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1434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on observable market transactions of spot currency rates and forward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on observable local benchmarks for currency and interest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27" w:hanging="827"/>
        <w:spacing w:after="0"/>
        <w:tabs>
          <w:tab w:leader="none" w:pos="827"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82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82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82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46" w:lineRule="exact"/>
        <w:rPr>
          <w:sz w:val="20"/>
          <w:szCs w:val="20"/>
          <w:color w:val="auto"/>
        </w:rPr>
      </w:pPr>
    </w:p>
    <w:p>
      <w:pPr>
        <w:ind w:left="827" w:hanging="827"/>
        <w:spacing w:after="0"/>
        <w:tabs>
          <w:tab w:leader="none" w:pos="82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200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740" w:lineRule="exact"/>
        <w:rPr>
          <w:sz w:val="20"/>
          <w:szCs w:val="20"/>
          <w:color w:val="auto"/>
        </w:rPr>
      </w:pPr>
    </w:p>
    <w:p>
      <w:pPr>
        <w:sectPr>
          <w:pgSz w:w="11900" w:h="16838" w:orient="portrait"/>
          <w:cols w:equalWidth="0" w:num="2">
            <w:col w:w="10180" w:space="133"/>
            <w:col w:w="1107"/>
          </w:cols>
          <w:pgMar w:left="240" w:top="1374" w:right="239" w:bottom="1440" w:gutter="0" w:footer="0" w:header="0"/>
          <w:type w:val="continuous"/>
        </w:sect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$36 at May 3, 2015, and $46 at August 3, 2014,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$2,661 at May 3, 2015, and $2,647 at August 3, 2014. The carrying value was $2,562 at May 3, 2015, and $2,544 at August 3, 2014.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 Repurchases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June 2011, our Board of Directors authorized the purchase of up to $1,000 of our stock. This program has no expiration date. In addition to this publicly announced program, we also repurchase shares to offset the impact of dilution from shares issued under our stock compensation plans.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nine-month period ended May 3, 2015, we repurchased 4 million shares at a cost of $192. Of this amount, $150 was used to repurchase shares pursuant to our June 2011 publicly announced share repurchase program. Approximately $600 remained available under this program as of May 3, 2015. During the nine-month period ended April 27, 2014, we repurchased 2 million shares at a cost of $76 to offset the impact of dilution from shares issued under our stock compensation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unrestricted stock, 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2015, we issued time-lapse restricted stock units, EPS performance restricted stock units, TSR performance restricted stock units and special performance</w:t>
      </w:r>
    </w:p>
    <w:p>
      <w:pPr>
        <w:sectPr>
          <w:pgSz w:w="11900" w:h="16838" w:orient="portrait"/>
          <w:cols w:equalWidth="0" w:num="1">
            <w:col w:w="11420"/>
          </w:cols>
          <w:pgMar w:left="240" w:top="1374" w:right="239" w:bottom="1440" w:gutter="0" w:footer="0" w:header="0"/>
          <w:type w:val="continuous"/>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74" w:right="2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restricted stock units. We did not issue strategic performance restricted stock units in 2015. In previous years, we also issued stock options and stock appreciation rights.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Total pre-tax stock-based compensation expense recognized in Earnings from continuing operations was $15 and $9 for the three-month periods ended May 3, 2015, and April 27, 2014, respectively. Tax-related benefits of $6 and $3 were also recognized for the three-month periods ended May 3, 2015, and April 27, 2014, respectively. Total pre-tax stock-based compensation expense recognized in Earnings from continuing operations was $46 and $45 for the nine-month periods ended May 3, 2015, and April 27, 2014, respectively. The pre-tax stock-based compensation expense recognized in Earnings from discontinued operations was $1 for the nine-month period ended April 27, 2014. Tax-related benefits of $17 were also recognized for the nine-month periods ended May 3, 2015, and April 27, 2014. Cash received from the exercise of stock options was $9 and $14 for the nine-month periods ended May 3, 2015, and April 27, 2014, respectively, and is reflected in cash flows from financing activities in the Consolidated Statements of Cash Flows.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as of May 3,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4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w w:val="90"/>
              </w:rPr>
              <w:t>Options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14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91"/>
              </w:rPr>
              <w:t>(Options in</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thousands)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3, 2014</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28.33</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Terminated</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26.36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May 3, 2015</w:t>
            </w:r>
          </w:p>
        </w:tc>
        <w:tc>
          <w:tcPr>
            <w:tcW w:w="1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May 3, 2015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29.91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total intrinsic value of options exercised during the nine-month periods ended May 3, 2015, and April 27, 2014, was $5 and $8, respectively. As of January 2009, compensation related to stock options was fully expensed. We measured the fair value of stock options using the Black-Scholes option pricing model.</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May 3,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3, 2014</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May 3,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252 thousand EPS performance target grants outstanding at May 3, 2015, with a weighted-average grant-date fair value of $40.72. We expense strategic performance restricted stock units on a straight-line basis over the service period. Awards of the strategic performance restricted stock units are earned based upon the achievement of two key metrics, net sales and EPS growth, compared to strategic plan objectives during a two-year period for grants in 2013 and during a three-year period for grants in 2014. There were 373 thousand strategic performance target grants outstanding at May 3, 2015 with a grant-date fair value of $41.21. The actual number of EPS performance restricted stock units and strategic performance restricted stock units issued at the vesting date could range from either 0% or 100% and 0% to 200%, respectively, of the initial grant, depending on actual performance achieved. We estimate expense based on the number of awards expected to vest.</w:t>
      </w:r>
    </w:p>
    <w:p>
      <w:pPr>
        <w:sectPr>
          <w:pgSz w:w="11900" w:h="16838" w:orient="portrait"/>
          <w:cols w:equalWidth="0" w:num="1">
            <w:col w:w="11420"/>
          </w:cols>
          <w:pgMar w:left="240" w:top="1314" w:right="239"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4" w:right="239" w:bottom="1440" w:gutter="0" w:footer="0" w:header="0"/>
          <w:type w:val="continuous"/>
        </w:sectPr>
      </w:pPr>
    </w:p>
    <w:bookmarkStart w:id="23" w:name="page24"/>
    <w:bookmarkEnd w:id="23"/>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 actual number of special performance awards issued at the vesting date could range from 0% to 150%. There were 184 thousand special performance restricted stock units outstanding at May 3, 2015, with a grant-date fair value of $42.22.</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May 3, 2015, total remaining unearned compensation related to nonvested time-lapse restricted stock units, EPS performance restricted stock units, strategic performance restricted stock units and special performance restricted stock units was $38, which will be amortized over the weighted-average remaining service period of 1.7 years. The fair value of restricted stock units vested during the nine-month periods ended May 3, 2015, and April 27, 2014, was $54 and $105, respectively. The weighted-average grant-date fair value of the restricted stock units granted during the nine-month period ended April 27, 2014, was $39.83.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May 3,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3, 2014</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May 3, 2015</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40.78</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2014</w:t>
            </w: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0.60%</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2.91%</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2.98%</w:t>
            </w:r>
          </w:p>
        </w:tc>
      </w:tr>
      <w:tr>
        <w:trPr>
          <w:trHeight w:val="27"/>
        </w:trPr>
        <w:tc>
          <w:tcPr>
            <w:tcW w:w="9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15.76%</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40" w:type="dxa"/>
            <w:vAlign w:val="bottom"/>
            <w:gridSpan w:val="2"/>
          </w:tcPr>
          <w:p>
            <w:pPr>
              <w:ind w:left="320"/>
              <w:spacing w:after="0"/>
              <w:rPr>
                <w:sz w:val="20"/>
                <w:szCs w:val="20"/>
                <w:color w:val="auto"/>
              </w:rPr>
            </w:pPr>
            <w:r>
              <w:rPr>
                <w:rFonts w:ascii="Arial" w:cs="Arial" w:eastAsia="Arial" w:hAnsi="Arial"/>
                <w:sz w:val="18"/>
                <w:szCs w:val="18"/>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recognize compensation expense on a straight-line basis over the service period. As of May 3, 2015, total remaining unearned compensation related to TSR performance restricted stock units was $32, which will be amortized over the weighted-average remaining service period of 2.1 years. There were no restricted stock units granted during 2012. The grant-date fair value of the TSR performance restricted stock units granted during 2014 was $36.26.</w:t>
      </w:r>
    </w:p>
    <w:p>
      <w:pPr>
        <w:spacing w:after="0" w:line="9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financing activities for the nine-month periods ended May 3, 2015, and April 27, 2014, were $5 and $11,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Inventories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17"/>
              <w:spacing w:after="0"/>
              <w:rPr>
                <w:sz w:val="20"/>
                <w:szCs w:val="20"/>
                <w:color w:val="auto"/>
              </w:rPr>
            </w:pPr>
            <w:r>
              <w:rPr>
                <w:rFonts w:ascii="Arial" w:cs="Arial" w:eastAsia="Arial" w:hAnsi="Arial"/>
                <w:sz w:val="14"/>
                <w:szCs w:val="14"/>
                <w:b w:val="1"/>
                <w:bCs w:val="1"/>
                <w:color w:val="auto"/>
              </w:rPr>
              <w:t>August 3,</w:t>
            </w:r>
          </w:p>
        </w:tc>
      </w:tr>
      <w:tr>
        <w:trPr>
          <w:trHeight w:val="192"/>
        </w:trPr>
        <w:tc>
          <w:tcPr>
            <w:tcW w:w="8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containers and supplies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Finished products</w:t>
            </w: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481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617</w:t>
            </w:r>
          </w:p>
        </w:tc>
      </w:tr>
      <w:tr>
        <w:trPr>
          <w:trHeight w:val="27"/>
        </w:trPr>
        <w:tc>
          <w:tcPr>
            <w:tcW w:w="8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876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1,016</w:t>
            </w:r>
          </w:p>
        </w:tc>
      </w:tr>
      <w:tr>
        <w:trPr>
          <w:trHeight w:val="20"/>
        </w:trPr>
        <w:tc>
          <w:tcPr>
            <w:tcW w:w="8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Other cash used in operating activities for the nine-month periods was comprised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May 3,</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37"/>
              <w:spacing w:after="0"/>
              <w:rPr>
                <w:sz w:val="20"/>
                <w:szCs w:val="20"/>
                <w:color w:val="auto"/>
              </w:rPr>
            </w:pPr>
            <w:r>
              <w:rPr>
                <w:rFonts w:ascii="Arial" w:cs="Arial" w:eastAsia="Arial" w:hAnsi="Arial"/>
                <w:sz w:val="14"/>
                <w:szCs w:val="14"/>
                <w:b w:val="1"/>
                <w:bCs w:val="1"/>
                <w:color w:val="auto"/>
              </w:rPr>
              <w:t>April 27,</w:t>
            </w:r>
          </w:p>
        </w:tc>
      </w:tr>
      <w:tr>
        <w:trPr>
          <w:trHeight w:val="192"/>
        </w:trPr>
        <w:tc>
          <w:tcPr>
            <w:tcW w:w="85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related payments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8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19. Voluntary Product Recall</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8, 2013, we voluntarily recalled a range of Plum products packaged in resealable pouches after discovering a manufacturing defect that may cause spoilage in some pouches. In the three-month period ended October 27, 2013, we recognized costs of $16 ($11 after tax or $.03 per share) associated with the recall, including estimates for customer returns and consumer rebates, costs associated with returned product and the disposal and write-off of inventory.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9, 2015, we announced our entry into an agreement to acquire the assets of Garden Fresh Gourmet for approximately $230. Garden Fresh Gourmet is a leading provider of refrigerated salsa in North America, and it also produces hummus, dips and tortilla chips. We plan to fund the acquisition through the issuance of commercial paper. The acquisition is subject to regulatory approvals and customary closing conditions, and the closing is expected to occur in 2015.</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and "our" refer to Campbell Soup Company and its consolidated subsidiaries.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manufacturer and marketer of high-quality, branded convenience food products. We report the results of our operations in the following reportable segments: U.S. Simple Meals; Global Baking and Snacking; International Simple Meals and Beverages; U.S. Beverages; and Bolthouse and Foodservice.</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August 8, 2013, we completed the acquisition of Kelsen. The final all-cash purchase price was $331 million. See Note 3 to the Consolidated Financial Statements for additional information.</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28, 2013,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have reflected the results of the European simple meals business as discontinued operations in the Consolidated Statements of Earnings. See Note 4 to the Consolidated Financial Statements for additional information.</w:t>
      </w:r>
    </w:p>
    <w:p>
      <w:pPr>
        <w:spacing w:after="0" w:line="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our businesses will be organized in the following three new divisions: Americas Simple Meals and Beverages, Global Biscuits and Snacks, and Campbell Fresh (previously known as Packaged Fresh). To support our new enterprise design, we are designing and implementing a new Integrated Global Services organization to reduce our costs, improve our capabilities by establishing dedicated centers of excellence, and improve our efficiency. The new enterprise design and Integrated Global Services organization continue to be developed.</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also pursuing initiatives to reduce our costs and to streamline our organizational structure. See "Restructuring Charges and Cost Savings Initiatives"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Executive Summary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sales decreased 4% in the current quarter to $1.9 billion, primarily due to the impact of currency and lower U.S. soup sales.</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Gross profit, as a percent of sales, increased to 35.9% from 34.3% in the year-ago quarter. The increase was due to productivity improvements, lower promotional spending, a pension settlement charge in the prior year and higher selling prices, partly offset by cost inflation and other supply chain costs.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share from continuing operations were $.58 for both the current and year-ago quarters. The current and year-ago quarters included expenses of $.04 and $.03 per share, respectively, from items impacting comparability as discussed below. Currency translation had a negative impact of $.02 on earnings per share in the current quarter.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continuing operations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ind w:left="980" w:hanging="648"/>
        <w:spacing w:after="0" w:line="257" w:lineRule="auto"/>
        <w:tabs>
          <w:tab w:leader="none" w:pos="65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third quarter of 2015, we incurred charges associated with our recently-announced initiatives to implement a new enterprise design, to reduce costs and to streamline our organizational structure. We commenced a voluntary employee separation program and recorded a pre-tax restructuring charge of $9 million related to the program for severance pay and benefits. We also incurred a pre-tax charge of $9 million recorded in Administrative expenses related to the implementation of the new organizational structure and cost reduction initiatives (aggregate impact of $11 million after tax or $.04 per share);</w:t>
      </w:r>
    </w:p>
    <w:p>
      <w:pPr>
        <w:spacing w:after="0" w:line="13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2014, we recognized a pre-tax pension settlement charge in Cost of products sold of $18 million ($11 million after tax or $.03 per share) associated with a U.S. pension plan. The settlement resulted from the level of lump sum distributions from the plan's assets in 2014, primarily due to the closure of the facility in Sacramento, California;</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2014, we implemented initiatives to streamline our salaried workforce in North America and our workforce in the Asia Pacific region; restructure manufacturing and streamline operations for our soup and broth business in China; improve supply chain efficiency in Australia; and reduce overhead across the organization. The year-to-date 2014 impact was $34 million ($19 million after tax or $.06 per share) related to the 2014 initiatives;</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2013, we implemented initiatives to improve our U.S. supply chain cost structure and increase asset utilization across our U.S. thermal plant network; expand access to manufacturing and distribution capabilities in Mexico; improve our Pepperidge Farm bakery supply chain cost structure; and reduce overhead in North America. In the first quarter of 2014,</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0" w:right="239" w:bottom="1440" w:gutter="0" w:footer="0" w:header="0"/>
          <w:type w:val="continuous"/>
        </w:sectPr>
      </w:pPr>
    </w:p>
    <w:bookmarkStart w:id="26" w:name="page27"/>
    <w:bookmarkEnd w:id="26"/>
    <w:p>
      <w:pPr>
        <w:ind w:left="660"/>
        <w:spacing w:after="0" w:line="324" w:lineRule="auto"/>
        <w:rPr>
          <w:sz w:val="20"/>
          <w:szCs w:val="20"/>
          <w:color w:val="auto"/>
        </w:rPr>
      </w:pPr>
      <w:r>
        <w:rPr>
          <w:rFonts w:ascii="Arial" w:cs="Arial" w:eastAsia="Arial" w:hAnsi="Arial"/>
          <w:sz w:val="18"/>
          <w:szCs w:val="18"/>
          <w:color w:val="auto"/>
        </w:rPr>
        <w:t>we recorded a pre-tax restructuring charge of $1 million and restructuring-related costs of $2 million in Cost of products sold (aggregate impact of $2 million after tax or $.01 per share) related to the 2013 initiatives; and</w:t>
      </w:r>
    </w:p>
    <w:p>
      <w:pPr>
        <w:spacing w:after="0" w:line="89" w:lineRule="exact"/>
        <w:rPr>
          <w:sz w:val="20"/>
          <w:szCs w:val="20"/>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 October 28, 2013, we completed the sale of our simple meals business in Europe. In the first quarter of 2014, we recorded a loss of $9 million ($6 million after tax or $.02 per share) on foreign exchange forward contracts used to hedge the proceeds from the sale of the European simple meals business. The loss was included in Other expenses. In addition, we recorded tax expense of $7 million ($.02 per share) associated with the sale of the business.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4"/>
                <w:szCs w:val="14"/>
                <w:b w:val="1"/>
                <w:bCs w:val="1"/>
                <w:color w:val="auto"/>
              </w:rPr>
              <w:t>May 3,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April 27, 2014</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42"/>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184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Restructuring charges and implementation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Pension settlement charge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Impact of items on earnings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(Millions, except per share amounts)</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0"/>
        </w:trPr>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8"/>
        </w:trPr>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64"/>
        </w:trPr>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May 3, 2015</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April 27, 2014</w:t>
            </w:r>
          </w:p>
        </w:tc>
      </w:tr>
      <w:tr>
        <w:trPr>
          <w:trHeight w:val="152"/>
        </w:trPr>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EPS</w:t>
            </w:r>
          </w:p>
        </w:tc>
      </w:tr>
      <w:tr>
        <w:trPr>
          <w:trHeight w:val="186"/>
        </w:trPr>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7"/>
              <w:spacing w:after="0"/>
              <w:rPr>
                <w:sz w:val="20"/>
                <w:szCs w:val="20"/>
                <w:color w:val="auto"/>
              </w:rPr>
            </w:pPr>
            <w:r>
              <w:rPr>
                <w:rFonts w:ascii="Arial" w:cs="Arial" w:eastAsia="Arial" w:hAnsi="Arial"/>
                <w:sz w:val="14"/>
                <w:szCs w:val="14"/>
                <w:b w:val="1"/>
                <w:bCs w:val="1"/>
                <w:color w:val="auto"/>
              </w:rPr>
              <w:t>Impact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-763270</wp:posOffset>
            </wp:positionV>
            <wp:extent cx="72466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260" w:space="720"/>
            <w:col w:w="4440"/>
          </w:cols>
          <w:pgMar w:left="240" w:top="1341" w:right="23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attributable to Campbell Soup Company</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623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1.98</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and related costs/implementation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Pension settlement charge</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foreign exchange forward contracts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expense associated with sale of business</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earnings from continuing operations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Earnings from continuing operations were $182 million ($.58 per share) in the current quarter, compared to $184 million ($.58 per share) in the year-ago quarter. Earnings per share in the current quarter benefited from a reduction in the weighted average diluted shares outstanding, primarily due to share repurchases under our strategic share repurchase program. Currency translation had a negative impact of $.02 on earnings per share in the current quarter.</w:t>
      </w:r>
    </w:p>
    <w:p>
      <w:pPr>
        <w:spacing w:after="0" w:line="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Earnings from continuing operations were $623 million ($1.98 per share) in the nine-month period ended May 3, 2015, compared to $600 million ($1.90 per share) in the year-ago period. After adjusting for items impacting comparability, earnings decreased primarily due to a lower gross margin percentage and the impact of currency translation, partially offset by an increase in sales on a constant currency basis, lower marketing and selling expenses, lower administrative expenses, a lower effective tax rate and lower interest expense. Currency translation had a negative impact of $.05 on earnings per share in the current year.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sold our European simple meals business on October 28, 2013. See "Discontinued Operations" for additional information.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41" w:right="2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 2015</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27, 2014</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Baking and Snacking</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U.S. Beverages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b w:val="1"/>
                <w:bCs w:val="1"/>
                <w:color w:val="auto"/>
              </w:rPr>
              <w:t>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1,900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(4)%</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U.S.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Global</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International</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Baking</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Bolthouse and</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Simple</w:t>
            </w: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and</w:t>
            </w:r>
          </w:p>
        </w:tc>
        <w:tc>
          <w:tcPr>
            <w:tcW w:w="13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Meals</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Snacking</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Beverages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Beverages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Foodservice</w:t>
            </w: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center"/>
              <w:ind w:right="157"/>
              <w:spacing w:after="0"/>
              <w:rPr>
                <w:sz w:val="20"/>
                <w:szCs w:val="20"/>
                <w:color w:val="auto"/>
              </w:rPr>
            </w:pPr>
            <w:r>
              <w:rPr>
                <w:rFonts w:ascii="Arial" w:cs="Arial" w:eastAsia="Arial" w:hAnsi="Arial"/>
                <w:sz w:val="18"/>
                <w:szCs w:val="18"/>
                <w:color w:val="auto"/>
                <w:w w:val="94"/>
              </w:rPr>
              <w:t>(9)%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Price and Sales Allowances</w:t>
            </w:r>
          </w:p>
        </w:tc>
        <w:tc>
          <w:tcPr>
            <w:tcW w:w="1000" w:type="dxa"/>
            <w:vAlign w:val="bottom"/>
          </w:tcPr>
          <w:p>
            <w:pPr>
              <w:jc w:val="center"/>
              <w:ind w:right="157"/>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Decreased Promotional Spending</w:t>
            </w:r>
            <w:r>
              <w:rPr>
                <w:rFonts w:ascii="Arial" w:cs="Arial" w:eastAsia="Arial" w:hAnsi="Arial"/>
                <w:sz w:val="25"/>
                <w:szCs w:val="25"/>
                <w:color w:val="auto"/>
                <w:vertAlign w:val="superscript"/>
              </w:rPr>
              <w:t>(1)</w:t>
            </w:r>
          </w:p>
        </w:tc>
        <w:tc>
          <w:tcPr>
            <w:tcW w:w="1000" w:type="dxa"/>
            <w:vAlign w:val="bottom"/>
            <w:shd w:val="clear" w:color="auto" w:fill="CCEEFF"/>
          </w:tcPr>
          <w:p>
            <w:pPr>
              <w:jc w:val="center"/>
              <w:ind w:right="157"/>
              <w:spacing w:after="0"/>
              <w:rPr>
                <w:sz w:val="20"/>
                <w:szCs w:val="20"/>
                <w:color w:val="auto"/>
              </w:rPr>
            </w:pPr>
            <w:r>
              <w:rPr>
                <w:rFonts w:ascii="Arial" w:cs="Arial" w:eastAsia="Arial" w:hAnsi="Arial"/>
                <w:sz w:val="18"/>
                <w:szCs w:val="18"/>
                <w:color w:val="auto"/>
                <w:w w:val="79"/>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580" w:type="dxa"/>
            <w:vAlign w:val="bottom"/>
            <w:gridSpan w:val="2"/>
          </w:tcPr>
          <w:p>
            <w:pPr>
              <w:ind w:left="40"/>
              <w:spacing w:after="0"/>
              <w:rPr>
                <w:sz w:val="20"/>
                <w:szCs w:val="20"/>
                <w:color w:val="auto"/>
              </w:rPr>
            </w:pPr>
            <w:r>
              <w:rPr>
                <w:rFonts w:ascii="Arial" w:cs="Arial" w:eastAsia="Arial" w:hAnsi="Arial"/>
                <w:sz w:val="18"/>
                <w:szCs w:val="18"/>
                <w:color w:val="auto"/>
              </w:rPr>
              <w:t>Currency</w:t>
            </w: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(7)</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(12)</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center"/>
              <w:ind w:right="157"/>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w w:val="88"/>
              </w:rPr>
              <w:t>__________________________________________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3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U.S. Simple Meals, sales decreased 6%. U.S. soup sales decreased 10%, driven by volume declines, partly offset by lower promotional spending and higher selling prices. The volume declines were primarily due to reductions in retailer inventory levels, which we believe were driven by a reduction in promotional spending compared to the prior year. Further details of U.S. soup include:</w:t>
      </w:r>
    </w:p>
    <w:p>
      <w:pPr>
        <w:spacing w:after="0" w:line="13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Sales of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soups decreased 4%, with declines in both eating and cooking varieties.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ready-to-serve soups decreased 18%, primarily due to volume declines.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Broth sales decreased 13%, primarily due to volume declines.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Sales of other simple meals increased 2%, due to growth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Plum, partially offset by declines in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Global Baking and Snacking, sales decreased 2%, primarily due to the impact of currency. Excluding the impact of currency, sales of Arnott's products increased due to volume gains in Australia and Indonesia. Sales of Pepperidge Farm products increased as lower promotional spending was partly offset by lower volumes. Within Pepperidge Farm, sales gains in fresh bakery products, and crackers and cookies were partly offset by declines in frozen products. To improve net price realization, promotional spending in Pepperidge Farm was reduced in the current quarter compared to higher levels last year.</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International Simple Meals and Beverages, sales decreased 6%, primarily due to the impact of currency. Excluding the impact of currency, sales gains in the Asia Pacific region and Canada were partly offset by sales declines in Latin America.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In U.S. Beverages, sales decreased 2%, primarily due to declines in </w:t>
      </w:r>
      <w:r>
        <w:rPr>
          <w:rFonts w:ascii="Arial" w:cs="Arial" w:eastAsia="Arial" w:hAnsi="Arial"/>
          <w:sz w:val="17"/>
          <w:szCs w:val="17"/>
          <w:i w:val="1"/>
          <w:iCs w:val="1"/>
          <w:color w:val="auto"/>
        </w:rPr>
        <w:t>V8 V-Fusion</w:t>
      </w:r>
      <w:r>
        <w:rPr>
          <w:rFonts w:ascii="Arial" w:cs="Arial" w:eastAsia="Arial" w:hAnsi="Arial"/>
          <w:sz w:val="17"/>
          <w:szCs w:val="17"/>
          <w:color w:val="auto"/>
        </w:rPr>
        <w:t xml:space="preserve"> beverages, partly offset by gains in </w:t>
      </w:r>
      <w:r>
        <w:rPr>
          <w:rFonts w:ascii="Arial" w:cs="Arial" w:eastAsia="Arial" w:hAnsi="Arial"/>
          <w:sz w:val="17"/>
          <w:szCs w:val="17"/>
          <w:i w:val="1"/>
          <w:iCs w:val="1"/>
          <w:color w:val="auto"/>
        </w:rPr>
        <w:t>V8 Splash</w:t>
      </w:r>
      <w:r>
        <w:rPr>
          <w:rFonts w:ascii="Arial" w:cs="Arial" w:eastAsia="Arial" w:hAnsi="Arial"/>
          <w:sz w:val="17"/>
          <w:szCs w:val="17"/>
          <w:color w:val="auto"/>
        </w:rPr>
        <w:t xml:space="preserve"> beverages.</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Bolthouse and Foodservice, sales decreased 1%, primarily due to declines in Bolthouse carrots, juice concentrate and fiber, partially offset by gains in Bolthouse premium refrigerated beverages and salad dressings. To improve net price realization, promotional spending in Bolthouse premium refrigerated beverages and salad dressings was reduced in the current quarter compared to higher levels last year.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profit, defined as Net sales less Cost of products sold, increased by $6 million in 2015 from 2014. As a percent of sales, gross profit increased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34.3% in 2014 to 35.9% in 2015. The 1.6-percentage-point increase in gross margin percentage in 2015 was due to the following factors:</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rPr>
              <w:t>Margin Impact</w:t>
            </w:r>
          </w:p>
        </w:tc>
      </w:tr>
      <w:tr>
        <w:trPr>
          <w:trHeight w:val="256"/>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Productivity improvements</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1.8%</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Lower level of promotional spending</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0.9</w:t>
            </w:r>
          </w:p>
        </w:tc>
      </w:tr>
      <w:tr>
        <w:trPr>
          <w:trHeight w:val="27"/>
        </w:trPr>
        <w:tc>
          <w:tcPr>
            <w:tcW w:w="10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1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Pension settlement charge in 2014</w:t>
            </w:r>
            <w:r>
              <w:rPr>
                <w:rFonts w:ascii="Arial" w:cs="Arial" w:eastAsia="Arial" w:hAnsi="Arial"/>
                <w:sz w:val="25"/>
                <w:szCs w:val="25"/>
                <w:color w:val="auto"/>
                <w:vertAlign w:val="superscript"/>
              </w:rPr>
              <w:t>(1)</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0.9</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Higher selling prices</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0.7</w:t>
            </w:r>
          </w:p>
        </w:tc>
      </w:tr>
      <w:tr>
        <w:trPr>
          <w:trHeight w:val="27"/>
        </w:trPr>
        <w:tc>
          <w:tcPr>
            <w:tcW w:w="10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Mix</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43"/>
        </w:trPr>
        <w:tc>
          <w:tcPr>
            <w:tcW w:w="10160" w:type="dxa"/>
            <w:vAlign w:val="bottom"/>
          </w:tcPr>
          <w:p>
            <w:pPr>
              <w:ind w:left="20"/>
              <w:spacing w:after="0"/>
              <w:rPr>
                <w:sz w:val="20"/>
                <w:szCs w:val="20"/>
                <w:color w:val="auto"/>
              </w:rPr>
            </w:pPr>
            <w:r>
              <w:rPr>
                <w:rFonts w:ascii="Arial" w:cs="Arial" w:eastAsia="Arial" w:hAnsi="Arial"/>
                <w:sz w:val="18"/>
                <w:szCs w:val="18"/>
                <w:color w:val="auto"/>
              </w:rPr>
              <w:t>Cost inflation, supply chain costs and other factors</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(2.4)</w:t>
            </w:r>
          </w:p>
        </w:tc>
      </w:tr>
      <w:tr>
        <w:trPr>
          <w:trHeight w:val="27"/>
        </w:trPr>
        <w:tc>
          <w:tcPr>
            <w:tcW w:w="10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1.6%</w:t>
            </w: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See Note 11 to the Consolidated Financial Statements for additional information on the pension settlement charge.</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gross margin percentage increased due primarily to productivity improvements and lower levels of promotional spending. However, cost inflation, supply chain costs and other factors had a negative impact of 2.4 percentage points. Costs were negatively impacted by inflation in ingredients and packaging materials and higher manufacturing costs. In addition, the current-year margin reflected the adverse impact of currency movements on input costs in our international businesses.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Marketing and selling expenses as a percent of sales were 11.2% in 2015 and 11.0% in 2014. Marketing and selling expenses were $213 million in 2015 compared to $217 million in 2014, a decrease of 2%. The decrease was primarily due to the impact of currency translation (approximately 3 percentage points); lower marketing overhead expenses (approximately 2 percentage points); and lower selling expenses (approximately 1 percentage point), partly offset by an increase in advertising and consumer promotion expenses (approximately 4 percentage points). Increased levels of advertising expenses in Global Baking and Snacking were partially offset by declines in U.S. Simple Meals and U.S. Beverages.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Administrative expenses as a percent of sales were 7.4% in 2015 and 6.8% in 2014. Administrative expenses increased 5% in 2015 from 2014, primarily due to costs of $9 million related to the implementation of our new organizational structure and cost reduction initiatives (approximately 7 percentage points); and higher long-term incentive compensation costs (approximately 4 percentage points), partially offset by savings from cost reduction and restructuring initiatives (approximately 4 percentage points)and the impact of currency translation (approximately 2 percentage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1% in 2015 from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May 3, 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April 27, 2014</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4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(16)%</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Global Baking and Snacking</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18</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U.S. Beverages</w:t>
            </w:r>
          </w:p>
        </w:tc>
        <w:tc>
          <w:tcPr>
            <w:tcW w:w="32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17</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35</w:t>
            </w:r>
          </w:p>
        </w:tc>
      </w:tr>
      <w:tr>
        <w:trPr>
          <w:trHeight w:val="237"/>
        </w:trPr>
        <w:tc>
          <w:tcPr>
            <w:tcW w:w="6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8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69"/>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ectPr>
          <w:pgSz w:w="11900" w:h="16838" w:orient="portrait"/>
          <w:cols w:equalWidth="0" w:num="1">
            <w:col w:w="11420"/>
          </w:cols>
          <w:pgMar w:left="240" w:top="13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14" w:right="239" w:bottom="1440" w:gutter="0" w:footer="0" w:header="0"/>
          <w:type w:val="continuous"/>
        </w:sectPr>
      </w:pPr>
    </w:p>
    <w:bookmarkStart w:id="29" w:name="page30"/>
    <w:bookmarkEnd w:id="29"/>
    <w:p>
      <w:pPr>
        <w:jc w:val="both"/>
        <w:ind w:firstLine="324"/>
        <w:spacing w:after="0" w:line="277" w:lineRule="auto"/>
        <w:rPr>
          <w:sz w:val="20"/>
          <w:szCs w:val="20"/>
          <w:color w:val="auto"/>
        </w:rPr>
      </w:pPr>
      <w:r>
        <w:rPr>
          <w:rFonts w:ascii="Arial" w:cs="Arial" w:eastAsia="Arial" w:hAnsi="Arial"/>
          <w:sz w:val="18"/>
          <w:szCs w:val="18"/>
          <w:color w:val="auto"/>
        </w:rPr>
        <w:t>Earnings from U.S. Simple Meals decreased 16%, primarily due to sales volume declines and a lower gross margin percentage, partly offset by lower marketing expenses. The lower gross margin percentage reflected the impact of cost inflation and unfavorable product mix.</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Earnings from Global Baking and Snacking increased 18%, primarily due to a higher gross margin percentage, sales volume gains and lower administrative expenses, partially offset by higher marketing expenses and the impact of currency translation.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International Simple Meals and Beverages were comparable to the prior year as sales volume gains were offset by the impact of currency translation.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from U.S. Beverages increased 17%, primarily due to lower marketing expenses.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Earnings from Bolthouse and Foodservice increased 35%, due to a higher gross margin percentage in Bolthouse premium refrigerated beverages and salad dressings, reflecting lower promotional spending, as well as productivity improvements.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Unallocated corporate expenses decreased $6 million in 2015. Unallocated corporate expenses in 2014 included a pension settlement charge of $18 million associated with a U.S. pension plan. The settlement resulted from the level of lump sum distributions from the plan's assets in 2014, primarily due to the closure of the facility in Sacramento, California. The current year included costs of $9 million related to the implementation of our new organizational structure and cost reduction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to $29 million in 2015 from $31 million in 2014, reflecting lower levels of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effective tax rate was 29.7% in 2015, compared to 30.2% in 2014. In 2015, we recognized a tax benefit of $7 million on $18 million of restructuring charges and implementation costs. In 2014, we recognized a tax benefit of $7 million on an $18 million pension settlement charge associated with a U.S. pension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20" w:type="dxa"/>
            <w:vAlign w:val="bottom"/>
            <w:gridSpan w:val="2"/>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3, 2015</w:t>
            </w:r>
          </w:p>
        </w:tc>
        <w:tc>
          <w:tcPr>
            <w:tcW w:w="280" w:type="dxa"/>
            <w:vAlign w:val="bottom"/>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27, 2014</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Global Baking and Snacking</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1,822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w:t>
            </w:r>
          </w:p>
        </w:tc>
      </w:tr>
      <w:tr>
        <w:trPr>
          <w:trHeight w:val="243"/>
        </w:trPr>
        <w:tc>
          <w:tcPr>
            <w:tcW w:w="7020" w:type="dxa"/>
            <w:vAlign w:val="bottom"/>
            <w:gridSpan w:val="2"/>
          </w:tcPr>
          <w:p>
            <w:pPr>
              <w:ind w:left="40"/>
              <w:spacing w:after="0"/>
              <w:rPr>
                <w:sz w:val="20"/>
                <w:szCs w:val="20"/>
                <w:color w:val="auto"/>
              </w:rPr>
            </w:pPr>
            <w:r>
              <w:rPr>
                <w:rFonts w:ascii="Arial" w:cs="Arial" w:eastAsia="Arial" w:hAnsi="Arial"/>
                <w:sz w:val="18"/>
                <w:szCs w:val="18"/>
                <w:color w:val="auto"/>
              </w:rPr>
              <w:t>U.S. Beverages</w:t>
            </w:r>
          </w:p>
        </w:tc>
        <w:tc>
          <w:tcPr>
            <w:tcW w:w="18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524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7"/>
        </w:trPr>
        <w:tc>
          <w:tcPr>
            <w:tcW w:w="6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37"/>
        </w:trPr>
        <w:tc>
          <w:tcPr>
            <w:tcW w:w="68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6,389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6,416</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6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U.S.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Global</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International</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Baking</w:t>
            </w:r>
          </w:p>
        </w:tc>
        <w:tc>
          <w:tcPr>
            <w:tcW w:w="13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Simple Meals</w:t>
            </w:r>
          </w:p>
        </w:tc>
        <w:tc>
          <w:tcPr>
            <w:tcW w:w="13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U.S.</w:t>
            </w: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Bolthouse and</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Simple</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3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and</w:t>
            </w: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(3)</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7"/>
              </w:rPr>
              <w:t>Meals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Snacking</w:t>
            </w:r>
            <w:r>
              <w:rPr>
                <w:rFonts w:ascii="Arial" w:cs="Arial" w:eastAsia="Arial" w:hAnsi="Arial"/>
                <w:sz w:val="8"/>
                <w:szCs w:val="8"/>
                <w:b w:val="1"/>
                <w:bCs w:val="1"/>
                <w:color w:val="auto"/>
                <w:w w:val="94"/>
              </w:rPr>
              <w:t>(3)</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Beverages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Beverages</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Foodservice</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Price and Sales Allowances</w:t>
            </w: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Decreased/(Increased) Promotional</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20" w:type="dxa"/>
            <w:vAlign w:val="bottom"/>
            <w:gridSpan w:val="2"/>
            <w:shd w:val="clear" w:color="auto" w:fill="CCEEFF"/>
          </w:tcPr>
          <w:p>
            <w:pPr>
              <w:ind w:left="40"/>
              <w:spacing w:after="0" w:line="257" w:lineRule="exact"/>
              <w:rPr>
                <w:sz w:val="20"/>
                <w:szCs w:val="20"/>
                <w:color w:val="auto"/>
              </w:rPr>
            </w:pPr>
            <w:r>
              <w:rPr>
                <w:rFonts w:ascii="Arial" w:cs="Arial" w:eastAsia="Arial" w:hAnsi="Arial"/>
                <w:sz w:val="18"/>
                <w:szCs w:val="18"/>
                <w:color w:val="auto"/>
              </w:rPr>
              <w:t>Spending</w:t>
            </w:r>
            <w:r>
              <w:rPr>
                <w:rFonts w:ascii="Arial" w:cs="Arial" w:eastAsia="Arial" w:hAnsi="Arial"/>
                <w:sz w:val="25"/>
                <w:szCs w:val="25"/>
                <w:color w:val="auto"/>
                <w:vertAlign w:val="superscript"/>
              </w:rPr>
              <w:t>(1)</w:t>
            </w:r>
          </w:p>
        </w:tc>
        <w:tc>
          <w:tcPr>
            <w:tcW w:w="106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3520" w:type="dxa"/>
            <w:vAlign w:val="bottom"/>
            <w:gridSpan w:val="2"/>
          </w:tcPr>
          <w:p>
            <w:pPr>
              <w:ind w:left="40"/>
              <w:spacing w:after="0"/>
              <w:rPr>
                <w:sz w:val="20"/>
                <w:szCs w:val="20"/>
                <w:color w:val="auto"/>
              </w:rPr>
            </w:pPr>
            <w:r>
              <w:rPr>
                <w:rFonts w:ascii="Arial" w:cs="Arial" w:eastAsia="Arial" w:hAnsi="Arial"/>
                <w:sz w:val="18"/>
                <w:szCs w:val="18"/>
                <w:color w:val="auto"/>
              </w:rPr>
              <w:t>Currency</w:t>
            </w: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(8)</w:t>
            </w:r>
          </w:p>
        </w:tc>
        <w:tc>
          <w:tcPr>
            <w:tcW w:w="100" w:type="dxa"/>
            <w:vAlign w:val="bottom"/>
          </w:tcPr>
          <w:p>
            <w:pPr>
              <w:spacing w:after="0"/>
              <w:rPr>
                <w:sz w:val="21"/>
                <w:szCs w:val="21"/>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Accounting</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6"/>
                <w:szCs w:val="16"/>
                <w:color w:val="auto"/>
                <w:w w:val="86"/>
              </w:rPr>
              <w:t>__________________________________________</w:t>
            </w: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right="20" w:hanging="332"/>
        <w:spacing w:after="0" w:line="208"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Beginning in 2014, revenue in Mexico is presented on a net accounting basis in connection with a new business model under which the cost of certain services provided by our suppliers is netted against revenue.</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Sum of the individual amounts does not add due to rounding.</w:t>
      </w:r>
    </w:p>
    <w:p>
      <w:pPr>
        <w:sectPr>
          <w:pgSz w:w="11900" w:h="16838" w:orient="portrait"/>
          <w:cols w:equalWidth="0" w:num="1">
            <w:col w:w="11420"/>
          </w:cols>
          <w:pgMar w:left="240" w:top="131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4" w:right="239" w:bottom="1440" w:gutter="0" w:footer="0" w:header="0"/>
          <w:type w:val="continuous"/>
        </w:sectPr>
      </w:pPr>
    </w:p>
    <w:bookmarkStart w:id="30" w:name="page31"/>
    <w:bookmarkEnd w:id="30"/>
    <w:p>
      <w:pPr>
        <w:ind w:firstLine="324"/>
        <w:spacing w:after="0" w:line="277" w:lineRule="auto"/>
        <w:rPr>
          <w:sz w:val="20"/>
          <w:szCs w:val="20"/>
          <w:color w:val="auto"/>
        </w:rPr>
      </w:pPr>
      <w:r>
        <w:rPr>
          <w:rFonts w:ascii="Arial" w:cs="Arial" w:eastAsia="Arial" w:hAnsi="Arial"/>
          <w:sz w:val="18"/>
          <w:szCs w:val="18"/>
          <w:color w:val="auto"/>
        </w:rPr>
        <w:t>In U.S. Simple Meals, sales were comparable to the year-ago period. U.S. soup sales declined 3% compared to the year-ago period, primarily due to reductions in retailer inventory levels. Further details of U.S. soup include:</w:t>
      </w:r>
    </w:p>
    <w:p>
      <w:pPr>
        <w:spacing w:after="0" w:line="11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Sales of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soups decreased 3%, with declines in both eating and cooking varieties.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ready-to-serve soups decreased 5%, primarily due to lower volume, partially offset by lower promotional spending.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Broth sales increased 2% due to gains in aseptically-packaged broth, partially offset by declines in canned broth.</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Sales of other simple meals increased 7%, primarily due to growth in Plum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Global Baking and Snacking, sales increased 1%. Pepperidge Farm sales increased as volume gains were partly offset by increased promotional spending to remain competitive. Within Pepperidge Farm, sales gains in fresh bakery products, and cookies and crackers were offset by declines in frozen products. The acquisition of Kelsen on August 8, 2013, early in 2014, also contributed to the sales growth. Sales of Arnott's products decreased due to the impact of currency. Excluding the impact of currency, sales of Arnott's products increased due to volume gains in Australia and Indonesia.</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International Simple Meals and Beverages, sales decreased 6%, primarily due to the impact of currency. Excluding the impact of currency, gains in Canada and the Asia Pacific region were partly offset by declines in Latin America. Excluding the impact of currency, sales increased in Canada due to gains in soup and baked snacks. Sales declined in Latin America due in part to the impact of presenting revenue on a net basis.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U.S. Beverages, sales decreased 3%, primarily due to declines in </w:t>
      </w:r>
      <w:r>
        <w:rPr>
          <w:rFonts w:ascii="Arial" w:cs="Arial" w:eastAsia="Arial" w:hAnsi="Arial"/>
          <w:sz w:val="18"/>
          <w:szCs w:val="18"/>
          <w:i w:val="1"/>
          <w:iCs w:val="1"/>
          <w:color w:val="auto"/>
        </w:rPr>
        <w:t>V8 V-Fusion</w:t>
      </w:r>
      <w:r>
        <w:rPr>
          <w:rFonts w:ascii="Arial" w:cs="Arial" w:eastAsia="Arial" w:hAnsi="Arial"/>
          <w:sz w:val="18"/>
          <w:szCs w:val="18"/>
          <w:color w:val="auto"/>
        </w:rPr>
        <w:t xml:space="preserve"> beverages and </w:t>
      </w:r>
      <w:r>
        <w:rPr>
          <w:rFonts w:ascii="Arial" w:cs="Arial" w:eastAsia="Arial" w:hAnsi="Arial"/>
          <w:sz w:val="18"/>
          <w:szCs w:val="18"/>
          <w:i w:val="1"/>
          <w:iCs w:val="1"/>
          <w:color w:val="auto"/>
        </w:rPr>
        <w:t>V8</w:t>
      </w:r>
      <w:r>
        <w:rPr>
          <w:rFonts w:ascii="Arial" w:cs="Arial" w:eastAsia="Arial" w:hAnsi="Arial"/>
          <w:sz w:val="18"/>
          <w:szCs w:val="18"/>
          <w:color w:val="auto"/>
        </w:rPr>
        <w:t xml:space="preserve"> vegetable juice, partly offset by gains in </w:t>
      </w:r>
      <w:r>
        <w:rPr>
          <w:rFonts w:ascii="Arial" w:cs="Arial" w:eastAsia="Arial" w:hAnsi="Arial"/>
          <w:sz w:val="18"/>
          <w:szCs w:val="18"/>
          <w:i w:val="1"/>
          <w:iCs w:val="1"/>
          <w:color w:val="auto"/>
        </w:rPr>
        <w:t>V8 Splash</w:t>
      </w:r>
      <w:r>
        <w:rPr>
          <w:rFonts w:ascii="Arial" w:cs="Arial" w:eastAsia="Arial" w:hAnsi="Arial"/>
          <w:sz w:val="18"/>
          <w:szCs w:val="18"/>
          <w:color w:val="auto"/>
        </w:rPr>
        <w:t xml:space="preserve"> beverages.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Bolthouse and Foodservice, sales increased 1% due to an increase in Bolthouse premium refrigerated beverages and salad dressings and in North America Foodservice, partially offset by declines in Bolthouse carrots, juice concentrate and fiber.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Gross profit, defined as Net sales less Cost of products sold, decreased by $74 million in 2015. As a percent of sales, gross profit decreased from 35.3% in 2014 to 34.3% in 2015. The 1.0-percentage-point decrease in gross margin percentage in 2015 was due to the following factors:</w:t>
      </w:r>
    </w:p>
    <w:p>
      <w:pPr>
        <w:spacing w:after="0" w:line="72"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540" w:type="dxa"/>
            <w:vAlign w:val="bottom"/>
          </w:tcPr>
          <w:p>
            <w:pPr>
              <w:ind w:left="540"/>
              <w:spacing w:after="0"/>
              <w:rPr>
                <w:sz w:val="20"/>
                <w:szCs w:val="20"/>
                <w:color w:val="auto"/>
              </w:rPr>
            </w:pPr>
            <w:r>
              <w:rPr>
                <w:rFonts w:ascii="Arial" w:cs="Arial" w:eastAsia="Arial" w:hAnsi="Arial"/>
                <w:sz w:val="14"/>
                <w:szCs w:val="14"/>
                <w:b w:val="1"/>
                <w:bCs w:val="1"/>
                <w:color w:val="auto"/>
              </w:rPr>
              <w:t>Margin</w:t>
            </w:r>
          </w:p>
        </w:tc>
      </w:tr>
      <w:tr>
        <w:trPr>
          <w:trHeight w:val="192"/>
        </w:trPr>
        <w:tc>
          <w:tcPr>
            <w:tcW w:w="96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Impact</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inflation, supply chain costs and other factors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Higher level of promotional spending</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(0.3)</w:t>
            </w:r>
          </w:p>
        </w:tc>
      </w:tr>
      <w:tr>
        <w:trPr>
          <w:trHeight w:val="27"/>
        </w:trPr>
        <w:tc>
          <w:tcPr>
            <w:tcW w:w="96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(0.2)</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Impact of Plum recall / Kelsen purchase accounting in 2014</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0.3</w:t>
            </w:r>
          </w:p>
        </w:tc>
      </w:tr>
      <w:tr>
        <w:trPr>
          <w:trHeight w:val="27"/>
        </w:trPr>
        <w:tc>
          <w:tcPr>
            <w:tcW w:w="96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settlement charge in 2014</w:t>
            </w:r>
            <w:r>
              <w:rPr>
                <w:rFonts w:ascii="Arial" w:cs="Arial" w:eastAsia="Arial" w:hAnsi="Arial"/>
                <w:sz w:val="25"/>
                <w:szCs w:val="25"/>
                <w:color w:val="auto"/>
                <w:vertAlign w:val="superscript"/>
              </w:rPr>
              <w:t>(1)</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0.5</w:t>
            </w:r>
          </w:p>
        </w:tc>
      </w:tr>
      <w:tr>
        <w:trPr>
          <w:trHeight w:val="27"/>
        </w:trPr>
        <w:tc>
          <w:tcPr>
            <w:tcW w:w="96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r>
      <w:tr>
        <w:trPr>
          <w:trHeight w:val="237"/>
        </w:trPr>
        <w:tc>
          <w:tcPr>
            <w:tcW w:w="9600" w:type="dxa"/>
            <w:vAlign w:val="bottom"/>
          </w:tcPr>
          <w:p>
            <w:pPr>
              <w:spacing w:after="0"/>
              <w:rPr>
                <w:sz w:val="20"/>
                <w:szCs w:val="20"/>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17145</wp:posOffset>
            </wp:positionV>
            <wp:extent cx="986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34290</wp:posOffset>
            </wp:positionV>
            <wp:extent cx="986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37"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See Note 11 to the Consolidated Financial Statements for additional information on the pension settlement charge.</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Cost inflation, supply chain costs and other factors had a negative impact of 3.1 percentage points and were the key factors in the decline in gross profit as a percent of sales. Costs were negatively impacted by inflation in ingredients and packaging materials, higher transportation costs and higher manufacturing costs. Increases in meats, tomatoes, dairy, steel cans, chocolate and losses on open commodity hedges contributed to cost inflation, which had the largest negative impact. In North America, to meet significant volume demand early in the year and to improve customer service, our supply chain costs increased as we incurred higher transportation costs, ran production in our manufacturing facilities on more weekends, and increased our use of co-manufacturers. In addition, the current-year margin reflected the adverse impact of currency movements on input costs in our international businesses.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and selling expenses as a percent of sales were 11.0% in 2015 and 11.6% in 2014. Marketing and selling expenses were $702 million in 2015, compared to $746 million in 2014, a decrease of 6%. The decrease was primarily due to lower advertising and consumer promotion expenses (approximately 3 percentage points) and the impact of currency translation (approximately 2 percentage points). The decline in advertising expenses was primarily in U.S. Simple Meals and U.S. Beverages.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Administrative expenses as a percent of sales were 6.5% in 2015 and 6.6% in 2014. Administrative expenses decreased by 2% in 2015 from 2014, primarily due to savings from cost reduction and restructuring initiatives (approximately 4 percentage points); the impact of currency translation (approximately 1 percentage point); and lower pension and other benefit expenses (approximately 1 percentage point), partially offset by costs of $9 million in 2015 related to the implementation of our new organizational structure and cost reduction initiatives (approximately 2 percentage points); and higher long-term incentive compensation costs (approximately 1 percentage point).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2% in 2015 from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May 3, 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7"/>
              </w:rPr>
              <w:t>April 27, 2014</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Simple Meals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559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Global Baking and Snacking</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Simple Meals and Beverages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U.S. Beverages</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Bolthouse and Foodservice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3"/>
              </w:rPr>
              <w:t>(10)</w:t>
            </w:r>
          </w:p>
        </w:tc>
      </w:tr>
      <w:tr>
        <w:trPr>
          <w:trHeight w:val="237"/>
        </w:trPr>
        <w:tc>
          <w:tcPr>
            <w:tcW w:w="6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1,064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9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tcPr>
          <w:p>
            <w:pPr>
              <w:spacing w:after="0"/>
              <w:rPr>
                <w:sz w:val="23"/>
                <w:szCs w:val="23"/>
                <w:color w:val="auto"/>
              </w:rPr>
            </w:pPr>
          </w:p>
        </w:tc>
        <w:tc>
          <w:tcPr>
            <w:tcW w:w="1360" w:type="dxa"/>
            <w:vAlign w:val="bottom"/>
            <w:tcBorders>
              <w:bottom w:val="single" w:sz="8" w:color="CCEEFF"/>
            </w:tcBorders>
          </w:tcPr>
          <w:p>
            <w:pPr>
              <w:spacing w:after="0"/>
              <w:rPr>
                <w:sz w:val="23"/>
                <w:szCs w:val="23"/>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See Note 8 to the Consolidated Financial Statements for additional information on restructuring charges.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U.S. Simple Meals decreased 7%. The decrease was due to cost inflation and higher supply chain costs, partially offset by productivity improvements, lower marketing expenses and the benefit of lapping the Plum recall in the prior year.</w:t>
      </w:r>
    </w:p>
    <w:p>
      <w:pPr>
        <w:spacing w:after="0" w:line="1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Earnings from Global Baking and Snacking increased 18%, primarily due to productivity improvements, sales volume gains and higher selling prices, partially offset by increased promotional spending and the impact of currency translation.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International Simple Meals and Beverages decreased 19%, primarily due to the adverse impact of currency movements on input costs and the impact of currency translation.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U.S. Beverages decreased 5%, primarily due to a lower gross margin percentage and sales volume declines, partially offset by a reduction in marketing expenses.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Earnings from Bolthouse and Foodservice decreased 10%, primarily due to a lower gross margin percentage in Bolthouse carrots, juice concentrate and fiber, reflecting higher carrot costs due in part to adverse weather, partly offset by an improvement in gross margin percentage in Bolthouse premium refrigerated beverages and salad dressings, reflecting lower promotional spending.</w:t>
      </w:r>
    </w:p>
    <w:p>
      <w:pPr>
        <w:spacing w:after="0" w:line="1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Unallocated corporate expenses decreased $10 million in 2015. Unallocated corporate expenses in 2014 included a pension settlement charge of $18 million associated with a U.S. pension plan. The settlement resulted from the level of lump sum distributions from the plan's assets in 2014, primarily due to the closure of the facility in Sacramento, California. In addition, 2014 included a $9 million loss on foreign exchange forward contracts related to the sale of the European simple meals business and restructuring-related costs of $2 million. The current year included costs of $9 million related to the implementation of our new organizational structure and cost reduction initiatives. The remaining change was due to higher losses on open commodity hedges in 2015.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to $81 million in 2015 from $91 million in 2014, reflecting lower levels of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effective tax rate was 29.9% in 2015, compared to 32.0% in 2014. In 2015, we recognized a tax benefit of $7 million on $18 million of restructuring charges and implementation costs. In 2014, we recognized a tax benefit of $7 million on an $18 million pension settlement charge associated with a U.S. pension plan. The prior year also included a tax benefit of $11 million on $37 million of restructuring charges and related costs, tax expense of $7 million associated with the sale of the European simple meals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4" w:right="239" w:bottom="1440" w:gutter="0" w:footer="0" w:header="0"/>
          <w:type w:val="continuous"/>
        </w:sectPr>
      </w:pPr>
    </w:p>
    <w:bookmarkStart w:id="32" w:name="page33"/>
    <w:bookmarkEnd w:id="32"/>
    <w:p>
      <w:pPr>
        <w:jc w:val="both"/>
        <w:spacing w:after="0" w:line="264" w:lineRule="auto"/>
        <w:rPr>
          <w:sz w:val="20"/>
          <w:szCs w:val="20"/>
          <w:color w:val="auto"/>
        </w:rPr>
      </w:pPr>
      <w:r>
        <w:rPr>
          <w:rFonts w:ascii="Arial" w:cs="Arial" w:eastAsia="Arial" w:hAnsi="Arial"/>
          <w:sz w:val="18"/>
          <w:szCs w:val="18"/>
          <w:color w:val="auto"/>
        </w:rPr>
        <w:t>business and a tax benefit of $3 million on a loss of $9 million on foreign exchange forward contracts used to hedge the proceeds from the sale of the business. After adjusting for items impacting comparability, the remaining decrease was primarily due to the favorable resolution of an intercompany pricing agreement between the U.S. and Canada.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our businesses will be organized in the following three new divisions: Americas Simple Meals and Beverages, Global Biscuits and Snacks, and Campbell Fresh. We are in the process of implementing plans for this new enterprise design.</w:t>
      </w:r>
    </w:p>
    <w:p>
      <w:pPr>
        <w:spacing w:after="0" w:line="34"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To support our new enterprise design, we are designing and implementing a new Integrated Global Services organization to reduce our costs, improve our capabilities by establishing dedicated centers of excellence, and improve our efficiency. We are still in the process of designing this organization.</w:t>
      </w:r>
    </w:p>
    <w:p>
      <w:pPr>
        <w:spacing w:after="0" w:line="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pursuing additional initiatives to reduce costs and to streamline our organizational structure. In the third quarter of 2015, we commenced a voluntary employee separation program and recorded a restructuring charge of $9 million related to the program for severance pay and benefits, including a $7 million non-cash curtailment charge associated with postretirement and pension benefit obligations. The program was available to certain U.S.-based salaried employees nearing retirement who met age, length-of-service and business unit/function criteria. A total of 471 employees elected the program. Most of the electing employees will remain with the company through July 31, 2015, with some remaining with the company beyond July 31.</w:t>
      </w:r>
    </w:p>
    <w:p>
      <w:pPr>
        <w:spacing w:after="0" w:line="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Finally, we incurred charges of $9 million recorded in Administrative expenses related to the implementation of the new organizational structure and cost reduction initiatives.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after-tax impact of restructuring charges and implementation costs recorded in 2015 was $11 million, or $.04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and remaining costs associated with the 2015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301"/>
              <w:spacing w:after="0"/>
              <w:rPr>
                <w:sz w:val="20"/>
                <w:szCs w:val="20"/>
                <w:color w:val="auto"/>
              </w:rPr>
            </w:pPr>
            <w:r>
              <w:rPr>
                <w:rFonts w:ascii="Arial" w:cs="Arial" w:eastAsia="Arial" w:hAnsi="Arial"/>
                <w:sz w:val="14"/>
                <w:szCs w:val="14"/>
                <w:b w:val="1"/>
                <w:bCs w:val="1"/>
                <w:color w:val="auto"/>
                <w:w w:val="91"/>
              </w:rPr>
              <w:t>Recognized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ind w:left="1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1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85"/>
              </w:rPr>
              <w:t>as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Program</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ind w:left="301"/>
              <w:spacing w:after="0"/>
              <w:rPr>
                <w:sz w:val="20"/>
                <w:szCs w:val="20"/>
                <w:color w:val="auto"/>
              </w:rPr>
            </w:pPr>
            <w:r>
              <w:rPr>
                <w:rFonts w:ascii="Arial" w:cs="Arial" w:eastAsia="Arial" w:hAnsi="Arial"/>
                <w:sz w:val="14"/>
                <w:szCs w:val="14"/>
                <w:b w:val="1"/>
                <w:bCs w:val="1"/>
                <w:color w:val="auto"/>
                <w:w w:val="97"/>
              </w:rPr>
              <w:t>May 3, 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Implementation costs</w:t>
            </w:r>
          </w:p>
        </w:tc>
        <w:tc>
          <w:tcPr>
            <w:tcW w:w="11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0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Of the aggregate $131 million of pre-tax costs, approximately $124 million represents cash expenditures. We expect to incur the majority of these costs in the fourth quarter of 2015. We expect to fund the costs through cash and short-term borrowings. While we expect savings from the initiatives, we are currently unable to estimate the impact and timing.</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operating results do not include restructuring charges and implementation costs because we evaluate segment performance excluding such charges. We expect the total pre-tax costs of $131 million associated with each segment to be as follows: U.S. Simple Meals - $40 million; Global Baking and Snacking - $49 million; U.S. Beverages - $10 million; Bolthouse and Foodservice - $5 million; and Corporate - $27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 Details of the 2014 initiatives include:</w:t>
      </w:r>
    </w:p>
    <w:p>
      <w:pPr>
        <w:spacing w:after="0" w:line="35" w:lineRule="exact"/>
        <w:rPr>
          <w:sz w:val="20"/>
          <w:szCs w:val="20"/>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streamlined our salaried workforce in North America and our workforce in the Asia Pacific region. Approximately 250 positions were eliminated.</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Together with our joint venture partner Swire Pacific Limited, we agreed to restructure manufacturing and streamline operations for our soup and broth business in China. As a result, certain assets were impaired, and approximately 100 positions were eliminated.</w:t>
      </w:r>
    </w:p>
    <w:p>
      <w:pPr>
        <w:spacing w:after="0" w:line="116"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Australia, we implemented an initiative to improve supply chain efficiency by relocating production from our biscuit plant in Marleston to Huntingwood. The relocation will continue through the second quarter of 2016 and will result in the elimination of approximately 90 positions.</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implemented an initiative to reduce overhead across the organization by eliminating approximately 85 positions. The actions will be completed in 2015.</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jc w:val="both"/>
        <w:ind w:firstLine="324"/>
        <w:spacing w:after="0" w:line="286" w:lineRule="auto"/>
        <w:rPr>
          <w:sz w:val="20"/>
          <w:szCs w:val="20"/>
          <w:color w:val="auto"/>
        </w:rPr>
      </w:pPr>
      <w:r>
        <w:rPr>
          <w:rFonts w:ascii="Arial" w:cs="Arial" w:eastAsia="Arial" w:hAnsi="Arial"/>
          <w:sz w:val="17"/>
          <w:szCs w:val="17"/>
          <w:color w:val="auto"/>
        </w:rPr>
        <w:t>In 2014, we recorded a restructuring charge of $54 million ($33 million after tax or $.10 per share in earnings from continuing operations attributable to Campbell Soup Company) related to the 2014 initiatives. Of the amounts recorded in 2014, $34 million ($19 million after tax or $.06 per share in earnings from continuing operations attributable to Campbell Soup Company) was recorded in the nine-month period ended April 27, 2014.</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and remaining costs associated with the 2014 initiatives is as follows: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2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2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340" w:type="dxa"/>
            <w:vAlign w:val="bottom"/>
            <w:vMerge w:val="continue"/>
          </w:tcPr>
          <w:p>
            <w:pPr>
              <w:spacing w:after="0"/>
              <w:rPr>
                <w:sz w:val="16"/>
                <w:szCs w:val="16"/>
                <w:color w:val="auto"/>
              </w:rPr>
            </w:pPr>
          </w:p>
        </w:tc>
        <w:tc>
          <w:tcPr>
            <w:tcW w:w="1200" w:type="dxa"/>
            <w:vAlign w:val="bottom"/>
          </w:tcPr>
          <w:p>
            <w:pPr>
              <w:jc w:val="right"/>
              <w:ind w:right="39"/>
              <w:spacing w:after="0"/>
              <w:rPr>
                <w:sz w:val="20"/>
                <w:szCs w:val="20"/>
                <w:color w:val="auto"/>
              </w:rPr>
            </w:pPr>
            <w:r>
              <w:rPr>
                <w:rFonts w:ascii="Arial" w:cs="Arial" w:eastAsia="Arial" w:hAnsi="Arial"/>
                <w:sz w:val="14"/>
                <w:szCs w:val="14"/>
                <w:b w:val="1"/>
                <w:bCs w:val="1"/>
                <w:color w:val="auto"/>
              </w:rPr>
              <w:t>Program</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May 3,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200" w:type="dxa"/>
            <w:vAlign w:val="bottom"/>
            <w:tcBorders>
              <w:top w:val="single" w:sz="8" w:color="auto"/>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20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exit costs</w:t>
            </w:r>
          </w:p>
        </w:tc>
        <w:tc>
          <w:tcPr>
            <w:tcW w:w="1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340" w:type="dxa"/>
            <w:vAlign w:val="bottom"/>
          </w:tcPr>
          <w:p>
            <w:pPr>
              <w:ind w:left="2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aggregate $56 million of pre-tax costs, approximately $43 million represents cash expenditures. In addition, we expect to invest approximately $6 million in capital expenditures, primarily to relocate biscuit production and packaging capabilities, of which we invested approximately $1 million as of May 3, 2015. We expect to complete the remaining aspects of the 2014 initiatives through 2016. We do not expect the remaining cash outflows related to these restructuring initiatives to have a material adverse impact on our liquidity.</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the 2014 initiatives to generate pre-tax savings of approximately $56 million in 2015, and once fully implemented, annual ongoing savings of approximately $65 million beginning in 2016. In 2014, pre-tax savings were $26 million.</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operating results do not include restructuring charges because we evaluate segment performance excluding such charges. We expect the total pre-tax costs of $56 million associated with each segment to be as follows: U.S. Simple Meals - $9 million; Global Baking and Snacking - $24 million; International Simple Meals and Beverages - $18 million; U.S. Beverages - $2 million; Bolthouse and Foodservice - $2 million; and Corporate - $1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Initiatives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2013, we implemented initiatives to improve supply chain efficiency, expand access to manufacturing and distribution capabilities and reduce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of the 2013 initiatives include:</w:t>
      </w:r>
    </w:p>
    <w:p>
      <w:pPr>
        <w:spacing w:after="0" w:line="157" w:lineRule="exact"/>
        <w:rPr>
          <w:sz w:val="20"/>
          <w:szCs w:val="20"/>
          <w:color w:val="auto"/>
        </w:rPr>
      </w:pPr>
    </w:p>
    <w:p>
      <w:pPr>
        <w:jc w:val="both"/>
        <w:ind w:left="660" w:hanging="328"/>
        <w:spacing w:after="0" w:line="25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implemented initiatives to improve our U.S. supply chain cost structure and increase asset utilization across our U.S. thermal plant network, including closing our Sacramento, California, thermal plant, which produced soups, sauces and beverages. The closure resulted in the elimination of approximately 700 full-time positions and was completed in phases. Most of the positions were eliminated in 2013, and operations ceased in August 2013. We shifted the majority of Sacramento's soup, sauce and beverage production to our thermal plants in Maxton, North Carolina; Napoleon, Ohio; and Paris, Texas. We also closed our South Plainfield, New Jersey, spice plant, which resulted in the elimination of 27 positions. We consolidated spice production at our Milwaukee, Wisconsin, plant in 2013.</w:t>
      </w:r>
    </w:p>
    <w:p>
      <w:pPr>
        <w:spacing w:after="0" w:line="13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 Mexico, we entered into commercial arrangements with third-party providers to expand access to manufacturing and distribution capabilities. The third-party providers produce and distribute our beverages, soups, broths and sauces throughout the Mexican market. As a result of these agreements, we closed our plant in Villagrán, Mexico, and eliminated approximately 260 positions in the first quarter of 2014.</w:t>
      </w:r>
    </w:p>
    <w:p>
      <w:pPr>
        <w:spacing w:after="0" w:line="11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implemented an initiative to improve our Pepperidge Farm bakery supply chain cost structure by closing our plant in Aiken, South Carolina. The plant was closed in May 2014. We shifted the majority of Aiken's bread production to our bakery plant in Lakeland, Florida. Approximately 110 positions were eliminated as a result of the plant closure.</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streamlined our salaried workforce in U.S. Simple Meals, North America Foodservice and U.S. Beverages by approximately 70 positions. This action was substantially completed in August 2013.</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2014, we recorded a restructuring charge of $1 million related to the 2013 initiatives. In addition, we recorded approximately $3 million of costs related to the 2013 initiatives in Cost of products sold, representing other exit costs. The aggregate after-tax impact of restructuring charges and related costs recorded in 2014 was $3 million, or $.01 per share. Of the amounts recorded in 2014, a restructuring charge of $1 million was recorded in the nine-month period ended April 27, 2014, and approximately $2 million of costs related to these initiatives were recorded in Cost of products sold, representing other exit costs. The aggregate after-tax impact of restructuring charges and related costs recorded in the nine-month period ended April 27, 2014, was $2 million, or $.01 per share. In 2013, we recorded a restructuring charge of $51 million. In addition, we recorded approximately $91 million of costs related to these initiatives in 2013 in Cost of products sold, representing accelerated depreciation and other exit costs. The aggregate after-tax impact of restructuring charges and related costs recorded in 2013 was $90 million, or $.28 per share.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14" w:right="239" w:bottom="1440" w:gutter="0" w:footer="0" w:header="0"/>
        </w:sectPr>
      </w:pPr>
    </w:p>
    <w:bookmarkStart w:id="34" w:name="page35"/>
    <w:bookmarkEnd w:id="34"/>
    <w:p>
      <w:pPr>
        <w:ind w:left="340"/>
        <w:spacing w:after="0"/>
        <w:rPr>
          <w:sz w:val="20"/>
          <w:szCs w:val="20"/>
          <w:color w:val="auto"/>
        </w:rPr>
      </w:pPr>
      <w:r>
        <w:rPr>
          <w:rFonts w:ascii="Arial" w:cs="Arial" w:eastAsia="Arial" w:hAnsi="Arial"/>
          <w:sz w:val="18"/>
          <w:szCs w:val="18"/>
          <w:color w:val="auto"/>
        </w:rPr>
        <w:t>A summary of the pre-tax costs and remaining costs associated with the 2013 initiatives is as follows: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Recognized</w:t>
            </w:r>
          </w:p>
        </w:tc>
        <w:tc>
          <w:tcPr>
            <w:tcW w:w="28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(Millions)</w:t>
            </w:r>
          </w:p>
        </w:tc>
        <w:tc>
          <w:tcPr>
            <w:tcW w:w="11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2"/>
                <w:szCs w:val="12"/>
                <w:color w:val="auto"/>
              </w:rPr>
            </w:pPr>
          </w:p>
        </w:tc>
        <w:tc>
          <w:tcPr>
            <w:tcW w:w="1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Costs to be</w:t>
            </w:r>
          </w:p>
        </w:tc>
        <w:tc>
          <w:tcPr>
            <w:tcW w:w="0" w:type="dxa"/>
            <w:vAlign w:val="bottom"/>
          </w:tcPr>
          <w:p>
            <w:pPr>
              <w:spacing w:after="0"/>
              <w:rPr>
                <w:sz w:val="1"/>
                <w:szCs w:val="1"/>
                <w:color w:val="auto"/>
              </w:rPr>
            </w:pPr>
          </w:p>
        </w:tc>
      </w:tr>
      <w:tr>
        <w:trPr>
          <w:trHeight w:val="192"/>
        </w:trPr>
        <w:tc>
          <w:tcPr>
            <w:tcW w:w="6340" w:type="dxa"/>
            <w:vAlign w:val="bottom"/>
            <w:vMerge w:val="continue"/>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Program</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May 3, 2015</w:t>
            </w:r>
          </w:p>
        </w:tc>
        <w:tc>
          <w:tcPr>
            <w:tcW w:w="28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Arial" w:cs="Arial" w:eastAsia="Arial" w:hAnsi="Arial"/>
                <w:sz w:val="14"/>
                <w:szCs w:val="14"/>
                <w:b w:val="1"/>
                <w:bCs w:val="1"/>
                <w:color w:val="auto"/>
              </w:rPr>
              <w:t>Recognized</w:t>
            </w:r>
          </w:p>
        </w:tc>
        <w:tc>
          <w:tcPr>
            <w:tcW w:w="0" w:type="dxa"/>
            <w:vAlign w:val="bottom"/>
          </w:tcPr>
          <w:p>
            <w:pPr>
              <w:spacing w:after="0"/>
              <w:rPr>
                <w:sz w:val="1"/>
                <w:szCs w:val="1"/>
                <w:color w:val="auto"/>
              </w:rPr>
            </w:pPr>
          </w:p>
        </w:tc>
      </w:tr>
      <w:tr>
        <w:trPr>
          <w:trHeight w:val="250"/>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pay and benefits</w:t>
            </w: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Accelerated depreciation/asset impairment</w:t>
            </w:r>
          </w:p>
        </w:tc>
        <w:tc>
          <w:tcPr>
            <w:tcW w:w="114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exit costs</w:t>
            </w:r>
          </w:p>
        </w:tc>
        <w:tc>
          <w:tcPr>
            <w:tcW w:w="1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34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aggregate $148 million of pre-tax costs, approximately $46 million represents cash expenditures. In addition, we expect to invest approximately $31 million in capital expenditures, primarily to relocate and refurbish a beverage filling and packaging line, and relocate bread production, of which we invested approximately $29 million as of May 3, 2015. We expect to complete the remaining aspects of the 2013 initiatives in 2015. We do not expect the remaining cash outflows related to these restructuring initiatives to have a material adverse impact on our liquidity.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the 2013 initiatives, once fully implemented, will generate annual ongoing pre-tax savings of approximately $40 million beginning in 2015, with 2014 savings of approximately $30 million.</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Segment operating results do not include restructuring charges and related costs because we evaluate segment performance excluding such charges. We expect the total pre-tax costs of $148 million associated with segments to be as follows: U.S. Simple Meals - $90 million; Global Baking and Snacking - $16 million; International Simple Meals and Beverages - $9 million; U.S. Beverages - $31 million; and Bolthouse and Foodservice - $2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Future Initiatives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evaluating additional actions to reduce costs and to streamline our organizational structure that may result in further costs.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October 28, 2013, we completed the sale of our European simple meals business to Soppa Investments S.à r.l., an affiliate of CVC Capital Partners. The all-cash preliminary sale price was €400 million, or $548 million, and was subject to certain post-closing adjustments, which resulted in a $14 million reduction of proceeds. We recognized a pre-tax gain of $141 million ($72 million after tax or $.23 per share) in 2014.</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reflected the results of the European simple meals business as discontinued operations in the Consolidated Statements of Earnings.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discontinued operations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Nine Months Ended</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April 27, 2014</w:t>
            </w:r>
          </w:p>
        </w:tc>
      </w:tr>
      <w:tr>
        <w:trPr>
          <w:trHeight w:val="27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940" w:type="dxa"/>
            <w:vAlign w:val="bottom"/>
          </w:tcPr>
          <w:p>
            <w:pPr>
              <w:ind w:left="40"/>
              <w:spacing w:after="0"/>
              <w:rPr>
                <w:sz w:val="20"/>
                <w:szCs w:val="20"/>
                <w:color w:val="auto"/>
              </w:rPr>
            </w:pPr>
            <w:r>
              <w:rPr>
                <w:rFonts w:ascii="Arial" w:cs="Arial" w:eastAsia="Arial" w:hAnsi="Arial"/>
                <w:sz w:val="18"/>
                <w:szCs w:val="18"/>
                <w:color w:val="auto"/>
              </w:rPr>
              <w:t>Gain on sale of the European simple meals business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 before taxes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Earnings before taxes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Earnings from discontinued operations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81</w:t>
            </w:r>
          </w:p>
        </w:tc>
      </w:tr>
      <w:tr>
        <w:trPr>
          <w:trHeight w:val="27"/>
        </w:trPr>
        <w:tc>
          <w:tcPr>
            <w:tcW w:w="9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4 to the Consolidated Financial Statements for additional information.</w:t>
      </w:r>
    </w:p>
    <w:p>
      <w:pPr>
        <w:spacing w:after="0" w:line="33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that foreseeable liquidity and capital resource requirements will be met through anticipated cash flows from operations; long-term borrowings; short-term borrowings, including commercial paper;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generated cash from operations of $971 million in 2015, compared to $763 million in 2014. The increase was primarily due to lower working capital requirements, taxes paid in 2014 on the divestiture of the European simple meals business and lower pension contributions in 2015.</w:t>
      </w:r>
    </w:p>
    <w:p>
      <w:pPr>
        <w:spacing w:after="0" w:line="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were $242 million in 2015, compared to $198 million in 2014. To date, capital expenditures in 2015 included a cracker capacity expansion at Pepperidge Farm (approximately $26 million); the ongoing initiative to simplify the soup-making process in North America (also known as the soup common platform initiative) (approximately $24 million); a Bolthouse Farms beverage and salad dressing capacity expansion project (approximately $19 million); a Bolthouse Farms warehouse capacity expansion project (approximately $12 million); continued enhancement of our corporate headquarters (approximately $9 million); biscuit capacity expansion in Indonesia (approximately $8 million); and aseptic broth capacity (approximately $4 million). We expect capital expenditures to total approximately $400 million in 2015.</w:t>
      </w:r>
    </w:p>
    <w:p>
      <w:pPr>
        <w:spacing w:after="0" w:line="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March 2015, we issued $300 million of 3.30% notes which mature on March 19, 2025. Interest on the notes is due semi-annually on March 19 and September 19, commencing on September 19, 2015. The notes may be redeemed in whole, or in part, at our option at any time at the applicable redemption price. The notes include a change in control repurchase provision. The net proceeds were used for general corporate purposes.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8, 2013, we completed the acquisition of Kelsen. The final all-cash purchase price was $331 million, which we funded through the issuance of commercial paper.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Dividend payments were $297 million in 2015 and $293 million in 2014.</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repurchased approximately 4 million shares at a cost of $192 million in 2015 and approximately 2 million shares at a cost of $76 million in 2014. In June 2011, our Board of Directors authorized the purchase of up to $1 billion of our stock. Of the amount spent in 2015, $150 million was used to repurchase shares pursuant to our June 2011 publicly announced share repurchase program. Approximately $600 million remained available to repurchase shares under our June 2011 repurchase program as of May 3, 2015. The program has no expiration date. We also expect to continue our longstanding practice, under separate authorization, of purchasing shares sufficient to offset shares issued under our incentive compensation plans. See “Unregistered Sales of Equity Securities and Use of Proceeds" for more information.</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May 3, 2015, we had $1.232 billion of short-term borrowings due within one year, of which $1.212 billion was comprised of commercial paper borrowings. As of May 3, 2015, we issued $44 million of standby letters of credit. We have a committed revolving credit facility totaling $2.2 billion, which matures in December 2018. This facility remained unused at May 3, 2015, except for $3 million of standby letters of credit that we issued under it. This revolving credit facility supports our commercial paper programs and is available for other general corporate purposes. We may also increase the commitment under the credit facility up to an additional $500 million, upon the agreement of either existing lenders or of additional banks not currently parties to the existing credit agreements.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registration statement with the Securities and Exchange Commission that registered an indeterminate amount of debt securities. Under the registration statement, we may issue debt securities,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2014 Annual Report on Form 10-K. The significant accounting estimates are described in Management’s Discussion and Analysis included in the 2014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quarterly report contains “forward-looking” statements that reflect our current expectations regarding our future results of operations, economic performance, financial condition and achievements. We try, wherever possible, to identify these forward-</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10" w:right="239" w:bottom="1440" w:gutter="0" w:footer="0" w:header="0"/>
          <w:type w:val="continuous"/>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2014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changes in consumer demand for our products;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risks in the marketplace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achieve sales and earnings guidance, which is based on assumptions about sales volume, product mix, the development and success of new products, the impact of marketing, promotional and pricing actions, product costs and currency;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to our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practices and increased significance of certain of our key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new or changing inventory management practices by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fluctuations in the supply of and inflation in energy,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completing and integrating acquisitions, divestitures and other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uncertainties of litigation described from time to time in our Securities and Exchange Commission filings;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changes in currency exchange rates, tax rates, interest rates, debt and equity markets, inflation rates, economic conditions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unforeseen business disruptions in one or more of our markets due to political instability, civil disobedience, armed hostilities,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information regarding our exposure to certain market risk, see Item 7A, Quantitative and Qualitative Disclosures About Market Risk, in the 2014 Annual Report on Form 10-K. There have been no significant changes in our portfolio of financial instruments or market risk exposures from the 2014 year-end.</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 Chief Financial Officer, have evaluated the effectiveness of our disclosure controls and procedures (as such term is defined in Rules 13a-15(e) and 15d-15(e) under the Securities Exchange Act of 1934, as amended) as of May 3, 2015 (Evaluation Date). Based on such evaluation, the President and Chief Executive Officer and the Senior Vice President —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previously disclosed, during the third quarter of 2014, we amended an existing agreement with a third-party service organization to allow for their provision of additional accounting services, including account reconciliations and cost accounting, for a number of our North American plants and distribution centers. In the third quarter of 2015, we completed the transition of these services to the third-party service organization, which materially affected our internal control over financial reporting. Except for the foregoing, there were no changes in our internal control over financial reporting that materially affected, or were likely to materially affect, such control over financial reporting during the quarter ended May 3, 2015.</w:t>
      </w:r>
    </w:p>
    <w:p>
      <w:pPr>
        <w:sectPr>
          <w:pgSz w:w="11900" w:h="16838" w:orient="portrait"/>
          <w:cols w:equalWidth="0" w:num="1">
            <w:col w:w="11420"/>
          </w:cols>
          <w:pgMar w:left="240" w:top="1314"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disclosure modifies the discussion of risks and uncertainties previously disclosed in our Annual Report on Form 10-K for the year ended August 3, 2014. These risks and uncertainties, along with those previously disclosed, could materially adversely affect our business, financial condition and results of operations. Additional risks and uncertainties that are not presently known to us or that we deem immaterial may also impair our business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anticipated benefits from our cost reduction and organizational design initiatives.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January 2015, we announced plans to implement a new enterprise design focused mainly on product categories, along with related initiatives to reduce costs and to streamline our organization. The successful implementation of these initiatives presents significant organizational challenges and in some cases will require successful negotiations with third parties, such as suppliers and other business partners. As a result, we may not be able to implement the initiatives as planned, including realizing all or part of the anticipated benefits from the initiatives. Other events and circumstances, such as financial or strategic difficulties, delays or unexpected costs, may also adversely impact our ability to realize all or part of the anticipated benefits, or not realizing the anticipated benefits on the expected timetable. If we are unable to realize the anticipated savings, our ability to fund other initiatives may be adversely affected. In addition, the initiatives may not advance our strategy as expected. Any failure to implement the initiatives in accordance with our expectations could adversely affect our business or financial results.</w:t>
      </w:r>
    </w:p>
    <w:p>
      <w:pPr>
        <w:spacing w:after="0" w:line="125" w:lineRule="exact"/>
        <w:rPr>
          <w:sz w:val="20"/>
          <w:szCs w:val="20"/>
          <w:color w:val="auto"/>
        </w:rPr>
      </w:pPr>
    </w:p>
    <w:p>
      <w:pPr>
        <w:jc w:val="both"/>
        <w:ind w:right="20" w:firstLine="243"/>
        <w:spacing w:after="0" w:line="279" w:lineRule="auto"/>
        <w:rPr>
          <w:sz w:val="20"/>
          <w:szCs w:val="20"/>
          <w:color w:val="auto"/>
        </w:rPr>
      </w:pPr>
      <w:r>
        <w:rPr>
          <w:rFonts w:ascii="Arial" w:cs="Arial" w:eastAsia="Arial" w:hAnsi="Arial"/>
          <w:sz w:val="17"/>
          <w:szCs w:val="17"/>
          <w:color w:val="auto"/>
        </w:rPr>
        <w:t>The complexity of the initiatives will require a substantial amount of management and operational resources. Our management team must successfully implement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customers, and impact employee morale. As a result, our business or financial results could be negatively impacted.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340" w:type="dxa"/>
            <w:vAlign w:val="bottom"/>
          </w:tcPr>
          <w:p>
            <w:pPr>
              <w:spacing w:after="0"/>
              <w:rPr>
                <w:sz w:val="12"/>
                <w:szCs w:val="12"/>
                <w:color w:val="auto"/>
              </w:rPr>
            </w:pPr>
          </w:p>
        </w:tc>
        <w:tc>
          <w:tcPr>
            <w:tcW w:w="16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6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6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2/2/15 - 2/28/15</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368,000</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w w:val="90"/>
              </w:rPr>
              <w:t>$47.16</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368,000</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0"/>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3/1/15 - 3/31/15</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573,050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600" w:type="dxa"/>
            <w:vAlign w:val="bottom"/>
            <w:gridSpan w:val="2"/>
          </w:tcPr>
          <w:p>
            <w:pPr>
              <w:ind w:left="740"/>
              <w:spacing w:after="0" w:line="270" w:lineRule="exact"/>
              <w:rPr>
                <w:sz w:val="20"/>
                <w:szCs w:val="20"/>
                <w:color w:val="auto"/>
              </w:rPr>
            </w:pPr>
            <w:r>
              <w:rPr>
                <w:rFonts w:ascii="Arial" w:cs="Arial" w:eastAsia="Arial" w:hAnsi="Arial"/>
                <w:sz w:val="18"/>
                <w:szCs w:val="18"/>
                <w:color w:val="auto"/>
              </w:rPr>
              <w:t xml:space="preserve">$45.32 </w:t>
            </w:r>
            <w:r>
              <w:rPr>
                <w:rFonts w:ascii="Arial" w:cs="Arial" w:eastAsia="Arial" w:hAnsi="Arial"/>
                <w:sz w:val="25"/>
                <w:szCs w:val="25"/>
                <w:color w:val="auto"/>
                <w:vertAlign w:val="superscript"/>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421,050</w:t>
            </w:r>
          </w:p>
        </w:tc>
        <w:tc>
          <w:tcPr>
            <w:tcW w:w="3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4/1/2015 - 5/3/15</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340,864</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(5)</w:t>
            </w:r>
          </w:p>
        </w:tc>
        <w:tc>
          <w:tcPr>
            <w:tcW w:w="1600" w:type="dxa"/>
            <w:vAlign w:val="bottom"/>
            <w:gridSpan w:val="2"/>
            <w:shd w:val="clear" w:color="auto" w:fill="CCEEFF"/>
          </w:tcPr>
          <w:p>
            <w:pPr>
              <w:ind w:left="740"/>
              <w:spacing w:after="0" w:line="270" w:lineRule="exact"/>
              <w:rPr>
                <w:sz w:val="20"/>
                <w:szCs w:val="20"/>
                <w:color w:val="auto"/>
              </w:rPr>
            </w:pPr>
            <w:r>
              <w:rPr>
                <w:rFonts w:ascii="Arial" w:cs="Arial" w:eastAsia="Arial" w:hAnsi="Arial"/>
                <w:sz w:val="18"/>
                <w:szCs w:val="18"/>
                <w:color w:val="auto"/>
              </w:rPr>
              <w:t xml:space="preserve">$46.46 </w:t>
            </w:r>
            <w:r>
              <w:rPr>
                <w:rFonts w:ascii="Arial" w:cs="Arial" w:eastAsia="Arial" w:hAnsi="Arial"/>
                <w:sz w:val="25"/>
                <w:szCs w:val="25"/>
                <w:color w:val="auto"/>
                <w:vertAlign w:val="superscript"/>
              </w:rPr>
              <w:t>(5)</w:t>
            </w:r>
          </w:p>
        </w:tc>
        <w:tc>
          <w:tcPr>
            <w:tcW w:w="2040" w:type="dxa"/>
            <w:vAlign w:val="bottom"/>
            <w:gridSpan w:val="2"/>
            <w:shd w:val="clear" w:color="auto" w:fill="CCEEFF"/>
          </w:tcPr>
          <w:p>
            <w:pPr>
              <w:jc w:val="right"/>
              <w:ind w:right="160"/>
              <w:spacing w:after="0" w:line="270" w:lineRule="exact"/>
              <w:rPr>
                <w:sz w:val="20"/>
                <w:szCs w:val="20"/>
                <w:color w:val="auto"/>
              </w:rPr>
            </w:pPr>
            <w:r>
              <w:rPr>
                <w:rFonts w:ascii="Arial" w:cs="Arial" w:eastAsia="Arial" w:hAnsi="Arial"/>
                <w:sz w:val="18"/>
                <w:szCs w:val="18"/>
                <w:color w:val="auto"/>
              </w:rPr>
              <w:t xml:space="preserve">290,864  </w:t>
            </w:r>
            <w:r>
              <w:rPr>
                <w:rFonts w:ascii="Arial" w:cs="Arial" w:eastAsia="Arial" w:hAnsi="Arial"/>
                <w:sz w:val="25"/>
                <w:szCs w:val="25"/>
                <w:color w:val="auto"/>
                <w:vertAlign w:val="superscript"/>
              </w:rPr>
              <w:t>(6)</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7"/>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1,281,914</w:t>
            </w:r>
          </w:p>
        </w:tc>
        <w:tc>
          <w:tcPr>
            <w:tcW w:w="340" w:type="dxa"/>
            <w:vAlign w:val="bottom"/>
          </w:tcPr>
          <w:p>
            <w:pPr>
              <w:spacing w:after="0"/>
              <w:rPr>
                <w:sz w:val="20"/>
                <w:szCs w:val="20"/>
                <w:color w:val="auto"/>
              </w:rPr>
            </w:pPr>
          </w:p>
        </w:tc>
        <w:tc>
          <w:tcPr>
            <w:tcW w:w="12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w w:val="90"/>
              </w:rPr>
              <w:t>$46.15</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1,079,914</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17145</wp:posOffset>
            </wp:positionV>
            <wp:extent cx="441642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16425"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jc w:val="both"/>
        <w:ind w:left="340" w:hanging="332"/>
        <w:spacing w:after="0" w:line="226"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(i) 202,000 shares repurchased in open-market transactions to offset the dilutive impact to existing shareholders of issuances under stock compensation plans, and (ii) 196,864 shares purchased from the counterparty of a deferred compensation hedge that was settled during the third quarter of 2015 (the "Hedge Shares").</w:t>
      </w:r>
    </w:p>
    <w:p>
      <w:pPr>
        <w:spacing w:after="0" w:line="2"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54" w:lineRule="auto"/>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6"/>
          <w:szCs w:val="16"/>
          <w:color w:val="auto"/>
        </w:rPr>
        <w:t>During the third quarter of 2015, we had a publicly announced strategic share repurchase program. Under this program, which was announced on June 23, 2011, our Board of Directors authorized the purchase of up to $1 billion of our stock. The program has no expiration date. We also expect to continue our longstanding practice, under separate authorization, of purchasing shares sufficient to offset shares issued under our incentive compensation plans.</w:t>
      </w:r>
    </w:p>
    <w:p>
      <w:pPr>
        <w:spacing w:after="0" w:line="29" w:lineRule="exact"/>
        <w:rPr>
          <w:rFonts w:ascii="Arial" w:cs="Arial" w:eastAsia="Arial" w:hAnsi="Arial"/>
          <w:sz w:val="22"/>
          <w:szCs w:val="22"/>
          <w:color w:val="auto"/>
          <w:vertAlign w:val="superscript"/>
        </w:rPr>
      </w:pPr>
    </w:p>
    <w:p>
      <w:pPr>
        <w:ind w:left="340" w:hanging="332"/>
        <w:spacing w:after="0" w:line="216"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152,000 shares repurchased in open-market transactions at an average price of $45.32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(i) 50,000 shares repurchased in open-market transactions at an average price of $46.18 to offset the dilutive impact to existing shareholders of issuances under stock compensation plans, and (ii) the Hedge Shares at an average price of $46.67.</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the Hedge Shares.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0"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10(a)</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Form of 2005 Long-Term Incentive Plan Time-Lapsed Restricted Stock Unit Agreement, which is applicable to the March 1, 2015 restricted</w:t>
            </w:r>
          </w:p>
        </w:tc>
      </w:tr>
      <w:tr>
        <w:trPr>
          <w:trHeight w:val="216"/>
        </w:trPr>
        <w:tc>
          <w:tcPr>
            <w:tcW w:w="90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stock unit grants to Ed Carolan, was filed with the Commission on a Form 8-K (File number 1-3822) on February 2, 2015, and is</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incorporated herein by reference, provided that the vesting period for Mr. Carolan's grant is three (3) years.</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10(b)</w:t>
            </w:r>
          </w:p>
        </w:tc>
        <w:tc>
          <w:tcPr>
            <w:tcW w:w="10360" w:type="dxa"/>
            <w:vAlign w:val="bottom"/>
          </w:tcPr>
          <w:p>
            <w:pPr>
              <w:ind w:left="240"/>
              <w:spacing w:after="0"/>
              <w:rPr>
                <w:sz w:val="20"/>
                <w:szCs w:val="20"/>
                <w:color w:val="auto"/>
              </w:rPr>
            </w:pPr>
            <w:r>
              <w:rPr>
                <w:rFonts w:ascii="Arial" w:cs="Arial" w:eastAsia="Arial" w:hAnsi="Arial"/>
                <w:sz w:val="18"/>
                <w:szCs w:val="18"/>
                <w:color w:val="auto"/>
              </w:rPr>
              <w:t>Amendment to the Campbell Soup Company Severance Pay Plan for Salaried Employees, effective as of May 1, 2015.</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702"/>
        </w:trPr>
        <w:tc>
          <w:tcPr>
            <w:tcW w:w="900" w:type="dxa"/>
            <w:vAlign w:val="bottom"/>
          </w:tcPr>
          <w:p>
            <w:pPr>
              <w:spacing w:after="0"/>
              <w:rPr>
                <w:sz w:val="24"/>
                <w:szCs w:val="24"/>
                <w:color w:val="auto"/>
              </w:rPr>
            </w:pPr>
          </w:p>
        </w:tc>
        <w:tc>
          <w:tcPr>
            <w:tcW w:w="10360" w:type="dxa"/>
            <w:vAlign w:val="bottom"/>
          </w:tcPr>
          <w:p>
            <w:pPr>
              <w:ind w:left="468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00"/>
          </w:cols>
          <w:pgMar w:left="240" w:top="1229" w:right="359" w:bottom="1440" w:gutter="0" w:footer="0" w:header="0"/>
        </w:sectPr>
      </w:pPr>
    </w:p>
    <w:bookmarkStart w:id="39" w:name="page40"/>
    <w:bookmarkEnd w:id="39"/>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2015</w:t>
      </w:r>
    </w:p>
    <w:p>
      <w:pPr>
        <w:spacing w:after="0" w:line="383"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CAMPBELL SOUP COMPANY</w:t>
      </w:r>
    </w:p>
    <w:p>
      <w:pPr>
        <w:spacing w:after="0" w:line="33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31750</wp:posOffset>
            </wp:positionV>
            <wp:extent cx="28473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Senior Vice President —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By: /s/ Faith R. Greenfield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31750</wp:posOffset>
            </wp:positionV>
            <wp:extent cx="28473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Faith R. Greenfield</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 Legal and Acting General Counsel</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80"/>
          </w:cols>
          <w:pgMar w:left="240" w:top="1229" w:right="8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0360" w:type="dxa"/>
            <w:vAlign w:val="bottom"/>
          </w:tcPr>
          <w:p>
            <w:pPr>
              <w:ind w:left="3880"/>
              <w:spacing w:after="0"/>
              <w:rPr>
                <w:sz w:val="20"/>
                <w:szCs w:val="20"/>
                <w:color w:val="auto"/>
              </w:rPr>
            </w:pPr>
            <w:r>
              <w:rPr>
                <w:rFonts w:ascii="Arial" w:cs="Arial" w:eastAsia="Arial" w:hAnsi="Arial"/>
                <w:sz w:val="18"/>
                <w:szCs w:val="18"/>
                <w:b w:val="1"/>
                <w:bCs w:val="1"/>
                <w:color w:val="auto"/>
              </w:rPr>
              <w:t>INDEX TO EXHIBITS</w:t>
            </w:r>
          </w:p>
        </w:tc>
      </w:tr>
      <w:tr>
        <w:trPr>
          <w:trHeight w:val="364"/>
        </w:trPr>
        <w:tc>
          <w:tcPr>
            <w:tcW w:w="900" w:type="dxa"/>
            <w:vAlign w:val="bottom"/>
          </w:tcPr>
          <w:p>
            <w:pPr>
              <w:spacing w:after="0"/>
              <w:rPr>
                <w:sz w:val="20"/>
                <w:szCs w:val="20"/>
                <w:color w:val="auto"/>
              </w:rPr>
            </w:pPr>
            <w:r>
              <w:rPr>
                <w:rFonts w:ascii="Arial" w:cs="Arial" w:eastAsia="Arial" w:hAnsi="Arial"/>
                <w:sz w:val="18"/>
                <w:szCs w:val="18"/>
                <w:color w:val="auto"/>
              </w:rPr>
              <w:t>10(a)</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Form of 2005 Long-Term Incentive Plan Time-Lapsed Restricted Stock Unit Agreement, which is applicable to the March 1, 2015 restricted</w:t>
            </w:r>
          </w:p>
        </w:tc>
      </w:tr>
      <w:tr>
        <w:trPr>
          <w:trHeight w:val="216"/>
        </w:trPr>
        <w:tc>
          <w:tcPr>
            <w:tcW w:w="900" w:type="dxa"/>
            <w:vAlign w:val="bottom"/>
          </w:tcPr>
          <w:p>
            <w:pPr>
              <w:spacing w:after="0"/>
              <w:rPr>
                <w:sz w:val="18"/>
                <w:szCs w:val="18"/>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w w:val="99"/>
              </w:rPr>
              <w:t>stock unit grants to Ed Carolan, was filed with the Commission on a Form 8-K (File number 1-3822) on February 2, 2015, and is</w:t>
            </w:r>
          </w:p>
        </w:tc>
      </w:tr>
      <w:tr>
        <w:trPr>
          <w:trHeight w:val="230"/>
        </w:trPr>
        <w:tc>
          <w:tcPr>
            <w:tcW w:w="90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incorporated herein by reference, provided that the vesting period for Mr. Carolan's grant is three (3) years.</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10(b)</w:t>
            </w:r>
          </w:p>
        </w:tc>
        <w:tc>
          <w:tcPr>
            <w:tcW w:w="10360" w:type="dxa"/>
            <w:vAlign w:val="bottom"/>
          </w:tcPr>
          <w:p>
            <w:pPr>
              <w:ind w:left="240"/>
              <w:spacing w:after="0"/>
              <w:rPr>
                <w:sz w:val="20"/>
                <w:szCs w:val="20"/>
                <w:color w:val="auto"/>
              </w:rPr>
            </w:pPr>
            <w:r>
              <w:rPr>
                <w:rFonts w:ascii="Arial" w:cs="Arial" w:eastAsia="Arial" w:hAnsi="Arial"/>
                <w:sz w:val="18"/>
                <w:szCs w:val="18"/>
                <w:color w:val="auto"/>
              </w:rPr>
              <w:t>Amendment to the Campbell Soup Company Severance Pay Plan for Salaried Employees, effective as of May 1, 2015.</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1036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918"/>
        </w:trPr>
        <w:tc>
          <w:tcPr>
            <w:tcW w:w="900" w:type="dxa"/>
            <w:vAlign w:val="bottom"/>
          </w:tcPr>
          <w:p>
            <w:pPr>
              <w:spacing w:after="0"/>
              <w:rPr>
                <w:sz w:val="24"/>
                <w:szCs w:val="24"/>
                <w:color w:val="auto"/>
              </w:rPr>
            </w:pPr>
          </w:p>
        </w:tc>
        <w:tc>
          <w:tcPr>
            <w:tcW w:w="10360" w:type="dxa"/>
            <w:vAlign w:val="bottom"/>
          </w:tcPr>
          <w:p>
            <w:pPr>
              <w:ind w:left="468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60"/>
          </w:cols>
          <w:pgMar w:left="280" w:top="1229"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Severance Pay Plan for Salaried Employees</w:t>
      </w:r>
    </w:p>
    <w:p>
      <w:pPr>
        <w:spacing w:after="0" w:line="19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Campbell Soup Company (“Company”) previously established the Campbell Soup Company Severance Pay Plan for</w:t>
      </w:r>
      <w:r>
        <w:rPr>
          <w:rFonts w:ascii="Arial" w:cs="Arial" w:eastAsia="Arial" w:hAnsi="Arial"/>
          <w:sz w:val="19"/>
          <w:szCs w:val="19"/>
          <w:b w:val="1"/>
          <w:bCs w:val="1"/>
          <w:color w:val="auto"/>
        </w:rPr>
        <w:t xml:space="preserve"> </w:t>
      </w:r>
      <w:r>
        <w:rPr>
          <w:rFonts w:ascii="Arial" w:cs="Arial" w:eastAsia="Arial" w:hAnsi="Arial"/>
          <w:sz w:val="19"/>
          <w:szCs w:val="19"/>
          <w:color w:val="auto"/>
        </w:rPr>
        <w:t>Salaried Employees (the “Plan”) primarily to assist former U.S. Salaried Employees while seeking other employment;</w:t>
      </w:r>
    </w:p>
    <w:p>
      <w:pPr>
        <w:spacing w:after="0" w:line="142" w:lineRule="exact"/>
        <w:rPr>
          <w:sz w:val="20"/>
          <w:szCs w:val="20"/>
          <w:color w:val="auto"/>
        </w:rPr>
      </w:pPr>
    </w:p>
    <w:p>
      <w:pPr>
        <w:ind w:right="56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pursuant to the terms of the Plan, the Chief Executive Officer of the Company reserves the right to amend, modify,</w:t>
      </w:r>
      <w:r>
        <w:rPr>
          <w:rFonts w:ascii="Arial" w:cs="Arial" w:eastAsia="Arial" w:hAnsi="Arial"/>
          <w:sz w:val="20"/>
          <w:szCs w:val="20"/>
          <w:b w:val="1"/>
          <w:bCs w:val="1"/>
          <w:color w:val="auto"/>
        </w:rPr>
        <w:t xml:space="preserve"> </w:t>
      </w:r>
      <w:r>
        <w:rPr>
          <w:rFonts w:ascii="Arial" w:cs="Arial" w:eastAsia="Arial" w:hAnsi="Arial"/>
          <w:sz w:val="20"/>
          <w:szCs w:val="20"/>
          <w:color w:val="auto"/>
        </w:rPr>
        <w:t>suspend, or terminate the Plan in any respect, at any time, and without notice; and</w:t>
      </w:r>
    </w:p>
    <w:p>
      <w:pPr>
        <w:spacing w:after="0" w:line="164" w:lineRule="exact"/>
        <w:rPr>
          <w:sz w:val="20"/>
          <w:szCs w:val="20"/>
          <w:color w:val="auto"/>
        </w:rPr>
      </w:pPr>
    </w:p>
    <w:p>
      <w:pPr>
        <w:ind w:right="160" w:firstLine="648"/>
        <w:spacing w:after="0" w:line="267"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the Chief Executive Officer desires to clarify the “Years of Service” definition to take into consideration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service bridging policy.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 BE IT: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RESOLVED</w:t>
      </w:r>
      <w:r>
        <w:rPr>
          <w:rFonts w:ascii="Arial" w:cs="Arial" w:eastAsia="Arial" w:hAnsi="Arial"/>
          <w:sz w:val="20"/>
          <w:szCs w:val="20"/>
          <w:color w:val="auto"/>
        </w:rPr>
        <w:t>, effective May 1, 2015, Article II, Section 2.11 of the Plan is amended to read, in its entirety, as follows:</w:t>
      </w:r>
    </w:p>
    <w:p>
      <w:pPr>
        <w:spacing w:after="0" w:line="22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2.11. “Years of Service” means the total number of years of continuous employment rendered as a regular employee of the Company and all its wholly-owned subsidiaries and affiliates since the employee’s most recent date of hire, plus any prior service included under the Company’s service bridging policy. Solely applicable to the calculation of the severance payments set forth in Article V, Years of Service shall be full years; however, in the final year of employment, service of six full months or more will be counted as one year.</w:t>
      </w:r>
    </w:p>
    <w:p>
      <w:pPr>
        <w:spacing w:after="0" w:line="162" w:lineRule="exact"/>
        <w:rPr>
          <w:sz w:val="20"/>
          <w:szCs w:val="20"/>
          <w:color w:val="auto"/>
        </w:rPr>
      </w:pPr>
    </w:p>
    <w:p>
      <w:pPr>
        <w:jc w:val="both"/>
        <w:ind w:right="140" w:firstLine="648"/>
        <w:spacing w:after="0" w:line="250" w:lineRule="auto"/>
        <w:rPr>
          <w:sz w:val="20"/>
          <w:szCs w:val="20"/>
          <w:color w:val="auto"/>
        </w:rPr>
      </w:pPr>
      <w:r>
        <w:rPr>
          <w:rFonts w:ascii="Arial" w:cs="Arial" w:eastAsia="Arial" w:hAnsi="Arial"/>
          <w:sz w:val="20"/>
          <w:szCs w:val="20"/>
          <w:color w:val="auto"/>
        </w:rPr>
        <w:t>In addition to service with the Company, continuous years of employment with an enterprise, the assets or stock of which is acquired by the Company, shall be counted as years of service with the Company, unless Campbell Soup Company excludes such prior service with the acquired enterprise.</w:t>
      </w:r>
    </w:p>
    <w:p>
      <w:pPr>
        <w:spacing w:after="0" w:line="3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this instrument has been executed on May 21, 2015.</w:t>
      </w:r>
    </w:p>
    <w:p>
      <w:pPr>
        <w:spacing w:after="0" w:line="162"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Chief Executive Officer</w:t>
      </w:r>
    </w:p>
    <w:p>
      <w:pPr>
        <w:spacing w:after="0" w:line="38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Denise Morrison</w:t>
      </w:r>
    </w:p>
    <w:p>
      <w:pPr>
        <w:spacing w:after="0" w:line="54" w:lineRule="exact"/>
        <w:rPr>
          <w:sz w:val="20"/>
          <w:szCs w:val="20"/>
          <w:color w:val="auto"/>
        </w:rPr>
      </w:pPr>
    </w:p>
    <w:p>
      <w:pPr>
        <w:ind w:left="7260"/>
        <w:spacing w:after="0"/>
        <w:rPr>
          <w:sz w:val="20"/>
          <w:szCs w:val="20"/>
          <w:color w:val="auto"/>
        </w:rPr>
      </w:pPr>
      <w:r>
        <w:rPr>
          <w:rFonts w:ascii="Arial" w:cs="Arial" w:eastAsia="Arial" w:hAnsi="Arial"/>
          <w:sz w:val="20"/>
          <w:szCs w:val="20"/>
          <w:color w:val="auto"/>
        </w:rPr>
        <w:t>Denise Morrison</w:t>
      </w:r>
    </w:p>
    <w:p>
      <w:pPr>
        <w:sectPr>
          <w:pgSz w:w="11900" w:h="16838" w:orient="portrait"/>
          <w:cols w:equalWidth="0" w:num="1">
            <w:col w:w="11420"/>
          </w:cols>
          <w:pgMar w:left="240" w:top="576"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2015</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2015</w:t>
      </w:r>
    </w:p>
    <w:p>
      <w:pPr>
        <w:spacing w:after="0" w:line="171" w:lineRule="exact"/>
        <w:rPr>
          <w:sz w:val="20"/>
          <w:szCs w:val="20"/>
          <w:color w:val="auto"/>
        </w:rPr>
      </w:pPr>
    </w:p>
    <w:p>
      <w:pPr>
        <w:ind w:left="3920"/>
        <w:spacing w:after="0"/>
        <w:tabs>
          <w:tab w:leader="none" w:pos="436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4860" w:space="320"/>
            <w:col w:w="6240"/>
          </w:cols>
          <w:pgMar w:left="240" w:top="580" w:right="239" w:bottom="1440" w:gutter="0" w:footer="0" w:header="0"/>
          <w:type w:val="continuous"/>
        </w:sectPr>
      </w:pPr>
    </w:p>
    <w:p>
      <w:pPr>
        <w:ind w:left="4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 Chief Financial Officer</w:t>
      </w:r>
    </w:p>
    <w:p>
      <w:pPr>
        <w:sectPr>
          <w:pgSz w:w="11900" w:h="16838" w:orient="portrait"/>
          <w:cols w:equalWidth="0" w:num="2">
            <w:col w:w="4760" w:space="420"/>
            <w:col w:w="6240"/>
          </w:cols>
          <w:pgMar w:left="240" w:top="580"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3, 2015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11, 2015</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3, 2015 (the “Report”), I, Anthony P. DiSilvestro, Senior Vice President —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11, 2015</w:t>
      </w:r>
    </w:p>
    <w:p>
      <w:pPr>
        <w:spacing w:after="0" w:line="1" w:lineRule="exact"/>
        <w:rPr>
          <w:sz w:val="20"/>
          <w:szCs w:val="20"/>
          <w:color w:val="auto"/>
        </w:rPr>
      </w:pPr>
    </w:p>
    <w:p>
      <w:pPr>
        <w:ind w:left="3920"/>
        <w:spacing w:after="0"/>
        <w:tabs>
          <w:tab w:leader="none" w:pos="436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31750</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4860" w:space="320"/>
            <w:col w:w="6240"/>
          </w:cols>
          <w:pgMar w:left="240" w:top="580" w:right="239" w:bottom="1440" w:gutter="0" w:footer="0" w:header="0"/>
          <w:type w:val="continuous"/>
        </w:sectPr>
      </w:pPr>
    </w:p>
    <w:p>
      <w:pPr>
        <w:ind w:left="43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 Chief Financial Officer</w:t>
      </w:r>
    </w:p>
    <w:sectPr>
      <w:pgSz w:w="11900" w:h="16838" w:orient="portrait"/>
      <w:cols w:equalWidth="0" w:num="2">
        <w:col w:w="4760" w:space="420"/>
        <w:col w:w="624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3"/>
    </w:lvl>
  </w:abstractNum>
  <w:abstractNum w:abstractNumId="3">
    <w:nsid w:val="2D1D5AE9"/>
    <w:multiLevelType w:val="hybridMultilevel"/>
    <w:lvl w:ilvl="0">
      <w:lvlJc w:val="left"/>
      <w:lvlText w:val="%1."/>
      <w:numFmt w:val="decimal"/>
      <w:start w:val="4"/>
    </w:lvl>
  </w:abstractNum>
  <w:abstractNum w:abstractNumId="4">
    <w:nsid w:val="6763845E"/>
    <w:multiLevelType w:val="hybridMultilevel"/>
    <w:lvl w:ilvl="0">
      <w:lvlJc w:val="left"/>
      <w:lvlText w:val="%1."/>
      <w:numFmt w:val="decimal"/>
      <w:start w:val="5"/>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8"/>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1."/>
      <w:numFmt w:val="decimal"/>
      <w:start w:val="9"/>
    </w:lvl>
  </w:abstractNum>
  <w:abstractNum w:abstractNumId="15">
    <w:nsid w:val="2901D82"/>
    <w:multiLevelType w:val="hybridMultilevel"/>
    <w:lvl w:ilvl="0">
      <w:lvlJc w:val="left"/>
      <w:lvlText w:val="%1."/>
      <w:numFmt w:val="decimal"/>
      <w:start w:val="11"/>
    </w:lvl>
  </w:abstractNum>
  <w:abstractNum w:abstractNumId="16">
    <w:nsid w:val="3A95F874"/>
    <w:multiLevelType w:val="hybridMultilevel"/>
    <w:lvl w:ilvl="0">
      <w:lvlJc w:val="left"/>
      <w:lvlText w:val="%1."/>
      <w:numFmt w:val="decimal"/>
      <w:start w:val="14"/>
    </w:lvl>
    <w:lvl w:ilvl="1">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18"/>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2019-12-29T16:26:25Z</dcterms:created>
  <dcterms:modified xsi:type="dcterms:W3CDTF">2019-12-29T16:26:25Z</dcterms:modified>
</cp:coreProperties>
</file>