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(Mark One)</w:t>
      </w:r>
    </w:p>
    <w:p>
      <w:pPr>
        <w:spacing w:after="0" w:line="18" w:lineRule="exact"/>
        <w:rPr>
          <w:sz w:val="24"/>
          <w:szCs w:val="24"/>
          <w:color w:val="auto"/>
        </w:rPr>
      </w:pPr>
    </w:p>
    <w:p>
      <w:pPr>
        <w:ind w:left="4320" w:right="3500" w:hanging="4317"/>
        <w:spacing w:after="0" w:line="254" w:lineRule="auto"/>
        <w:tabs>
          <w:tab w:leader="none" w:pos="193"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July 28, 2024</w:t>
      </w:r>
    </w:p>
    <w:p>
      <w:pPr>
        <w:spacing w:after="0" w:line="1" w:lineRule="exact"/>
        <w:rPr>
          <w:rFonts w:ascii="MS PGothic" w:cs="MS PGothic" w:eastAsia="MS PGothic" w:hAnsi="MS PGothic"/>
          <w:sz w:val="15"/>
          <w:szCs w:val="15"/>
          <w:color w:val="auto"/>
        </w:rPr>
      </w:pPr>
    </w:p>
    <w:p>
      <w:pPr>
        <w:ind w:left="5560"/>
        <w:spacing w:after="0"/>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or</w:t>
      </w:r>
    </w:p>
    <w:p>
      <w:pPr>
        <w:spacing w:after="0" w:line="11" w:lineRule="exact"/>
        <w:rPr>
          <w:sz w:val="24"/>
          <w:szCs w:val="24"/>
          <w:color w:val="auto"/>
        </w:rPr>
      </w:pPr>
    </w:p>
    <w:p>
      <w:pPr>
        <w:jc w:val="right"/>
        <w:ind w:left="3220" w:right="3200" w:hanging="3217"/>
        <w:spacing w:after="0" w:line="279" w:lineRule="auto"/>
        <w:tabs>
          <w:tab w:leader="none" w:pos="175"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_______________ to __________________</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2635250</wp:posOffset>
            </wp:positionH>
            <wp:positionV relativeFrom="paragraph">
              <wp:posOffset>15240</wp:posOffset>
            </wp:positionV>
            <wp:extent cx="1872615" cy="572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2615" cy="572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CAMPBELL SOUP COMPANY</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ectPr>
          <w:pgSz w:w="11900" w:h="16838" w:orient="portrait"/>
          <w:cols w:equalWidth="0" w:num="1">
            <w:col w:w="11240"/>
          </w:cols>
          <w:pgMar w:left="320" w:top="879" w:right="339" w:bottom="1440" w:gutter="0" w:footer="0" w:header="0"/>
        </w:sectPr>
      </w:pPr>
    </w:p>
    <w:p>
      <w:pPr>
        <w:spacing w:after="0" w:line="3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6"/>
          <w:szCs w:val="16"/>
          <w:b w:val="1"/>
          <w:bCs w:val="1"/>
          <w:color w:val="auto"/>
        </w:rPr>
        <w:t>New Jersey</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21-0419870</w:t>
      </w:r>
    </w:p>
    <w:p>
      <w:pPr>
        <w:spacing w:after="0" w:line="43" w:lineRule="exact"/>
        <w:rPr>
          <w:sz w:val="24"/>
          <w:szCs w:val="24"/>
          <w:color w:val="auto"/>
        </w:rPr>
      </w:pPr>
    </w:p>
    <w:p>
      <w:pPr>
        <w:sectPr>
          <w:pgSz w:w="11900" w:h="16838" w:orient="portrait"/>
          <w:cols w:equalWidth="0" w:num="2">
            <w:col w:w="7240" w:space="720"/>
            <w:col w:w="3280"/>
          </w:cols>
          <w:pgMar w:left="320" w:top="879" w:right="33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80" w:lineRule="exact"/>
        <w:rPr>
          <w:sz w:val="24"/>
          <w:szCs w:val="24"/>
          <w:color w:val="auto"/>
        </w:rPr>
      </w:pPr>
    </w:p>
    <w:p>
      <w:pPr>
        <w:sectPr>
          <w:pgSz w:w="11900" w:h="16838" w:orient="portrait"/>
          <w:cols w:equalWidth="0" w:num="2">
            <w:col w:w="6400" w:space="720"/>
            <w:col w:w="4120"/>
          </w:cols>
          <w:pgMar w:left="320" w:top="87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1 Campbell Place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Camden, New Jersey 08103-1799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(Address of principal executive offices) (Zip Code)</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(856) 342-4800</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240"/>
          </w:cols>
          <w:pgMar w:left="320" w:top="879" w:right="339" w:bottom="1440" w:gutter="0" w:footer="0" w:header="0"/>
          <w:type w:val="continuous"/>
        </w:sectPr>
      </w:pPr>
    </w:p>
    <w:p>
      <w:pPr>
        <w:spacing w:after="0" w:line="2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sectPr>
          <w:pgSz w:w="11900" w:h="16838" w:orient="portrait"/>
          <w:cols w:equalWidth="0" w:num="3">
            <w:col w:w="4300" w:space="720"/>
            <w:col w:w="1560" w:space="720"/>
            <w:col w:w="3940"/>
          </w:cols>
          <w:pgMar w:left="320" w:top="879" w:right="33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7"/>
          <w:szCs w:val="17"/>
          <w:color w:val="auto"/>
        </w:rPr>
        <w:t>Capital Stock, par value $.0375</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Times New Roman" w:cs="Times New Roman" w:eastAsia="Times New Roman" w:hAnsi="Times New Roman"/>
          <w:sz w:val="17"/>
          <w:szCs w:val="17"/>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170" w:lineRule="exact"/>
        <w:rPr>
          <w:sz w:val="24"/>
          <w:szCs w:val="24"/>
          <w:color w:val="auto"/>
        </w:rPr>
      </w:pPr>
    </w:p>
    <w:p>
      <w:pPr>
        <w:sectPr>
          <w:pgSz w:w="11900" w:h="16838" w:orient="portrait"/>
          <w:cols w:equalWidth="0" w:num="3">
            <w:col w:w="4720" w:space="720"/>
            <w:col w:w="1740" w:space="720"/>
            <w:col w:w="3340"/>
          </w:cols>
          <w:pgMar w:left="320" w:top="87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pacing w:after="0" w:line="73" w:lineRule="exact"/>
        <w:rPr>
          <w:sz w:val="24"/>
          <w:szCs w:val="24"/>
          <w:color w:val="auto"/>
        </w:rPr>
      </w:pPr>
    </w:p>
    <w:p>
      <w:pPr>
        <w:ind w:left="320" w:right="2820"/>
        <w:spacing w:after="0" w:line="265"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No Indicate by check mark if the registrant is not required to file reports pursuant to Section 13 or 15(d) of the Act.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48" w:lineRule="exact"/>
        <w:rPr>
          <w:sz w:val="24"/>
          <w:szCs w:val="24"/>
          <w:color w:val="auto"/>
        </w:rPr>
      </w:pPr>
    </w:p>
    <w:p>
      <w:pPr>
        <w:ind w:firstLine="309"/>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No</w:t>
      </w:r>
    </w:p>
    <w:p>
      <w:pPr>
        <w:spacing w:after="0" w:line="47" w:lineRule="exact"/>
        <w:rPr>
          <w:sz w:val="24"/>
          <w:szCs w:val="24"/>
          <w:color w:val="auto"/>
        </w:rPr>
      </w:pPr>
    </w:p>
    <w:p>
      <w:pPr>
        <w:ind w:firstLine="309"/>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No</w:t>
      </w:r>
    </w:p>
    <w:p>
      <w:pPr>
        <w:spacing w:after="0" w:line="48" w:lineRule="exact"/>
        <w:rPr>
          <w:sz w:val="24"/>
          <w:szCs w:val="24"/>
          <w:color w:val="auto"/>
        </w:rPr>
      </w:pPr>
    </w:p>
    <w:p>
      <w:pPr>
        <w:ind w:firstLine="309"/>
        <w:spacing w:after="0" w:line="28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740" w:type="dxa"/>
        <w:tblCellMar>
          <w:top w:w="0" w:type="dxa"/>
          <w:left w:w="0" w:type="dxa"/>
          <w:bottom w:w="0" w:type="dxa"/>
          <w:right w:w="0" w:type="dxa"/>
        </w:tblCellMar>
      </w:tblP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6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29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Accelerated filer</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6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29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9"/>
        </w:trPr>
        <w:tc>
          <w:tcPr>
            <w:tcW w:w="20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9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Emerging growth company</w:t>
            </w:r>
          </w:p>
        </w:tc>
        <w:tc>
          <w:tcPr>
            <w:tcW w:w="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0" w:lineRule="exact"/>
        <w:rPr>
          <w:sz w:val="24"/>
          <w:szCs w:val="24"/>
          <w:color w:val="auto"/>
        </w:rPr>
      </w:pPr>
    </w:p>
    <w:p>
      <w:pPr>
        <w:ind w:firstLine="309"/>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333333"/>
        </w:rPr>
        <w:t>☐</w:t>
      </w:r>
    </w:p>
    <w:p>
      <w:pPr>
        <w:spacing w:after="0" w:line="47" w:lineRule="exact"/>
        <w:rPr>
          <w:sz w:val="24"/>
          <w:szCs w:val="24"/>
          <w:color w:val="auto"/>
        </w:rPr>
      </w:pPr>
    </w:p>
    <w:p>
      <w:pPr>
        <w:ind w:firstLine="309"/>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7" w:lineRule="exact"/>
        <w:rPr>
          <w:sz w:val="24"/>
          <w:szCs w:val="24"/>
          <w:color w:val="auto"/>
        </w:rPr>
      </w:pPr>
    </w:p>
    <w:p>
      <w:pPr>
        <w:ind w:firstLine="309"/>
        <w:spacing w:after="0" w:line="208"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333333"/>
        </w:rPr>
        <w:t>☐</w:t>
      </w:r>
    </w:p>
    <w:p>
      <w:pPr>
        <w:spacing w:after="0" w:line="48" w:lineRule="exact"/>
        <w:rPr>
          <w:sz w:val="24"/>
          <w:szCs w:val="24"/>
          <w:color w:val="auto"/>
        </w:rPr>
      </w:pPr>
    </w:p>
    <w:p>
      <w:pPr>
        <w:ind w:firstLine="309"/>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333333"/>
        </w:rPr>
        <w:t>☐</w:t>
      </w:r>
    </w:p>
    <w:p>
      <w:pPr>
        <w:spacing w:after="0" w:line="11" w:lineRule="exact"/>
        <w:rPr>
          <w:sz w:val="24"/>
          <w:szCs w:val="24"/>
          <w:color w:val="auto"/>
        </w:rPr>
      </w:pPr>
    </w:p>
    <w:p>
      <w:pPr>
        <w:ind w:left="3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color w:val="333333"/>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415290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 w:name="page2"/>
    <w:bookmarkEnd w:id="1"/>
    <w:p>
      <w:pPr>
        <w:jc w:val="both"/>
        <w:ind w:firstLine="309"/>
        <w:spacing w:after="0" w:line="278" w:lineRule="auto"/>
        <w:rPr>
          <w:sz w:val="20"/>
          <w:szCs w:val="20"/>
          <w:color w:val="auto"/>
        </w:rPr>
      </w:pPr>
      <w:r>
        <w:rPr>
          <w:rFonts w:ascii="Times New Roman" w:cs="Times New Roman" w:eastAsia="Times New Roman" w:hAnsi="Times New Roman"/>
          <w:sz w:val="15"/>
          <w:szCs w:val="15"/>
          <w:color w:val="auto"/>
        </w:rPr>
        <w:t>Based on the closing price on the New York Stock Exchange on January 26, 2024 (the last business day of the registrant’s most recently completed second fiscal quarter), the aggregate market value of capital stock held by non-affiliates of the registrant was approximately $8,534,595,281. There were 298,105,916 shares of capital stock outstanding as of September 11, 2024.</w:t>
      </w:r>
    </w:p>
    <w:p>
      <w:pPr>
        <w:spacing w:after="0" w:line="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Portions of the Registrant’s Proxy Statement for the 2024 Annual Meeting of Shareholders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392430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80" w:type="dxa"/>
            <w:vAlign w:val="bottom"/>
          </w:tcPr>
          <w:p>
            <w:pPr>
              <w:spacing w:after="0"/>
              <w:rPr>
                <w:sz w:val="17"/>
                <w:szCs w:val="17"/>
                <w:color w:val="auto"/>
              </w:rPr>
            </w:pP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0000FF"/>
              </w:rPr>
              <w:t>PART I</w:t>
            </w:r>
          </w:p>
        </w:tc>
        <w:tc>
          <w:tcPr>
            <w:tcW w:w="1840" w:type="dxa"/>
            <w:vAlign w:val="bottom"/>
            <w:tcBorders>
              <w:top w:val="single" w:sz="8" w:color="auto"/>
            </w:tcBorders>
          </w:tcPr>
          <w:p>
            <w:pPr>
              <w:spacing w:after="0"/>
              <w:rPr>
                <w:sz w:val="22"/>
                <w:szCs w:val="22"/>
                <w:color w:val="auto"/>
              </w:rPr>
            </w:pPr>
          </w:p>
        </w:tc>
        <w:tc>
          <w:tcPr>
            <w:tcW w:w="26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 Business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1A. Risk Factors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1B. Unresolved Staff Comments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15</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1C. Cybersecurity</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15</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2. Properties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3. Legal Proceedings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Information about our Executive Officers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18</w:t>
            </w:r>
          </w:p>
        </w:tc>
      </w:tr>
      <w:tr>
        <w:trPr>
          <w:trHeight w:val="219"/>
        </w:trPr>
        <w:tc>
          <w:tcPr>
            <w:tcW w:w="9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5. Market for Registrant’s Capital Stock, Related Shareholder Matters and Issuer Purchases of Equity Securities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19</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6. Reserved</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20</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7. Management's Discussion and Analysis of Financial Condition and Results of Operations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20</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7A. Quantitative and Qualitative Disclosure about Market Risk</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37</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8. Financial Statements and Supplementary Data</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38</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 Changes in and Disagreements with Accountants on Accounting and Financial Disclosure</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83</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9A. Controls and Procedures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83</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9B. Other Information</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83</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9C. Disclosure Regarding Foreign Jurisdictions that Prevent Inspections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83</w:t>
            </w:r>
          </w:p>
        </w:tc>
      </w:tr>
      <w:tr>
        <w:trPr>
          <w:trHeight w:val="219"/>
        </w:trPr>
        <w:tc>
          <w:tcPr>
            <w:tcW w:w="9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III</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10. Directors, Executive Officers and Corporate Governance</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83</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11. Executive Compensation</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12. Security Ownership of Certain Beneficial Owners and Management and Related Shareholder Matters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13. Certain Relationships and Related Transactions, and Director Independence</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14. Principal Accountant Fees and Services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19"/>
        </w:trPr>
        <w:tc>
          <w:tcPr>
            <w:tcW w:w="9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IV</w:t>
            </w:r>
          </w:p>
        </w:tc>
        <w:tc>
          <w:tcPr>
            <w:tcW w:w="680" w:type="dxa"/>
            <w:vAlign w:val="bottom"/>
          </w:tcPr>
          <w:p>
            <w:pPr>
              <w:spacing w:after="0"/>
              <w:rPr>
                <w:sz w:val="19"/>
                <w:szCs w:val="19"/>
                <w:color w:val="auto"/>
              </w:rPr>
            </w:pP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15. Exhibits and Financial Statement Schedules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Item 16. Form 10-K Summary</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85</w:t>
            </w:r>
          </w:p>
        </w:tc>
      </w:tr>
      <w:tr>
        <w:trPr>
          <w:trHeight w:val="219"/>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Index to Exhibits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86</w:t>
            </w:r>
          </w:p>
        </w:tc>
      </w:tr>
      <w:tr>
        <w:trPr>
          <w:trHeight w:val="223"/>
        </w:trPr>
        <w:tc>
          <w:tcPr>
            <w:tcW w:w="9200" w:type="dxa"/>
            <w:vAlign w:val="bottom"/>
            <w:gridSpan w:val="3"/>
          </w:tcPr>
          <w:p>
            <w:pPr>
              <w:ind w:left="660"/>
              <w:spacing w:after="0"/>
              <w:rPr>
                <w:sz w:val="20"/>
                <w:szCs w:val="20"/>
                <w:color w:val="auto"/>
              </w:rPr>
            </w:pPr>
            <w:r>
              <w:rPr>
                <w:rFonts w:ascii="Times New Roman" w:cs="Times New Roman" w:eastAsia="Times New Roman" w:hAnsi="Times New Roman"/>
                <w:sz w:val="17"/>
                <w:szCs w:val="17"/>
                <w:color w:val="0000FF"/>
              </w:rPr>
              <w:t>Signatures</w:t>
            </w:r>
          </w:p>
        </w:tc>
        <w:tc>
          <w:tcPr>
            <w:tcW w:w="680" w:type="dxa"/>
            <w:vAlign w:val="bottom"/>
          </w:tcPr>
          <w:p>
            <w:pPr>
              <w:ind w:left="500"/>
              <w:spacing w:after="0"/>
              <w:rPr>
                <w:sz w:val="20"/>
                <w:szCs w:val="20"/>
                <w:color w:val="auto"/>
              </w:rPr>
            </w:pPr>
            <w:r>
              <w:rPr>
                <w:rFonts w:ascii="Times New Roman" w:cs="Times New Roman" w:eastAsia="Times New Roman" w:hAnsi="Times New Roman"/>
                <w:sz w:val="17"/>
                <w:szCs w:val="17"/>
                <w:color w:val="0000FF"/>
                <w:w w:val="93"/>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845"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 in this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Unless otherwise stated, the terms "we," "us," "our" and the "company" refer to Campbell Soup Company and its consolidated subsidiaries.</w:t>
      </w:r>
    </w:p>
    <w:p>
      <w:pPr>
        <w:spacing w:after="0" w:line="10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Inc. (Sovos Brands) for total purchase consideration of $2.899 billion. For additional information on this acquisition, see Note 3 to the Consolidated Financial Statements.</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August 26, 2024, we completed the sale of our Pop Secret popcorn business. For additional information on the divestiture, see Note 21 to the Consolidated Financial Statements.</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operations, including reportable segments, are described below. Our locations, including manufacturing facilities, within each reporting segment are described in Item 2. Properties.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reportable segments are:</w:t>
      </w:r>
    </w:p>
    <w:p>
      <w:pPr>
        <w:spacing w:after="0" w:line="101" w:lineRule="exact"/>
        <w:rPr>
          <w:sz w:val="20"/>
          <w:szCs w:val="20"/>
          <w:color w:val="auto"/>
        </w:rPr>
      </w:pPr>
    </w:p>
    <w:p>
      <w:pPr>
        <w:jc w:val="both"/>
        <w:ind w:left="620" w:hanging="308"/>
        <w:spacing w:after="0" w:line="261"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and stocks;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Prego</w:t>
      </w:r>
      <w:r>
        <w:rPr>
          <w:rFonts w:ascii="Times New Roman" w:cs="Times New Roman" w:eastAsia="Times New Roman" w:hAnsi="Times New Roman"/>
          <w:sz w:val="17"/>
          <w:szCs w:val="17"/>
          <w:color w:val="auto"/>
        </w:rPr>
        <w:t xml:space="preserve"> pasta sauces;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Mexican sauces;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gravies, pasta, beans and dinner sauces;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canned poultry;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as of March 12, 2024,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dry pasta, frozen entrées, frozen pizza and soups; </w:t>
      </w:r>
      <w:r>
        <w:rPr>
          <w:rFonts w:ascii="Times New Roman" w:cs="Times New Roman" w:eastAsia="Times New Roman" w:hAnsi="Times New Roman"/>
          <w:sz w:val="17"/>
          <w:szCs w:val="17"/>
          <w:i w:val="1"/>
          <w:iCs w:val="1"/>
          <w:color w:val="auto"/>
        </w:rPr>
        <w:t>Michael Angelo's</w:t>
      </w:r>
      <w:r>
        <w:rPr>
          <w:rFonts w:ascii="Times New Roman" w:cs="Times New Roman" w:eastAsia="Times New Roman" w:hAnsi="Times New Roman"/>
          <w:sz w:val="17"/>
          <w:szCs w:val="17"/>
          <w:color w:val="auto"/>
        </w:rPr>
        <w:t xml:space="preserve"> frozen entrées and pasta sauces; and </w:t>
      </w:r>
      <w:r>
        <w:rPr>
          <w:rFonts w:ascii="Times New Roman" w:cs="Times New Roman" w:eastAsia="Times New Roman" w:hAnsi="Times New Roman"/>
          <w:sz w:val="17"/>
          <w:szCs w:val="17"/>
          <w:i w:val="1"/>
          <w:iCs w:val="1"/>
          <w:color w:val="auto"/>
        </w:rPr>
        <w:t>noosa</w:t>
      </w:r>
      <w:r>
        <w:rPr>
          <w:rFonts w:ascii="Times New Roman" w:cs="Times New Roman" w:eastAsia="Times New Roman" w:hAnsi="Times New Roman"/>
          <w:sz w:val="17"/>
          <w:szCs w:val="17"/>
          <w:color w:val="auto"/>
        </w:rPr>
        <w:t xml:space="preserve"> yogurts. The segment also includes snacking products in foodservice and Canada; and</w:t>
      </w:r>
    </w:p>
    <w:p>
      <w:pPr>
        <w:spacing w:after="0" w:line="53" w:lineRule="exact"/>
        <w:rPr>
          <w:rFonts w:ascii="Times New Roman" w:cs="Times New Roman" w:eastAsia="Times New Roman" w:hAnsi="Times New Roman"/>
          <w:sz w:val="17"/>
          <w:szCs w:val="17"/>
          <w:color w:val="auto"/>
        </w:rPr>
      </w:pPr>
    </w:p>
    <w:p>
      <w:pPr>
        <w:jc w:val="both"/>
        <w:ind w:left="620" w:hanging="308"/>
        <w:spacing w:after="0" w:line="26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Snacks, which consists of Pepperidge Farm cookies*, crackers, fresh bakery and frozen products, including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w:t>
      </w:r>
      <w:r>
        <w:rPr>
          <w:rFonts w:ascii="Times New Roman" w:cs="Times New Roman" w:eastAsia="Times New Roman" w:hAnsi="Times New Roman"/>
          <w:sz w:val="17"/>
          <w:szCs w:val="17"/>
          <w:i w:val="1"/>
          <w:iCs w:val="1"/>
          <w:color w:val="auto"/>
        </w:rPr>
        <w:t>*, Kettle Brand</w:t>
      </w:r>
      <w:r>
        <w:rPr>
          <w:rFonts w:ascii="Times New Roman" w:cs="Times New Roman" w:eastAsia="Times New Roman" w:hAnsi="Times New Roman"/>
          <w:sz w:val="17"/>
          <w:szCs w:val="17"/>
          <w:color w:val="auto"/>
        </w:rPr>
        <w:t xml:space="preserve"> potato chips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other snacking products in retail in the U.S. We refer to the * brands as our "power brands." The segment includes the retail business in Latin America. The segment included the results of our Emerald nuts business, which was sold on May 30, 2023 and our Pop Secret popcorn business, which was sold on August 26, 2024.</w:t>
      </w:r>
    </w:p>
    <w:p>
      <w:pPr>
        <w:spacing w:after="0" w:line="4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See Note 7 to the Consolidated Financial Statements and "Management's Discussion and Analysis of Financial Condition and Results of Operations" for additional information regarding our reportable segments.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Ingredients and Packaging</w:t>
      </w:r>
    </w:p>
    <w:p>
      <w:pPr>
        <w:spacing w:after="0" w:line="10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The ingredients and packaging materials required for the manufacture of our food and beverage products are purchased from various suppliers, substantially all of which are located in North America. During 2024, we experienced moderately elevated commodity and supply chain costs including the costs of labor, raw materials, energy, fuel, packaging materials and other inputs necessary for the production and distribution of our products. In addition, many of these items are subject to price fluctuations from a number of factors, including but not limited to climate change, changes in crop size, cattle cycles, herd and flock disease, crop disease, crop pests, product scarcity, demand for raw materials, commodity market speculation, energy costs, currency fluctuations, supplier capacities, government-sponsored agricultural programs and other government policy, import and export requirements (including tariffs), drought and excessive rain, temperature extremes and other adverse weather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17"/>
          <w:szCs w:val="17"/>
          <w:color w:val="auto"/>
        </w:rPr>
        <w:t>events, water scarcity, scarcity of suitable agricultural land, scarcity of organic ingredients, pandemics or other local or global health issues, geopolitical conflicts, environmental and other sustainability regulations and other factors that may be beyond our control. To help reduce some of this price volatility, we use a combination of purchase orders, short- and long-term contracts, inventory management practices and various commodity risk management tools for most of our ingredients and packaging. Ingredient inventories are generally at a peak during the late fall and decline during the winter and spring. Since many ingredients of suitable quality are available in sufficient quantities only during certain seasons, we make commitments for the purchase of such ingredients in their respective seasons. We are unable to predict the impact of our ability to source these ingredients and packaging materials in the future, and certain supply pressures may continue throughout 2025. We expect input cost inflation in 2025 to remain at similar levels as 2024, as we continue to see improvement across certain ingredients and packaging materials; however, we could experience unexpectedly high input cost inflation in various categories.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most of our markets, sales and merchandising activities are conducted through our own sales force and/or third-party brokers and distribution partners. Our products are generally resold to consumers through retail food chains, mass discounters, mass merchandisers, club stores, convenience stores, drug stores, dollar stores, e-commerce and other retail, commercial and non-commercial establishments. Our Snacks segment has a direct-store-delivery distribution model that uses independent contractor distributors.</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five largest customers accounted for approximately 47% of our consolidated net sales in 2024, 2023, and 2022. Our largest customer, Wal-Mart Stores, Inc. and its affiliates, accounted for approximately 22% of our consolidated net sales in 2024, 2023, and 2022. Both of our reportable segments sold products to Wal-Mart Stores, Inc. or its affiliates. No other customer accounted for 10% or more of our consolidated net sales.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 and Technology</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As of September 11, 2024, we owned over 3,000 trademark registrations and applications in over 150 countries. We believe our trademarks are of material importance to our business. Although the laws vary by jurisdiction, trademarks generally remain valid and can be renewed indefinitely as long as they are in use and/or their registrations are properly maintained, and they have not become generic. We believe that our principal brands, including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Chunky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Goldfish</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Kettle Brand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Lance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Late July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Milano</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Pace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Pacific Foods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Pepperidge Farm</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Prego</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Rao's, Snack Factory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Snyder's of Hanover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Spaghettios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Swanson</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V8</w:t>
      </w:r>
      <w:r>
        <w:rPr>
          <w:rFonts w:ascii="Times New Roman" w:cs="Times New Roman" w:eastAsia="Times New Roman" w:hAnsi="Times New Roman"/>
          <w:sz w:val="17"/>
          <w:szCs w:val="17"/>
          <w:color w:val="auto"/>
        </w:rPr>
        <w:t>, are protected by trademark law in the major markets where they are used.</w:t>
      </w:r>
    </w:p>
    <w:p>
      <w:pPr>
        <w:spacing w:after="0" w:line="5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05" w:lineRule="exact"/>
        <w:rPr>
          <w:sz w:val="20"/>
          <w:szCs w:val="20"/>
          <w:color w:val="auto"/>
        </w:rPr>
      </w:pPr>
    </w:p>
    <w:p>
      <w:pPr>
        <w:jc w:val="both"/>
        <w:ind w:firstLine="386"/>
        <w:spacing w:after="0" w:line="261" w:lineRule="auto"/>
        <w:rPr>
          <w:sz w:val="20"/>
          <w:szCs w:val="20"/>
          <w:color w:val="auto"/>
        </w:rPr>
      </w:pPr>
      <w:r>
        <w:rPr>
          <w:rFonts w:ascii="Times New Roman" w:cs="Times New Roman" w:eastAsia="Times New Roman" w:hAnsi="Times New Roman"/>
          <w:sz w:val="17"/>
          <w:szCs w:val="17"/>
          <w:color w:val="auto"/>
        </w:rPr>
        <w:t>We operate in a highly competitive industry and experience competition in all of our categories. This competition arises from numerous competitors of varying sizes across multiple food and beverage categories, and includes producers of private label products, as well as other branded food and beverage manufacturers. Private label products are generally sold at lower prices than branded products. Competitors market and sell their products through traditional retailers and e-commerce. All of these competitors vie for trade merchandising support and consumer dollars. The number of competitors cannot be reliably estimated. Our principal areas of competition are brand recognition, taste, nutritional value, price, promotion, innovation, shelf space and customer service.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92" w:lineRule="exact"/>
        <w:rPr>
          <w:sz w:val="20"/>
          <w:szCs w:val="20"/>
          <w:color w:val="auto"/>
        </w:rPr>
      </w:pPr>
    </w:p>
    <w:p>
      <w:pPr>
        <w:jc w:val="both"/>
        <w:ind w:firstLine="386"/>
        <w:spacing w:after="0" w:line="261" w:lineRule="auto"/>
        <w:rPr>
          <w:sz w:val="20"/>
          <w:szCs w:val="20"/>
          <w:color w:val="auto"/>
        </w:rPr>
      </w:pPr>
      <w:r>
        <w:rPr>
          <w:rFonts w:ascii="Times New Roman" w:cs="Times New Roman" w:eastAsia="Times New Roman" w:hAnsi="Times New Roman"/>
          <w:sz w:val="17"/>
          <w:szCs w:val="17"/>
          <w:color w:val="auto"/>
        </w:rPr>
        <w:t>During 2024, our aggregate capital expenditures were $517 million. We expect to spend approximately $530 million for capital projects in 2025. Major capital projects based on planned spend in 2025 include network optimization for our Meals &amp; Beverages business, finalization of capacity projects for our Snacks business, enhancements to our headquarters in Camden, New Jersey, implementation of our existing SAP enterprise-resource planning system for Sovos Brands and network wastewater initiatives. We estimate that approximately $25 million of the capital expenditures anticipated during 2025 will be for the initial phase of upgrades to our Napoleon, Ohio wastewater treatment facility, with another $20 million for other network wastewater initiatives.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The manufacture and sale of consumer food products is highly regulated. In the U.S., our activities are subject to regulation by various federal government agencies, including the Food and Drug Administration, the Department of Agriculture, the Federal Trade Commission, the Department of Labor, the Department of Commerce, the Occupational Safety and Health Administration and the Environmental Protection Agency, as well as various state and local agencies. Our business is also regulated by similar agencies outside of the U.S. Additionally, we are subject to packaging and labeling regulations, data privacy and security regulations, tax and securities regulations, import regulations, accounting and reporting standards, and other financial laws and regulations. We believe that we are in compliance with current laws and regulations in all material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 w:name="page6"/>
    <w:bookmarkEnd w:id="5"/>
    <w:p>
      <w:pPr>
        <w:jc w:val="both"/>
        <w:spacing w:after="0" w:line="286" w:lineRule="auto"/>
        <w:rPr>
          <w:sz w:val="20"/>
          <w:szCs w:val="20"/>
          <w:color w:val="auto"/>
        </w:rPr>
      </w:pPr>
      <w:r>
        <w:rPr>
          <w:rFonts w:ascii="Times New Roman" w:cs="Times New Roman" w:eastAsia="Times New Roman" w:hAnsi="Times New Roman"/>
          <w:sz w:val="17"/>
          <w:szCs w:val="17"/>
          <w:color w:val="auto"/>
        </w:rPr>
        <w:t>respects and do not expect that continued compliance with such laws and regulations will have a material effect on capital expenditures, earnings or our competitive position.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Of our $517 million in capital expenditures made during 2024, approximately $15 million were for compliance with environmental laws and regulations in the U.S. We further estimate that approximately $25 million of the capital expenditures anticipated during 2025 will be for upgrades to our Napoleon, Ohio wastewater treatment facility, with another approximately $20 million for other network wastewater initiatives. Additionally, we anticipate spending approximately $10 million for compliance with U.S. environmental laws and regulations during 2025. We believe that the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 See Note 18 to the Consolidated Financial Statements for additional information regarding certain environmental matters.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92"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Demand for soup products is seasonal, with the fall and winter months usually accounting for the highest sales volume. Demand for our other products is generally evenly distributed throughout the year.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0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One of the five areas of our strategic framework is to build a Top Team. To do this, we are committed to building a company where everyone can be real, and feel safe, valued and supported to do their best work. We believe that our employees are the driving force behind our success and prioritize attracting, developing and retaining diverse, world-class talent and creating an inclusive culture that embodies our purpose: </w:t>
      </w:r>
      <w:r>
        <w:rPr>
          <w:rFonts w:ascii="Times New Roman" w:cs="Times New Roman" w:eastAsia="Times New Roman" w:hAnsi="Times New Roman"/>
          <w:sz w:val="17"/>
          <w:szCs w:val="17"/>
          <w:i w:val="1"/>
          <w:iCs w:val="1"/>
          <w:color w:val="auto"/>
        </w:rPr>
        <w:t>Connecting people through food they love</w:t>
      </w:r>
      <w:r>
        <w:rPr>
          <w:rFonts w:ascii="Times New Roman" w:cs="Times New Roman" w:eastAsia="Times New Roman" w:hAnsi="Times New Roman"/>
          <w:sz w:val="17"/>
          <w:szCs w:val="17"/>
          <w:color w:val="auto"/>
        </w:rPr>
        <w:t xml:space="preserve">. We have recently completed our plan to bring together all of our corporate team members from our Snacks offices in Charlotte, North Carolina and Norwalk, Connecticut to our headquarters in Camden, New Jersey. This move has helped to foster closer collaboration and enhance decision-making, thereby improving our ability to execute our business strategy. We have established a new Employee Value Proposition, </w:t>
      </w:r>
      <w:r>
        <w:rPr>
          <w:rFonts w:ascii="Times New Roman" w:cs="Times New Roman" w:eastAsia="Times New Roman" w:hAnsi="Times New Roman"/>
          <w:sz w:val="17"/>
          <w:szCs w:val="17"/>
          <w:i w:val="1"/>
          <w:iCs w:val="1"/>
          <w:color w:val="auto"/>
        </w:rPr>
        <w:t>Make history with Campbell’s,</w:t>
      </w:r>
      <w:r>
        <w:rPr>
          <w:rFonts w:ascii="Times New Roman" w:cs="Times New Roman" w:eastAsia="Times New Roman" w:hAnsi="Times New Roman"/>
          <w:sz w:val="17"/>
          <w:szCs w:val="17"/>
          <w:color w:val="auto"/>
        </w:rPr>
        <w:t xml:space="preserve"> to enhance our focus on building a winning team and culture. On July 28, 2024, we had approximately 14,400 full-time and part-time employees.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Training, Development and Engagement</w:t>
      </w:r>
    </w:p>
    <w:p>
      <w:pPr>
        <w:spacing w:after="0" w:line="10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 xml:space="preserve">We invest in our employees through training and development programs. We have partnered with leading online content experts and increased internal learning development to expand our catalog of courses and support our culture of continuous learning. A suite of training and education programs are available to employees ranging from role-specific training to education on soft skills to assist them with enhancing their careers through continuous learning. Through objective-setting, individual development plans, learning opportunities, feedback and coaching, employees are encouraged to continue their professional growth. Our education programs allow employees to focus on timely and topical development areas including leadership, management excellence, functional capabilities and inclusion and diversity. We communicate frequently and transparently with our employees through regular company-wide and business unit check-ins, and we conduct employee engagement surveys that provide our employees with an opportunity to share anonymous feedback with management in a variety of areas including confidence in leadership, growth and career opportunities, alignment of work and overall engagement. These surveys allow our leaders to develop action plans for their business units as well as the broader organization. In addition, in 2024, we launched a new initiative, </w:t>
      </w:r>
      <w:r>
        <w:rPr>
          <w:rFonts w:ascii="Times New Roman" w:cs="Times New Roman" w:eastAsia="Times New Roman" w:hAnsi="Times New Roman"/>
          <w:sz w:val="17"/>
          <w:szCs w:val="17"/>
          <w:i w:val="1"/>
          <w:iCs w:val="1"/>
          <w:color w:val="auto"/>
        </w:rPr>
        <w:t>Campbell’s Way of Leadership</w:t>
      </w:r>
      <w:r>
        <w:rPr>
          <w:rFonts w:ascii="Times New Roman" w:cs="Times New Roman" w:eastAsia="Times New Roman" w:hAnsi="Times New Roman"/>
          <w:sz w:val="17"/>
          <w:szCs w:val="17"/>
          <w:color w:val="auto"/>
        </w:rPr>
        <w:t>, to help our employees develop leadership skills and drive the growth of our business. As of July 28, 2024, we have trained approximately 50% of our supervisory and management population in Campbell’s Way of Leadership programs.</w:t>
      </w:r>
    </w:p>
    <w:p>
      <w:pPr>
        <w:spacing w:after="0" w:line="6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Campbell Employee Experience enhances the foundational moments that are key to an employee's career at our company - from the candidate experience and onboarding through career advancement - to help our employees thrive at work, with the goal of building an inclusive, engaging and high-performing culture.</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Inclusion and Diversity</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 key to our success is our ability to attract and retain top talent in all areas of our business. We believe that having an inclusive and diverse culture strengthens our ability to recruit and develop this talent and allows employees to thrive and succeed.</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inclusion and diversity (I&amp;D) efforts are focused around three pillars:</w:t>
      </w:r>
    </w:p>
    <w:p>
      <w:pPr>
        <w:spacing w:after="0" w:line="88" w:lineRule="exact"/>
        <w:rPr>
          <w:sz w:val="20"/>
          <w:szCs w:val="20"/>
          <w:color w:val="auto"/>
        </w:rPr>
      </w:pPr>
    </w:p>
    <w:p>
      <w:pPr>
        <w:ind w:left="620" w:hanging="308"/>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Capabilities - providing resources and tools to employees to develop capabilities to build a winning team and culture;</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Advocacy - supporting our employees, our partners and the communities where we live and work; and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 w:name="page7"/>
    <w:bookmarkEnd w:id="6"/>
    <w:p>
      <w:pPr>
        <w:ind w:left="620" w:hanging="308"/>
        <w:spacing w:after="0" w:line="28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Accountability - having individual, management and organizational accountability and transparency about our progress on building an inclusive and diverse culture.</w:t>
      </w:r>
    </w:p>
    <w:p>
      <w:pPr>
        <w:spacing w:after="0" w:line="2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Each pillar has focus areas and initiatives designed to further its objectives. Together, these activities create a holistic approach to I&amp;D across the company. To support these pillars, we have developed strategies focused on building a pipeline of diverse talent through expanded recruitment efforts, I&amp;D learning opportunities, internal talent development and leveraging our employee resource groups. Throughout 2024 the board of directors received regular updates from management on our I&amp;D efforts.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Wellness and Safety</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employees' health, safety and well-being are our top priorities. We promote a strong culture of safety and prioritize keeping all our employees, contractors and visitors safe. To accomplish this, we employ comprehensive health, safety and environment management policies and standards throughout the organization. In addition, we strive to continuously improve our work processes, tools and metrics to reduce workplace injuries and enhance safety.</w:t>
      </w:r>
    </w:p>
    <w:p>
      <w:pPr>
        <w:spacing w:after="0" w:line="3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provide a workplace that develops, supports and motivates our people. Our Resources for Living program provides information, education tools and resources to help support our employees' physical, financial, social and emotional well-being. As part of this focus on well-being, we emphasize the need for our employees to embrace healthy lifestyles and we offer a variety of wellness education opportunities for our employees. We continue to modernize our workspaces and have a hybrid work policy to allow office-based employees to work remotely several days per week.</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Total Rewards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provide market-based competitive compensation through our salary, annual incentive and long-term incentive programs, and a robust benefits package that promotes the overall well-being of our employees. We provide a variety of resources and services to help our employees plan for retirement and provide a 401(k) plan with immediate vesting. We benchmark and establish compensation structures based on competitive market data. Individual pay is based on various factors such as an employee's role, experience, job location and contributions. Performance discussions for salaried employees are conducted throughout the year to assess contributions and inform individual development plans.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Websites</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Our primary corporate website can be found at </w:t>
      </w:r>
      <w:r>
        <w:rPr>
          <w:rFonts w:ascii="Times New Roman" w:cs="Times New Roman" w:eastAsia="Times New Roman" w:hAnsi="Times New Roman"/>
          <w:sz w:val="17"/>
          <w:szCs w:val="17"/>
          <w:u w:val="single" w:color="auto"/>
          <w:color w:val="auto"/>
        </w:rPr>
        <w:t>www.campbellsoupcompany.com</w:t>
      </w:r>
      <w:r>
        <w:rPr>
          <w:rFonts w:ascii="Times New Roman" w:cs="Times New Roman" w:eastAsia="Times New Roman" w:hAnsi="Times New Roman"/>
          <w:sz w:val="17"/>
          <w:szCs w:val="17"/>
          <w:color w:val="auto"/>
        </w:rPr>
        <w:t>. We make available free of charge at the Investors portion of this website (under the "Financials—SEC Filings" caption) all of our reports (including amendments) filed or furnished pursuant to Section 13(a) or 15(d) of the Securities Exchange Act of 1934, as amended, including our annual reports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addition to the factors discussed elsewhere in this Report, the following risks and uncertainties could have a material adverse affect on our business, financial condition and results of operations. Although the risks are organized and described separately, many of the risks are interrelated. Additional risks and uncertainties not presently known to us or that we currently deem immaterial also may impair our business operations and financial condition.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Business and Operational Risks</w:t>
      </w:r>
    </w:p>
    <w:p>
      <w:pPr>
        <w:spacing w:after="0" w:line="8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We may not be able to increase prices or sustain price increases to fully offset inflationary pressures on costs, such as raw and packaging materials, labor and distribution costs.</w:t>
      </w:r>
    </w:p>
    <w:p>
      <w:pPr>
        <w:spacing w:after="0" w:line="3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As a manufacturer of food and beverage products, we rely on plant labor, distribution resources and raw and packaging materials including tomatoes, tomato paste, grains, beef, poultry, dairy, olive oil, vegetable oil, wheat, potatoes and other vegetables, steel, aluminum, glass, paper and resin. During 2024, we experienced moderately elevated commodity and supply chain costs including the costs of labor, raw materials, energy, fuel, packaging materials and other inputs necessary for the production and distribution of our products. We expect input cost inflation in 2025 to remain at similar levels as 2024, as we continue to see improvement across certain ingredients and packaging materials; however, we could experience unexpectedly high input cost inflation in various categories and in other areas of persistent inflation, such as labor and distribution costs, and we expect modestly elevated levels of inflation to continue into 2025. In addition, many of these items are subject to price fluctuations from a number of factors, including but not limited to changes in crop size, cattle cycles, herd and flock disease, crop disease, crop pests, product scarcity, demand for raw materials, commodity market speculation, energy costs, currency fluctuations, supplier capacities, government-sponsored agricultural programs and other government policy, import and export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 w:name="page8"/>
    <w:bookmarkEnd w:id="7"/>
    <w:p>
      <w:pPr>
        <w:jc w:val="both"/>
        <w:spacing w:after="0" w:line="269" w:lineRule="auto"/>
        <w:rPr>
          <w:sz w:val="20"/>
          <w:szCs w:val="20"/>
          <w:color w:val="auto"/>
        </w:rPr>
      </w:pPr>
      <w:r>
        <w:rPr>
          <w:rFonts w:ascii="Times New Roman" w:cs="Times New Roman" w:eastAsia="Times New Roman" w:hAnsi="Times New Roman"/>
          <w:sz w:val="17"/>
          <w:szCs w:val="17"/>
          <w:color w:val="auto"/>
        </w:rPr>
        <w:t>requirements (including tariffs), drought and excessive rain, temperature extremes and other adverse weather events, water scarcity, scarcity of suitable agricultural land, scarcity of organic ingredients, pandemics or other local or global health issues, geopolitical conflicts, environmental and other sustainability regulations and other factors that may be beyond our control.</w:t>
      </w:r>
    </w:p>
    <w:p>
      <w:pPr>
        <w:spacing w:after="0" w:line="38"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try to mitigate some or all cost increases through increases in the selling prices of, or decreases in the packaging sizes of, some of our products. Higher product prices or smaller packaging sizes may result in reductions in sales volume. Consumers may be less willing to pay a price differential for our branded products and may increasingly purchase private label or other lower-priced offerings, or may forego some purchases altogether, during an economic downturn or times of increased inflationary pressure. To the extent that price increases or packaging size decreases are not sufficient to offset these increased costs adequately or in a timely manner, and/or if they result in significant decreases in sales volume or a shift in sales mix to private label or other lower-margin offerings, our business results and financial condition may be adversely affected. Furthermore, we may not be able to fully offset any cost increases through productivity initiatives or through our commodity hedging activity.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Disruption to our supply chain could adversely affect our business.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beyond our control such as increased temperatures due to climate change, water stress, extreme weather events, natural disasters, product or raw material scarcity, fire, terrorism, pandemics or other local or global health issues, geopolitical conflicts, strikes, labor shortages, cybersecurity breaches, government shutdowns, disruptions in logistics, supplier capacity constraints or other events. Commodity prices continue</w:t>
      </w:r>
    </w:p>
    <w:p>
      <w:pPr>
        <w:spacing w:after="0" w:line="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be volatile. Production of the agricultural commodities used in our business may also be adversely affected by drought and excessive rain, temperature extremes and other adverse weather events, water scarcity, scarcity of suitable agricultural land, scarcity of organic ingredients, crop size, cattle cycles, herd and flock disease,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location or produced at a single location. For example, the substantial majority of our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tomato-based sauce products are produced by a third-party contract manufacturer at a single facility in Italy and the remainder of our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tomato-based sauce products are produced by a third-party contract manufacturer at a single facility in the U.S. If a dispute arises with such contract manufacturer, or if the contract manufacturer experiences financial, operational or other issues, we may be required to make alternative arrangements to produce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sauce products, such as assuming manufacturing operations on our own or finding one or more alternative contract manufacturing arrangements, which could be costly or time-consuming. In addition, disputes with significant suppliers, contract manufacturers, logistics service providers or independent distributors, including disputes regarding pricing, performance or production, may also adversely affect our ability to manufacture and/or sell our products, as well as our business or financial results.</w:t>
      </w:r>
    </w:p>
    <w:p>
      <w:pPr>
        <w:spacing w:after="0" w:line="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results may be adversely affected by our inability to complete or realize the projected benefits of acquisitions, divestitures and other strategic transactions. Specifically, the anticipated benefits of the Sovos Brands acquisition may not be fully realized, and we may experience unexpected difficulties or expenses in integrating the Sovos Brands business.</w:t>
      </w:r>
    </w:p>
    <w:p>
      <w:pPr>
        <w:spacing w:after="0" w:line="3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have historically made strategic acquisitions of brands and businesses and we may undertake additional acquisitions or other strategic transactions in the future. Our ability to meet our objectives with respect to acquisitions and other strategic transactions may depend in part on our ability to identify suitable counterparties, negotiate favorable financial and other contractual terms, obtain all necessary regulatory approvals on the terms expected and complete those transactions. If we are unable to complete acquisitions or successfully integrate and develop acquired businesses, including the effective management of integration activities, we could fail to achieve the anticipated synergies and cost savings, or the expected increases in revenues and operating results. Additional acquisition risks include the diversion of management attention from our existing business, potential loss of key employees, suppliers, or customers from the acquired business, assumption of unknown risks and liabilities, greater than anticipated operating costs of the acquired business, the inability to promptly implement an effective control environment, and risks inherent in entering markets or lines of business with which we have limited or no prior experience. Any of these factors could have a material adverse effect on our financial results.</w:t>
      </w:r>
    </w:p>
    <w:p>
      <w:pPr>
        <w:spacing w:after="0" w:line="6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particular, on March 12, 2024, we completed the acquisition of Sovos Brands, resulting in the expansion of our portfolio. Achieving the anticipated benefits of the transaction is subject to uncertainties, including whether we integrate in an efficient and effective manner, and general competitive factors in the marketplace. Integrating Sovos Brands will be a complex, time-consuming and expensive process. As a result, we will be required to devote significant management attention and resources to integrating Sovos Brands’ business practices and operations. The integration process may disrupt the businesses and, if implemented ineffectively or if impacted by unforeseen negative economic or market conditions or other factors, we may not realize the full anticipated benefits of the acquisition. Our failure to meet the challenges involved in integrating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8" w:name="page9"/>
    <w:bookmarkEnd w:id="8"/>
    <w:p>
      <w:pPr>
        <w:jc w:val="both"/>
        <w:spacing w:after="0" w:line="269" w:lineRule="auto"/>
        <w:rPr>
          <w:sz w:val="20"/>
          <w:szCs w:val="20"/>
          <w:color w:val="auto"/>
        </w:rPr>
      </w:pPr>
      <w:r>
        <w:rPr>
          <w:rFonts w:ascii="Times New Roman" w:cs="Times New Roman" w:eastAsia="Times New Roman" w:hAnsi="Times New Roman"/>
          <w:sz w:val="17"/>
          <w:szCs w:val="17"/>
          <w:color w:val="auto"/>
        </w:rPr>
        <w:t>business and to realize the anticipated benefits of the acquisition could cause an interruption of, or a loss of momentum in, our activities and could adversely affect our results of operations or cash flows, cause dilution to our earnings per share, decrease or delay any accretive effect of the acquisition, and negatively impact the market price of our common shares.</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Specifically, the difficulties or expenses related to the integration, may include:</w:t>
      </w:r>
    </w:p>
    <w:p>
      <w:pPr>
        <w:spacing w:after="0" w:line="101" w:lineRule="exact"/>
        <w:rPr>
          <w:sz w:val="20"/>
          <w:szCs w:val="20"/>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ongoing business concerns;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a larger combined business;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the integration of operations and systems, inclusive of internal controls;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adverse changes in product offerings to customers, whether or not these changes actually occur;</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 of unknown risks and liabilities;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current contractual relationships with third-party manufacturers;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retention of key suppliers and customers of Sovos Brands;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new business and operational relationships;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retaining and integrating key employees and maintaining employee morale; and</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expenses or delay resulting from integration activities.</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There are many factors beyond our control and the control of Sovos Brands that could affect the timing or total amount of integration-related expenses. The failure to effectively address any of these risks, or any other risks related to the integration of Sovos Brands, may adversely affect our business or financial results.</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addition, we have previously made strategic divestitures and may do so in the future. Any businesses we decide to divest in the future may depend in part on our ability to identify suitable buyers, negotiate favorable financial and other contractual terms and obtain all necessary regulatory approvals on the terms expected. Potential risks of divestitures may also include:</w:t>
      </w:r>
    </w:p>
    <w:p>
      <w:pPr>
        <w:spacing w:after="0" w:line="51" w:lineRule="exact"/>
        <w:rPr>
          <w:sz w:val="20"/>
          <w:szCs w:val="20"/>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suppliers and/or customers of divested businesses;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separate divested businesses or business units effectively and efficiently from our existing business operations; and</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reduce or eliminate associated overhead costs.</w:t>
      </w:r>
    </w:p>
    <w:p>
      <w:pPr>
        <w:spacing w:after="0" w:line="8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inability to complete or realize the projected benefits of future acquisitions, divestitures or other strategic transactions may adversely affect our business or financial results.</w:t>
      </w:r>
    </w:p>
    <w:p>
      <w:pPr>
        <w:spacing w:after="0" w:line="3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Deterioration of global macroeconomic conditions, including economic recession or slow growth or periods of higher inflation in key markets may adversely affect consumer spending and demand for our products.</w:t>
      </w:r>
    </w:p>
    <w:p>
      <w:pPr>
        <w:spacing w:after="0" w:line="3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Global macroeconomic conditions can be uncertain and volatile. We have in the past been, and may continue to be, adversely affected by changes in global macroeconomic conditions, including inflation, recession, rising interest rates, consumer spending rates, energy availability and costs, global supply chain challenges, labor shortages, geopolitical conflicts, pandemics or other local or global health issues. Volatility in financial markets and deterioration of global macroeconomic conditions could impact our business and results of operations in a number of ways, including but not limited to, the following:</w:t>
      </w:r>
    </w:p>
    <w:p>
      <w:pPr>
        <w:spacing w:after="0" w:line="41" w:lineRule="exact"/>
        <w:rPr>
          <w:sz w:val="20"/>
          <w:szCs w:val="20"/>
          <w:color w:val="auto"/>
        </w:rPr>
      </w:pPr>
    </w:p>
    <w:p>
      <w:pPr>
        <w:ind w:left="620" w:hanging="308"/>
        <w:spacing w:after="0" w:line="286"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commodity prices and other increased input costs could continue due to supply chain shortages or supply chain disruptions, which may not be sufficiently mitigated by our current commodity contracts;</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third parties on which we rely, including but not limited to, those that supply our packaging, ingredients, equipment and other necessary operating materials, contract manufacturers and independent contractors, to meet their obligations to us, or significant disruptions in their ability to do so;</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shift in consumer spending during periods of economic uncertainty or inflation that could result in consumers purchasing private label or other lower price products;</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demand for or availability of our products, as a result of retailers, distributors, or carriers modifying their inventory, fulfillment or shipping practices;</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to our distribution capabilities or our distribution channels, including those of our suppliers, contract manufacturers, logistics service providers or independent distributors; and</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volatility or disruption in the capital and credit markets could negatively impact our liquidity or increase costs of borrowing.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7"/>
          <w:szCs w:val="17"/>
          <w:color w:val="auto"/>
        </w:rPr>
        <w:t>These and other impacts of global macroeconomic conditions could also heighten many of the other risk factors discussed in this Item 1A. Our sensitivity to global macroeconomic conditions could materially impact our business, results of operations, financial condition, and liquidity.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intellectual property rights are valuable, and any inability to protect them could reduce the value of our products and brands.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in traditional retail and digital environments. Our failure to obtain or adequately protect our intellectual property, including in response to developing artificial intelligence technologies, or any change in law that lessens or removes the current legal protections of our intellectual property may diminish our competitiveness and adversely affect our business and financial results.</w:t>
      </w:r>
    </w:p>
    <w:p>
      <w:pPr>
        <w:spacing w:after="0" w:line="5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results may be adversely impacted if consumers do not maintain their favorable perception of our brands.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waste management, ingredients, or our environmental, social, human capital or governance practices,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In addition, we might fail to appropriately target our marketing efforts, anticipate consumer preferences, or invest sufficiently in maintaining our brand image. If we do not maintain the favorable perception of our brands, our results could be adversely impacted.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a disruption, failure or security breach of our information technology systems.</w:t>
      </w:r>
    </w:p>
    <w:p>
      <w:pPr>
        <w:spacing w:after="0" w:line="9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Our information technology systems are critically important to our operations. We rely on our information technology systems (some of which are outsourced to third parties) to manage our data, communications and business processes, including our marketing, sales, manufacturing, procurement, supply chain, customer service, accounting and administrative functions and the importance of such networks and systems has increased due to an increase in our employees working remotely. If we do not obtain and effectively manage the resources and materials necessary to build, sustain and protect appropriate information technology systems, our business or financial results could be adversely impacted. Furthermore, our information technology systems are subject to attack or other security breaches (including the access to or acquisition of customer, consumer, employee or other confidential information), service disruptions or other system failures. If we are unable to prevent or adequately respond to and resolve these disruptions, failures or breaches, our operations may be impacted, and we may suffer other adverse consequences such as reputational damage, litigation, remediation costs, ransomware payments and/or penalties under various data protection laws and regulations.</w:t>
      </w:r>
    </w:p>
    <w:p>
      <w:pPr>
        <w:spacing w:after="0" w:line="270"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Cyber threats are constantly evolving, are becoming more frequent and more sophisticated and are being made by groups of individuals and state actors with a wide range of expertise and motives. Additionally, continued geopolitical turmoil has heightened the risk of cyberattacks. We have previously experienced threats and breaches to our data and systems and although we have not experienced a breach that had a material impact on our operations or business, there can be no assurance that these measures will prevent or limit the impact of a future incident. In addition, in the event our suppliers or customers experience a breach or system failure, their businesses could be disrupted or otherwise negatively affected, which may result in a disruption in our supply chain or reduced customer orders, which would adversely affect our business and financial results. We have also outsourced several information technology support services and administrative functions to third-party service providers, and may outsource other functions in the future to achieve cost savings and efficiencies.</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New and emerging technologies that could result in greater operational efficiency may further expose our computer systems to the risk of cyberattacks. Our initiatives to continue to modernize our operations, increase data digitalization and improve our production facilities may increase potential exposure to cybersecurity risks and increase the complexity of our cybersecurity program. In addition, the rapid evolution and increased adoption of artificial intelligence technologies may intensify our cybersecurity risks. We may incur increased costs in protecting against or remediating cyberattacks or other cyber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7"/>
          <w:szCs w:val="17"/>
          <w:color w:val="auto"/>
        </w:rPr>
        <w:t>incidents. As cyberattacks increase in frequency and magnitude around the world, we may be unable to obtain cybersecurity insurance in the amounts and on the terms we view as appropriate and favorable for our operations.</w:t>
      </w:r>
    </w:p>
    <w:p>
      <w:pPr>
        <w:spacing w:after="0" w:line="2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To address the risks to our information technology systems and the associated costs, we maintain an information security program that includes updating technology and security policies, cybersecurity insurance, employee awareness training and monitoring and routine testing of our information technology systems. We believe that these preventative and detective actions provide adequate measures of protection against security breaches and generally reduce our cybersecurity risks and enhance our ability to prevent, detect and respond to disruptive events. Our information security program includes capabilities designed to evaluate and mitigate cyber risks arising from third-party service providers. We believe that these capabilities provide insights and visibility to the security posture of our third-party service providers, however, cyber threats to those organizations are beyond our control. If these service providers do not perform effectively due to breach or system failure, we may not be able to achieve the expected benefits and our business may be disrupted.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not be able to attract and retain the highly skilled people we need to support our business.</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depend on the skills and continued service of key personnel, including our experienced management team. In addition, our ability to achieve our strategic and operating goals depends on our ability to identify, hire, train and retain qualified individuals, including all levels of skilled labor in our manufacturing facilities. We also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4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Over the past few years, particularly related to manufacturing, we have experienced an increasingly competitive labor market. A sustained labor shortage or increased turnover rates within our employee base, as a result of general macroeconomic factors,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have unintended negative effects, our business could be adversely affected.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fully realize the expected cost savings and/or operating efficiencies associated with our strategic initiatives, our profitability could suffer.</w:t>
      </w:r>
    </w:p>
    <w:p>
      <w:pPr>
        <w:spacing w:after="0" w:line="10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Our future success and earnings growth depend in part on our ability to achieve the appropriate cost structure and operate efficiently in the highly competitive food industry, particularly in an environment of volatile cost inputs. We continuously pursue initiatives to reduce costs and increase effectiveness. See "Management's Discussion and Analysis of Financial Condition and Results of Operations - Restructuring Charges, Cost Savings Initiatives and Other Optimization Initiatives" for additional information on these initiatives. We also regularly pursue cost productivity initiatives in procurement, manufacturing and logistics. Any failure or delay in implementing our initiatives in accordance with our plans could adversely affect our ability to meet our long-term growth and profitability expectations and could adversely affect our business. If we do not continue to effectively manage costs and achieve additional efficiencies, our competitiveness and our profitability could decrease.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Competitive and Industry Risks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significant competition in all our product categories, which may result in lower sales and margins.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operate in the highly competitive food and beverage industry mainly in the North American market and experience competition in all of our categories. The principal areas of competition are brand recognition, taste, nutritional value, price, promotion, innovation, shelf space and customer service. A number of our primary competitors are larger than us and have substantial financial, marketing and other resources, and some of our competitors may spend more aggressively on advertising and promotional activities than we do. Attractive pricing, product placement and visibility, securing new retailers, and maintaining or increasing shelf space for our products may also affect our ability to remain competitive. Even if we obtain our desired product visibility and shelf space, we may not achieve retailers’ sales expectations, which could cause these retailers to reduce shelf space for our products. In addition, reduced barriers to entry and easier access to funding are creating new competition. A strong competitive response from one or more of these competitors to our marketplace efforts, or a continued shift towards private label offerings, particularly during periods of economic uncertainty or significant inflation, could result in us reducing prices and/or increasing promotions, increasing marketing or other expenditures, each of which may result in lower sales and/or margins.</w:t>
      </w:r>
    </w:p>
    <w:p>
      <w:pPr>
        <w:spacing w:after="0" w:line="4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ability to compete also depends upon our ability to predict, identify, and interpret the tastes and dietary habits of consumers and to offer products that appeal to those preferences. There are inherent marketplace risks associated with new product or packaging introductions, including uncertainties about trade and consumer acceptance. If we do not succeed in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1" w:name="page12"/>
    <w:bookmarkEnd w:id="11"/>
    <w:p>
      <w:pPr>
        <w:jc w:val="both"/>
        <w:spacing w:after="0" w:line="257" w:lineRule="auto"/>
        <w:rPr>
          <w:sz w:val="20"/>
          <w:szCs w:val="20"/>
          <w:color w:val="auto"/>
        </w:rPr>
      </w:pPr>
      <w:r>
        <w:rPr>
          <w:rFonts w:ascii="Times New Roman" w:cs="Times New Roman" w:eastAsia="Times New Roman" w:hAnsi="Times New Roman"/>
          <w:sz w:val="17"/>
          <w:szCs w:val="17"/>
          <w:color w:val="auto"/>
        </w:rPr>
        <w:t>offering products that consumers want to buy, our sales and market share will decrease, resulting in reduced profitability. If we are unable to accurately predict which shifts in consumer preferences will be long-lasting, or are unable to introduce new and improved products to satisfy those preferences, our sales will decline. Weak economic conditions, recessions, significant inflation and other factors, such as pandemics, could affect consumer preferences and demand. In addition, given the variety of backgrounds and identities of consumers in our consumer base, we must offer a sufficient array of products to satisfy the broad spectrum of consumer preferences. As such, we must be successful in developing innovative products across a multitude of product categories. We must also be able to respond successfully to technological advances (including artificial intelligence and machine learning, which may become critical in interpreting consumer preferences in the future) and intellectual property rights of our competitors, and failure to do so could compromise our competitive position and negatively impact our product sales. Finally, if we fail to rapidly develop products in faster-growing and more profitable categories, we could experience reduced demand for our products, or fail to expand margins.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a changing customer landscape and the increased significance of some of our customers.</w:t>
      </w:r>
    </w:p>
    <w:p>
      <w:pPr>
        <w:spacing w:after="0" w:line="10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Our businesses are largely concentrated in the traditional retail grocery trade, which has experienced slower growth than other retail channels, such as dollar stores, drug stores, club stores and e-commerce retailers. We expect this trend away from traditional retail grocery to alternate channels to continue in the future. These alternative retail channels may also create consumer price deflation, affecting our retail customer relationships and presenting additional challenges to increasing prices in response to commodity or other cost increases. In addition, retailers with increased buying power and negotiating strength are seeking more favorable terms, including increased promotional programs and customized products funded by their suppliers. These customers may also use more of their shelf space for their private label products, which are generally sold at lower prices than branded products. If we are unable to use our scale, marketing, product innovation and category leadership positions to respond to these customer dynamics, our business or financial results could be adversely impacted.</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2024, our five largest customers accounted for approximately 47% of our consolidated net sales, with the largest customer, Wal-Mart Stores, Inc. and its affiliates, accounting for approximately 22% of our consolidated net sales.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Financial and Economic Risks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 impairment of the carrying value of goodwill or other indefinite-lived intangible assets could adversely affect our financial results and net worth.</w:t>
      </w:r>
    </w:p>
    <w:p>
      <w:pPr>
        <w:spacing w:after="0" w:line="10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As of July 28, 2024, we had goodwill of $5.077 billion and other indefinite-lived intangible assets of $3.882 billion. Goodwill and indefinite-lived intangible assets are initially recorded at fair value and not amortized, but are tested for impairment at least annually in the fourth quarter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discounted cash flow analyses. If the carrying values of the reporting unit or indefinite-lived intangible assets exceed their fair value, the goodwill or indefinite-lived intangible assets are considered impaired. Factors that could result in an impairment include a change in revenue growth rates, operating margins, weighted average cost of capital, future economic and market conditions or assumed royalty rates. See “Critical Accounting Estimates” and Note 6 to the Consolidated Financial Statements for information on impairment charges recognized in 2024. If current expectations for growth rates for sales and profits are not met, or other market factors and macroeconomic conditions were to change, we may be required in the future to record impairment of the carrying value of goodwill or other indefinite-lived intangible assets, which could adversely affect our financial results and net worth.</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increased liabilities and costs related to our defined benefit pension plans.</w:t>
      </w:r>
    </w:p>
    <w:p>
      <w:pPr>
        <w:spacing w:after="0" w:line="10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sponsor a number of defined benefit pension plans for certain employees in the U.S. and certain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future funding requirements, or net periodic benefit costs could have a material adverse effect on our financial results.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risks related to inflation, recession, financial and credit market disruptions and other economic conditions.</w:t>
      </w:r>
    </w:p>
    <w:p>
      <w:pPr>
        <w:spacing w:after="0" w:line="92"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Customer and consumer demand for our products may be impacted by weak economic conditions, recession, equity market volatility or other negative economic factors in the U.S. or other nations. For instance in 2024, the U.S. experienced moderate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2" w:name="page13"/>
    <w:bookmarkEnd w:id="12"/>
    <w:p>
      <w:pPr>
        <w:jc w:val="both"/>
        <w:spacing w:after="0" w:line="269" w:lineRule="auto"/>
        <w:rPr>
          <w:sz w:val="20"/>
          <w:szCs w:val="20"/>
          <w:color w:val="auto"/>
        </w:rPr>
      </w:pPr>
      <w:r>
        <w:rPr>
          <w:rFonts w:ascii="Times New Roman" w:cs="Times New Roman" w:eastAsia="Times New Roman" w:hAnsi="Times New Roman"/>
          <w:sz w:val="17"/>
          <w:szCs w:val="17"/>
          <w:color w:val="auto"/>
        </w:rPr>
        <w:t>inflationary pressures. We may not be able to fully mitigate the impact of inflation through continued price increases, productivity initiatives and cost savings, which could have a material adverse effect on our financial results. In addition, if the U.S. economy enters a recession in 2025, we may experience sales declines and may have to decrease prices, all of which could have a material adverse impact on our financial results.</w:t>
      </w:r>
    </w:p>
    <w:p>
      <w:pPr>
        <w:spacing w:after="0" w:line="38"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Similarly, disruptions in financial and/or credit markets may impact our ability to manage normal commercial relationships with our customers, suppliers and creditors and might cause us to not be able to continue to have access to preferred sources of liquidity when needed or on terms we find acceptable, and our borrowing costs could increase.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to our derivative contracts. In addition, changes in tax or interest rates in the U.S. or other nations, whether due to recession, economic disruptions or other reasons, may adversely impact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our substantial indebtedness.</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July 28, 2024, we maintained approximately $7.184 billion of indebtedness, and this level of indebtedness may have important consequences to our business, including but not limited to:</w:t>
      </w:r>
    </w:p>
    <w:p>
      <w:pPr>
        <w:spacing w:after="0" w:line="23" w:lineRule="exact"/>
        <w:rPr>
          <w:sz w:val="20"/>
          <w:szCs w:val="20"/>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the possibility of a downgrade in our credit rating;</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exposure to fluctuations in interest rates;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subjecting us to new financial and other covenants;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and reducing our flexibility to respond to, general adverse economic and industry conditions;</w:t>
      </w:r>
    </w:p>
    <w:p>
      <w:pPr>
        <w:spacing w:after="0" w:line="100"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planning for, or reacting to, changes in our business and the industry in which we operate, including undertaking significant capital projects;</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competitive disadvantage as compared to our competitors, to the extent that they are not as highly leveraged; and</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us from pursuing certain business opportunities, including other acquisitions.</w:t>
      </w:r>
    </w:p>
    <w:p>
      <w:pPr>
        <w:spacing w:after="0" w:line="10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addition, we regularly access the commercial paper markets for working capital needs and other general corporate purposes. If our credit ratings are downgraded, we may have difficulty issuing additional debt securities or borrowing money in the amounts and on the terms that might be available if our credit ratings were maintained. See “Management's Discussion and Analysis of Financial Condition and Results of Operations - Liquidity and Capital Resources” for additional information regarding our indebtedness.</w:t>
      </w:r>
    </w:p>
    <w:p>
      <w:pPr>
        <w:spacing w:after="0" w:line="5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Disruptions in the commercial paper market or other effects of volatile economic conditions on the credit markets may also reduce the amount of commercial paper that we can issue and raise our borrowing costs for both short- and long-term debt offerings. There can be no assurance that we will have access to the capital markets on terms we find acceptable. Limitations on our ability to access the capital markets, a reduction in our liquidity or an increase in our borrowing costs may adversely affect our business and financial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Legal and Regulatory Risks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adversely impacted by legal and regulatory proceedings or claims.</w:t>
      </w:r>
    </w:p>
    <w:p>
      <w:pPr>
        <w:spacing w:after="0" w:line="10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We are a party to a variety of legal and regulatory proceedings and claims arising out of the normal course of business. See Note 18 to the Consolidated Financial Statements for information regarding certain legal proceedings.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In particular, the marketing of food products has come under increased scrutiny in recent years, and the food industry has been subject to an increasing number of proceedings and claims relating to alleged false or deceptive marketing under federal, state and foreign laws or regulations, including claims relating to the presence of heavy metals in food products. Additionally, the independent contractor distribution model, which is used in our Snacks segment, has also come under increased regulatory scrutiny. Our independent contractor distribution model has also been the subject of various class and individual lawsuits in recent years.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3" w:name="page14"/>
    <w:bookmarkEnd w:id="13"/>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If we fail to comply with the many laws applicable to our business, we may face lawsuits or incur significant fines and penalties. In addition, changes in such laws, regulations or other policies may lead to increased costs.</w:t>
      </w:r>
    </w:p>
    <w:p>
      <w:pPr>
        <w:spacing w:after="0" w:line="19"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The manufacture and marketing of food products is extensively regulated. Various laws and regulations govern the processing, packaging (including potential impacts of extended producer responsibility (EPR) regulations and laws), waste management, storage, distribution, marketing, advertising, labeling, import/export requirements, quality and safety of our food products, as well as the health and safety of our employees and the protection of the environment. In the U.S., we are subject to regulation by various federal government agencies, including but not limited to the Food and Drug Administration, the Department of Agriculture, the Federal Trade Commission, the Department of Labor, the Department of Commerce, the Occupational Safety and Health Administration and the Environmental Protection Agency, as well as various state and local agencies. We are also regulated by similar agencies outside the U.S. See Note 18 to the Consolidated Financial Statements for additional information regarding regulatory matters.</w:t>
      </w:r>
    </w:p>
    <w:p>
      <w:pPr>
        <w:spacing w:after="0" w:line="61" w:lineRule="exact"/>
        <w:rPr>
          <w:sz w:val="20"/>
          <w:szCs w:val="20"/>
          <w:color w:val="auto"/>
        </w:rPr>
      </w:pPr>
    </w:p>
    <w:p>
      <w:pPr>
        <w:jc w:val="both"/>
        <w:ind w:firstLine="309"/>
        <w:spacing w:after="0" w:line="246" w:lineRule="auto"/>
        <w:rPr>
          <w:sz w:val="20"/>
          <w:szCs w:val="20"/>
          <w:color w:val="auto"/>
        </w:rPr>
      </w:pPr>
      <w:r>
        <w:rPr>
          <w:rFonts w:ascii="Times New Roman" w:cs="Times New Roman" w:eastAsia="Times New Roman" w:hAnsi="Times New Roman"/>
          <w:sz w:val="17"/>
          <w:szCs w:val="17"/>
          <w:color w:val="auto"/>
        </w:rPr>
        <w:t>Governmental and administrative bodies within the U.S. are considering a variety of tax, trade and other regulatory reforms. Trade reforms could include tariffs on certain materials used in the manufacture of our products and tariffs on certain finished products. A potential change in administration following the 2024 presidential election could further impact trade policies, and could also result in substantial changes to fiscal or tax policies that may impact our business. We regularly move data across national and state borders to conduct our operations and, consequently, are subject to a variety of laws and regulations in the U.S. and other jurisdictions regarding privacy, data protection and data security, including those related to the collection, storage, handling, use, disclosure, transfer and security of personal data. There is significant uncertainty with respect to compliance with such privacy and data protection laws and regulations because they are continuously evolving and developing and may be interpreted and applied differently from country to country and state to state and may create inconsistent or conflicting requirements.</w:t>
      </w:r>
    </w:p>
    <w:p>
      <w:pPr>
        <w:spacing w:after="0" w:line="5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Changes in legal or regulatory requirements (such as new food safety requirements and revised regulatory requirements for the labeling of nutrition facts, serving sizes and genetically modified ingredients or new EPR regulations and laws), or evolving interpretations of existing legal or regulatory requirements, or an increased focus regarding environmental policies relating to climate change, regulating greenhouse gas emissions, energy policies and sustainability, may result in increased compliance cost, capital expenditures and other financial obligations that could adversely affect our business and financial results.</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may suffer losses if changes to regulations require us to change the ingredients we use or how we process, package, transport, store, distribute, advertise, or label our products. Moreover, depending on the implementation of such regulatory changes, we could have increased risk for a product recall or have existing inventory become unsellable, which could materially and adversely impact our product sales, financial condition and operating results.</w:t>
      </w:r>
    </w:p>
    <w:p>
      <w:pPr>
        <w:spacing w:after="0" w:line="4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If our food products become adulterated or are mislabeled, we might need to recall those items, and we may experience product liability claims and damage to our reputation.</w:t>
      </w:r>
    </w:p>
    <w:p>
      <w:pPr>
        <w:spacing w:after="0" w:line="19"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have in the past and we may, in the future, need to recall some of our products if they become adulterated or if they are mislabeled, and we may also be liable if the consumption of any of our products causes sickness or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that category.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Climate change, or legal, regulatory or market measures to address climate change, may negatively affect our business and operations.</w:t>
      </w:r>
    </w:p>
    <w:p>
      <w:pPr>
        <w:spacing w:after="0" w:line="10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There is growing concern that carbon dioxide and other greenhouse gases in the atmosphere may have an adverse impact on global temperatures, weather patterns, and the frequency and severity of extreme weather and natural disasters. In the event that such climate change has a negative effect on agricultural productivity, we may be subject to decreased availability or less favorable pricing for certain commodities that are necessary for our products, such as wheat, tomatoes, potatoes, cocoa and olive oil. Adverse weather conditions and natural disasters can reduce crop size and crop quality, which in turn could reduce our supplies of raw materials, lower recoveries of usable raw materials, increase the prices of our raw materials, increase our cost of storing and transporting our raw materials, or disrupt production schedules. We may also be subjected to decreased availability or less favorable pricing for water as a result of such change, which could impact our manufacturing and distribution operations. In addition, natural disasters and extreme weather conditions may disrupt the productivity of our facilities or the operation of our supply chain. The physical effects and transitional costs of climate change and the legal, regulatory or market initiatives to address climate change could have a negative impact on our business, financial condition, and results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4" w:name="page15"/>
    <w:bookmarkEnd w:id="14"/>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There is an increased focus by foreign, federal, state and local regulatory and legislative bodies regarding environmental policies relating to climate change, regulating greenhouse gas emissions (including carbon pricing regulations, cap and trade systems or a carbon tax), energy policies and sustainability, including EPR regulations and packaging. Increased compliance costs and expenses due to the impacts of climate change and additional legal or regulatory requirements regarding climate change that are designed to reduce or mitigate the effects of carbon dioxide and other greenhouse gas emissions on the environment may cause disruptions in, or an increase in the costs associated with, the running of our manufacturing facilities and our business, as well as increase distribution and supply chain costs. Moreover, compliance with any such legal or regulatory requirements may require us to make significant changes in our business operations and strategy, which will likely require us to devote substantial time and attention to these matters and cause us to incur additional costs. Even if we make changes to align ourselves with such legal or regulatory requirements, we may still be subject to significant penalties or potential litigation if such laws and regulations are interpreted and applied in a manner inconsistent with our practices. The effects of climate change and legal or regulatory initiatives to address climate change could have a long-term adverse impact on our business and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is subject to an increasing focus on sustainability matters.</w:t>
      </w:r>
    </w:p>
    <w:p>
      <w:pPr>
        <w:spacing w:after="0" w:line="10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From time to time we establish and publicly announce sustainability goals and commitments, including reducing our impact on the environment and relating to animal welfare. For example, in 2022, we established science-based targets for Scope 1, 2 and 3 greenhouse gas emissions.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pace of changes in technology, the availability of requisite financing, the availability of suppliers and products that can meet our sustainability and other standards, and changing business dynamics including acquisitions. Furthermore, standards for tracking and reporting such matters continue to evolve. Our selection of voluntary disclosure frameworks and standards, and the interpretation or application of those frameworks and standards, may change from time to time or differ from those of others. Methodologies for reporting these data may be updated and previously reported data may be adjusted to reflect improvement in availability and quality of third-party data, changing assumptions, changes in the nature and scope of our operations (including from acquisitions and divestitures), and other changes in circumstances, which could result in significant revisions to our current goals, reported progress in achieving such goals, or ability to achieve such goals in the future. If we fail to achieve, or are perceived to have failed to achieve or been delayed in achieving, or improperly report our progress toward achieving these goals and commitments, it could negatively affect consumer or customer preference for our products or investor confidence in our stock, as well as expose us to enforcement actions and litigation.</w:t>
      </w:r>
    </w:p>
    <w:p>
      <w:pPr>
        <w:spacing w:after="0" w:line="6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Additionally, we might fail to effectively address increased attention from the media, stockholders, activists and other stakeholders on climate change and related environmental sustainability matters or animal welfare goals, including attention from stakeholders with opposing views on such matters. Such failure, or the perception that we have failed to act responsibly regarding climate change or animal welfare, whether or not valid, could result in adverse publicity and negatively affect our business and reputation.</w:t>
      </w:r>
    </w:p>
    <w:p>
      <w:pPr>
        <w:spacing w:after="0" w:line="3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Our business, financial condition and results of operations could be adversely affected by disruptions in the global economy caused by ongoing geopolitical conflicts.</w:t>
      </w:r>
    </w:p>
    <w:p>
      <w:pPr>
        <w:spacing w:after="0" w:line="3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 global economy has been negatively impacted by ongoing geopolitical conflicts, including the military conflicts between Russia and Ukraine, the war in the Middle East, as well as rising tensions between China and Taiwan. For instance, governments in the U.S., United Kingdom and European Union have each imposed export controls on certain products and financial and economic sanctions on certain industry sectors and parties in Russia. Although we have no operations in Russia, Ukraine, the Middle East, China or Taiwan, we have experienced shortages in materials and increased costs for transportation, energy and raw material due in part to the negative impact of these ongoing geopolitical conflicts on the global economy. The scope and duration of such conflicts are uncertain, rapidly changing and hard to predict. Further escalation of these geopolitical conflicts, including increased trade barriers or restrictions on global trade, could result in, among other things, cyberattacks, supply disruptions, lower consumer demand, and changes to foreign exchange rates and financial markets, any of which may adversely affect our business and supply chain. In addition, the effects of the ongoing conflicts could also heighten many of the other risk factors discussed in this Item 1A.</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92"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Enterprise risk management (ERM) is an integral part of our business processes and our ERM framework considers cybersecurity risk, alongside other company risks, as part of our overall risk assessment process. We follow an industry-leading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7"/>
          <w:szCs w:val="17"/>
          <w:color w:val="auto"/>
        </w:rPr>
        <w:t>National Institute of Standards and Technology cybersecurity framework (NIST CSF) and have developed a comprehensive information security program for assessing, identifying and managing cybersecurity risks that is designed to protect our systems and data from unauthorized access, use or other security impact.</w:t>
      </w:r>
    </w:p>
    <w:p>
      <w:pPr>
        <w:spacing w:after="0" w:line="2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As part of our information security program, we continuously monitor and update our information technology networks and infrastructure. We have dedicated internal legal, compliance and information security teams, and leverage consultants and third-party service providers to inform our understanding of the threat landscape and to identify, prevent, detect, address and mitigate risks associated with unauthorized access, misuse, computer viruses and other events that could have a security impact. Our information security strategy focuses on complying with applicable data privacy and protection laws, maintaining the availability of our manufacturing operations, protecting data, detecting and responding to threats, building resiliency and providing a secure foundation for growth and innovation. We invest in industry standard security technology to protect the company’s data and business processes against risk of cybersecurity incidents. Our data security management program includes identity, trust, vulnerability and threat management business processes, as well as adoption of standard data protection policies.</w:t>
      </w:r>
    </w:p>
    <w:p>
      <w:pPr>
        <w:spacing w:after="0" w:line="26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measure our data security effectiveness by benchmarking against industry-accepted methods, presenting the results to our Board and Audit Committee for evaluation, and making improvements based on such evaluation. We maintain and routinely test backup systems and disaster recovery and also have processes in place to prevent disruptions resulting from our implementation of new software and systems. We maintain a third-party cyber risk management process to review and monitor critical suppliers regularly for cybersecurity risk and prescribe remediation activities when necessary.</w:t>
      </w:r>
    </w:p>
    <w:p>
      <w:pPr>
        <w:spacing w:after="0" w:line="54"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We train our employees through annual security training, phishing simulations and regular communications about timely security topics to enhance their understanding of cybersecurity threats and their ability to identify and escalate potential cybersecurity events. We have a cross-functional crisis management team comprised of business unit and functional leaders and a crisis management plan that includes procedures for identifying, containing and responding to cybersecurity incidents. We engage third-party cybersecurity experts to conduct tabletop exercises with our executive leadership to enhance incident response preparedness.</w:t>
      </w:r>
    </w:p>
    <w:p>
      <w:pPr>
        <w:spacing w:after="0" w:line="25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Our cybersecurity risk management strategy includes the use of cybersecurity insurance that provides protection against certain potential losses arising from certain cybersecurity incidents; however, such insurance may not insure us against all claims related to security breaches, cyberattacks and other related breaches. The company has previously experienced threats and breaches to its data and systems but has not experienced a breach that had a material impact on its operations or business and has not incurred any material breach-related expenses for the year ended July 28, 2024 that are reasonably likely to materially affect the company or its business strategy, results of operations or financial condition. However, as discussed in “Item 1A. Risk Factors,” specifically the risks under the heading, “We may be adversely impacted by a disruption, failure or security breach of our information technology systems,” cyber threats are constantly evolving and becoming more frequent and sophisticated. Accordingly, no matter how well designed or implemented the company’s information security policies and procedures are, there can be no assurance that these policies and procedures will prevent or limit the impact of a cybersecurity incident.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established oversight mechanisms intended to provide effective cybersecurity governance, risk management, and timely incident response. Our Board, in coordination with the Audit Committee, oversees the company’s ERM process, including the management of risks arising from cybersecurity threats.</w:t>
      </w:r>
    </w:p>
    <w:p>
      <w:pPr>
        <w:spacing w:after="0" w:line="23"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Our Board annually reviews assessments of our information security program under the NIST CSF. It receives benchmarking results of our data security effectiveness and reports from our Chief Technology &amp; Information Officer (CTIO) and Chief Information Security Officer (CISO) on our information security program and recent developments. Our Board has delegated the primary responsibility to oversee cybersecurity matters to the Audit Committee. To fulfill its oversight responsibilities, the Audit Committee reviews the measures implemented by the company to identify and mitigate cybersecurity risks and receives quarterly updates from our CTIO and CISO on the information security program, including the status of significant cybersecurity incidences, the emerging threat landscape, and the status of projects to strengthen the company’s information security posture. The Audit Committee regularly reports to the Board on cybersecurity matters. In addition, we have a crisis management plan and protocols by which certain cybersecurity incidents that meet established reporting thresholds are escalated within the company and, where appropriate, reported promptly to the Audit Committee or Board, with ongoing updates regarding any such incident until it has been addressed. Our risk oversight processes and disclosure controls and procedures are designed to escalate key risks for the Board to analyze for disclosure purposes.</w:t>
      </w:r>
    </w:p>
    <w:p>
      <w:pPr>
        <w:spacing w:after="0" w:line="6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CTIO, a member of our corporate leadership team, oversees the team responsible for leading the enterprise-wide information technology strategy, policy, standards, architecture, and processes. Our CISO, who reports to the CTIO, oversees the dedicated information security team, which works in partnership with the company’s ERM team and corporate audit department as well as consultants as part of an overall internal controls process to monitor cybersecurity threats and prevent, detect, mitigate and remediate cybersecurity incidents. The CTIO has over 35 years of information technology experience,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6" w:name="page17"/>
    <w:bookmarkEnd w:id="16"/>
    <w:p>
      <w:pPr>
        <w:jc w:val="both"/>
        <w:spacing w:after="0" w:line="269" w:lineRule="auto"/>
        <w:rPr>
          <w:sz w:val="20"/>
          <w:szCs w:val="20"/>
          <w:color w:val="auto"/>
        </w:rPr>
      </w:pPr>
      <w:r>
        <w:rPr>
          <w:rFonts w:ascii="Times New Roman" w:cs="Times New Roman" w:eastAsia="Times New Roman" w:hAnsi="Times New Roman"/>
          <w:sz w:val="17"/>
          <w:szCs w:val="17"/>
          <w:color w:val="auto"/>
        </w:rPr>
        <w:t>including serving in strategic planning, oversight and global operation of information systems and technology functions for companies in the food and beverage industries. The CISO has over 25 years of information technology experience, including strategy, execution, and operations of enterprise-wide security programs, including cybersecurity programs, and global information technology infrastructure programs.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10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principal executive offices are company-owned and located in Camden, New Jersey. The following table sets forth our principal manufacturing facilities and the reportable segment that primarily uses each of the facilities: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Inside the U.S.</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41"/>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Arizona</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Massachusetts</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Pennsylvania</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Goodyear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Hyannis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Denver (S)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California</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North Carolina</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w w:val="99"/>
              </w:rPr>
              <w:t>Downingtown (S)</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Dixon (MB)</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Charlotte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Hanover (S)</w:t>
            </w:r>
          </w:p>
        </w:tc>
      </w:tr>
      <w:tr>
        <w:trPr>
          <w:trHeight w:val="219"/>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Stockton (MB)</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Maxton (MB)</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Texas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Colorado</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Ohio</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Austin (MB)</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Bellvue (MB)</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Ashland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Paris (MB)</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Connecticut</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Napoleon (MB)</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Utah</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Bloomfield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Willard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Richmond (S)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Florida</w:t>
            </w:r>
          </w:p>
        </w:tc>
        <w:tc>
          <w:tcPr>
            <w:tcW w:w="3280" w:type="dxa"/>
            <w:vAlign w:val="bottom"/>
          </w:tcPr>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Oregon</w:t>
            </w:r>
          </w:p>
        </w:tc>
        <w:tc>
          <w:tcPr>
            <w:tcW w:w="258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Wisconsin</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Lakeland (S)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Salem (S)</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Beloit (S)</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Illinois</w:t>
            </w:r>
          </w:p>
        </w:tc>
        <w:tc>
          <w:tcPr>
            <w:tcW w:w="32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Tualatin (MB)</w:t>
            </w: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Franklin (S)</w:t>
            </w:r>
          </w:p>
        </w:tc>
      </w:tr>
      <w:tr>
        <w:trPr>
          <w:trHeight w:val="21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Downers Grove (S)</w:t>
            </w:r>
          </w:p>
        </w:tc>
        <w:tc>
          <w:tcPr>
            <w:tcW w:w="3280" w:type="dxa"/>
            <w:vAlign w:val="bottom"/>
          </w:tcPr>
          <w:p>
            <w:pPr>
              <w:spacing w:after="0"/>
              <w:rPr>
                <w:sz w:val="18"/>
                <w:szCs w:val="18"/>
                <w:color w:val="auto"/>
              </w:rPr>
            </w:pPr>
          </w:p>
        </w:tc>
        <w:tc>
          <w:tcPr>
            <w:tcW w:w="2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Milwaukee (MB)</w:t>
            </w:r>
          </w:p>
        </w:tc>
      </w:tr>
      <w:tr>
        <w:trPr>
          <w:trHeight w:val="225"/>
        </w:trPr>
        <w:tc>
          <w:tcPr>
            <w:tcW w:w="31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Indiana</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2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Jeffersonville (S)</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66"/>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______________________________</w:t>
            </w:r>
          </w:p>
        </w:tc>
        <w:tc>
          <w:tcPr>
            <w:tcW w:w="328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06"/>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MB - Meals &amp; Beverages</w:t>
            </w:r>
          </w:p>
        </w:tc>
        <w:tc>
          <w:tcPr>
            <w:tcW w:w="32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 - Snacks</w:t>
            </w:r>
          </w:p>
        </w:tc>
        <w:tc>
          <w:tcPr>
            <w:tcW w:w="328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73"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Each of the foregoing manufacturing facilities is company-owned, except the Tualatin, Oregon; Austin, Texas; and Bellvue, Colorado facilities, which are leased. We also maintain principal business unit offices in Doral, Florida; Hanover, Pennsylvania; Portland, Oregon; and Mississauga, Canada.</w:t>
      </w:r>
    </w:p>
    <w:p>
      <w:pPr>
        <w:spacing w:after="0" w:line="36"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We also own and lease distribution centers across the U.S. We believe that our manufacturing and processing plants and distribution centers are well maintained and, together with facilities operated by our contract manufacturers, are generally adequate to support the current operations of the businesses.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18 to the Consolidated Financial Statements and incorporated herein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section below provides information regarding our executive officers as of September 11, 2024: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u w:val="single" w:color="auto"/>
          <w:color w:val="auto"/>
        </w:rPr>
        <w:t>Name, Present Title &amp;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22160" cy="286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spacing w:after="0" w:line="20" w:lineRule="exact"/>
        <w:rPr>
          <w:sz w:val="20"/>
          <w:szCs w:val="20"/>
          <w:color w:val="auto"/>
        </w:rPr>
      </w:pPr>
    </w:p>
    <w:p>
      <w:pPr>
        <w:ind w:left="20"/>
        <w:spacing w:after="0" w:line="270" w:lineRule="auto"/>
        <w:rPr>
          <w:sz w:val="20"/>
          <w:szCs w:val="20"/>
          <w:color w:val="auto"/>
        </w:rPr>
      </w:pPr>
      <w:r>
        <w:rPr>
          <w:rFonts w:ascii="Times New Roman" w:cs="Times New Roman" w:eastAsia="Times New Roman" w:hAnsi="Times New Roman"/>
          <w:sz w:val="17"/>
          <w:szCs w:val="17"/>
          <w:color w:val="auto"/>
        </w:rPr>
        <w:t>Carrie L. Anderson, Executive Vice President and Chief Financial Officer. Executive Vice President and Chief Financial Officer, Integra LifeSciences Holdings Corporation (2019-2023). Vice President and Controller, Dover Corporation (2017-2019).</w:t>
      </w:r>
    </w:p>
    <w:p>
      <w:pPr>
        <w:spacing w:after="0" w:line="11" w:lineRule="exact"/>
        <w:rPr>
          <w:sz w:val="20"/>
          <w:szCs w:val="20"/>
          <w:color w:val="auto"/>
        </w:rPr>
      </w:pPr>
    </w:p>
    <w:p>
      <w:pPr>
        <w:ind w:left="20" w:right="20"/>
        <w:spacing w:after="0" w:line="270" w:lineRule="auto"/>
        <w:rPr>
          <w:sz w:val="20"/>
          <w:szCs w:val="20"/>
          <w:color w:val="auto"/>
        </w:rPr>
      </w:pPr>
      <w:r>
        <w:rPr>
          <w:rFonts w:ascii="Times New Roman" w:cs="Times New Roman" w:eastAsia="Times New Roman" w:hAnsi="Times New Roman"/>
          <w:sz w:val="17"/>
          <w:szCs w:val="17"/>
          <w:color w:val="auto"/>
        </w:rPr>
        <w:t>Mick J. Beekhuizen, Executive Vice President and President, Meals &amp; Beverages. Executive Vice President and Chief Financial Officer (2020-2023). Executive Vice President and Chief Financial Officer, Chobani LLC (2016-2019).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22160" cy="286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ind w:left="20" w:right="320"/>
        <w:spacing w:after="0" w:line="270" w:lineRule="auto"/>
        <w:rPr>
          <w:sz w:val="20"/>
          <w:szCs w:val="20"/>
          <w:color w:val="auto"/>
        </w:rPr>
      </w:pPr>
      <w:r>
        <w:rPr>
          <w:rFonts w:ascii="Times New Roman" w:cs="Times New Roman" w:eastAsia="Times New Roman" w:hAnsi="Times New Roman"/>
          <w:sz w:val="17"/>
          <w:szCs w:val="17"/>
          <w:color w:val="auto"/>
        </w:rPr>
        <w:t>Charles A. Brawley, III, Executive Vice President, General Counsel and Corporate Secretary. We have employed Mr. Brawley in an executive or managerial capacity for at least five years.</w:t>
      </w:r>
    </w:p>
    <w:p>
      <w:pPr>
        <w:spacing w:after="0" w:line="11" w:lineRule="exact"/>
        <w:rPr>
          <w:sz w:val="20"/>
          <w:szCs w:val="20"/>
          <w:color w:val="auto"/>
        </w:rPr>
      </w:pPr>
    </w:p>
    <w:p>
      <w:pPr>
        <w:ind w:left="20" w:right="260"/>
        <w:spacing w:after="0" w:line="270" w:lineRule="auto"/>
        <w:rPr>
          <w:sz w:val="20"/>
          <w:szCs w:val="20"/>
          <w:color w:val="auto"/>
        </w:rPr>
      </w:pPr>
      <w:r>
        <w:rPr>
          <w:rFonts w:ascii="Times New Roman" w:cs="Times New Roman" w:eastAsia="Times New Roman" w:hAnsi="Times New Roman"/>
          <w:sz w:val="17"/>
          <w:szCs w:val="17"/>
          <w:color w:val="auto"/>
        </w:rPr>
        <w:t>Mark A. Clouse, President and Chief Executive Officer. We have employed Mr. Clouse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22160" cy="286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2160" cy="286385"/>
                    </a:xfrm>
                    <a:prstGeom prst="rect">
                      <a:avLst/>
                    </a:prstGeom>
                    <a:noFill/>
                  </pic:spPr>
                </pic:pic>
              </a:graphicData>
            </a:graphic>
          </wp:anchor>
        </w:drawing>
      </w:r>
    </w:p>
    <w:p>
      <w:pPr>
        <w:ind w:left="20" w:right="380"/>
        <w:spacing w:after="0" w:line="268" w:lineRule="auto"/>
        <w:rPr>
          <w:sz w:val="20"/>
          <w:szCs w:val="20"/>
          <w:color w:val="auto"/>
        </w:rPr>
      </w:pPr>
      <w:r>
        <w:rPr>
          <w:rFonts w:ascii="Times New Roman" w:cs="Times New Roman" w:eastAsia="Times New Roman" w:hAnsi="Times New Roman"/>
          <w:sz w:val="17"/>
          <w:szCs w:val="17"/>
          <w:color w:val="auto"/>
        </w:rPr>
        <w:t>Christopher D. Foley, Executive Vice President and President, Snacks. We have employed Mr. Foley in an executive or managerial capacity for at least five years.</w:t>
      </w:r>
    </w:p>
    <w:p>
      <w:pPr>
        <w:spacing w:after="0" w:line="1" w:lineRule="exact"/>
        <w:rPr>
          <w:sz w:val="20"/>
          <w:szCs w:val="20"/>
          <w:color w:val="auto"/>
        </w:rPr>
      </w:pPr>
    </w:p>
    <w:p>
      <w:pPr>
        <w:ind w:left="20" w:right="400"/>
        <w:spacing w:after="0" w:line="224" w:lineRule="auto"/>
        <w:rPr>
          <w:sz w:val="20"/>
          <w:szCs w:val="20"/>
          <w:color w:val="auto"/>
        </w:rPr>
      </w:pPr>
      <w:r>
        <w:rPr>
          <w:rFonts w:ascii="Times New Roman" w:cs="Times New Roman" w:eastAsia="Times New Roman" w:hAnsi="Times New Roman"/>
          <w:sz w:val="17"/>
          <w:szCs w:val="17"/>
          <w:color w:val="auto"/>
        </w:rPr>
        <w:t>Diane Johnson May, Executive Vice President and Chief People and Culture Officer. Senior Vice President, People and Culture, Manpower Group (2020-2021). Executive Vice President, Chief Human Resources Officer, Brookdale Senior Living (2019-2020).</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Managing Vice President, The Deli Source, Inc. (2017-2019).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22160" cy="36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2160" cy="360045"/>
                    </a:xfrm>
                    <a:prstGeom prst="rect">
                      <a:avLst/>
                    </a:prstGeom>
                    <a:noFill/>
                  </pic:spPr>
                </pic:pic>
              </a:graphicData>
            </a:graphic>
          </wp:anchor>
        </w:drawing>
      </w:r>
    </w:p>
    <w:p>
      <w:pPr>
        <w:ind w:left="20" w:right="440"/>
        <w:spacing w:after="0" w:line="222" w:lineRule="auto"/>
        <w:rPr>
          <w:sz w:val="20"/>
          <w:szCs w:val="20"/>
          <w:color w:val="auto"/>
        </w:rPr>
      </w:pPr>
      <w:r>
        <w:rPr>
          <w:rFonts w:ascii="Times New Roman" w:cs="Times New Roman" w:eastAsia="Times New Roman" w:hAnsi="Times New Roman"/>
          <w:sz w:val="17"/>
          <w:szCs w:val="17"/>
          <w:color w:val="auto"/>
        </w:rPr>
        <w:t>Daniel L. Poland, Executive Vice President and Chief Supply Chain Officer. Chief Operating Officer, KIND Snacks (2019-2021). Executive Vice President and Chief Supply Chain Officer, Pinnacle Foods, Inc. (2018-2019). Chief Supply Chain Officer - North</w:t>
      </w:r>
    </w:p>
    <w:p>
      <w:pPr>
        <w:ind w:left="20"/>
        <w:spacing w:after="0"/>
        <w:rPr>
          <w:sz w:val="20"/>
          <w:szCs w:val="20"/>
          <w:color w:val="auto"/>
        </w:rPr>
      </w:pPr>
      <w:r>
        <w:rPr>
          <w:rFonts w:ascii="Times New Roman" w:cs="Times New Roman" w:eastAsia="Times New Roman" w:hAnsi="Times New Roman"/>
          <w:sz w:val="17"/>
          <w:szCs w:val="17"/>
          <w:color w:val="auto"/>
        </w:rPr>
        <w:t>American Operations, Danone (2016-2017).</w:t>
      </w:r>
    </w:p>
    <w:p>
      <w:pPr>
        <w:spacing w:after="0" w:line="9" w:lineRule="exact"/>
        <w:rPr>
          <w:sz w:val="20"/>
          <w:szCs w:val="20"/>
          <w:color w:val="auto"/>
        </w:rPr>
      </w:pPr>
    </w:p>
    <w:p>
      <w:pPr>
        <w:ind w:left="20" w:right="360"/>
        <w:spacing w:after="0" w:line="237" w:lineRule="auto"/>
        <w:rPr>
          <w:sz w:val="20"/>
          <w:szCs w:val="20"/>
          <w:color w:val="auto"/>
        </w:rPr>
      </w:pPr>
      <w:r>
        <w:rPr>
          <w:rFonts w:ascii="Times New Roman" w:cs="Times New Roman" w:eastAsia="Times New Roman" w:hAnsi="Times New Roman"/>
          <w:sz w:val="17"/>
          <w:szCs w:val="17"/>
          <w:color w:val="auto"/>
        </w:rPr>
        <w:t>Anthony J. Sanzio, Executive Vice President and Chief Communications Officer. We have employed Mr. Sanzio in an executive or managerial capacity for at least five years.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Year First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Appointed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Executive</w:t>
      </w:r>
    </w:p>
    <w:p>
      <w:pPr>
        <w:spacing w:after="0" w:line="1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u w:val="single" w:color="auto"/>
          <w:color w:val="auto"/>
        </w:rPr>
        <w:t>Age</w:t>
      </w:r>
      <w:r>
        <w:rPr>
          <w:sz w:val="20"/>
          <w:szCs w:val="20"/>
          <w:color w:val="auto"/>
        </w:rPr>
        <w:tab/>
      </w:r>
      <w:r>
        <w:rPr>
          <w:rFonts w:ascii="Times New Roman" w:cs="Times New Roman" w:eastAsia="Times New Roman" w:hAnsi="Times New Roman"/>
          <w:sz w:val="17"/>
          <w:szCs w:val="17"/>
          <w:b w:val="1"/>
          <w:bCs w:val="1"/>
          <w:u w:val="single" w:color="auto"/>
          <w:color w:val="auto"/>
        </w:rPr>
        <w:t>Officer</w:t>
      </w:r>
    </w:p>
    <w:p>
      <w:pPr>
        <w:spacing w:after="0" w:line="148"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55</w:t>
      </w:r>
      <w:r>
        <w:rPr>
          <w:sz w:val="20"/>
          <w:szCs w:val="20"/>
          <w:color w:val="auto"/>
        </w:rPr>
        <w:tab/>
      </w:r>
      <w:r>
        <w:rPr>
          <w:rFonts w:ascii="Times New Roman" w:cs="Times New Roman" w:eastAsia="Times New Roman" w:hAnsi="Times New Roman"/>
          <w:sz w:val="17"/>
          <w:szCs w:val="17"/>
          <w:color w:val="auto"/>
        </w:rPr>
        <w:t>2023</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48</w:t>
      </w:r>
      <w:r>
        <w:rPr>
          <w:sz w:val="20"/>
          <w:szCs w:val="20"/>
          <w:color w:val="auto"/>
        </w:rPr>
        <w:tab/>
      </w:r>
      <w:r>
        <w:rPr>
          <w:rFonts w:ascii="Times New Roman" w:cs="Times New Roman" w:eastAsia="Times New Roman" w:hAnsi="Times New Roman"/>
          <w:sz w:val="17"/>
          <w:szCs w:val="17"/>
          <w:color w:val="auto"/>
        </w:rPr>
        <w:t>2020</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59</w:t>
      </w:r>
      <w:r>
        <w:rPr>
          <w:sz w:val="20"/>
          <w:szCs w:val="20"/>
          <w:color w:val="auto"/>
        </w:rPr>
        <w:tab/>
      </w:r>
      <w:r>
        <w:rPr>
          <w:rFonts w:ascii="Times New Roman" w:cs="Times New Roman" w:eastAsia="Times New Roman" w:hAnsi="Times New Roman"/>
          <w:sz w:val="17"/>
          <w:szCs w:val="17"/>
          <w:color w:val="auto"/>
        </w:rPr>
        <w:t>2023</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56</w:t>
      </w:r>
      <w:r>
        <w:rPr>
          <w:sz w:val="20"/>
          <w:szCs w:val="20"/>
          <w:color w:val="auto"/>
        </w:rPr>
        <w:tab/>
      </w:r>
      <w:r>
        <w:rPr>
          <w:rFonts w:ascii="Times New Roman" w:cs="Times New Roman" w:eastAsia="Times New Roman" w:hAnsi="Times New Roman"/>
          <w:sz w:val="17"/>
          <w:szCs w:val="17"/>
          <w:color w:val="auto"/>
        </w:rPr>
        <w:t>2019</w:t>
      </w:r>
    </w:p>
    <w:p>
      <w:pPr>
        <w:spacing w:after="0" w:line="25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color w:val="auto"/>
        </w:rPr>
        <w:t>2019</w:t>
      </w:r>
    </w:p>
    <w:p>
      <w:pPr>
        <w:spacing w:after="0" w:line="307"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7"/>
          <w:szCs w:val="17"/>
          <w:color w:val="auto"/>
        </w:rPr>
        <w:t>66</w:t>
      </w:r>
      <w:r>
        <w:rPr>
          <w:sz w:val="20"/>
          <w:szCs w:val="20"/>
          <w:color w:val="auto"/>
        </w:rPr>
        <w:tab/>
      </w:r>
      <w:r>
        <w:rPr>
          <w:rFonts w:ascii="Times New Roman" w:cs="Times New Roman" w:eastAsia="Times New Roman" w:hAnsi="Times New Roman"/>
          <w:sz w:val="17"/>
          <w:szCs w:val="17"/>
          <w:color w:val="auto"/>
        </w:rPr>
        <w:t>2022</w:t>
      </w:r>
    </w:p>
    <w:p>
      <w:pPr>
        <w:spacing w:after="0" w:line="371" w:lineRule="exact"/>
        <w:rPr>
          <w:sz w:val="20"/>
          <w:szCs w:val="20"/>
          <w:color w:val="auto"/>
        </w:rPr>
      </w:pPr>
    </w:p>
    <w:p>
      <w:pPr>
        <w:ind w:left="860" w:hanging="803"/>
        <w:spacing w:after="0"/>
        <w:tabs>
          <w:tab w:leader="none" w:pos="8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w:t>
      </w:r>
    </w:p>
    <w:p>
      <w:pPr>
        <w:spacing w:after="0" w:line="293" w:lineRule="exact"/>
        <w:rPr>
          <w:rFonts w:ascii="Times New Roman" w:cs="Times New Roman" w:eastAsia="Times New Roman" w:hAnsi="Times New Roman"/>
          <w:sz w:val="17"/>
          <w:szCs w:val="17"/>
          <w:color w:val="auto"/>
        </w:rPr>
      </w:pPr>
    </w:p>
    <w:p>
      <w:pPr>
        <w:ind w:left="860" w:hanging="803"/>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2022</w:t>
      </w:r>
    </w:p>
    <w:p>
      <w:pPr>
        <w:sectPr>
          <w:pgSz w:w="11900" w:h="16838" w:orient="portrait"/>
          <w:cols w:equalWidth="0" w:num="2">
            <w:col w:w="9380" w:space="260"/>
            <w:col w:w="1420"/>
          </w:cols>
          <w:pgMar w:left="320" w:top="943" w:right="519" w:bottom="1440" w:gutter="0" w:footer="0" w:header="0"/>
        </w:sectPr>
      </w:pPr>
    </w:p>
    <w:bookmarkStart w:id="18" w:name="page19"/>
    <w:bookmarkEnd w:id="18"/>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r>
        <w:rPr>
          <w:rFonts w:ascii="Times New Roman" w:cs="Times New Roman" w:eastAsia="Times New Roman" w:hAnsi="Times New Roman"/>
          <w:sz w:val="17"/>
          <w:szCs w:val="17"/>
          <w:b w:val="1"/>
          <w:bCs w:val="1"/>
          <w:i w:val="1"/>
          <w:iCs w:val="1"/>
          <w:color w:val="auto"/>
        </w:rPr>
        <w:t>. Market for Registrant’s Capital Stock, Related Shareholder Matters and Issuer Purchases of Equity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for Registrant’s Capital Stock</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capital stock is traded on The Nasdaq Stock Market LLC under the symbol "CPB." On September 11, 2024, there were 298,105,916 holders of record of our capital stock.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Return to Shareholders</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7"/>
          <w:szCs w:val="17"/>
          <w:b w:val="1"/>
          <w:bCs w:val="1"/>
          <w:color w:val="auto"/>
        </w:rPr>
        <w:t xml:space="preserve"> Performance Graph</w:t>
      </w:r>
    </w:p>
    <w:p>
      <w:pPr>
        <w:spacing w:after="0" w:line="5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information contained in this Return to Shareholders Performance Graph section shall not be deemed to be "soliciting material" or "filed" or incorporated by reference in future filings with the Securities and Exchange Commission, or subject to the liabilities of Section 18 of the Securities Exchange Act of 1934, as amended (the Exchange Act), except to the extent we specifically incorporate it by reference into a document filed under the Securities Exchange Act of 1933, as amended (the Securities Act), or the Exchange Act.</w:t>
      </w:r>
    </w:p>
    <w:p>
      <w:pPr>
        <w:spacing w:after="0" w:line="5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26, 2019, in each of our stock, the S&amp;P 500 and the S&amp;P Packaged Foods Group, and that all dividends were reinvested. The total cumulative dollar returns shown on the graph represent the value that such investments would have had on July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241300</wp:posOffset>
            </wp:positionV>
            <wp:extent cx="5012690" cy="3270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12690" cy="327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hanging="77"/>
        <w:spacing w:after="0"/>
        <w:tabs>
          <w:tab w:leader="none" w:pos="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Stock appreciation plus dividend reinvestment.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6"/>
                <w:szCs w:val="16"/>
                <w:color w:val="auto"/>
              </w:rPr>
            </w:pPr>
          </w:p>
        </w:tc>
      </w:tr>
      <w:tr>
        <w:trPr>
          <w:trHeight w:val="21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133</w:t>
            </w:r>
          </w:p>
        </w:tc>
        <w:tc>
          <w:tcPr>
            <w:tcW w:w="400" w:type="dxa"/>
            <w:vAlign w:val="bottom"/>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S&amp;P 500</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162</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196</w:t>
            </w:r>
          </w:p>
        </w:tc>
        <w:tc>
          <w:tcPr>
            <w:tcW w:w="400" w:type="dxa"/>
            <w:vAlign w:val="bottom"/>
          </w:tcPr>
          <w:p>
            <w:pPr>
              <w:spacing w:after="0"/>
              <w:rPr>
                <w:sz w:val="19"/>
                <w:szCs w:val="19"/>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Packaged Foods Group</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124</w:t>
            </w:r>
          </w:p>
        </w:tc>
        <w:tc>
          <w:tcPr>
            <w:tcW w:w="400" w:type="dxa"/>
            <w:vAlign w:val="bottom"/>
          </w:tcPr>
          <w:p>
            <w:pPr>
              <w:spacing w:after="0"/>
              <w:rPr>
                <w:sz w:val="19"/>
                <w:szCs w:val="19"/>
                <w:color w:val="auto"/>
              </w:rPr>
            </w:pPr>
          </w:p>
        </w:tc>
      </w:tr>
      <w:tr>
        <w:trPr>
          <w:trHeight w:val="735"/>
        </w:trPr>
        <w:tc>
          <w:tcPr>
            <w:tcW w:w="5380" w:type="dxa"/>
            <w:vAlign w:val="bottom"/>
          </w:tcPr>
          <w:p>
            <w:pPr>
              <w:spacing w:after="0"/>
              <w:rPr>
                <w:sz w:val="24"/>
                <w:szCs w:val="24"/>
                <w:color w:val="auto"/>
              </w:rPr>
            </w:pPr>
          </w:p>
        </w:tc>
        <w:tc>
          <w:tcPr>
            <w:tcW w:w="820" w:type="dxa"/>
            <w:vAlign w:val="bottom"/>
          </w:tcPr>
          <w:p>
            <w:pPr>
              <w:jc w:val="right"/>
              <w:ind w:right="418"/>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8"/>
        </w:trPr>
        <w:tc>
          <w:tcPr>
            <w:tcW w:w="538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center"/>
              <w:ind w:right="105"/>
              <w:spacing w:after="0" w:line="130" w:lineRule="exact"/>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center"/>
              <w:ind w:right="3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180" w:type="dxa"/>
            <w:vAlign w:val="bottom"/>
          </w:tcPr>
          <w:p>
            <w:pPr>
              <w:spacing w:after="0"/>
              <w:rPr>
                <w:sz w:val="13"/>
                <w:szCs w:val="13"/>
                <w:color w:val="auto"/>
              </w:rPr>
            </w:pPr>
          </w:p>
        </w:tc>
        <w:tc>
          <w:tcPr>
            <w:tcW w:w="1460" w:type="dxa"/>
            <w:vAlign w:val="bottom"/>
          </w:tcPr>
          <w:p>
            <w:pPr>
              <w:jc w:val="center"/>
              <w:ind w:right="105"/>
              <w:spacing w:after="0" w:line="153" w:lineRule="exact"/>
              <w:rPr>
                <w:sz w:val="20"/>
                <w:szCs w:val="20"/>
                <w:color w:val="auto"/>
              </w:rPr>
            </w:pPr>
            <w:r>
              <w:rPr>
                <w:rFonts w:ascii="Times New Roman" w:cs="Times New Roman" w:eastAsia="Times New Roman" w:hAnsi="Times New Roman"/>
                <w:sz w:val="14"/>
                <w:szCs w:val="14"/>
                <w:b w:val="1"/>
                <w:bCs w:val="1"/>
                <w:color w:val="auto"/>
                <w:w w:val="97"/>
              </w:rPr>
              <w:t>Shares that may yet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Total Number</w:t>
            </w:r>
          </w:p>
        </w:tc>
        <w:tc>
          <w:tcPr>
            <w:tcW w:w="160" w:type="dxa"/>
            <w:vAlign w:val="bottom"/>
          </w:tcPr>
          <w:p>
            <w:pPr>
              <w:spacing w:after="0"/>
              <w:rPr>
                <w:sz w:val="11"/>
                <w:szCs w:val="11"/>
                <w:color w:val="auto"/>
              </w:rPr>
            </w:pPr>
          </w:p>
        </w:tc>
        <w:tc>
          <w:tcPr>
            <w:tcW w:w="13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Shares Purchased</w:t>
            </w:r>
          </w:p>
        </w:tc>
        <w:tc>
          <w:tcPr>
            <w:tcW w:w="180" w:type="dxa"/>
            <w:vAlign w:val="bottom"/>
          </w:tcPr>
          <w:p>
            <w:pPr>
              <w:spacing w:after="0"/>
              <w:rPr>
                <w:sz w:val="11"/>
                <w:szCs w:val="11"/>
                <w:color w:val="auto"/>
              </w:rPr>
            </w:pPr>
          </w:p>
        </w:tc>
        <w:tc>
          <w:tcPr>
            <w:tcW w:w="1460" w:type="dxa"/>
            <w:vAlign w:val="bottom"/>
          </w:tcPr>
          <w:p>
            <w:pPr>
              <w:jc w:val="center"/>
              <w:ind w:right="105"/>
              <w:spacing w:after="0" w:line="129"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as Part of Publicly</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Under the Plans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160" w:type="dxa"/>
            <w:vAlign w:val="bottom"/>
          </w:tcPr>
          <w:p>
            <w:pPr>
              <w:spacing w:after="0"/>
              <w:rPr>
                <w:sz w:val="12"/>
                <w:szCs w:val="12"/>
                <w:color w:val="auto"/>
              </w:rPr>
            </w:pPr>
          </w:p>
        </w:tc>
        <w:tc>
          <w:tcPr>
            <w:tcW w:w="134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Announced Plans or</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4"/>
                <w:szCs w:val="14"/>
                <w:b w:val="1"/>
                <w:bCs w:val="1"/>
                <w:color w:val="auto"/>
                <w:w w:val="94"/>
              </w:rPr>
              <w:t>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vMerge w:val="continue"/>
          </w:tcPr>
          <w:p>
            <w:pPr>
              <w:spacing w:after="0"/>
              <w:rPr>
                <w:sz w:val="12"/>
                <w:szCs w:val="12"/>
                <w:color w:val="auto"/>
              </w:rPr>
            </w:pPr>
          </w:p>
        </w:tc>
        <w:tc>
          <w:tcPr>
            <w:tcW w:w="16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2"/>
                <w:szCs w:val="12"/>
                <w:color w:val="auto"/>
              </w:rPr>
            </w:pPr>
          </w:p>
        </w:tc>
        <w:tc>
          <w:tcPr>
            <w:tcW w:w="1340" w:type="dxa"/>
            <w:vAlign w:val="bottom"/>
            <w:gridSpan w:val="2"/>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 xml:space="preserve">Per Share </w:t>
            </w:r>
            <w:r>
              <w:rPr>
                <w:rFonts w:ascii="Times New Roman" w:cs="Times New Roman" w:eastAsia="Times New Roman" w:hAnsi="Times New Roman"/>
                <w:sz w:val="16"/>
                <w:szCs w:val="16"/>
                <w:b w:val="1"/>
                <w:bCs w:val="1"/>
                <w:color w:val="auto"/>
                <w:w w:val="98"/>
                <w:vertAlign w:val="superscript"/>
              </w:rPr>
              <w:t>(2)</w:t>
            </w:r>
          </w:p>
        </w:tc>
        <w:tc>
          <w:tcPr>
            <w:tcW w:w="20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8"/>
                <w:szCs w:val="8"/>
                <w:b w:val="1"/>
                <w:bCs w:val="1"/>
                <w:color w:val="auto"/>
              </w:rPr>
              <w:t>(3)</w:t>
            </w:r>
          </w:p>
        </w:tc>
        <w:tc>
          <w:tcPr>
            <w:tcW w:w="180" w:type="dxa"/>
            <w:vAlign w:val="bottom"/>
          </w:tcPr>
          <w:p>
            <w:pPr>
              <w:spacing w:after="0"/>
              <w:rPr>
                <w:sz w:val="12"/>
                <w:szCs w:val="12"/>
                <w:color w:val="auto"/>
              </w:rPr>
            </w:pPr>
          </w:p>
        </w:tc>
        <w:tc>
          <w:tcPr>
            <w:tcW w:w="1460" w:type="dxa"/>
            <w:vAlign w:val="bottom"/>
          </w:tcPr>
          <w:p>
            <w:pPr>
              <w:jc w:val="center"/>
              <w:ind w:right="105"/>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 in Millions) </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4/29/24 - 5/31/24</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0" w:type="dxa"/>
            <w:vAlign w:val="bottom"/>
          </w:tcPr>
          <w:p>
            <w:pPr>
              <w:spacing w:after="0"/>
              <w:rPr>
                <w:sz w:val="1"/>
                <w:szCs w:val="1"/>
                <w:color w:val="auto"/>
              </w:rPr>
            </w:pPr>
          </w:p>
        </w:tc>
      </w:tr>
      <w:tr>
        <w:trPr>
          <w:trHeight w:val="219"/>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6/3/24 - 6/28/24</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480,404</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43.66</w:t>
            </w: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480,404</w:t>
            </w:r>
          </w:p>
        </w:tc>
        <w:tc>
          <w:tcPr>
            <w:tcW w:w="3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19"/>
        </w:trPr>
        <w:tc>
          <w:tcPr>
            <w:tcW w:w="4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7/1/24 - 7/26/24</w:t>
            </w:r>
          </w:p>
        </w:tc>
        <w:tc>
          <w:tcPr>
            <w:tcW w:w="1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480,404</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43.66</w:t>
            </w:r>
          </w:p>
        </w:tc>
        <w:tc>
          <w:tcPr>
            <w:tcW w:w="38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480,404</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w:t>
      </w:r>
    </w:p>
    <w:p>
      <w:pPr>
        <w:spacing w:after="0" w:line="38"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Shares purchased are as of the trade date.</w:t>
      </w:r>
    </w:p>
    <w:p>
      <w:pPr>
        <w:spacing w:after="0" w:line="52" w:lineRule="exact"/>
        <w:rPr>
          <w:rFonts w:ascii="Times New Roman" w:cs="Times New Roman" w:eastAsia="Times New Roman" w:hAnsi="Times New Roman"/>
          <w:sz w:val="22"/>
          <w:szCs w:val="22"/>
          <w:color w:val="auto"/>
          <w:vertAlign w:val="superscript"/>
        </w:rPr>
      </w:pPr>
    </w:p>
    <w:p>
      <w:pPr>
        <w:jc w:val="both"/>
        <w:ind w:left="320" w:hanging="317"/>
        <w:spacing w:after="0" w:line="229" w:lineRule="auto"/>
        <w:tabs>
          <w:tab w:leader="none" w:pos="308"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37" w:lineRule="exact"/>
        <w:rPr>
          <w:rFonts w:ascii="Times New Roman" w:cs="Times New Roman" w:eastAsia="Times New Roman" w:hAnsi="Times New Roman"/>
          <w:sz w:val="22"/>
          <w:szCs w:val="22"/>
          <w:color w:val="auto"/>
          <w:vertAlign w:val="superscript"/>
        </w:rPr>
      </w:pPr>
    </w:p>
    <w:p>
      <w:pPr>
        <w:jc w:val="both"/>
        <w:ind w:left="320" w:hanging="317"/>
        <w:spacing w:after="0" w:line="242" w:lineRule="auto"/>
        <w:tabs>
          <w:tab w:leader="none" w:pos="308"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June 2021, our Board of Directors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Reserved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51" w:lineRule="exact"/>
        <w:rPr>
          <w:sz w:val="20"/>
          <w:szCs w:val="20"/>
          <w:color w:val="auto"/>
        </w:rPr>
      </w:pPr>
    </w:p>
    <w:p>
      <w:pPr>
        <w:ind w:right="1360" w:firstLine="309"/>
        <w:spacing w:after="0" w:line="355" w:lineRule="auto"/>
        <w:rPr>
          <w:sz w:val="20"/>
          <w:szCs w:val="20"/>
          <w:color w:val="auto"/>
        </w:rPr>
      </w:pPr>
      <w:r>
        <w:rPr>
          <w:rFonts w:ascii="Times New Roman" w:cs="Times New Roman" w:eastAsia="Times New Roman" w:hAnsi="Times New Roman"/>
          <w:sz w:val="17"/>
          <w:szCs w:val="17"/>
          <w:color w:val="auto"/>
        </w:rPr>
        <w:t xml:space="preserve">Unless otherwise stated, the terms "we," "us," "our" and the "company" refer to Campbell Soup Company and its consolidated subsidiaries. </w:t>
      </w:r>
      <w:r>
        <w:rPr>
          <w:rFonts w:ascii="Times New Roman" w:cs="Times New Roman" w:eastAsia="Times New Roman" w:hAnsi="Times New Roman"/>
          <w:sz w:val="17"/>
          <w:szCs w:val="17"/>
          <w:b w:val="1"/>
          <w:bCs w:val="1"/>
          <w:i w:val="1"/>
          <w:iCs w:val="1"/>
          <w:color w:val="auto"/>
        </w:rPr>
        <w:t>Executive Summary</w:t>
      </w:r>
    </w:p>
    <w:p>
      <w:pPr>
        <w:spacing w:after="0" w:line="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are a manufacturer and marketer of high-quality, branded food and beverage products. We operate in a highly competitive industry and experience competition in all of our categories.</w:t>
      </w:r>
    </w:p>
    <w:p>
      <w:pPr>
        <w:spacing w:after="0" w:line="36"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In 2024, we continued to advance our key strategic initiatives in a challenging environment. We completed the acquisition of Sovos Brands, Inc. (Sovos Brands) which has brought incremental growth to our Meals &amp; Beverages segment and supports the continued transformation of our advantaged portfolio. During 2024, we continued to navigate through a landscape marked by consumer behavior shifts, commodity cost fluctuations and other global macroeconomic challenges. During 2024, we experienced a moderate amount of input cost inflation and increased supply chain stability, which we expect to continue through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Strategy</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 xml:space="preserve">Our strategy is to Set the Standard for performance in the food industry by driving accelerated growth in our two divisions within North America while delivering on the promise of our purpose - </w:t>
      </w:r>
      <w:r>
        <w:rPr>
          <w:rFonts w:ascii="Times New Roman" w:cs="Times New Roman" w:eastAsia="Times New Roman" w:hAnsi="Times New Roman"/>
          <w:sz w:val="17"/>
          <w:szCs w:val="17"/>
          <w:i w:val="1"/>
          <w:iCs w:val="1"/>
          <w:color w:val="auto"/>
        </w:rPr>
        <w:t>Connecting people through food they lov</w:t>
      </w:r>
      <w:r>
        <w:rPr>
          <w:rFonts w:ascii="Times New Roman" w:cs="Times New Roman" w:eastAsia="Times New Roman" w:hAnsi="Times New Roman"/>
          <w:sz w:val="17"/>
          <w:szCs w:val="17"/>
          <w:color w:val="auto"/>
        </w:rPr>
        <w:t>e. Our strategic framework is based on five areas that position us to achieve best in class performance: Top Team; Best Portfolio; Top-Tier Performance; Winning Execution; and Lasting Impact, as further discussed below.</w:t>
      </w:r>
    </w:p>
    <w:p>
      <w:pPr>
        <w:spacing w:after="0" w:line="47" w:lineRule="exact"/>
        <w:rPr>
          <w:sz w:val="20"/>
          <w:szCs w:val="20"/>
          <w:color w:val="auto"/>
        </w:rPr>
      </w:pPr>
    </w:p>
    <w:p>
      <w:pPr>
        <w:jc w:val="both"/>
        <w:ind w:left="620" w:hanging="308"/>
        <w:spacing w:after="0" w:line="262"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Top Team</w:t>
      </w:r>
      <w:r>
        <w:rPr>
          <w:rFonts w:ascii="Times New Roman" w:cs="Times New Roman" w:eastAsia="Times New Roman" w:hAnsi="Times New Roman"/>
          <w:sz w:val="17"/>
          <w:szCs w:val="17"/>
          <w:color w:val="auto"/>
        </w:rPr>
        <w:t>: We plan to continue our focus on creating a Top Team by fostering an engaged and inclusive culture, while building capabilities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developing leaders at all levels of the organization. We are driving organizational engagement, belonging and effectiveness through our employee value proposition: </w:t>
      </w:r>
      <w:r>
        <w:rPr>
          <w:rFonts w:ascii="Times New Roman" w:cs="Times New Roman" w:eastAsia="Times New Roman" w:hAnsi="Times New Roman"/>
          <w:sz w:val="17"/>
          <w:szCs w:val="17"/>
          <w:i w:val="1"/>
          <w:iCs w:val="1"/>
          <w:color w:val="auto"/>
        </w:rPr>
        <w:t>Make history with Campbell’s</w:t>
      </w:r>
      <w:r>
        <w:rPr>
          <w:rFonts w:ascii="Times New Roman" w:cs="Times New Roman" w:eastAsia="Times New Roman" w:hAnsi="Times New Roman"/>
          <w:sz w:val="17"/>
          <w:szCs w:val="17"/>
          <w:color w:val="auto"/>
        </w:rPr>
        <w:t>, and modernizing our facilities. We have completed the consolidation of our Snacks offices into Camden, New Jersey. Our single headquarters has helped to foster closer collaboration and enhance decision-making, thereby improving our ability to execute on our business strategy.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20" w:name="page21"/>
    <w:bookmarkEnd w:id="20"/>
    <w:p>
      <w:pPr>
        <w:jc w:val="both"/>
        <w:ind w:left="620" w:hanging="308"/>
        <w:spacing w:after="0" w:line="272"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Best Portfolio</w:t>
      </w:r>
      <w:r>
        <w:rPr>
          <w:rFonts w:ascii="Times New Roman" w:cs="Times New Roman" w:eastAsia="Times New Roman" w:hAnsi="Times New Roman"/>
          <w:sz w:val="17"/>
          <w:szCs w:val="17"/>
          <w:color w:val="auto"/>
        </w:rPr>
        <w:t>: We believe that we are well-positioned as a transformative category leader with an advantaged portfolio of brands across our Meals &amp;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Beverages and Snacks segments. We will support our Best Portfolio priority and accelerate our profitable growth model by growing market share and driving integrated business planning programming throughout the company.</w:t>
      </w:r>
    </w:p>
    <w:p>
      <w:pPr>
        <w:spacing w:after="0" w:line="43" w:lineRule="exact"/>
        <w:rPr>
          <w:rFonts w:ascii="Times New Roman" w:cs="Times New Roman" w:eastAsia="Times New Roman" w:hAnsi="Times New Roman"/>
          <w:sz w:val="17"/>
          <w:szCs w:val="17"/>
          <w:color w:val="auto"/>
        </w:rPr>
      </w:pPr>
    </w:p>
    <w:p>
      <w:pPr>
        <w:jc w:val="both"/>
        <w:ind w:left="620" w:hanging="308"/>
        <w:spacing w:after="0" w:line="272"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Top-Tier Performance</w:t>
      </w:r>
      <w:r>
        <w:rPr>
          <w:rFonts w:ascii="Times New Roman" w:cs="Times New Roman" w:eastAsia="Times New Roman" w:hAnsi="Times New Roman"/>
          <w:sz w:val="17"/>
          <w:szCs w:val="17"/>
          <w:color w:val="auto"/>
        </w:rPr>
        <w:t>: We also believe that we have the resources and capabilities to deliver predictable and consistent growth resulting in Top-Tier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through continued focus on effective revenue management, and finding innovative ways to enhance our products and processes to unlock cost efficiencies and savings across the enterprise.</w:t>
      </w:r>
    </w:p>
    <w:p>
      <w:pPr>
        <w:spacing w:after="0" w:line="43" w:lineRule="exact"/>
        <w:rPr>
          <w:rFonts w:ascii="Times New Roman" w:cs="Times New Roman" w:eastAsia="Times New Roman" w:hAnsi="Times New Roman"/>
          <w:sz w:val="17"/>
          <w:szCs w:val="17"/>
          <w:color w:val="auto"/>
        </w:rPr>
      </w:pPr>
    </w:p>
    <w:p>
      <w:pPr>
        <w:jc w:val="both"/>
        <w:ind w:left="620" w:hanging="308"/>
        <w:spacing w:after="0" w:line="262"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Winning Execution</w:t>
      </w:r>
      <w:r>
        <w:rPr>
          <w:rFonts w:ascii="Times New Roman" w:cs="Times New Roman" w:eastAsia="Times New Roman" w:hAnsi="Times New Roman"/>
          <w:sz w:val="17"/>
          <w:szCs w:val="17"/>
          <w:color w:val="auto"/>
        </w:rPr>
        <w:t>: We will focus on Winning Execution by delivering an advantaged supply chain by continuing to modernize our manufacturing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network, with a focus on logistics and distribution expertise. We continued to pursue our multi-year cost savings initiatives with $950 million in cost savings achieved through 2024. On September 10, 2024, we announced plans to implement new cost savings initiatives beginning in 2025 with targeted annual savings of approximately $250 million by the end of 2028. See "Restructuring Charges, Cost Savings Initiatives and Other Optimization Initiatives" for additional information on these initiatives.</w:t>
      </w:r>
    </w:p>
    <w:p>
      <w:pPr>
        <w:spacing w:after="0" w:line="40" w:lineRule="exact"/>
        <w:rPr>
          <w:rFonts w:ascii="Times New Roman" w:cs="Times New Roman" w:eastAsia="Times New Roman" w:hAnsi="Times New Roman"/>
          <w:sz w:val="17"/>
          <w:szCs w:val="17"/>
          <w:color w:val="auto"/>
        </w:rPr>
      </w:pPr>
    </w:p>
    <w:p>
      <w:pPr>
        <w:ind w:left="620" w:hanging="308"/>
        <w:spacing w:after="0" w:line="291"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Lasting Impact</w:t>
      </w:r>
      <w:r>
        <w:rPr>
          <w:rFonts w:ascii="Times New Roman" w:cs="Times New Roman" w:eastAsia="Times New Roman" w:hAnsi="Times New Roman"/>
          <w:sz w:val="17"/>
          <w:szCs w:val="17"/>
          <w:color w:val="auto"/>
        </w:rPr>
        <w:t>: Finally, we plan to continue to deliver on the promise of our purpose through a focus on Lasting Impact with continued progress on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sustainability and community goals and strengthening our connection to the communities in which we operate.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Trends</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businesses are being influenced by a variety of trends that we anticipate will continue in the future, including: cost inflation; an evolving consumer landscape; and a competitive and dynamic retail environment.</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strategy is designed, in part, to capture growing consumer preferences for snacking and convenience. For example, we believe that consumers are changing their eating habits by increasing the type and frequency of snacks they consume while also making more intentional decisions on value in snacking. We also expect consumers to continue in-home eating behaviors.</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Retailers continue to use their buying power and negotiating strength to seek increased promotional programs funded by their suppliers and more favorable terms, including supplier-funded customized products. Any consolidations among retailers would continue to create large and sophisticated customers that may further this trend. Retailers also continue to grow and promote private label brands that compete with branded products, especially on price.</w:t>
      </w:r>
    </w:p>
    <w:p>
      <w:pPr>
        <w:spacing w:after="0" w:line="5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Our industry continues to navigate a steady and ongoing recovery in light of supply chain disruptions, commodity cost volatility, labor market issues, economic uncertainties regarding the 2024 presidential election, impacts of a potential change in administration and other global macroeconomic challenges. Throughout 2024, we have experienced some moderation in input cost inflation, and we expect input cost inflation in 2025 to remain at similar levels as 2024, as we continue to see improvement across certain ingredients and packaging materials. We anticipate continued supply chain productivity and previously implemented pricing actions to mitigate some of the inflationary pressures, and expect such benefits to offset incremental costs in 2025. We will continue to evaluate the evolving macroeconomic environment to take action to mitigate the impact on our business, consolidated results of operations and financial condition.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Acquisition &amp; Divestiture</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for total purchase consideration of $2.899 billion. For additional information on the Sovos Brands acquisition, see Note 3 to the Consolidated Financial Statements. All references to the acquisition below refer to the Sovos Brands acquisition.</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August 26, 2024, we completed the sale of our Pop Secret popcorn business. For additional information on the divestiture, see Note 21 to the Consolidated Financial Statements.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Exchange Listing</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August 19, 2024, our capital stock, par value $0.0375 per share (the Capital Stock), began trading on The Nasdaq Stock Market LLC following our voluntarily withdrawal from listing on the New York Stock Exchange after market close on August 16, 2024. Our Capital Stock continues to trade under the stock symbol “CPB.”</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Results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Summary of Results provides significant highlights from the discussion and analysis that follows.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52 weeks in 2024, 2023 and 2022. There will be 53 weeks in 2025.</w:t>
      </w:r>
    </w:p>
    <w:p>
      <w:pPr>
        <w:spacing w:after="0" w:line="88" w:lineRule="exact"/>
        <w:rPr>
          <w:sz w:val="20"/>
          <w:szCs w:val="20"/>
          <w:color w:val="auto"/>
        </w:rPr>
      </w:pPr>
    </w:p>
    <w:p>
      <w:pPr>
        <w:ind w:left="620" w:hanging="308"/>
        <w:spacing w:after="0" w:line="286"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sales increased 3% in 2024 to $9.636 billion primarily due to a 5-point benefit from the acquisition of Sovos Brands and favorable net price realization, partially offset by unfavorable volume/mix.</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21" w:name="page22"/>
    <w:bookmarkEnd w:id="21"/>
    <w:p>
      <w:pPr>
        <w:jc w:val="both"/>
        <w:ind w:left="620" w:hanging="308"/>
        <w:spacing w:after="0" w:line="269"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as a percent of sales, decreased to 30.8% in 2024 from 31.2% a year ago. The decrease was primarily due to higher cost inflation and other supply chain costs, the impact of the acquisition and mark-to-market adjustments on outstanding undesignated commodity hedges, partially offset by the benefits from supply chain productivity improvements and favorable net price realization.</w:t>
      </w:r>
    </w:p>
    <w:p>
      <w:pPr>
        <w:spacing w:after="0" w:line="38"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were $1.89 in 2024, compared to $2.85 a year ago. The current year included expenses of $1.19 per share and the prior year included expenses of $.15 per share from items impacting comparability as discussed below.</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Earnings attributable to Campbell Soup Company - 2024 Compared with 2023</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items impacted the comparability of net earnings and net earnings per share:</w:t>
      </w:r>
    </w:p>
    <w:p>
      <w:pPr>
        <w:spacing w:after="0" w:line="88" w:lineRule="exact"/>
        <w:rPr>
          <w:sz w:val="20"/>
          <w:szCs w:val="20"/>
          <w:color w:val="auto"/>
        </w:rPr>
      </w:pPr>
    </w:p>
    <w:p>
      <w:pPr>
        <w:jc w:val="both"/>
        <w:ind w:left="620" w:hanging="308"/>
        <w:spacing w:after="0" w:line="261"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implemented several cost savings initiatives in recent years. In 2024, we recorded Restructuring charges of $17 million and implementation costs and other related costs of $54 million in Administrative expenses, $26 million in Cost of products sold, $4 million in Marketing and selling expenses and $3 million in Research and development expenses related to these initiatives. In 2023, we recorded Restructuring charges of $16 million and implementation costs and other related costs of $24 million in Administrative expenses, $18 million in Cost of products sold, $5 million in Marketing and selling expenses and $3 million in Research and development expenses (aggregate impact of $50 million after tax, or $.17 per share) related to these initiatives.</w:t>
      </w:r>
    </w:p>
    <w:p>
      <w:pPr>
        <w:spacing w:after="0" w:line="57" w:lineRule="exact"/>
        <w:rPr>
          <w:rFonts w:ascii="Times New Roman" w:cs="Times New Roman" w:eastAsia="Times New Roman" w:hAnsi="Times New Roman"/>
          <w:sz w:val="17"/>
          <w:szCs w:val="17"/>
          <w:color w:val="auto"/>
        </w:rPr>
      </w:pPr>
    </w:p>
    <w:p>
      <w:pPr>
        <w:ind w:left="620"/>
        <w:spacing w:after="0" w:line="28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second quarter of 2024, we began implementation of a new optimization initiative to improve the effectiveness of our Snacks direct-store-delivery route-to-market network. In 2024, we recognized $5 million in Marketing and selling expenses related to this initiative.</w:t>
      </w:r>
    </w:p>
    <w:p>
      <w:pPr>
        <w:spacing w:after="0" w:line="36" w:lineRule="exact"/>
        <w:rPr>
          <w:rFonts w:ascii="Times New Roman" w:cs="Times New Roman" w:eastAsia="Times New Roman" w:hAnsi="Times New Roman"/>
          <w:sz w:val="17"/>
          <w:szCs w:val="17"/>
          <w:color w:val="auto"/>
        </w:rPr>
      </w:pPr>
    </w:p>
    <w:p>
      <w:pPr>
        <w:jc w:val="both"/>
        <w:ind w:left="6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2024, the total aggregate impact related to the cost savings and optimization initiatives was $109 million ($83 million after tax, or $.28 per share). See Note 8 to the Consolidated Financial Statements and "Restructuring Charges, Cost Savings Initiatives and Other Optimization Initiatives" for additional information;</w:t>
      </w:r>
    </w:p>
    <w:p>
      <w:pPr>
        <w:spacing w:after="0" w:line="38"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2024, we recognized actuarial losses on our pension and postretirement plans in Other expenses / (income) of $33 million ($25 million after tax, or $.08 per share). In 2023, we recognized actuarial gains in Other expenses / (income) of $15 million ($11 million after tax, or $.04 per share);</w:t>
      </w:r>
    </w:p>
    <w:p>
      <w:pPr>
        <w:spacing w:after="0" w:line="36"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2024, we recognized losses in Cost of products sold of $22 million ($16 million after tax, or $.05 per share) associated with unrealized mark-to-market adjustments on outstanding undesignated commodity hedges. In 2023, we recognized gains in Cost of products sold of $21 million ($16 million after tax, or $.05 per share) associated with unrealized mark-to-market adjustments on outstanding undesignated commodity hedges;</w:t>
      </w:r>
    </w:p>
    <w:p>
      <w:pPr>
        <w:spacing w:after="0" w:line="50" w:lineRule="exact"/>
        <w:rPr>
          <w:rFonts w:ascii="Times New Roman" w:cs="Times New Roman" w:eastAsia="Times New Roman" w:hAnsi="Times New Roman"/>
          <w:sz w:val="17"/>
          <w:szCs w:val="17"/>
          <w:color w:val="auto"/>
        </w:rPr>
      </w:pPr>
    </w:p>
    <w:p>
      <w:pPr>
        <w:jc w:val="both"/>
        <w:ind w:left="620" w:hanging="308"/>
        <w:spacing w:after="0" w:line="25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quarter of 2024, we announced our intent to acquire Sovos Brands and on March 12, 2024 the acquisition closed. In 2024, we incurred $126 million of costs associated with the acquisition, of which $21 million was recorded in Restructuring charges, $47 million in Administrative expenses, $35 million in Other expenses / (income), $3 million in Marketing and selling expenses, $2 million in Research and development expenses and $18 million in Cost of products sold, of which $17 million was associated with the acquisition date fair value adjustment for inventory. We also recorded costs of $2 million in Interest expense related to costs associated with the Delayed Draw Term Loan Credit Agreement (the 2024 DDTL Credit Agreement) used to fund the acquisition. The aggregate impact was $128 million, $109 million after tax, or $.36 per share. In 2023, we incurred costs associated with the acquisition in Other expense / (income) of $5 million ($4 million after tax, or $.01 per share);</w:t>
      </w:r>
    </w:p>
    <w:p>
      <w:pPr>
        <w:spacing w:after="0" w:line="48"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2024, we recorded accelerated amortization expense in Other expenses / (income) of $27 million ($20 million after tax, or $.07 per share) related to customer relationship intangible assets due to the loss of certain contract manufacturing customers, which began in the fourth quarter of 2023. In 2023, we recorded accelerated amortization expense in Other expenses / (income) of $7 million ($5 million after tax, or $.02);</w:t>
      </w:r>
    </w:p>
    <w:p>
      <w:pPr>
        <w:spacing w:after="0" w:line="50" w:lineRule="exact"/>
        <w:rPr>
          <w:rFonts w:ascii="Times New Roman" w:cs="Times New Roman" w:eastAsia="Times New Roman" w:hAnsi="Times New Roman"/>
          <w:sz w:val="17"/>
          <w:szCs w:val="17"/>
          <w:color w:val="auto"/>
        </w:rPr>
      </w:pPr>
    </w:p>
    <w:p>
      <w:pPr>
        <w:jc w:val="both"/>
        <w:ind w:left="620" w:hanging="308"/>
        <w:spacing w:after="0" w:line="261" w:lineRule="auto"/>
        <w:tabs>
          <w:tab w:leader="none" w:pos="616"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 the fourth quarter of 2024, we recognized an impairment charge of $53 million in Other expenses / (income) on certain salty snacks and cookie trademarks within our Snacks segment, including </w:t>
      </w:r>
      <w:r>
        <w:rPr>
          <w:rFonts w:ascii="Times New Roman" w:cs="Times New Roman" w:eastAsia="Times New Roman" w:hAnsi="Times New Roman"/>
          <w:sz w:val="17"/>
          <w:szCs w:val="17"/>
          <w:i w:val="1"/>
          <w:iCs w:val="1"/>
          <w:color w:val="auto"/>
        </w:rPr>
        <w:t>Tom's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Jays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Kruncher's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O-Ke-Doke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Stella D'oro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Archway</w:t>
      </w:r>
      <w:r>
        <w:rPr>
          <w:rFonts w:ascii="Times New Roman" w:cs="Times New Roman" w:eastAsia="Times New Roman" w:hAnsi="Times New Roman"/>
          <w:sz w:val="17"/>
          <w:szCs w:val="17"/>
          <w:color w:val="auto"/>
        </w:rPr>
        <w:t>, collectively referred to as our "Allied brands." In 2024, sales and operating performance were below expectations due in part to competitive pressure and reduced margins. In the fourth quarter of 2024, based on recent performance and reevaluation of the position of the Allied brands within our portfolio, we lowered our near-term and long-term outlook for future sales and operating performance.</w:t>
      </w:r>
    </w:p>
    <w:p>
      <w:pPr>
        <w:spacing w:after="0" w:line="57" w:lineRule="exact"/>
        <w:rPr>
          <w:rFonts w:ascii="Times New Roman" w:cs="Times New Roman" w:eastAsia="Times New Roman" w:hAnsi="Times New Roman"/>
          <w:sz w:val="17"/>
          <w:szCs w:val="17"/>
          <w:b w:val="1"/>
          <w:bCs w:val="1"/>
          <w:color w:val="auto"/>
        </w:rPr>
      </w:pPr>
    </w:p>
    <w:p>
      <w:pPr>
        <w:jc w:val="both"/>
        <w:ind w:left="6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fourth quarter of 2024, we performed an impairment assessment on the assets in our Pop Secret popcorn business within our Snacks segment as sales and operating performance were below expectations due in part to competitive pressure and reduced margins, and as we pursued divesting the business. As a result of these factors, in the fourth quarter of 2024, we lowered our long-term outlook for the business and recognized an impairment charge of $76 million in Other expenses / (income) on the trademark. The sale of the business was completed on August 26,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2" w:name="page23"/>
    <w:bookmarkEnd w:id="22"/>
    <w:p>
      <w:pPr>
        <w:ind w:left="620"/>
        <w:spacing w:after="0" w:line="286" w:lineRule="auto"/>
        <w:rPr>
          <w:sz w:val="20"/>
          <w:szCs w:val="20"/>
          <w:color w:val="auto"/>
        </w:rPr>
      </w:pPr>
      <w:r>
        <w:rPr>
          <w:rFonts w:ascii="Times New Roman" w:cs="Times New Roman" w:eastAsia="Times New Roman" w:hAnsi="Times New Roman"/>
          <w:sz w:val="17"/>
          <w:szCs w:val="17"/>
          <w:color w:val="auto"/>
        </w:rPr>
        <w:t>The total aggregate impact of the impairment charges was $129 million ($98 million after tax, or $.33 per share). See "Critical Accounting Estimates" for additional information;</w:t>
      </w:r>
    </w:p>
    <w:p>
      <w:pPr>
        <w:spacing w:after="0" w:line="88" w:lineRule="exact"/>
        <w:rPr>
          <w:sz w:val="20"/>
          <w:szCs w:val="20"/>
          <w:color w:val="auto"/>
        </w:rPr>
      </w:pPr>
    </w:p>
    <w:p>
      <w:pPr>
        <w:ind w:left="620" w:hanging="308"/>
        <w:spacing w:after="0" w:line="286"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2024, we recorded pre- and after-tax litigation expenses in Administrative expenses of $5 million ($.02 per share) related to the Plum baby food and snacks business (Plum), which was divested on May 3, 2021, and certain other litigation matters;</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2024, we recorded costs of $2 million in Cost of products sold and $1 million in Administrative expenses (aggregate impact of $2 million after tax, or $.01 per share) related to a cybersecurity incident that was identified in the fourth quarter of 2023; and</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2023, we recorded a pre- and after-tax loss in Other expenses / (income) of $13 million ($.04 per share) on the sale of our Emerald nuts business, which was sold on May 30, 2023.</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items impacting comparability are summarized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17"/>
              <w:spacing w:after="0" w:line="123" w:lineRule="exact"/>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77"/>
              <w:spacing w:after="0" w:line="123"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87"/>
        </w:trPr>
        <w:tc>
          <w:tcPr>
            <w:tcW w:w="6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7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bottom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Net earnings attributable to Campbell Soup Company</w:t>
            </w:r>
          </w:p>
        </w:tc>
        <w:tc>
          <w:tcPr>
            <w:tcW w:w="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567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line="19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b w:val="1"/>
                <w:bCs w:val="1"/>
                <w:color w:val="auto"/>
              </w:rPr>
              <w:t>1.89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associated with cost savings and optimization initiatives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actuarial gains (losses)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Commodity mark-to-market gains (losses)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associated with acquisition</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amortization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Certain litigation expenses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Cybersecurity incident costs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Charges associated with divestiture</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12"/>
        </w:trPr>
        <w:tc>
          <w:tcPr>
            <w:tcW w:w="6980" w:type="dxa"/>
            <w:vAlign w:val="bottom"/>
          </w:tcPr>
          <w:p>
            <w:pPr>
              <w:ind w:left="20"/>
              <w:spacing w:after="0" w:line="211" w:lineRule="exact"/>
              <w:rPr>
                <w:sz w:val="20"/>
                <w:szCs w:val="20"/>
                <w:color w:val="auto"/>
              </w:rPr>
            </w:pPr>
            <w:r>
              <w:rPr>
                <w:rFonts w:ascii="Times New Roman" w:cs="Times New Roman" w:eastAsia="Times New Roman" w:hAnsi="Times New Roman"/>
                <w:sz w:val="17"/>
                <w:szCs w:val="17"/>
                <w:color w:val="auto"/>
              </w:rPr>
              <w:t>Impact of items on Net earnings</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25"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may not add due to rounding.</w:t>
      </w:r>
    </w:p>
    <w:p>
      <w:pPr>
        <w:spacing w:after="0" w:line="8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Net earnings attributable to Campbell Soup Company were $567 million ($1.89 per share) in 2024, compared to $858 million ($2.85 per share) in 2023. After adjusting for items impacting comparability, earnings increased reflecting improved gross profit, partially offset by higher interest expense, higher marketing and selling expenses, higher other expenses and higher research and development expenses. Earnings per share benefited from a reduction in the weighted average diluted shares outstanding.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Earnings attributable to Campbell Soup Company - 2023 Compared with 2022</w:t>
      </w:r>
    </w:p>
    <w:p>
      <w:pPr>
        <w:spacing w:after="0" w:line="9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addition to the 2023 items that impacted comparability of Net earnings discussed above, the following items impacted the comparability of net earnings and net earnings per share:</w:t>
      </w:r>
    </w:p>
    <w:p>
      <w:pPr>
        <w:spacing w:after="0" w:line="36" w:lineRule="exact"/>
        <w:rPr>
          <w:sz w:val="20"/>
          <w:szCs w:val="20"/>
          <w:color w:val="auto"/>
        </w:rPr>
      </w:pPr>
    </w:p>
    <w:p>
      <w:pPr>
        <w:jc w:val="both"/>
        <w:ind w:left="620" w:hanging="308"/>
        <w:spacing w:after="0" w:line="264"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we recorded Restructuring charges of $5 million and implementation and other related costs of $20 million in Administrative expenses, $5 million in Cost of products sold and $1 million in Marketing and selling expenses (aggregate impact of $24 million after tax, or $.08 per share) related to the cost savings initiatives discussed above. See Note 8 to the Consolidated Financial Statements and "Restructuring Charges, Cost Savings Initiatives and Other Optimization Initiatives" for additional information;</w:t>
      </w:r>
    </w:p>
    <w:p>
      <w:pPr>
        <w:spacing w:after="0" w:line="54"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we recognized actuarial losses on our pension and postretirement plans in Other expenses / (income) of $44 million ($33 million after tax, or $.11 per share);</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we recognized losses in Cost of products sold of $59 million ($44 million after tax, or $.15 per share) associated with unrealized mark-to-market adjustments on outstanding undesignated commodity hedges; and</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we recorded a loss in Interest expense of $4 million ($3 million after tax, or $.01 per share) on the extinguishment of debt.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7"/>
          <w:szCs w:val="17"/>
          <w:color w:val="auto"/>
        </w:rPr>
        <w:t>The items impacting comparability are summarized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117"/>
              <w:spacing w:after="0" w:line="122" w:lineRule="exact"/>
              <w:rPr>
                <w:sz w:val="20"/>
                <w:szCs w:val="20"/>
                <w:color w:val="auto"/>
              </w:rPr>
            </w:pPr>
            <w:r>
              <w:rPr>
                <w:rFonts w:ascii="Times New Roman" w:cs="Times New Roman" w:eastAsia="Times New Roman" w:hAnsi="Times New Roman"/>
                <w:sz w:val="14"/>
                <w:szCs w:val="14"/>
                <w:b w:val="1"/>
                <w:bCs w:val="1"/>
                <w:color w:val="auto"/>
              </w:rPr>
              <w:t>EPS</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77"/>
              <w:spacing w:after="0" w:line="122" w:lineRule="exact"/>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88"/>
        </w:trPr>
        <w:tc>
          <w:tcPr>
            <w:tcW w:w="6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6"/>
                <w:szCs w:val="16"/>
                <w:color w:val="auto"/>
              </w:rPr>
            </w:pPr>
          </w:p>
        </w:tc>
        <w:tc>
          <w:tcPr>
            <w:tcW w:w="7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Net earnings attributable to Campbell Soup Company</w:t>
            </w:r>
          </w:p>
        </w:tc>
        <w:tc>
          <w:tcPr>
            <w:tcW w:w="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858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757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associated with cost savings and optimization initiatives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actuarial gains (losses)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Commodity mark-to-market gains (losses)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associated with acquisition</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amortization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associated with divestiture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2"/>
        </w:trPr>
        <w:tc>
          <w:tcPr>
            <w:tcW w:w="6980" w:type="dxa"/>
            <w:vAlign w:val="bottom"/>
          </w:tcPr>
          <w:p>
            <w:pPr>
              <w:ind w:left="20"/>
              <w:spacing w:after="0" w:line="211" w:lineRule="exact"/>
              <w:rPr>
                <w:sz w:val="20"/>
                <w:szCs w:val="20"/>
                <w:color w:val="auto"/>
              </w:rPr>
            </w:pPr>
            <w:r>
              <w:rPr>
                <w:rFonts w:ascii="Times New Roman" w:cs="Times New Roman" w:eastAsia="Times New Roman" w:hAnsi="Times New Roman"/>
                <w:sz w:val="17"/>
                <w:szCs w:val="17"/>
                <w:color w:val="auto"/>
              </w:rPr>
              <w:t>Impact of items on Net earnings</w:t>
            </w:r>
            <w:r>
              <w:rPr>
                <w:rFonts w:ascii="Times New Roman" w:cs="Times New Roman" w:eastAsia="Times New Roman" w:hAnsi="Times New Roman"/>
                <w:sz w:val="22"/>
                <w:szCs w:val="22"/>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64" w:lineRule="exact"/>
        <w:rPr>
          <w:sz w:val="20"/>
          <w:szCs w:val="20"/>
          <w:color w:val="auto"/>
        </w:rPr>
      </w:pPr>
    </w:p>
    <w:p>
      <w:pPr>
        <w:ind w:left="300" w:hanging="297"/>
        <w:spacing w:after="0"/>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may not add due to rounding.</w:t>
      </w:r>
    </w:p>
    <w:p>
      <w:pPr>
        <w:spacing w:after="0" w:line="80"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Net earnings attributable to Campbell Soup Company were $858 million ($2.85 per share) in 2023, compared to $757 million ($2.51 per share) in 2022. After adjusting for items impacting comparability, earnings increased reflecting an improved gross profit, partially offset by higher marketing and selling expenses, higher other expenses, higher administrative expenses and a higher effective tax rate. Earnings per share benefited from a reduction in the weighted average diluted shares outstanding. Net periodic pension and postretirement benefit income excluding any actuarial gains or losses was $44 million ($33 million after tax, or $.11 per share) lower in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AND ANALYSIS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 analysis of net sales by reportable segment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1800" w:type="dxa"/>
            <w:vAlign w:val="bottom"/>
            <w:tcBorders>
              <w:top w:val="single" w:sz="8" w:color="auto"/>
            </w:tcBorders>
            <w:gridSpan w:val="3"/>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17"/>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5,258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4,907</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4,607</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ind w:left="263"/>
              <w:spacing w:after="0"/>
              <w:rPr>
                <w:sz w:val="20"/>
                <w:szCs w:val="20"/>
                <w:color w:val="auto"/>
              </w:rPr>
            </w:pPr>
            <w:r>
              <w:rPr>
                <w:rFonts w:ascii="Times New Roman" w:cs="Times New Roman" w:eastAsia="Times New Roman" w:hAnsi="Times New Roman"/>
                <w:sz w:val="17"/>
                <w:szCs w:val="17"/>
                <w:color w:val="auto"/>
                <w:w w:val="93"/>
              </w:rPr>
              <w:t>7</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3,955</w:t>
            </w:r>
          </w:p>
        </w:tc>
        <w:tc>
          <w:tcPr>
            <w:tcW w:w="1160" w:type="dxa"/>
            <w:vAlign w:val="bottom"/>
            <w:tcBorders>
              <w:bottom w:val="single" w:sz="8" w:color="CCEEFF"/>
            </w:tcBorders>
            <w:gridSpan w:val="2"/>
          </w:tcPr>
          <w:p>
            <w:pPr>
              <w:jc w:val="center"/>
              <w:ind w:left="354"/>
              <w:spacing w:after="0"/>
              <w:rPr>
                <w:sz w:val="20"/>
                <w:szCs w:val="20"/>
                <w:color w:val="auto"/>
              </w:rPr>
            </w:pPr>
            <w:r>
              <w:rPr>
                <w:rFonts w:ascii="Times New Roman" w:cs="Times New Roman" w:eastAsia="Times New Roman" w:hAnsi="Times New Roman"/>
                <w:sz w:val="17"/>
                <w:szCs w:val="17"/>
                <w:color w:val="auto"/>
              </w:rPr>
              <w:t>(2)</w:t>
            </w:r>
          </w:p>
        </w:tc>
        <w:tc>
          <w:tcPr>
            <w:tcW w:w="1800" w:type="dxa"/>
            <w:vAlign w:val="bottom"/>
            <w:tcBorders>
              <w:bottom w:val="single" w:sz="8" w:color="CCEEFF"/>
            </w:tcBorders>
            <w:gridSpan w:val="3"/>
          </w:tcPr>
          <w:p>
            <w:pPr>
              <w:jc w:val="center"/>
              <w:ind w:left="363"/>
              <w:spacing w:after="0"/>
              <w:rPr>
                <w:sz w:val="20"/>
                <w:szCs w:val="20"/>
                <w:color w:val="auto"/>
              </w:rPr>
            </w:pPr>
            <w:r>
              <w:rPr>
                <w:rFonts w:ascii="Times New Roman" w:cs="Times New Roman" w:eastAsia="Times New Roman" w:hAnsi="Times New Roman"/>
                <w:sz w:val="17"/>
                <w:szCs w:val="17"/>
                <w:color w:val="auto"/>
                <w:w w:val="93"/>
              </w:rPr>
              <w:t>13</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8,562</w:t>
            </w:r>
          </w:p>
        </w:tc>
        <w:tc>
          <w:tcPr>
            <w:tcW w:w="1160" w:type="dxa"/>
            <w:vAlign w:val="bottom"/>
            <w:tcBorders>
              <w:bottom w:val="single" w:sz="8" w:color="CCEEFF"/>
            </w:tcBorders>
            <w:gridSpan w:val="2"/>
            <w:shd w:val="clear" w:color="auto" w:fill="CCEEFF"/>
          </w:tcPr>
          <w:p>
            <w:pPr>
              <w:jc w:val="center"/>
              <w:ind w:left="354"/>
              <w:spacing w:after="0"/>
              <w:rPr>
                <w:sz w:val="20"/>
                <w:szCs w:val="20"/>
                <w:color w:val="auto"/>
              </w:rPr>
            </w:pPr>
            <w:r>
              <w:rPr>
                <w:rFonts w:ascii="Times New Roman" w:cs="Times New Roman" w:eastAsia="Times New Roman" w:hAnsi="Times New Roman"/>
                <w:sz w:val="17"/>
                <w:szCs w:val="17"/>
                <w:color w:val="auto"/>
                <w:w w:val="93"/>
              </w:rPr>
              <w:t>3</w:t>
            </w:r>
          </w:p>
        </w:tc>
        <w:tc>
          <w:tcPr>
            <w:tcW w:w="1800" w:type="dxa"/>
            <w:vAlign w:val="bottom"/>
            <w:tcBorders>
              <w:bottom w:val="single" w:sz="8" w:color="CCEEFF"/>
            </w:tcBorders>
            <w:gridSpan w:val="3"/>
            <w:shd w:val="clear" w:color="auto" w:fill="CCEEFF"/>
          </w:tcPr>
          <w:p>
            <w:pPr>
              <w:jc w:val="center"/>
              <w:ind w:left="363"/>
              <w:spacing w:after="0"/>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 analysis of percent change of net sales by reportable segment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2024 versus 2023</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Meals &amp; Beverages</w:t>
            </w: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15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Volume/mix</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line="219" w:lineRule="exact"/>
              <w:rPr>
                <w:sz w:val="20"/>
                <w:szCs w:val="20"/>
                <w:color w:val="auto"/>
              </w:rPr>
            </w:pPr>
            <w:r>
              <w:rPr>
                <w:rFonts w:ascii="Times New Roman" w:cs="Times New Roman" w:eastAsia="Times New Roman" w:hAnsi="Times New Roman"/>
                <w:sz w:val="17"/>
                <w:szCs w:val="17"/>
                <w:color w:val="auto"/>
              </w:rPr>
              <w:t>Net price realization</w:t>
            </w:r>
            <w:r>
              <w:rPr>
                <w:rFonts w:ascii="Times New Roman" w:cs="Times New Roman" w:eastAsia="Times New Roman" w:hAnsi="Times New Roman"/>
                <w:sz w:val="22"/>
                <w:szCs w:val="22"/>
                <w:color w:val="auto"/>
                <w:vertAlign w:val="superscript"/>
              </w:rPr>
              <w:t>(1)</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Divestiture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2023 versus 2022</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6380" w:type="dxa"/>
            <w:vAlign w:val="bottom"/>
            <w:gridSpan w:val="2"/>
            <w:vMerge w:val="continue"/>
          </w:tcPr>
          <w:p>
            <w:pPr>
              <w:spacing w:after="0"/>
              <w:rPr>
                <w:sz w:val="22"/>
                <w:szCs w:val="22"/>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Meals &amp; Beverages</w:t>
            </w:r>
            <w:r>
              <w:rPr>
                <w:rFonts w:ascii="Times New Roman" w:cs="Times New Roman" w:eastAsia="Times New Roman" w:hAnsi="Times New Roman"/>
                <w:sz w:val="8"/>
                <w:szCs w:val="8"/>
                <w:b w:val="1"/>
                <w:bCs w:val="1"/>
                <w:color w:val="auto"/>
                <w:w w:val="98"/>
              </w:rPr>
              <w:t>(2)</w:t>
            </w: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15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Volume/mix</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line="219" w:lineRule="exact"/>
              <w:rPr>
                <w:sz w:val="20"/>
                <w:szCs w:val="20"/>
                <w:color w:val="auto"/>
              </w:rPr>
            </w:pPr>
            <w:r>
              <w:rPr>
                <w:rFonts w:ascii="Times New Roman" w:cs="Times New Roman" w:eastAsia="Times New Roman" w:hAnsi="Times New Roman"/>
                <w:sz w:val="17"/>
                <w:szCs w:val="17"/>
                <w:color w:val="auto"/>
              </w:rPr>
              <w:t>Net price realization</w:t>
            </w:r>
            <w:r>
              <w:rPr>
                <w:rFonts w:ascii="Times New Roman" w:cs="Times New Roman" w:eastAsia="Times New Roman" w:hAnsi="Times New Roman"/>
                <w:sz w:val="22"/>
                <w:szCs w:val="22"/>
                <w:color w:val="auto"/>
                <w:vertAlign w:val="superscript"/>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Currency</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Divestiture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25" w:lineRule="exact"/>
        <w:rPr>
          <w:sz w:val="20"/>
          <w:szCs w:val="20"/>
          <w:color w:val="auto"/>
        </w:rPr>
      </w:pPr>
    </w:p>
    <w:p>
      <w:pPr>
        <w:ind w:left="300" w:hanging="297"/>
        <w:spacing w:after="0"/>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 reductions from trade promotion and consumer coupon redemption programs.</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Sum of the individual amounts does not add due to rounding.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4" w:name="page25"/>
    <w:bookmarkEnd w:id="24"/>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2024, Meals &amp; Beverages sales increased 7% reflecting a 9-point benefit from the acquisition of Sovos Brands. Sales were impacted by unfavorable volume/mix with neutral net price realization. Excluding the benefit from the acquisition, sales decreased primarily due to declines in U.S. retail products, including beverages and U.S. soup, partially offset by gains in foodservice and Canada. Sales of U.S. soup decreased 2% primarily due to decreases in ready-to-serve soups and condensed soups, partially offset by an increase in broth. On a two-year CAGR basis, sales increased 7%, including the impact of the acquisition.</w:t>
      </w:r>
    </w:p>
    <w:p>
      <w:pPr>
        <w:spacing w:after="0" w:line="37"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 xml:space="preserve">In 2023, Meals &amp; Beverages sales increased 7% primarily due to increases in U.S. retail products, including U.S. soup and </w:t>
      </w:r>
      <w:r>
        <w:rPr>
          <w:rFonts w:ascii="Times New Roman" w:cs="Times New Roman" w:eastAsia="Times New Roman" w:hAnsi="Times New Roman"/>
          <w:sz w:val="17"/>
          <w:szCs w:val="17"/>
          <w:i w:val="1"/>
          <w:iCs w:val="1"/>
          <w:color w:val="auto"/>
        </w:rPr>
        <w:t>Prego</w:t>
      </w:r>
      <w:r>
        <w:rPr>
          <w:rFonts w:ascii="Times New Roman" w:cs="Times New Roman" w:eastAsia="Times New Roman" w:hAnsi="Times New Roman"/>
          <w:sz w:val="17"/>
          <w:szCs w:val="17"/>
          <w:color w:val="auto"/>
        </w:rPr>
        <w:t xml:space="preserve"> pasta sauces, as well as gains in foodservice. Favorable net price realization was partially offset by lower volume/mix. Sales of U.S. soup increased 3% primarily due to increases in ready-to-serve soups and broth.</w:t>
      </w:r>
    </w:p>
    <w:p>
      <w:pPr>
        <w:spacing w:after="0" w:line="48"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In 2024, Snacks sales decreased 2%. Excluding the impact from the divestiture of the Emerald nuts business, sales decreased as declines in third-party partner brands and contract manufacturing, fresh bakery and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popcorn were partially offset by sales of our power brands, which increased 2%. Sales of power brands were driven by increases in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and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Volume/mix declines were partially offset by favorable net price realization. On a two-year CAGR basis, sales increased 5%.</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 xml:space="preserve">In 2023, Snacks sales increased 13% driven by sales of our power brands which increased 17%. Sales increased due to increases in cookies and crackers, primarily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and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and in salty snacks, primarily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and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 Sales benefited from favorable net price realization.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10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Gross profit, defined as Net sales less Cost of products sold, increased by $54 million in 2024 from 2023 and increased by $290 million in 2023 from 2022. As a percent of sales, gross profit was 30.8% in 2024, 31.2% in 2023 and 30.7% in 2022.</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40 basis-point decrease and the 50 basis-point increase in gross profit margin in 2024 and 2023, respectively, were due to the following factors: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2"/>
        </w:trPr>
        <w:tc>
          <w:tcPr>
            <w:tcW w:w="8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r>
      <w:tr>
        <w:trPr>
          <w:trHeight w:val="181"/>
        </w:trPr>
        <w:tc>
          <w:tcPr>
            <w:tcW w:w="8640" w:type="dxa"/>
            <w:vAlign w:val="bottom"/>
          </w:tcPr>
          <w:p>
            <w:pPr>
              <w:spacing w:after="0"/>
              <w:rPr>
                <w:sz w:val="15"/>
                <w:szCs w:val="15"/>
                <w:color w:val="auto"/>
              </w:rPr>
            </w:pPr>
          </w:p>
        </w:tc>
        <w:tc>
          <w:tcPr>
            <w:tcW w:w="820" w:type="dxa"/>
            <w:vAlign w:val="bottom"/>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760" w:type="dxa"/>
            <w:vAlign w:val="bottom"/>
            <w:gridSpan w:val="3"/>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7"/>
        </w:trPr>
        <w:tc>
          <w:tcPr>
            <w:tcW w:w="8640" w:type="dxa"/>
            <w:vAlign w:val="bottom"/>
            <w:tcBorders>
              <w:top w:val="single" w:sz="8" w:color="CCEEFF"/>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Cost inflation, supply chain costs and other factors</w:t>
            </w:r>
            <w:r>
              <w:rPr>
                <w:rFonts w:ascii="Times New Roman" w:cs="Times New Roman" w:eastAsia="Times New Roman" w:hAnsi="Times New Roman"/>
                <w:sz w:val="22"/>
                <w:szCs w:val="22"/>
                <w:color w:val="auto"/>
                <w:vertAlign w:val="superscript"/>
              </w:rPr>
              <w:t>(1)</w:t>
            </w:r>
          </w:p>
        </w:tc>
        <w:tc>
          <w:tcPr>
            <w:tcW w:w="820" w:type="dxa"/>
            <w:vAlign w:val="bottom"/>
            <w:tcBorders>
              <w:top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7"/>
              </w:rPr>
              <w:t>(310)</w:t>
            </w: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(1,040)</w:t>
            </w:r>
          </w:p>
        </w:tc>
      </w:tr>
      <w:tr>
        <w:trPr>
          <w:trHeight w:val="219"/>
        </w:trPr>
        <w:tc>
          <w:tcPr>
            <w:tcW w:w="86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Impact of acquisition</w:t>
            </w:r>
            <w:r>
              <w:rPr>
                <w:rFonts w:ascii="Times New Roman" w:cs="Times New Roman" w:eastAsia="Times New Roman" w:hAnsi="Times New Roman"/>
                <w:sz w:val="22"/>
                <w:szCs w:val="22"/>
                <w:color w:val="auto"/>
                <w:vertAlign w:val="superscript"/>
              </w:rPr>
              <w:t>(2)</w:t>
            </w:r>
          </w:p>
        </w:tc>
        <w:tc>
          <w:tcPr>
            <w:tcW w:w="820" w:type="dxa"/>
            <w:vAlign w:val="bottom"/>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8"/>
              </w:rPr>
              <w:t>(40)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Higher costs associated with cost savings initiatives</w:t>
            </w:r>
          </w:p>
        </w:tc>
        <w:tc>
          <w:tcPr>
            <w:tcW w:w="82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8"/>
              </w:rPr>
              <w:t>(10)</w:t>
            </w:r>
          </w:p>
        </w:tc>
        <w:tc>
          <w:tcPr>
            <w:tcW w:w="1760" w:type="dxa"/>
            <w:vAlign w:val="bottom"/>
            <w:gridSpan w:val="3"/>
            <w:shd w:val="clear" w:color="auto" w:fill="CCEEFF"/>
          </w:tcPr>
          <w:p>
            <w:pPr>
              <w:jc w:val="center"/>
              <w:ind w:left="440"/>
              <w:spacing w:after="0"/>
              <w:rPr>
                <w:sz w:val="20"/>
                <w:szCs w:val="20"/>
                <w:color w:val="auto"/>
              </w:rPr>
            </w:pPr>
            <w:r>
              <w:rPr>
                <w:rFonts w:ascii="Times New Roman" w:cs="Times New Roman" w:eastAsia="Times New Roman" w:hAnsi="Times New Roman"/>
                <w:sz w:val="17"/>
                <w:szCs w:val="17"/>
                <w:color w:val="auto"/>
                <w:w w:val="98"/>
              </w:rPr>
              <w:t>(10)</w:t>
            </w:r>
          </w:p>
        </w:tc>
      </w:tr>
      <w:tr>
        <w:trPr>
          <w:trHeight w:val="219"/>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Productivity improvements</w:t>
            </w:r>
          </w:p>
        </w:tc>
        <w:tc>
          <w:tcPr>
            <w:tcW w:w="820" w:type="dxa"/>
            <w:vAlign w:val="bottom"/>
          </w:tcPr>
          <w:p>
            <w:pPr>
              <w:jc w:val="center"/>
              <w:ind w:left="356"/>
              <w:spacing w:after="0"/>
              <w:rPr>
                <w:sz w:val="20"/>
                <w:szCs w:val="20"/>
                <w:color w:val="auto"/>
              </w:rPr>
            </w:pPr>
            <w:r>
              <w:rPr>
                <w:rFonts w:ascii="Times New Roman" w:cs="Times New Roman" w:eastAsia="Times New Roman" w:hAnsi="Times New Roman"/>
                <w:sz w:val="17"/>
                <w:szCs w:val="17"/>
                <w:b w:val="1"/>
                <w:bCs w:val="1"/>
                <w:color w:val="auto"/>
              </w:rPr>
              <w:t>240</w:t>
            </w:r>
          </w:p>
        </w:tc>
        <w:tc>
          <w:tcPr>
            <w:tcW w:w="1760" w:type="dxa"/>
            <w:vAlign w:val="bottom"/>
            <w:gridSpan w:val="3"/>
          </w:tcPr>
          <w:p>
            <w:pPr>
              <w:jc w:val="center"/>
              <w:ind w:left="440"/>
              <w:spacing w:after="0"/>
              <w:rPr>
                <w:sz w:val="20"/>
                <w:szCs w:val="20"/>
                <w:color w:val="auto"/>
              </w:rPr>
            </w:pPr>
            <w:r>
              <w:rPr>
                <w:rFonts w:ascii="Times New Roman" w:cs="Times New Roman" w:eastAsia="Times New Roman" w:hAnsi="Times New Roman"/>
                <w:sz w:val="17"/>
                <w:szCs w:val="17"/>
                <w:color w:val="auto"/>
                <w:w w:val="93"/>
              </w:rPr>
              <w:t>300</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price realization</w:t>
            </w:r>
          </w:p>
        </w:tc>
        <w:tc>
          <w:tcPr>
            <w:tcW w:w="82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3"/>
              </w:rPr>
              <w:t>60</w:t>
            </w:r>
          </w:p>
        </w:tc>
        <w:tc>
          <w:tcPr>
            <w:tcW w:w="1760" w:type="dxa"/>
            <w:vAlign w:val="bottom"/>
            <w:gridSpan w:val="3"/>
            <w:shd w:val="clear" w:color="auto" w:fill="CCEEFF"/>
          </w:tcPr>
          <w:p>
            <w:pPr>
              <w:jc w:val="center"/>
              <w:ind w:left="440"/>
              <w:spacing w:after="0"/>
              <w:rPr>
                <w:sz w:val="20"/>
                <w:szCs w:val="20"/>
                <w:color w:val="auto"/>
              </w:rPr>
            </w:pPr>
            <w:r>
              <w:rPr>
                <w:rFonts w:ascii="Times New Roman" w:cs="Times New Roman" w:eastAsia="Times New Roman" w:hAnsi="Times New Roman"/>
                <w:sz w:val="17"/>
                <w:szCs w:val="17"/>
                <w:color w:val="auto"/>
                <w:w w:val="93"/>
              </w:rPr>
              <w:t>950</w:t>
            </w:r>
          </w:p>
        </w:tc>
      </w:tr>
      <w:tr>
        <w:trPr>
          <w:trHeight w:val="219"/>
        </w:trPr>
        <w:tc>
          <w:tcPr>
            <w:tcW w:w="86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Volume/mix</w:t>
            </w:r>
            <w:r>
              <w:rPr>
                <w:rFonts w:ascii="Times New Roman" w:cs="Times New Roman" w:eastAsia="Times New Roman" w:hAnsi="Times New Roman"/>
                <w:sz w:val="22"/>
                <w:szCs w:val="22"/>
                <w:color w:val="auto"/>
                <w:vertAlign w:val="superscript"/>
              </w:rPr>
              <w:t>(3)</w:t>
            </w:r>
          </w:p>
        </w:tc>
        <w:tc>
          <w:tcPr>
            <w:tcW w:w="820" w:type="dxa"/>
            <w:vAlign w:val="bottom"/>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3"/>
              </w:rPr>
              <w:t>20</w:t>
            </w:r>
          </w:p>
        </w:tc>
        <w:tc>
          <w:tcPr>
            <w:tcW w:w="1760" w:type="dxa"/>
            <w:vAlign w:val="bottom"/>
            <w:gridSpan w:val="3"/>
          </w:tcPr>
          <w:p>
            <w:pPr>
              <w:jc w:val="center"/>
              <w:ind w:left="440"/>
              <w:spacing w:after="0"/>
              <w:rPr>
                <w:sz w:val="20"/>
                <w:szCs w:val="20"/>
                <w:color w:val="auto"/>
              </w:rPr>
            </w:pPr>
            <w:r>
              <w:rPr>
                <w:rFonts w:ascii="Times New Roman" w:cs="Times New Roman" w:eastAsia="Times New Roman" w:hAnsi="Times New Roman"/>
                <w:sz w:val="17"/>
                <w:szCs w:val="17"/>
                <w:color w:val="auto"/>
                <w:w w:val="97"/>
              </w:rPr>
              <w:t>(150)</w:t>
            </w:r>
          </w:p>
        </w:tc>
      </w:tr>
      <w:tr>
        <w:trPr>
          <w:trHeight w:val="237"/>
        </w:trPr>
        <w:tc>
          <w:tcPr>
            <w:tcW w:w="864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8"/>
              </w:rPr>
              <w:t>(40)</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55" w:lineRule="exact"/>
        <w:rPr>
          <w:sz w:val="20"/>
          <w:szCs w:val="20"/>
          <w:color w:val="auto"/>
        </w:rPr>
      </w:pPr>
    </w:p>
    <w:p>
      <w:pPr>
        <w:jc w:val="both"/>
        <w:ind w:left="320" w:hanging="317"/>
        <w:spacing w:after="0" w:line="243" w:lineRule="auto"/>
        <w:tabs>
          <w:tab w:leader="none" w:pos="308"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2024 includes an estimated positive margin impact of 20 basis points from the benefit of cost savings initiatives, which was more than offset by cost inflation and other factors, including a 40 basis-point negative impact from the change in unrealized mark-to-market adjustments on outstanding undesignated commodity hedges and a 10 basis-point negative impact from a cybersecurity incident. 2023 includes a 90 basis-point positive impact from the change in unrealized mark-to-market adjustments on outstanding undesignated commodity hedges and an estimated positive margin impact of 10 basis points from the benefit of cost savings initiatives, which were more than offset by cost inflation and other factors.</w:t>
      </w:r>
    </w:p>
    <w:p>
      <w:pPr>
        <w:spacing w:after="0" w:line="3"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 negative margin impact of 20 basis points from a Sovos Brands acquisition date fair value adjustment for inventory.</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impact of operating leverage.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and Selling Expenses</w:t>
      </w:r>
    </w:p>
    <w:p>
      <w:pPr>
        <w:spacing w:after="0" w:line="9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Marketing and selling expenses as a percent of sales were 8.6% in 2024, 8.7% in 2023 and 8.6% in 2022. Marketing and selling expenses increased 3% in 2024 from 2023. The increase was primarily due to the impact of the acquisition (approximately 4 points), higher selling expenses (approximately 1 point) and higher other marketing expenses (approximately 1 point), partially offset by lower advertising and consumer promotion expense (approximately 3 points), primarily in Meals &amp; Beverages.</w:t>
      </w:r>
    </w:p>
    <w:p>
      <w:pPr>
        <w:spacing w:after="0" w:line="4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Marketing and selling expenses increased 10% in 2023 from 2022. The increase was primarily due to higher advertising and consumer promotion expense (approximately 7 points) and higher selling expenses (approximately 6 points), partially offset by increased benefits from cost savings initiatives (approximately 3 points). The increase in advertising and consumer promotion expense was due in part to moderated levels in the prior year from supply constraints.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Administrative Expenses</w:t>
      </w:r>
    </w:p>
    <w:p>
      <w:pPr>
        <w:spacing w:after="0" w:line="9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Administrative expenses as a percent of sales were 7.6% in 2024, 7.0% in 2023 and 7.2% in 2022. Administrative expenses increased 13% in 2024 from 2023. The increase was primarily due to costs associated with the acquisition (approximately 7 points), higher costs related to cost savings initiatives (approximately 5 points), higher general administrative costs and inflation (approximately 3 points), the impact of the acquisition (approximately 2 points) and higher benefit-related costs (approximately 2 points), partially offset by increased benefits from cost savings initiatives (approximately 5 points) and lower incentive compensation (approximately 2 points).</w:t>
      </w:r>
    </w:p>
    <w:p>
      <w:pPr>
        <w:spacing w:after="0" w:line="5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Administrative expenses increased 6% in 2023 from 2022. The increase was primarily due to higher general administrative costs and inflation (approximately 8 points) and higher incentive compensation (approximately 2 points), partially offset by lower expenses related to the settlement of certain legal claims (approximately 4 points). Administrative expenses in 2023 included $14 million of litigation expenses related to the Plum baby food and snacks business, which we divested in May 2021.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Expenses / (Income)</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expenses in 2024 included the following:</w:t>
      </w:r>
    </w:p>
    <w:p>
      <w:pPr>
        <w:spacing w:after="0" w:line="97" w:lineRule="exact"/>
        <w:rPr>
          <w:sz w:val="20"/>
          <w:szCs w:val="20"/>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$129 million of impairment charges related to the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and Allied brands trademarks;</w:t>
      </w:r>
    </w:p>
    <w:p>
      <w:pPr>
        <w:spacing w:after="0" w:line="104"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 million of amortization of intangible assets, including accelerated amortization of $27 million;</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million of costs associated with the acquisition of Sovos Brands; and</w:t>
      </w:r>
    </w:p>
    <w:p>
      <w:pPr>
        <w:spacing w:after="0" w:line="100" w:lineRule="exact"/>
        <w:rPr>
          <w:rFonts w:ascii="Times New Roman" w:cs="Times New Roman" w:eastAsia="Times New Roman" w:hAnsi="Times New Roman"/>
          <w:sz w:val="17"/>
          <w:szCs w:val="17"/>
          <w:color w:val="auto"/>
        </w:rPr>
      </w:pPr>
    </w:p>
    <w:p>
      <w:pPr>
        <w:ind w:left="320" w:right="2880" w:firstLine="147"/>
        <w:spacing w:after="0" w:line="355" w:lineRule="auto"/>
        <w:tabs>
          <w:tab w:leader="none" w:pos="62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 million of net periodic benefit expense, including pension and postretirement actuarial losses of $33 million. Other expenses in 2023 included the following:</w:t>
      </w:r>
    </w:p>
    <w:p>
      <w:pPr>
        <w:spacing w:after="0" w:line="1"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 million of amortization of intangible assets, including accelerated amortization of $7 million;</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 million loss on the sale of the Emerald nuts business;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million of costs associated with the acquisition of Sovos Brands; and</w:t>
      </w:r>
    </w:p>
    <w:p>
      <w:pPr>
        <w:spacing w:after="0" w:line="87" w:lineRule="exact"/>
        <w:rPr>
          <w:rFonts w:ascii="Times New Roman" w:cs="Times New Roman" w:eastAsia="Times New Roman" w:hAnsi="Times New Roman"/>
          <w:sz w:val="17"/>
          <w:szCs w:val="17"/>
          <w:color w:val="auto"/>
        </w:rPr>
      </w:pPr>
    </w:p>
    <w:p>
      <w:pPr>
        <w:ind w:left="320" w:right="2980" w:firstLine="147"/>
        <w:spacing w:after="0" w:line="363" w:lineRule="auto"/>
        <w:tabs>
          <w:tab w:leader="none" w:pos="62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million of net periodic benefit income, including pension and postretirement actuarial gains of $15 million. Other income in 2022 included the following:</w:t>
      </w:r>
    </w:p>
    <w:p>
      <w:pPr>
        <w:spacing w:after="0" w:line="1"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 million of amortization of intangible assets; and</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million of net periodic benefit income, including pension and postretirement actuarial losses of $44 million.</w:t>
      </w:r>
    </w:p>
    <w:p>
      <w:pPr>
        <w:spacing w:after="0" w:line="94" w:lineRule="exact"/>
        <w:rPr>
          <w:rFonts w:ascii="Times New Roman" w:cs="Times New Roman" w:eastAsia="Times New Roman" w:hAnsi="Times New Roman"/>
          <w:sz w:val="17"/>
          <w:szCs w:val="17"/>
          <w:color w:val="auto"/>
        </w:rPr>
      </w:pPr>
    </w:p>
    <w:p>
      <w:pPr>
        <w:ind w:left="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Operating Earnings</w:t>
      </w:r>
    </w:p>
    <w:p>
      <w:pPr>
        <w:spacing w:after="0" w:line="93" w:lineRule="exact"/>
        <w:rPr>
          <w:rFonts w:ascii="Times New Roman" w:cs="Times New Roman" w:eastAsia="Times New Roman" w:hAnsi="Times New Roman"/>
          <w:sz w:val="17"/>
          <w:szCs w:val="17"/>
          <w:color w:val="auto"/>
        </w:rPr>
      </w:pPr>
    </w:p>
    <w:p>
      <w:pPr>
        <w:ind w:left="320" w:right="4020"/>
        <w:spacing w:after="0" w:line="3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Segment operating earnings increased 6% in 2024 from 2023 and increased 10% in 2023 from 2022. An analysis of operating earnings by segment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
        </w:trPr>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line="20" w:lineRule="exact"/>
              <w:rPr>
                <w:sz w:val="1"/>
                <w:szCs w:val="1"/>
                <w:color w:val="auto"/>
              </w:rPr>
            </w:pPr>
          </w:p>
        </w:tc>
        <w:tc>
          <w:tcPr>
            <w:tcW w:w="7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100" w:type="dxa"/>
            <w:vAlign w:val="bottom"/>
            <w:tcBorders>
              <w:top w:val="single" w:sz="8" w:color="auto"/>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2023/2022</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1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6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c>
          <w:tcPr>
            <w:tcW w:w="0" w:type="dxa"/>
            <w:vAlign w:val="bottom"/>
          </w:tcPr>
          <w:p>
            <w:pPr>
              <w:spacing w:after="0"/>
              <w:rPr>
                <w:sz w:val="1"/>
                <w:szCs w:val="1"/>
                <w:color w:val="auto"/>
              </w:rPr>
            </w:pPr>
          </w:p>
        </w:tc>
      </w:tr>
      <w:tr>
        <w:trPr>
          <w:trHeight w:val="212"/>
        </w:trPr>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10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0" w:type="dxa"/>
            <w:vAlign w:val="bottom"/>
          </w:tcPr>
          <w:p>
            <w:pPr>
              <w:spacing w:after="0"/>
              <w:rPr>
                <w:sz w:val="1"/>
                <w:szCs w:val="1"/>
                <w:color w:val="auto"/>
              </w:rPr>
            </w:pPr>
          </w:p>
        </w:tc>
      </w:tr>
      <w:tr>
        <w:trPr>
          <w:trHeight w:val="219"/>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income (expense)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before interest and taxes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38" w:lineRule="exact"/>
        <w:rPr>
          <w:sz w:val="20"/>
          <w:szCs w:val="20"/>
          <w:color w:val="auto"/>
        </w:rPr>
      </w:pPr>
    </w:p>
    <w:p>
      <w:pPr>
        <w:ind w:left="300" w:hanging="297"/>
        <w:spacing w:after="0"/>
        <w:tabs>
          <w:tab w:leader="none" w:pos="30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8 to the Consolidated Financial Statements for additional information on restructuring charges.</w:t>
      </w:r>
    </w:p>
    <w:p>
      <w:pPr>
        <w:spacing w:after="0" w:line="6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Operating earnings from Meals &amp; Beverages increased 9% in 2024 versus 2023. The increase was primarily due the benefit of the acquisition of Sovos Brands and lower marketing and selling expenses, partially offset by lower gross profit. Gross profit margin decreased due to higher cost inflation and other supply chain costs and the dilutive impact of the acquisition, partially offset by supply chain productivity improvements, favorable net price realization and favorable volume/mix.</w:t>
      </w:r>
    </w:p>
    <w:p>
      <w:pPr>
        <w:spacing w:after="0" w:line="5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Operating earnings from Meals &amp; Beverages increased 2% in 2023 versus 2022. The increase was primarily due to higher gross profit, partially offset by higher marketing and selling expenses. Gross profit margin decreased due to unfavorable volume/mix, with favorable net price realization and supply chain productivity improvements more than offsetting higher cost inflation and other supply chain costs.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6" w:name="page27"/>
    <w:bookmarkEnd w:id="26"/>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Operating earnings from Snacks increased 1% in 2024 versus 2023. The increase was primarily due to higher gross profit, partially offset by higher marketing and selling expenses. Gross profit margin increased due to supply chain productivity improvements, favorable net price realization and benefits from cost savings initiatives more than offsetting higher cost inflation and other supply chain costs.</w:t>
      </w:r>
    </w:p>
    <w:p>
      <w:pPr>
        <w:spacing w:after="0" w:line="3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Operating earnings from Snacks increased 24% in 2023 versus 2022. The increase was primarily due to higher gross profit, partially offset by higher marketing and selling expenses. Gross profit margin increased due to favorable net price realization and supply chain productivity improvements, partially offset by higher cost inflation and other supply chain costs as well as unfavorable volume/mix.</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expense in 2024 included the following:</w:t>
      </w:r>
    </w:p>
    <w:p>
      <w:pPr>
        <w:spacing w:after="0" w:line="97" w:lineRule="exact"/>
        <w:rPr>
          <w:sz w:val="20"/>
          <w:szCs w:val="20"/>
          <w:color w:val="auto"/>
        </w:rPr>
      </w:pPr>
    </w:p>
    <w:p>
      <w:pPr>
        <w:ind w:left="620" w:hanging="15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$129 million of impairment charges related to the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and Allied brands trademarks;</w:t>
      </w:r>
    </w:p>
    <w:p>
      <w:pPr>
        <w:spacing w:after="0" w:line="91"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 million of costs associated with the acquisition of Sovos Brands;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$92 million related to cost savings and optimization initiatives;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 million of pension and postretirement actuarial losses;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 million of accelerated amortization expense;</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 million of unrealized mark-to-market losses on outstanding undesignated commodity hedges;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million of certain litigation expenses, including expenses related to the Plum baby food and snacks business; and</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million of costs associated with a cybersecurity incident.</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expense in 2023 included the following:</w:t>
      </w:r>
    </w:p>
    <w:p>
      <w:pPr>
        <w:spacing w:after="0" w:line="101" w:lineRule="exact"/>
        <w:rPr>
          <w:sz w:val="20"/>
          <w:szCs w:val="20"/>
          <w:color w:val="auto"/>
        </w:rPr>
      </w:pPr>
    </w:p>
    <w:p>
      <w:pPr>
        <w:ind w:left="620" w:hanging="15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$50 million related to cost savings initiatives;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 million loss from the sale of the Emerald nuts business;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million of accelerated amortization expense;</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million of costs associated with the acquisition of Sovos Brands;</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 million of unrealized mark-to-market gains on outstanding undesignated commodity hedges; and</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 million of pension and postretirement actuarial gains.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Corporate income in 2022 included the following:</w:t>
      </w:r>
    </w:p>
    <w:p>
      <w:pPr>
        <w:spacing w:after="0" w:line="101" w:lineRule="exact"/>
        <w:rPr>
          <w:sz w:val="20"/>
          <w:szCs w:val="20"/>
          <w:color w:val="auto"/>
        </w:rPr>
      </w:pPr>
    </w:p>
    <w:p>
      <w:pPr>
        <w:ind w:left="620" w:hanging="15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 million of unrealized mark-to-market losses on outstanding undesignated commodity hedges;</w:t>
      </w:r>
    </w:p>
    <w:p>
      <w:pPr>
        <w:spacing w:after="0" w:line="100"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 million of pension and postretirement actuarial losses; and</w:t>
      </w:r>
    </w:p>
    <w:p>
      <w:pPr>
        <w:spacing w:after="0" w:line="87"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$26 million related to the cost savings initiatives.</w:t>
      </w:r>
    </w:p>
    <w:p>
      <w:pPr>
        <w:spacing w:after="0" w:line="10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Excluding these amounts, the slight increase in 2024 from 2023 was primarily due to higher net periodic pension and postretirement benefit income in the prior year, mostly offset by lower general and administrative expenses. Excluding these amounts, the remaining change in 2023 from 2022 was primarily due to net periodic pension and postretirement benefit income in 2023 and higher administrative expenses, including litigation expenses related to the Plum baby food and snacks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9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Interest expense increased to $249 million in 2024 from $188 million in 2023. The increase in interest expense was primarily due to higher levels of debt to fund the acquisition and higher average interest rates on the debt portfolio.</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Interest expense decreased to $188 million in 2023 from $189 million in 2022. The decrease in interest expense was primarily due to a loss on extinguishment of debt of $4 million in 2022, partially offset by higher average interest rates on the debt portfolio.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Taxes on Earnings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effective tax rate was 25.1% in 2024, 23.9% in 2023 and 22.4% in 2022.</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increase in the effective tax rate in 2024 from 2023 was primarily due to nondeductible costs associated with the acquisition.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increase in the effective rate in 2023 from 2022 was primarily due to the favorable impact of state income tax law changes in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Charges, Cost Savings Initiatives and Other Optimization Initiatives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Multi-year Cost Savings Initiatives and Snyder's-Lance, Inc. (Snyder's-Lance) Cost Transformation Program and Integration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Continuing Operations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Beginning in 2015, we implemented initiatives to reduce costs and to streamline our organizational structure.</w:t>
      </w:r>
    </w:p>
    <w:p>
      <w:pPr>
        <w:spacing w:after="0" w:line="8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Over the years, we expanded these initiatives by continuing to optimize our supply chain and manufacturing networks, as well as our information technology infrastructure.</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 summary of charges recorded in the Consolidated Statements of Earnings related to these initiatives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320" w:type="dxa"/>
            <w:vAlign w:val="bottom"/>
          </w:tcPr>
          <w:p>
            <w:pPr>
              <w:spacing w:after="0"/>
              <w:rPr>
                <w:sz w:val="13"/>
                <w:szCs w:val="13"/>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Recognized as of July</w:t>
            </w:r>
          </w:p>
        </w:tc>
        <w:tc>
          <w:tcPr>
            <w:tcW w:w="0" w:type="dxa"/>
            <w:vAlign w:val="bottom"/>
          </w:tcPr>
          <w:p>
            <w:pPr>
              <w:spacing w:after="0"/>
              <w:rPr>
                <w:sz w:val="1"/>
                <w:szCs w:val="1"/>
                <w:color w:val="auto"/>
              </w:rPr>
            </w:pPr>
          </w:p>
        </w:tc>
      </w:tr>
      <w:tr>
        <w:trPr>
          <w:trHeight w:val="187"/>
        </w:trPr>
        <w:tc>
          <w:tcPr>
            <w:tcW w:w="54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28, 2024</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pre-tax charges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after-tax impact</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impact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1" w:right="339" w:bottom="1440" w:gutter="0" w:footer="0" w:header="0"/>
        </w:sectPr>
      </w:pP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these initiatives is as follows:</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05650" cy="147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14732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Severance pay and benefits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5650" cy="139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13906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Implementation costs and other related costs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Recognized as of July 28,</w:t>
      </w:r>
    </w:p>
    <w:p>
      <w:pPr>
        <w:spacing w:after="0" w:line="10"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2" w:lineRule="exact"/>
        <w:rPr>
          <w:sz w:val="20"/>
          <w:szCs w:val="20"/>
          <w:color w:val="auto"/>
        </w:rPr>
      </w:pPr>
    </w:p>
    <w:p>
      <w:pPr>
        <w:ind w:left="1182" w:hanging="1182"/>
        <w:spacing w:after="0"/>
        <w:tabs>
          <w:tab w:leader="none" w:pos="118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253</w:t>
      </w:r>
    </w:p>
    <w:p>
      <w:pPr>
        <w:spacing w:after="0" w:line="27" w:lineRule="exact"/>
        <w:rPr>
          <w:rFonts w:ascii="Times New Roman" w:cs="Times New Roman" w:eastAsia="Times New Roman" w:hAnsi="Times New Roman"/>
          <w:sz w:val="17"/>
          <w:szCs w:val="17"/>
          <w:color w:val="auto"/>
        </w:rPr>
      </w:pPr>
    </w:p>
    <w:p>
      <w:pPr>
        <w:ind w:left="11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134</w:t>
      </w:r>
    </w:p>
    <w:p>
      <w:pPr>
        <w:spacing w:after="0" w:line="23" w:lineRule="exact"/>
        <w:rPr>
          <w:rFonts w:ascii="Times New Roman" w:cs="Times New Roman" w:eastAsia="Times New Roman" w:hAnsi="Times New Roman"/>
          <w:sz w:val="17"/>
          <w:szCs w:val="17"/>
          <w:color w:val="auto"/>
        </w:rPr>
      </w:pPr>
    </w:p>
    <w:p>
      <w:pPr>
        <w:ind w:left="11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9728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spacing w:after="0" w:line="12" w:lineRule="exact"/>
        <w:rPr>
          <w:sz w:val="20"/>
          <w:szCs w:val="20"/>
          <w:color w:val="auto"/>
        </w:rPr>
      </w:pPr>
    </w:p>
    <w:p>
      <w:pPr>
        <w:ind w:left="1182" w:hanging="1182"/>
        <w:spacing w:after="0"/>
        <w:tabs>
          <w:tab w:leader="none" w:pos="118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9728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7282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41910</wp:posOffset>
            </wp:positionV>
            <wp:extent cx="9728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958" w:space="720"/>
            <w:col w:w="1562"/>
          </w:cols>
          <w:pgMar w:left="320" w:top="941" w:right="339" w:bottom="1440" w:gutter="0" w:footer="0" w:header="0"/>
          <w:type w:val="continuous"/>
        </w:sectPr>
      </w:pPr>
    </w:p>
    <w:p>
      <w:pPr>
        <w:spacing w:after="0" w:line="5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Of the aggregate $895 million pre-tax costs incurred to date, approximately $720 million were cash expenditures. In addition, we invested $543 million in capital expenditures as of July 28, 2024. The capital expenditures primarily related to a U.S. warehouse optimization project, improvement of quality, safety and cost structure across the Snyder’s-Lance manufacturing network, optimization of production within our Meals &amp; Beverages manufacturing network, optimization of information technology infrastructure and applications, implementation of our existing SAP enterprise-resource planning system for Snyder's-Lance, enhancements to our headquarters in Camden, New Jersey, and optimization of the Snyder’s-Lance warehouse and distribution network.</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funded the costs through cash flows from operations and short-term borrowings.</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82"/>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5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2"/>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As of July 28, 2024, we have substantially completed the multi-year cost savings initiatives and Snyder's-Lance cost transformation program and integration, and we have generated total program-to-date pre-tax savings of approximately $950 million. Certain phases that have not been fully implemented will be incorporated into the new cost savings initiatives described below.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Sovos Brands Integration Initiatives</w:t>
      </w:r>
    </w:p>
    <w:p>
      <w:pPr>
        <w:spacing w:after="0" w:line="92"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See Note 3 for additional information. We have identified opportunities for cost synergies as we integrate Sovos Brands.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2024, we recorded Restructuring charges of $21 million of severance pay and benefits related to initiatives to achieve the synergies and generated pre-tax savings of $10 million. The charges incurred in 2024 were associated with the Meals &amp; Beverages segment. Beginning in 2025, the initiatives to achieve the synergies will be incorporated into the new cost savings initiatives described below.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Cost Savings Initiatives</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On September 10, 2024, we announced plans to implement new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existing multi-year cost savings initiatives and Snyder's-Lance cost transformation program and integration. Certain initiatives from that program have been incorporated into our new cost savings initiatives. Cost estimates for these new initiatives, as well as timing for certain activities, are continuing to be developed.</w:t>
      </w:r>
    </w:p>
    <w:p>
      <w:pPr>
        <w:spacing w:after="0" w:line="57"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The total estimated pre-tax costs for actions that have been identified to date are approximately $180 million and we expect to incur substantially all of the costs through 2028. These estimates will be updated as the detailed plans are developed. We expect the costs for the actions that have been identified to date to consist of the following: approximately $25 million in severance pay and benefits; approximately $45 million in asset impairment and accelerated depreciation; and $110 million in implementation costs and other related costs. We expect these pre-tax costs to be associated with our segments as follows: Meals &amp; Beverages</w:t>
      </w:r>
    </w:p>
    <w:p>
      <w:pPr>
        <w:jc w:val="both"/>
        <w:ind w:firstLine="3"/>
        <w:spacing w:after="0" w:line="259" w:lineRule="auto"/>
        <w:tabs>
          <w:tab w:leader="none" w:pos="10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80%; Snacks - approximately 5% and Corporate - approximately 15%. Of the aggregate $180 million of pre-tax costs identified to date, we expect $135 million will be cash expenditures. In addition, we expect to invest approximately $235 million in capital expenditures. We expect these initiatives, once all phases are implemented, to generate annual ongoing savings of approximately $250 million by the end of 2028.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Optimization Initiatives</w:t>
      </w:r>
    </w:p>
    <w:p>
      <w:pPr>
        <w:spacing w:after="0" w:line="9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the second quarter of 2024, we began implementation of a new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2024, we incurred $5 million in Marketing and selling expenses related to this initiative.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3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generated cash flows from operations of $1.185 billion in 2024, compared to $1.143 billion in 2023. The increase in 2024 was primarily due to changes in working capital.</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generated cash flows from operations of $1.143 billion in 2023, compared to $1.181 billion in 2022. The decline in 2023 was primarily due changes in working capital, partially offset by lower cash earnings.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had negative working capital of $1.386 billion as of July 28, 2024, and $161 million as of July 30, 2023. Current assets were less than current liabilities, which included debt maturing in one year, due to a focus on lowering core working capital requirements. Total debt maturing within one year was $1.423 billion as of July 28, 2024, and $191 million as of July 30, 2023.</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7"/>
          <w:szCs w:val="17"/>
          <w:color w:val="auto"/>
        </w:rPr>
        <w:t>We have $1.15 billion aggregate principal amount of senior notes maturing in March 2025 that we expect to repay and/or refinance using available sources, which may include cash on hand, accessing the capital markets, commercial paper and/or revolving credit facility.</w:t>
      </w:r>
    </w:p>
    <w:p>
      <w:pPr>
        <w:spacing w:after="0" w:line="23"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$243 million at July 28, 2024, and $258 million at July 30, 2023.</w:t>
      </w:r>
    </w:p>
    <w:p>
      <w:pPr>
        <w:spacing w:after="0" w:line="6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Capital expenditures were $517 million in 2024, $370 million in 2023 and $242 million in 2022. Capital expenditures are expected to total approximately $530 million in 2025. Capital expenditures in 2024 included chip and cracker capacity expansion for our Snacks business, upgrades of assets across both segments of the business, enhancements to our headquarters in Camden, New Jersey and network optimization for our Meals &amp; Beverages business. Capital expenditures in 2023 included chip and cracker capacity expansion for our Snacks business and a new manufacturing line for our Meals &amp; Beverages business. Capital expenditures in 2022 included improvement of the quality and cost structure of the Snyder's-Lance manufacturing network, the continued implementation of our existing SAP enterprise-resource planning system for Snyder's-Lance and cookie and cracker capacity expansion for our Snacks business.</w:t>
      </w:r>
    </w:p>
    <w:p>
      <w:pPr>
        <w:spacing w:after="0" w:line="6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Snacks, we have a direct-store-delivery distribution model that uses independent contractor distributors. From time to time, we purchase and sell routes, including certain routes under our optimization initiatives. The purchase and sale proceeds of the routes are reflected in investing activities.</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Cash consideration was $2.857 billion. The acquisition was funded through the 2024 DDTL Credit Agreement of $2 billion and cash on hand.</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May 30, 2023, we completed the sale of our Emerald nuts business for $41 million.</w:t>
      </w:r>
    </w:p>
    <w:p>
      <w:pPr>
        <w:spacing w:after="0" w:line="10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Dividend payments were $445 million in 2024, $447 million in 2023 and $451 million in 2022. Annual dividends declared were $1.48 per share in 2024, 2023 and 2022. The 2024 fourth quarter dividend was $.37 per share. The declaration of dividends is subject to the discretion of our Board and depends on various factors, including our net earnings, financial condition, cash requirements, future prospects and other factors that our Board deems relevant to its analysis and decision making.</w:t>
      </w:r>
    </w:p>
    <w:p>
      <w:pPr>
        <w:spacing w:after="0" w:line="41"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anti-dilutive program may be made in open-market or privately negotiated transactions. 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2024, we repurchased 1.6 million shares at a cost of $67 million pursuant to our June 2021 program. As of July 28, 2024, approximately $37 million remained available under the June 2021 program and approximately $301 million remained under the September 2021 program. In 2023, we repurchased 2.7 million shares at a cost of $142 million. In 2022, we repurchased 3.8 million shares at a cost of $167 million. In September 2024, the Board authorized a new anti-dilutive share repurchase program of up to $250 million (September 2024 program) to offset the impact of dilution from shares issued under our stock compensation programs. The September 2024 program has no expiration date, but it may be discontinued at any time. Repurchases under the September 2024 program may be made in open-market or privately negotiated transactions. See Note 16 to the Consolidated Financial Statements and "Market for Registrant's Capital Stock, Related Shareholder Matters and Issuer Purchases of Equity Securities" for additional information.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0" w:name="page31"/>
    <w:bookmarkEnd w:id="30"/>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On October 10, 2023, we entered into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could only be used in connection with the acquisition of Sovos Brands and the payment of fees and expenses incurred in connection therewith. On March 12, 2024, we borrowed $2 billion under the 2024 DDTL Credit Agreement and used the proceeds in order to fund the acquisition of Sovos Brands, along with the fees and expenses incurred in connection therewith.</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March 19, 2024, pursuant to the registration statement, we issued senior unsecured notes of $2.5 billion, consisting of:</w:t>
      </w:r>
    </w:p>
    <w:p>
      <w:pPr>
        <w:spacing w:after="0" w:line="51" w:lineRule="exact"/>
        <w:rPr>
          <w:sz w:val="20"/>
          <w:szCs w:val="20"/>
          <w:color w:val="auto"/>
        </w:rPr>
      </w:pPr>
    </w:p>
    <w:p>
      <w:pPr>
        <w:ind w:left="620" w:hanging="308"/>
        <w:spacing w:after="0" w:line="28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 million aggregate principal amount of notes bearing interest at a fixed rate of 5.30% per annum, due March 20, 2026, with interest payable semi-annually on each of March 20 and September 20 commencing September 20, 2024;</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notes bearing interest at a fixed rate of 5.20% per annum, due March 19, 2027, with interest payable semi-annually on each of March 19 and September 19 commencing September 19, 2024;</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 million aggregate principal amount of notes bearing interest at a fixed rate of 5.20% per annum, due March 21, 2029, with interest payable semi-annually on each of March 21 and September 21 commencing September 21, 2024; and</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billion aggregate principal amount of notes bearing interest at a fixed rate of 5.40% per annum, due March 21, 2034, with interest payable semi-annually on each of March 21 and September 21 commencing September 21, 2024.</w:t>
      </w:r>
    </w:p>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the net proceeds from the sale of the notes to repay the $2 billion of outstanding borrowings under the 2024 DDTL Credit Agreement used to fund the Sovos Brands acquisition, including fees and expenses in connection therewith, and the remainder of the net proceeds to repay commercial paper.</w:t>
      </w:r>
    </w:p>
    <w:p>
      <w:pPr>
        <w:spacing w:after="0" w:line="4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On November 15, 2022, we entered into a delayed draw term loan credit agreement (the 2022 DDTL Credit Agreement) totaling up to $500 million scheduled to mature on November 15, 2025. Loans under the 2022 DDTL Credit Agreement bear interest at the rates specified in the 2022 DDTL Credit Agreement, which vary based on the type of loan and certain other conditions. The 2022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2022 DDTL Credit Agreement) of not less than 3.25:1.00, and events of default for credit facilities of this type. We borrowed $500 million under the 2022 DDTL Credit Agreement on March 13, 2023, and used the proceeds and cash on hand to repay the 3.65% $566 million Notes that matured on March 15, 2023. On April 5, 2024, we repaid $100 million of the $500 million outstanding under the 2022 DDTL Credit Agreement.</w:t>
      </w:r>
    </w:p>
    <w:p>
      <w:pPr>
        <w:spacing w:after="0" w:line="61"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On April 16, 2024, we terminated our existing revolving credit facility dated September 27, 2021 (as amended on April 4, 2023). 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The 2024 Revolving Credit Facility Agreement remained unused at July 28, 2024,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facility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1" w:name="page32"/>
    <w:bookmarkEnd w:id="31"/>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July 28, 2024, we had $1.423 billion of short-term borrowings due within one year, of which $250 million was comprised of commercial paper borrowings. As of July 28, 2024, we issued $28 million of standby letters of credit.</w:t>
      </w:r>
    </w:p>
    <w:p>
      <w:pPr>
        <w:spacing w:after="0" w:line="23" w:lineRule="exact"/>
        <w:rPr>
          <w:sz w:val="20"/>
          <w:szCs w:val="20"/>
          <w:color w:val="auto"/>
        </w:rPr>
      </w:pPr>
    </w:p>
    <w:p>
      <w:pPr>
        <w:ind w:right="4520" w:firstLine="309"/>
        <w:spacing w:after="0" w:line="358" w:lineRule="auto"/>
        <w:rPr>
          <w:sz w:val="20"/>
          <w:szCs w:val="20"/>
          <w:color w:val="auto"/>
        </w:rPr>
      </w:pPr>
      <w:r>
        <w:rPr>
          <w:rFonts w:ascii="Times New Roman" w:cs="Times New Roman" w:eastAsia="Times New Roman" w:hAnsi="Times New Roman"/>
          <w:sz w:val="17"/>
          <w:szCs w:val="17"/>
          <w:color w:val="auto"/>
        </w:rPr>
        <w:t xml:space="preserve">We are in compliance with the covenants contained in our credit facilities and debt securities. </w:t>
      </w:r>
      <w:r>
        <w:rPr>
          <w:rFonts w:ascii="Times New Roman" w:cs="Times New Roman" w:eastAsia="Times New Roman" w:hAnsi="Times New Roman"/>
          <w:sz w:val="17"/>
          <w:szCs w:val="17"/>
          <w:b w:val="1"/>
          <w:bCs w:val="1"/>
          <w:color w:val="auto"/>
        </w:rPr>
        <w:t xml:space="preserve">CONTRACTUAL OBLIGATIONS AND OTHER COMMITMENTS </w:t>
      </w:r>
      <w:r>
        <w:rPr>
          <w:rFonts w:ascii="Times New Roman" w:cs="Times New Roman" w:eastAsia="Times New Roman" w:hAnsi="Times New Roman"/>
          <w:sz w:val="17"/>
          <w:szCs w:val="17"/>
          <w:b w:val="1"/>
          <w:bCs w:val="1"/>
          <w:i w:val="1"/>
          <w:iCs w:val="1"/>
          <w:color w:val="auto"/>
        </w:rPr>
        <w:t>Contractual Obligations</w:t>
      </w:r>
    </w:p>
    <w:p>
      <w:pPr>
        <w:spacing w:after="0" w:line="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have short- and long-term material cash requirements related to our contractual obligations that arise in the normal course of business. In addition to principal and interest payments on our outstanding debt obligations, our contractual obligations primarily consist of purchase commitments, lease payments and pension and postretirement benefits.</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See Note 13 to the Consolidated Financial Statements for a summary of our principal payments for short-term borrowings and long-term debt obligations as of July 28, 2024. Interest payments primarily for short-term borrowings and long-term debt as of July 28, 2024 are approximately as follows: $319 million in 2025; $476 million in 2026 through 2027; $348 million in 2028 through 2029; and $1.336 billion from 2030 through maturity. Interest payments are based on principal amounts and coupons or contractual rates at fiscal year end.</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Purchase commitments represent purchase orders and long-term purchase arrangements related to the procurement of ingredients, supplies, machinery, equipment, contract manufacturing and services. As of July 28, 2024, purchase commitments totaled approximately $1.879 billion. Approximately $1.303 billion of these purchase commitments will be settled in the ordinary course of business in the next 12 months and the balance of $576 million from 2026 through 2031.</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11 to the Consolidated Financial Statements for a summary of our lease obligations as of July 28, 2024.</w:t>
      </w:r>
    </w:p>
    <w:p>
      <w:pPr>
        <w:spacing w:after="0" w:line="10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As of July 28, 2024, we have a pension liability of $103 million and a postretirement benefit obligation of $145 million. As of July 28, 2024, we also have a pension asset of $143 million based on the funded status of certain plans. See Note 10 to the Consolidated Financial Statements and "Critical Accounting Estimates" for further discussion of our pension and postretirement benefit obligations.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 and Other Commitments</w:t>
      </w:r>
    </w:p>
    <w:p>
      <w:pPr>
        <w:spacing w:after="0" w:line="9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guarantee approximately 4,700 bank loans made to independent contractor distributors by third-party financial institutions for the purchase of distribution routes. The maximum potential amount of the future payments under existing guarantees we could be required to make is $522 million as of July 28, 2024. Our guarantees are indirectly secured by the distribution routes. We do not expect that we will be required to make material guarantee payments as a result of defaults on the bank loans guaranteed.</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These obligations and commitments impact our liquidity and capital resource needs. 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 SENSITIVITY</w:t>
      </w:r>
    </w:p>
    <w:p>
      <w:pPr>
        <w:spacing w:after="0" w:line="9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We manage our foreign currency exposures by utilizing foreign exchange forward and option contracts. We enter into foreign exchange forward and option contracts for periods consistent with related underlying exposures, and the contracts do not constitute positions independent of those exposures. We manage our exposure to changes in interest rates by optimizing the use of variable-rate and fixed-rate debt and we may utilize interest rate swaps in order to maintain our variable-to-total debt ratio within targeted guidelines. 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cocoa, aluminum, corn and soybean meal. We do not enter into derivative contracts for speculative purposes and do not use leveraged instruments.</w:t>
      </w:r>
    </w:p>
    <w:p>
      <w:pPr>
        <w:spacing w:after="0" w:line="6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information below summarizes our market risks associated with significant financial instruments as of July 28, 2024. Fair values included herein have been determined based on quoted market prices or pricing models using current market rates. The information presented below should be read in conjunction with Notes 13, 14 and 15 to the Consolidated Financial Statements.</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are exposed to foreign currency exchange risk, primarily the Canadian dollar and Euro, related to intercompany transactions and third-party transactions. We utilize foreign exchange forward purchase and sale contracts and option contracts to hedge these exposures. The notional amounts of the contracts as of July 28, 2024, and July 30, 2023, were $297 million and $140 million, respectively. The aggregate fair value of all contracts was a gain of $2 million as of July 28, 2024, and a loss of</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2" w:name="page33"/>
    <w:bookmarkEnd w:id="32"/>
    <w:p>
      <w:pPr>
        <w:jc w:val="both"/>
        <w:spacing w:after="0" w:line="269" w:lineRule="auto"/>
        <w:rPr>
          <w:sz w:val="20"/>
          <w:szCs w:val="20"/>
          <w:color w:val="auto"/>
        </w:rPr>
      </w:pPr>
      <w:r>
        <w:rPr>
          <w:rFonts w:ascii="Times New Roman" w:cs="Times New Roman" w:eastAsia="Times New Roman" w:hAnsi="Times New Roman"/>
          <w:sz w:val="17"/>
          <w:szCs w:val="17"/>
          <w:color w:val="auto"/>
        </w:rPr>
        <w:t>$1 million as of July 30, 2023. A hypothetical 10% fluctuation in exchange rates would impact the fair value of our outstanding foreign exchange contracts by approximately $16 million as of July 28, 2024, and $17 million as of July 30, 2023, which would generally be offset by inverse changes on the underlying hedged items.</w:t>
      </w:r>
    </w:p>
    <w:p>
      <w:pPr>
        <w:spacing w:after="0" w:line="3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As of July 28, 2024, we had outstanding variable-rate debt of $650 million with an average interest rate of 6.20%. As of July 30, 2023, we had outstanding variable-rate debt of $678 million with an average interest rate of 6.18%. A hypothetical 100-basis-point increase in average interest rates applied to our variable-rate debt balances throughout 2024 and 2023 would have increased annual interest expense in those years by approximately $7 million and $4 million, respectively.</w:t>
      </w:r>
    </w:p>
    <w:p>
      <w:pPr>
        <w:spacing w:after="0" w:line="5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As of July 28, 2024, we had outstanding fixed-rate debt of $6.584 billion with a weighted average interest rate of 4.38%. As of July 30, 2023, we had outstanding fixed-rate debt of $4.041 billion with a weighted average interest rate of 3.79%. The fair value of fixed-rate debt was $6.216 billion as of July 28, 2024 and $3.615 billion as of July 30, 2023. As of July 28, 2024, and July 30, 2023, a hypothetical 100-basis-point increase in interest rates would decrease the fair value of our fixed-rate debt by approximately $312 million and $221 million, respectively, while a hypothetical 100-basis-point decrease in interest rates would increase the fair value of our fixed-rate debt by approximately $348 million and $256 million, respectively. The impact of market interest rate fluctuations on our long-term debt does not affect our results of operations or financial position.</w:t>
      </w:r>
    </w:p>
    <w:p>
      <w:pPr>
        <w:spacing w:after="0" w:line="61"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There were no forward starting interest rate swaps or treasury lock contracts outstanding as of July 28, 2024 and July 30, 2023. We settled forward starting interest rate swaps with a notional value of $1.1 billion in March 2024 at a loss of $11 million. The $11 million loss on these instruments was recorded in other comprehensive income (loss) and will be recognized as additional interest expense over the 10-year, 5-year, and 3-year lives of the debt issued in March 2024. Subsequent to July 28, 2024, we entered into forward starting interest rate swaps accounted for as cash-flow hedges with a notional value of $450 million related to an anticipated debt issuance. The forward starting interest rate swaps mature in January 2025.</w:t>
      </w:r>
    </w:p>
    <w:p>
      <w:pPr>
        <w:spacing w:after="0" w:line="5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We enter into commodity futures, options and swap contracts, and a supply contract under which prices for certain raw materials are established based on anticipated volume requirements to reduce the volatility of price fluctuations for commodities. As of July 28, 2024, the total notional amount of the contracts was $248 million, and the aggregate fair value of these contracts was a loss of $10 million. As of July 30, 2023, the total notional amount of these contracts was $241 million, and the aggregate fair value of these contracts was a gain of $11 million. A hypothetical 10% fluctuation in commodity prices would impact the fair value of our outstanding commodity contracts by approximately $24 million as of July 28, 2024, and $25 million as of July 30, 2023, which would generally be offset by inverse changes on the underlying hedged items.</w:t>
      </w:r>
    </w:p>
    <w:p>
      <w:pPr>
        <w:spacing w:after="0" w:line="61"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We enter into swap contracts which hedge a portion of exposures relating to the total return of certain deferred compensation obligations. The notional amount of the contracts was $71 million as of July 28, 2024, and $42 million as of July 30, 2023. The fair value of these contracts was a gain of $3 million as of July 28, 2024, and a gain of $4 million as of July 30, 2023. A hypothetical 10% fluctuation in equity price changes would impact the fair value of our outstanding swap contracts by $7 million as of July 28, 2024, and $5 million as of July 30, 2023, which would generally be offset by inverse changes on the underlying hedged items.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5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Trade and consumer promotion programs — </w:t>
      </w:r>
      <w:r>
        <w:rPr>
          <w:rFonts w:ascii="Times New Roman" w:cs="Times New Roman" w:eastAsia="Times New Roman" w:hAnsi="Times New Roman"/>
          <w:sz w:val="17"/>
          <w:szCs w:val="17"/>
          <w:color w:val="auto"/>
        </w:rPr>
        <w:t>We offer various sales incentive programs to customers and consumers, such as feature price discounts, in-store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The measurement and recognition of the costs for trade and consumer 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7"/>
          <w:szCs w:val="17"/>
          <w:color w:val="auto"/>
        </w:rPr>
        <w:t>performance were to vary from estimates. Accrued trade and consumer promotion liabilities as of July 28, 2024 and July 30, 2023 were $186 million and $156 million, respectively.</w:t>
      </w:r>
    </w:p>
    <w:p>
      <w:pPr>
        <w:spacing w:after="0" w:line="19"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Valuation of long-lived assets — </w:t>
      </w:r>
      <w:r>
        <w:rPr>
          <w:rFonts w:ascii="Times New Roman" w:cs="Times New Roman" w:eastAsia="Times New Roman" w:hAnsi="Times New Roman"/>
          <w:sz w:val="17"/>
          <w:szCs w:val="17"/>
          <w:color w:val="auto"/>
        </w:rPr>
        <w:t>Fixed assets and amortizable intangible assets are reviewed for impairment as events or changes in circumstances occur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indicating that the carrying value of the asset may not be recoverable. Undiscounted cash flow analyses are used to determine if the carrying amount of the asset is recoverable. If impairment is determined to exist, the charge is calculated based on estimated fair value.</w:t>
      </w:r>
    </w:p>
    <w:p>
      <w:pPr>
        <w:spacing w:after="0" w:line="4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Goodwill and intangible assets deemed to have indefinite lives are not amortized but rather are tested at least annually in the fourth quarter for impairment, or more often if events or changes in circumstances indicate that the carrying amount of the asset may be impaired.</w:t>
      </w:r>
    </w:p>
    <w:p>
      <w:pPr>
        <w:spacing w:after="0" w:line="36"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As of July 28, 2024, the carrying value of goodwill was $5.077 billion. which included $1.116 billion from the acquisition of Sovos Brands. The carrying values of the reporting units associated with the Sovos Brands acquisition approximate fair value. Based on our assessments, all of our reporting units excluding the reporting units associated with the Sovos Brands acquisition had fair values that significantly exceeded carrying values.</w:t>
      </w:r>
    </w:p>
    <w:p>
      <w:pPr>
        <w:spacing w:after="0" w:line="38" w:lineRule="exact"/>
        <w:rPr>
          <w:sz w:val="20"/>
          <w:szCs w:val="20"/>
          <w:color w:val="auto"/>
        </w:rPr>
      </w:pPr>
    </w:p>
    <w:p>
      <w:pPr>
        <w:jc w:val="both"/>
        <w:ind w:firstLine="309"/>
        <w:spacing w:after="0" w:line="241" w:lineRule="auto"/>
        <w:rPr>
          <w:sz w:val="20"/>
          <w:szCs w:val="20"/>
          <w:color w:val="auto"/>
        </w:rPr>
      </w:pPr>
      <w:r>
        <w:rPr>
          <w:rFonts w:ascii="Times New Roman" w:cs="Times New Roman" w:eastAsia="Times New Roman" w:hAnsi="Times New Roman"/>
          <w:sz w:val="17"/>
          <w:szCs w:val="17"/>
          <w:color w:val="auto"/>
        </w:rPr>
        <w:t xml:space="preserve">In the fourth quarter of 2024, we recognized an impairment charge of $53 million on certain salty snacks and cookie trademarks within our Snacks segment, including </w:t>
      </w:r>
      <w:r>
        <w:rPr>
          <w:rFonts w:ascii="Times New Roman" w:cs="Times New Roman" w:eastAsia="Times New Roman" w:hAnsi="Times New Roman"/>
          <w:sz w:val="17"/>
          <w:szCs w:val="17"/>
          <w:i w:val="1"/>
          <w:iCs w:val="1"/>
          <w:color w:val="auto"/>
        </w:rPr>
        <w:t>Tom’s, Jays, Kruncher’s, O-Ke-Doke, Stella D’oro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Archway,</w:t>
      </w:r>
      <w:r>
        <w:rPr>
          <w:rFonts w:ascii="Times New Roman" w:cs="Times New Roman" w:eastAsia="Times New Roman" w:hAnsi="Times New Roman"/>
          <w:sz w:val="17"/>
          <w:szCs w:val="17"/>
          <w:color w:val="auto"/>
        </w:rPr>
        <w:t xml:space="preserve"> collectively referred to as our "Allied brands." In 2024, sales and operating performance were below expectations due in part to competitive pressure and reduced margins. In the fourth quarter of 2024, based on recent performance and the reevaluation of the position of the Allied brands within our portfolio, we lowered our near-term and long-term outlook for future sales and operating performance. As of July 28, 2024, the carrying value of the Allied brands trademark was $43 million.</w:t>
      </w:r>
    </w:p>
    <w:p>
      <w:pPr>
        <w:spacing w:after="0" w:line="62" w:lineRule="exact"/>
        <w:rPr>
          <w:sz w:val="20"/>
          <w:szCs w:val="20"/>
          <w:color w:val="auto"/>
        </w:rPr>
      </w:pPr>
    </w:p>
    <w:p>
      <w:pPr>
        <w:jc w:val="both"/>
        <w:ind w:firstLine="309"/>
        <w:spacing w:after="0" w:line="248" w:lineRule="auto"/>
        <w:rPr>
          <w:sz w:val="20"/>
          <w:szCs w:val="20"/>
          <w:color w:val="auto"/>
        </w:rPr>
      </w:pPr>
      <w:r>
        <w:rPr>
          <w:rFonts w:ascii="Times New Roman" w:cs="Times New Roman" w:eastAsia="Times New Roman" w:hAnsi="Times New Roman"/>
          <w:sz w:val="17"/>
          <w:szCs w:val="17"/>
          <w:color w:val="auto"/>
        </w:rPr>
        <w:t>In the fourth quarter of 2024, we performed an impairment assessment on the assets in our Pop Secret popcorn business within our Snacks segment as sales and operating performance were below expectations due in part to competitive pressure and reduced margins, and as we pursued divesting the business. As a result of these factors, in the fourth quarter of 2024, we lowered our long-term outlook for the business and recognized an impairment charge of $76 million on the trademark. As of July 28, 2024, the carrying value of the trademark was $28 million. The sale of the business was completed on August 26, 2024.</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July 28, 2024, the carrying value of indefinite-lived trademarks was $3.882 billion as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
        </w:trPr>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Rao's</w:t>
            </w: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Snyder's of Hanover</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Lance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Kettle Brand</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Pace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Pacific Foods</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Cape Cod</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19"/>
        </w:trPr>
        <w:tc>
          <w:tcPr>
            <w:tcW w:w="97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Various other Snacks</w:t>
            </w:r>
            <w:r>
              <w:rPr>
                <w:rFonts w:ascii="Times New Roman" w:cs="Times New Roman" w:eastAsia="Times New Roman" w:hAnsi="Times New Roman"/>
                <w:sz w:val="22"/>
                <w:szCs w:val="22"/>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37"/>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84" w:lineRule="exact"/>
        <w:rPr>
          <w:sz w:val="20"/>
          <w:szCs w:val="20"/>
          <w:color w:val="auto"/>
        </w:rPr>
      </w:pPr>
    </w:p>
    <w:p>
      <w:pPr>
        <w:ind w:left="5540" w:right="3440" w:hanging="5537"/>
        <w:spacing w:after="0" w:line="869" w:lineRule="auto"/>
        <w:tabs>
          <w:tab w:leader="none" w:pos="302"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Associated with the acquisition of Snyder's-Lance and includes the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and Allied brands trademarks.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-318770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4" w:name="page35"/>
    <w:bookmarkEnd w:id="34"/>
    <w:p>
      <w:pPr>
        <w:jc w:val="both"/>
        <w:ind w:firstLine="309"/>
        <w:spacing w:after="0" w:line="272" w:lineRule="auto"/>
        <w:rPr>
          <w:sz w:val="20"/>
          <w:szCs w:val="20"/>
          <w:color w:val="auto"/>
        </w:rPr>
      </w:pPr>
      <w:r>
        <w:rPr>
          <w:rFonts w:ascii="Times New Roman" w:cs="Times New Roman" w:eastAsia="Times New Roman" w:hAnsi="Times New Roman"/>
          <w:sz w:val="17"/>
          <w:szCs w:val="17"/>
          <w:color w:val="auto"/>
        </w:rPr>
        <w:t xml:space="preserve">The $1.47 billion carrying value of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associated with the Sovos Brands acquisition approximates fair value. Holding all other assumptions used in the acquisition valuation measurement constant, changes in the assumptions below would reduce the fair value of this trademark and result in impairment charges of approximately: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7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i w:val="1"/>
                <w:iCs w:val="1"/>
                <w:color w:val="auto"/>
              </w:rPr>
              <w:t>Rao's</w:t>
            </w:r>
          </w:p>
        </w:tc>
      </w:tr>
      <w:tr>
        <w:trPr>
          <w:trHeight w:val="22"/>
        </w:trPr>
        <w:tc>
          <w:tcPr>
            <w:tcW w:w="10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2"/>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 increase in the weighted-average cost of capital</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r>
      <w:tr>
        <w:trPr>
          <w:trHeight w:val="219"/>
        </w:trPr>
        <w:tc>
          <w:tcPr>
            <w:tcW w:w="10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 reduction in revenue growth</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 decrease in royalty rate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bl>
    <w:p>
      <w:pPr>
        <w:spacing w:after="0" w:line="160"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 xml:space="preserve">Excluding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and the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trademark, which was sold on August 26, 2024, as of the 2024 annual impairment testing, indefinite-lived trademarks with approximately 10% or less of excess coverage of fair value over carrying value had an aggregate carrying value of $1.293 billion and included the </w:t>
      </w:r>
      <w:r>
        <w:rPr>
          <w:rFonts w:ascii="Times New Roman" w:cs="Times New Roman" w:eastAsia="Times New Roman" w:hAnsi="Times New Roman"/>
          <w:sz w:val="17"/>
          <w:szCs w:val="17"/>
          <w:i w:val="1"/>
          <w:iCs w:val="1"/>
          <w:color w:val="auto"/>
        </w:rPr>
        <w:t xml:space="preserve">Snyder's of Hanover, Pace, Pacific Foods </w:t>
      </w:r>
      <w:r>
        <w:rPr>
          <w:rFonts w:ascii="Times New Roman" w:cs="Times New Roman" w:eastAsia="Times New Roman" w:hAnsi="Times New Roman"/>
          <w:sz w:val="17"/>
          <w:szCs w:val="17"/>
          <w:color w:val="auto"/>
        </w:rPr>
        <w:t>and certain other Snacks trademarks. Although assumptions are generally interdependent and do not change in isolation,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sensitivities to changes are provided below. Holding all other assumptions in our 2024 impairment testing constant, changes in the assumptions below would reduce fair value of trademarks and result in impairment charges of approximately: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w w:val="98"/>
              </w:rPr>
              <w:t>Snyder's of</w:t>
            </w:r>
          </w:p>
        </w:tc>
        <w:tc>
          <w:tcPr>
            <w:tcW w:w="220" w:type="dxa"/>
            <w:vAlign w:val="bottom"/>
          </w:tcPr>
          <w:p>
            <w:pPr>
              <w:spacing w:after="0"/>
              <w:rPr>
                <w:sz w:val="13"/>
                <w:szCs w:val="1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Pace</w:t>
            </w: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Pacific Foods</w:t>
            </w: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Various other</w:t>
            </w:r>
          </w:p>
        </w:tc>
        <w:tc>
          <w:tcPr>
            <w:tcW w:w="0" w:type="dxa"/>
            <w:vAlign w:val="bottom"/>
          </w:tcPr>
          <w:p>
            <w:pPr>
              <w:spacing w:after="0"/>
              <w:rPr>
                <w:sz w:val="1"/>
                <w:szCs w:val="1"/>
                <w:color w:val="auto"/>
              </w:rPr>
            </w:pPr>
          </w:p>
        </w:tc>
      </w:tr>
      <w:tr>
        <w:trPr>
          <w:trHeight w:val="187"/>
        </w:trPr>
        <w:tc>
          <w:tcPr>
            <w:tcW w:w="70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8"/>
              </w:rPr>
              <w:t>Hanover</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0" w:type="dxa"/>
            <w:vAlign w:val="bottom"/>
          </w:tcPr>
          <w:p>
            <w:pPr>
              <w:spacing w:after="0"/>
              <w:rPr>
                <w:sz w:val="1"/>
                <w:szCs w:val="1"/>
                <w:color w:val="auto"/>
              </w:rPr>
            </w:pPr>
          </w:p>
        </w:tc>
      </w:tr>
      <w:tr>
        <w:trPr>
          <w:trHeight w:val="217"/>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 increase in the weighted-average cost of capital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 reduction in revenue growth</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 decrease in royalty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 xml:space="preserve">While the 1% changes in assumptions would not result in impairment charges on our other trademarks, some changes would reduce the excess coverage of fair value over carrying value to less than 10% for the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trademark.</w:t>
      </w:r>
    </w:p>
    <w:p>
      <w:pPr>
        <w:spacing w:after="0" w:line="2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estimates of future cash flows used in impairment testing are made at a point in time, involve considerable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If our assumptions change or market conditions decline, potential impairment charges could result.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also Note 6 to the Consolidated Financial Statements for additional information on goodwill and intangible assets.</w:t>
      </w:r>
    </w:p>
    <w:p>
      <w:pPr>
        <w:spacing w:after="0" w:line="97"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Pension and postretirement benefits — </w:t>
      </w:r>
      <w:r>
        <w:rPr>
          <w:rFonts w:ascii="Times New Roman" w:cs="Times New Roman" w:eastAsia="Times New Roman" w:hAnsi="Times New Roman"/>
          <w:sz w:val="17"/>
          <w:szCs w:val="17"/>
          <w:color w:val="auto"/>
        </w:rPr>
        <w:t>We provide certain pension and postretirement benefits to employees and retirees. Determining the cost associated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 Actuarial gains and losses are recognized immediately in Other expenses / (income) in the Consolidated Statements of Earnings as of the measurement date, which is our fiscal year end, or more frequently if an interim remeasurement is required. We use the fair value of plan assets to calculate the expected return on plan assets.</w:t>
      </w:r>
    </w:p>
    <w:p>
      <w:pPr>
        <w:spacing w:after="0" w:line="4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establishing the discount rate, we review published market indices of high-quality debt securities, adjusted as appropriate for duration. In addition, independent actuaries apply high-quality bond yield curves to the expected benefit payments of the plans. We use a full yield curve approach to estimate service cost and interest cost by applying the specific spot rates along the yield curve used to determine the benefit obligation of the relevant projected cash flows.</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July 28, 2024, we have a pension liability of $103 million and a postretirement benefit obligation of $145 million. As of July 28, 2024, we also have a pension asset of $143 million based on the funded status of certain plans.</w:t>
      </w:r>
    </w:p>
    <w:p>
      <w:pPr>
        <w:spacing w:after="0" w:line="2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Net periodic pension and postretirement benefit expense (income) and actuarial losses (gains) included within net periodic pension and benefit expense (income)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8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periodic pension and postretirement benefit expense (income)</w:t>
            </w:r>
          </w:p>
        </w:tc>
        <w:tc>
          <w:tcPr>
            <w:tcW w:w="3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(7)</w:t>
            </w:r>
          </w:p>
        </w:tc>
      </w:tr>
      <w:tr>
        <w:trPr>
          <w:trHeight w:val="310"/>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losses (gains)</w:t>
            </w:r>
          </w:p>
        </w:tc>
        <w:tc>
          <w:tcPr>
            <w:tcW w:w="3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44</w:t>
            </w:r>
          </w:p>
        </w:tc>
      </w:tr>
      <w:tr>
        <w:trPr>
          <w:trHeight w:val="734"/>
        </w:trPr>
        <w:tc>
          <w:tcPr>
            <w:tcW w:w="5220" w:type="dxa"/>
            <w:vAlign w:val="bottom"/>
          </w:tcPr>
          <w:p>
            <w:pPr>
              <w:spacing w:after="0"/>
              <w:rPr>
                <w:sz w:val="24"/>
                <w:szCs w:val="24"/>
                <w:color w:val="auto"/>
              </w:rPr>
            </w:pPr>
          </w:p>
        </w:tc>
        <w:tc>
          <w:tcPr>
            <w:tcW w:w="3420" w:type="dxa"/>
            <w:vAlign w:val="bottom"/>
          </w:tcPr>
          <w:p>
            <w:pPr>
              <w:jc w:val="right"/>
              <w:ind w:right="2854"/>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8"/>
        </w:trPr>
        <w:tc>
          <w:tcPr>
            <w:tcW w:w="5220" w:type="dxa"/>
            <w:vAlign w:val="bottom"/>
            <w:tcBorders>
              <w:bottom w:val="single" w:sz="8" w:color="9A9A9A"/>
            </w:tcBorders>
          </w:tcPr>
          <w:p>
            <w:pPr>
              <w:spacing w:after="0"/>
              <w:rPr>
                <w:sz w:val="17"/>
                <w:szCs w:val="17"/>
                <w:color w:val="auto"/>
              </w:rPr>
            </w:pPr>
          </w:p>
        </w:tc>
        <w:tc>
          <w:tcPr>
            <w:tcW w:w="34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35" w:name="page36"/>
    <w:bookmarkEnd w:id="35"/>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actuarial losses recognized in 2024 were primarily due to decreases in discount rates used to determine the benefit obligation and plan experience, partially offset by gains on plan assets. The actuarial gains recognized in 2023 were primarily due to increases in discount rates used to determine the benefit obligation, partially offset by losses on plan assets and plan experience. The actuarial losses recognized in 2022 were primarily due to losses on plan assets, partially offset by increases in discount rates used to determine the benefit obligation.</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Significant weighted-average assumptions as of the end of the year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620" w:type="dxa"/>
            <w:vAlign w:val="bottom"/>
            <w:gridSpan w:val="3"/>
            <w:shd w:val="clear" w:color="auto" w:fill="CCEEFF"/>
          </w:tcPr>
          <w:p>
            <w:pPr>
              <w:spacing w:after="0" w:line="160" w:lineRule="exact"/>
              <w:rPr>
                <w:sz w:val="20"/>
                <w:szCs w:val="20"/>
                <w:color w:val="auto"/>
              </w:rPr>
            </w:pPr>
            <w:r>
              <w:rPr>
                <w:rFonts w:ascii="Times New Roman" w:cs="Times New Roman" w:eastAsia="Times New Roman" w:hAnsi="Times New Roman"/>
                <w:sz w:val="17"/>
                <w:szCs w:val="17"/>
                <w:color w:val="auto"/>
              </w:rPr>
              <w:t>Pension</w:t>
            </w: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39"/>
        </w:trPr>
        <w:tc>
          <w:tcPr>
            <w:tcW w:w="20" w:type="dxa"/>
            <w:vAlign w:val="bottom"/>
            <w:shd w:val="clear" w:color="auto" w:fill="CCEEFF"/>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8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Discount rate for benefit obligations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5.28%</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4.58%</w:t>
            </w:r>
          </w:p>
        </w:tc>
      </w:tr>
      <w:tr>
        <w:trPr>
          <w:trHeight w:val="219"/>
        </w:trPr>
        <w:tc>
          <w:tcPr>
            <w:tcW w:w="2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6.40%</w:t>
            </w:r>
          </w:p>
        </w:tc>
      </w:tr>
      <w:tr>
        <w:trPr>
          <w:trHeight w:val="180"/>
        </w:trPr>
        <w:tc>
          <w:tcPr>
            <w:tcW w:w="20" w:type="dxa"/>
            <w:vAlign w:val="bottom"/>
          </w:tcPr>
          <w:p>
            <w:pPr>
              <w:spacing w:after="0"/>
              <w:rPr>
                <w:sz w:val="15"/>
                <w:szCs w:val="15"/>
                <w:color w:val="auto"/>
              </w:rPr>
            </w:pPr>
          </w:p>
        </w:tc>
        <w:tc>
          <w:tcPr>
            <w:tcW w:w="86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Postretirement</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8"/>
        </w:trPr>
        <w:tc>
          <w:tcPr>
            <w:tcW w:w="2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 for obligations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5.23%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4.48%</w:t>
            </w: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Based on benefit obligations and plan assets as of July 28, 2024, estimated sensitivities to 2025 annual net periodic pension and postretirement cost are as follows:</w:t>
      </w:r>
    </w:p>
    <w:p>
      <w:pPr>
        <w:spacing w:after="0" w:line="36" w:lineRule="exact"/>
        <w:rPr>
          <w:sz w:val="20"/>
          <w:szCs w:val="20"/>
          <w:color w:val="auto"/>
        </w:rPr>
      </w:pPr>
    </w:p>
    <w:p>
      <w:pPr>
        <w:ind w:left="620" w:hanging="153"/>
        <w:spacing w:after="0" w:line="286"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50-basis-point increase in the discount rate would result in expense of approximately $5 million and would result in an immediate actuarial gain recognition of approximately $43 million;</w:t>
      </w:r>
    </w:p>
    <w:p>
      <w:pPr>
        <w:spacing w:after="0" w:line="36" w:lineRule="exact"/>
        <w:rPr>
          <w:rFonts w:ascii="Times New Roman" w:cs="Times New Roman" w:eastAsia="Times New Roman" w:hAnsi="Times New Roman"/>
          <w:sz w:val="17"/>
          <w:szCs w:val="17"/>
          <w:color w:val="auto"/>
        </w:rPr>
      </w:pPr>
    </w:p>
    <w:p>
      <w:pPr>
        <w:ind w:left="620" w:hanging="153"/>
        <w:spacing w:after="0" w:line="286"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50-basis-point decline in the discount rate would result in income of approximately $5 million and would result in an immediate actuarial loss recognition of approximately $47 million; and</w:t>
      </w:r>
    </w:p>
    <w:p>
      <w:pPr>
        <w:spacing w:after="0" w:line="23"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50-basis-point reduction in the estimated return on assets assumption would result in expense of approximately $6 million.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Contributions to pension plans were not material in 2024, 2023 and 2022 and are not expected to be material in 2025.</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also Note 10 to the Consolidated Financial Statements for additional information on pension and postretirement benefits.</w:t>
      </w:r>
    </w:p>
    <w:p>
      <w:pPr>
        <w:spacing w:after="0" w:line="84"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Income taxes — </w:t>
      </w:r>
      <w:r>
        <w:rPr>
          <w:rFonts w:ascii="Times New Roman" w:cs="Times New Roman" w:eastAsia="Times New Roman" w:hAnsi="Times New Roman"/>
          <w:sz w:val="17"/>
          <w:szCs w:val="17"/>
          <w:color w:val="auto"/>
        </w:rPr>
        <w:t>The effective tax rate reflects statutory tax rates, tax planning opportunities available in the various jurisdictions in which we operate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also Notes 1 and 12 to the Consolidated Financial Statements for further discussion on income taxes.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2 to the Consolidated Financial Statements for information on recent accounting pronouncements.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FACTORS THAT MAY AFFECT FUTURE RESULTS</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2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51" w:lineRule="exact"/>
        <w:rPr>
          <w:sz w:val="20"/>
          <w:szCs w:val="20"/>
          <w:color w:val="auto"/>
        </w:rPr>
      </w:pPr>
    </w:p>
    <w:p>
      <w:pPr>
        <w:ind w:left="620" w:right="220" w:hanging="308"/>
        <w:spacing w:after="0" w:line="286"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cost savings and any other synergies from the Sovos Brands transaction may not be fully realized or may take longer or cost more to be realized than expected, including that the Sovos Brands transaction may not be accretive within the expected timeframe or the extent anticipated;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6" w:name="page37"/>
    <w:bookmarkEnd w:id="36"/>
    <w:p>
      <w:pPr>
        <w:ind w:left="620" w:right="1040" w:hanging="308"/>
        <w:spacing w:after="0" w:line="28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related to the availability of, and cost inflation in, supply chain inputs, including labor, raw materials, commodities, packaging and transportation;</w:t>
      </w:r>
    </w:p>
    <w:p>
      <w:pPr>
        <w:spacing w:after="0" w:line="23" w:lineRule="exact"/>
        <w:rPr>
          <w:rFonts w:ascii="Times New Roman" w:cs="Times New Roman" w:eastAsia="Times New Roman" w:hAnsi="Times New Roman"/>
          <w:sz w:val="17"/>
          <w:szCs w:val="17"/>
          <w:color w:val="auto"/>
        </w:rPr>
      </w:pPr>
    </w:p>
    <w:p>
      <w:pPr>
        <w:ind w:left="620" w:right="80" w:hanging="308"/>
        <w:spacing w:after="0" w:line="28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on and realize the expected benefits from our strategy, including growing sales in snacks and growing/maintaining our market share position in soup;</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strong competitive responses to our efforts to leverage brand power with product innovation, promotional programs and new advertising;</w:t>
      </w:r>
    </w:p>
    <w:p>
      <w:pPr>
        <w:spacing w:after="0" w:line="100" w:lineRule="exact"/>
        <w:rPr>
          <w:rFonts w:ascii="Times New Roman" w:cs="Times New Roman" w:eastAsia="Times New Roman" w:hAnsi="Times New Roman"/>
          <w:sz w:val="17"/>
          <w:szCs w:val="17"/>
          <w:color w:val="auto"/>
        </w:rPr>
      </w:pPr>
    </w:p>
    <w:p>
      <w:pPr>
        <w:ind w:left="620" w:right="600" w:hanging="308"/>
        <w:spacing w:after="0" w:line="28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trade and consumer acceptance of product improvements, shelving initiatives, new products and pricing and promotional strategies;</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projected cost savings and benefits from cost savings initiatives and the integration of recent acquisitions;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or inefficiencies to our supply chain and/or operations, including reliance on key contract manufacturer and supplier relationships;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effectiveness of our hedging activities and our ability to respond to volatility in commodity prices;</w:t>
      </w:r>
    </w:p>
    <w:p>
      <w:pPr>
        <w:spacing w:after="0" w:line="87" w:lineRule="exact"/>
        <w:rPr>
          <w:rFonts w:ascii="Times New Roman" w:cs="Times New Roman" w:eastAsia="Times New Roman" w:hAnsi="Times New Roman"/>
          <w:sz w:val="17"/>
          <w:szCs w:val="17"/>
          <w:color w:val="auto"/>
        </w:rPr>
      </w:pPr>
    </w:p>
    <w:p>
      <w:pPr>
        <w:ind w:left="620" w:right="300" w:hanging="308"/>
        <w:spacing w:after="0" w:line="28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changes to our organizational structure and/or business processes, including selling, distribution, manufacturing and information management systems or processes;</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demand for our products and favorable perception of our brands;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inventory management practices by certain of our key customers;</w:t>
      </w:r>
    </w:p>
    <w:p>
      <w:pPr>
        <w:spacing w:after="0" w:line="87" w:lineRule="exact"/>
        <w:rPr>
          <w:rFonts w:ascii="Times New Roman" w:cs="Times New Roman" w:eastAsia="Times New Roman" w:hAnsi="Times New Roman"/>
          <w:sz w:val="17"/>
          <w:szCs w:val="17"/>
          <w:color w:val="auto"/>
        </w:rPr>
      </w:pPr>
    </w:p>
    <w:p>
      <w:pPr>
        <w:ind w:left="620" w:right="520" w:hanging="308"/>
        <w:spacing w:after="0" w:line="28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changing customer landscape, with value and e-commerce retailers expanding their market presence, while certain of our key customers maintain significance to our business;</w:t>
      </w:r>
    </w:p>
    <w:p>
      <w:pPr>
        <w:spacing w:after="0" w:line="36"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quality and safety issues, including recalls and product liabilities;</w:t>
      </w:r>
    </w:p>
    <w:p>
      <w:pPr>
        <w:spacing w:after="0" w:line="100" w:lineRule="exact"/>
        <w:rPr>
          <w:rFonts w:ascii="Times New Roman" w:cs="Times New Roman" w:eastAsia="Times New Roman" w:hAnsi="Times New Roman"/>
          <w:sz w:val="17"/>
          <w:szCs w:val="17"/>
          <w:color w:val="auto"/>
        </w:rPr>
      </w:pPr>
    </w:p>
    <w:p>
      <w:pPr>
        <w:ind w:left="620" w:right="100" w:hanging="308"/>
        <w:spacing w:after="0" w:line="28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uncertainties of litigation and regulatory actions against us;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disruption and diversion of management's attention associated with activist investors;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failure or security breach of our or our vendors' information technology systems, including ransomware attacks;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to goodwill or other intangible assets;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rights;</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liabilities and costs related to our defined benefit pension plans;</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talent;</w:t>
      </w:r>
    </w:p>
    <w:p>
      <w:pPr>
        <w:spacing w:after="0" w:line="10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goals and initiatives related to, and the impacts of, climate change, including from weather-related events;</w:t>
      </w:r>
    </w:p>
    <w:p>
      <w:pPr>
        <w:spacing w:after="0" w:line="87" w:lineRule="exact"/>
        <w:rPr>
          <w:rFonts w:ascii="Times New Roman" w:cs="Times New Roman" w:eastAsia="Times New Roman" w:hAnsi="Times New Roman"/>
          <w:sz w:val="17"/>
          <w:szCs w:val="17"/>
          <w:color w:val="auto"/>
        </w:rPr>
      </w:pPr>
    </w:p>
    <w:p>
      <w:pPr>
        <w:ind w:left="620" w:right="280" w:hanging="308"/>
        <w:spacing w:after="0" w:line="28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changes and volatility in financial and credit markets, deteriorating economic conditions and other external factors, including changes in laws and regulations;</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and ability to pay such indebtedness; and</w:t>
      </w:r>
    </w:p>
    <w:p>
      <w:pPr>
        <w:spacing w:after="0" w:line="100" w:lineRule="exact"/>
        <w:rPr>
          <w:rFonts w:ascii="Times New Roman" w:cs="Times New Roman" w:eastAsia="Times New Roman" w:hAnsi="Times New Roman"/>
          <w:sz w:val="17"/>
          <w:szCs w:val="17"/>
          <w:color w:val="auto"/>
        </w:rPr>
      </w:pPr>
    </w:p>
    <w:p>
      <w:pPr>
        <w:ind w:left="620" w:right="80" w:hanging="308"/>
        <w:spacing w:after="0" w:line="286"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business disruptions or other impacts due to political instability, civil disobedience, geopolitical conflicts, extreme weather conditions, natural disasters, pandemics or other outbreaks of disease or other calamities.</w:t>
      </w:r>
    </w:p>
    <w:p>
      <w:pPr>
        <w:spacing w:after="0" w:line="23"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 About Market Risk</w:t>
      </w:r>
    </w:p>
    <w:p>
      <w:pPr>
        <w:spacing w:after="0" w:line="107"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The information presented in the section entitled "Management’s Discussion and Analysis of Financial Condition and Results of Operations — Market Risk Sensitivity" is incorporated herein by reference.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9"/>
        </w:trPr>
        <w:tc>
          <w:tcPr>
            <w:tcW w:w="8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tc>
        <w:tc>
          <w:tcPr>
            <w:tcW w:w="1100" w:type="dxa"/>
            <w:vAlign w:val="bottom"/>
          </w:tcPr>
          <w:p>
            <w:pPr>
              <w:spacing w:after="0"/>
              <w:rPr>
                <w:sz w:val="19"/>
                <w:szCs w:val="19"/>
                <w:color w:val="auto"/>
              </w:rPr>
            </w:pPr>
          </w:p>
        </w:tc>
      </w:tr>
      <w:tr>
        <w:trPr>
          <w:trHeight w:val="566"/>
        </w:trPr>
        <w:tc>
          <w:tcPr>
            <w:tcW w:w="33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INDEX TO CONSOLIDATED FINANCIAL STATEMENTS</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0"/>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Earnings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Consolidated Statements of Equity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43</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100" w:type="dxa"/>
            <w:vAlign w:val="bottom"/>
          </w:tcPr>
          <w:p>
            <w:pPr>
              <w:spacing w:after="0"/>
              <w:rPr>
                <w:sz w:val="19"/>
                <w:szCs w:val="19"/>
                <w:color w:val="auto"/>
              </w:rPr>
            </w:pP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 Summary of Significant Accounting Policies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2. Recent Accounting Pronouncements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3. Acquisition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4. Divestiture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5. Accumulated Other Comprehensive Income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6. Goodwill and Intangible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7. Segment Information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8. Restructuring Charges, Cost Savings Initiatives and Other Optimization Initiatives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53</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9. Earnings per Share</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10. Pension and Postretirement Benefits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11. Leases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12. Taxes on Earnings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13. Short-term Borrowings and Long-term Debt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14. Financial Instruments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15. Fair Value Measurements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16. Shareholders' Equity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17. 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18. Commitments and Contingencies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19. Supplier Finance Program Obligations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20. Supplemental Financial Statement Data</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219"/>
        </w:trPr>
        <w:tc>
          <w:tcPr>
            <w:tcW w:w="87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Note 21. Subsequent Event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w:t>
            </w:r>
          </w:p>
        </w:tc>
      </w:tr>
      <w:tr>
        <w:trPr>
          <w:trHeight w:val="219"/>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Management’s Report on Internal Control Over Financial Reporting</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223"/>
        </w:trPr>
        <w:tc>
          <w:tcPr>
            <w:tcW w:w="87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41"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Earnings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(millions,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2"/>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9,636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8,562</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products sold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5,935</w:t>
            </w:r>
          </w:p>
        </w:tc>
      </w:tr>
      <w:tr>
        <w:trPr>
          <w:trHeight w:val="219"/>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Administrative expenses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r>
      <w:tr>
        <w:trPr>
          <w:trHeight w:val="219"/>
        </w:trPr>
        <w:tc>
          <w:tcPr>
            <w:tcW w:w="7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 / (income)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7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8,636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8,045</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7,399</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before interest and taxes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taxes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w:t>
            </w: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Taxes on earnings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190</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r>
      <w:tr>
        <w:trPr>
          <w:trHeight w:val="219"/>
        </w:trPr>
        <w:tc>
          <w:tcPr>
            <w:tcW w:w="7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Net earnings (loss) attributable to noncontrolling interests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 attributable to Campbell Soup Company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567</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84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b w:val="1"/>
                <w:bCs w:val="1"/>
                <w:color w:val="auto"/>
              </w:rPr>
              <w:t>Per Share — Basic</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8"/>
        </w:trPr>
        <w:tc>
          <w:tcPr>
            <w:tcW w:w="7840" w:type="dxa"/>
            <w:vAlign w:val="bottom"/>
            <w:tcBorders>
              <w:bottom w:val="single" w:sz="8" w:color="auto"/>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Net earnings attributable to Campbell Soup Company</w:t>
            </w:r>
          </w:p>
        </w:tc>
        <w:tc>
          <w:tcPr>
            <w:tcW w:w="240" w:type="dxa"/>
            <w:vAlign w:val="bottom"/>
            <w:tcBorders>
              <w:bottom w:val="single" w:sz="8" w:color="auto"/>
            </w:tcBorders>
            <w:shd w:val="clear" w:color="auto" w:fill="CCEEFF"/>
          </w:tcPr>
          <w:p>
            <w:pPr>
              <w:jc w:val="right"/>
              <w:ind w:right="54"/>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1.90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2.51</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840" w:type="dxa"/>
            <w:vAlign w:val="bottom"/>
            <w:tcBorders>
              <w:bottom w:val="single" w:sz="8" w:color="auto"/>
            </w:tcBorders>
          </w:tcPr>
          <w:p>
            <w:pPr>
              <w:ind w:left="20"/>
              <w:spacing w:after="0" w:line="190" w:lineRule="exact"/>
              <w:rPr>
                <w:sz w:val="20"/>
                <w:szCs w:val="20"/>
                <w:color w:val="auto"/>
              </w:rPr>
            </w:pPr>
            <w:r>
              <w:rPr>
                <w:rFonts w:ascii="Times New Roman" w:cs="Times New Roman" w:eastAsia="Times New Roman" w:hAnsi="Times New Roman"/>
                <w:sz w:val="17"/>
                <w:szCs w:val="17"/>
                <w:color w:val="auto"/>
              </w:rPr>
              <w:t>Weighted average shares outstanding — basic</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298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299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301</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 Share — Assuming Dilution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earnings attributable to Campbell Soup Company</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5"/>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assuming dilution</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Comprehensive Income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(millions)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3"/>
              </w:rPr>
              <w:t>Tax benefit</w:t>
            </w:r>
          </w:p>
        </w:tc>
        <w:tc>
          <w:tcPr>
            <w:tcW w:w="120" w:type="dxa"/>
            <w:vAlign w:val="bottom"/>
          </w:tcPr>
          <w:p>
            <w:pPr>
              <w:spacing w:after="0"/>
              <w:rPr>
                <w:sz w:val="10"/>
                <w:szCs w:val="10"/>
                <w:color w:val="auto"/>
              </w:rPr>
            </w:pPr>
          </w:p>
        </w:tc>
        <w:tc>
          <w:tcPr>
            <w:tcW w:w="720" w:type="dxa"/>
            <w:vAlign w:val="bottom"/>
          </w:tcPr>
          <w:p>
            <w:pPr>
              <w:jc w:val="center"/>
              <w:ind w:right="64"/>
              <w:spacing w:after="0" w:line="123"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6"/>
              </w:rPr>
              <w:t>Tax benefit</w:t>
            </w:r>
          </w:p>
        </w:tc>
        <w:tc>
          <w:tcPr>
            <w:tcW w:w="140" w:type="dxa"/>
            <w:vAlign w:val="bottom"/>
          </w:tcPr>
          <w:p>
            <w:pPr>
              <w:spacing w:after="0"/>
              <w:rPr>
                <w:sz w:val="10"/>
                <w:szCs w:val="10"/>
                <w:color w:val="auto"/>
              </w:rPr>
            </w:pPr>
          </w:p>
        </w:tc>
        <w:tc>
          <w:tcPr>
            <w:tcW w:w="720" w:type="dxa"/>
            <w:vAlign w:val="bottom"/>
          </w:tcPr>
          <w:p>
            <w:pPr>
              <w:jc w:val="center"/>
              <w:ind w:right="64"/>
              <w:spacing w:after="0" w:line="123"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Pre-tax</w:t>
            </w:r>
          </w:p>
        </w:tc>
        <w:tc>
          <w:tcPr>
            <w:tcW w:w="94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6"/>
              </w:rPr>
              <w:t>Tax benefit</w:t>
            </w:r>
          </w:p>
        </w:tc>
        <w:tc>
          <w:tcPr>
            <w:tcW w:w="140" w:type="dxa"/>
            <w:vAlign w:val="bottom"/>
          </w:tcPr>
          <w:p>
            <w:pPr>
              <w:spacing w:after="0"/>
              <w:rPr>
                <w:sz w:val="10"/>
                <w:szCs w:val="10"/>
                <w:color w:val="auto"/>
              </w:rPr>
            </w:pPr>
          </w:p>
        </w:tc>
        <w:tc>
          <w:tcPr>
            <w:tcW w:w="720" w:type="dxa"/>
            <w:vAlign w:val="bottom"/>
          </w:tcPr>
          <w:p>
            <w:pPr>
              <w:jc w:val="right"/>
              <w:ind w:right="84"/>
              <w:spacing w:after="0" w:line="123"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amount</w:t>
            </w:r>
          </w:p>
        </w:tc>
        <w:tc>
          <w:tcPr>
            <w:tcW w:w="10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(expense)</w:t>
            </w:r>
          </w:p>
        </w:tc>
        <w:tc>
          <w:tcPr>
            <w:tcW w:w="14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(expense)</w:t>
            </w:r>
          </w:p>
        </w:tc>
        <w:tc>
          <w:tcPr>
            <w:tcW w:w="140" w:type="dxa"/>
            <w:vAlign w:val="bottom"/>
          </w:tcPr>
          <w:p>
            <w:pPr>
              <w:spacing w:after="0"/>
              <w:rPr>
                <w:sz w:val="16"/>
                <w:szCs w:val="16"/>
                <w:color w:val="auto"/>
              </w:rPr>
            </w:pPr>
          </w:p>
        </w:tc>
        <w:tc>
          <w:tcPr>
            <w:tcW w:w="72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4"/>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earnings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Foreign currency translation: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0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7"/>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b w:val="1"/>
                <w:bCs w:val="1"/>
                <w:color w:val="auto"/>
              </w:rPr>
              <w:t>Cash-flow hedges: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300"/>
              <w:spacing w:after="0" w:line="156" w:lineRule="exact"/>
              <w:rPr>
                <w:sz w:val="20"/>
                <w:szCs w:val="20"/>
                <w:color w:val="auto"/>
              </w:rPr>
            </w:pPr>
            <w:r>
              <w:rPr>
                <w:rFonts w:ascii="Times New Roman" w:cs="Times New Roman" w:eastAsia="Times New Roman" w:hAnsi="Times New Roman"/>
                <w:sz w:val="15"/>
                <w:szCs w:val="15"/>
                <w:color w:val="auto"/>
              </w:rPr>
              <w:t>Unrealized gains (losses) arising during the</w:t>
            </w: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2"/>
        </w:trPr>
        <w:tc>
          <w:tcPr>
            <w:tcW w:w="30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period</w:t>
            </w: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04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5"/>
                <w:szCs w:val="15"/>
                <w:color w:val="auto"/>
              </w:rPr>
              <w:t>Reclassification adjustment for losses</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(gains) included in net earnings</w:t>
            </w: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4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Pension and other postretirement benefits: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040" w:type="dxa"/>
            <w:vAlign w:val="bottom"/>
            <w:shd w:val="clear" w:color="auto" w:fill="CCEEFF"/>
          </w:tcPr>
          <w:p>
            <w:pPr>
              <w:ind w:left="300"/>
              <w:spacing w:after="0" w:line="156" w:lineRule="exact"/>
              <w:rPr>
                <w:sz w:val="20"/>
                <w:szCs w:val="20"/>
                <w:color w:val="auto"/>
              </w:rPr>
            </w:pPr>
            <w:r>
              <w:rPr>
                <w:rFonts w:ascii="Times New Roman" w:cs="Times New Roman" w:eastAsia="Times New Roman" w:hAnsi="Times New Roman"/>
                <w:sz w:val="15"/>
                <w:szCs w:val="15"/>
                <w:color w:val="auto"/>
              </w:rPr>
              <w:t>Reclassification of prior service credit</w:t>
            </w:r>
          </w:p>
        </w:tc>
        <w:tc>
          <w:tcPr>
            <w:tcW w:w="1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30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included in net earnings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99"/>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553</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Total comprehensive income (loss) attributable</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 noncontrolling interests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4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5"/>
                <w:szCs w:val="15"/>
                <w:b w:val="1"/>
                <w:bCs w:val="1"/>
                <w:color w:val="auto"/>
              </w:rPr>
              <w:t>Total comprehensive income (loss)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w:t>
            </w:r>
          </w:p>
        </w:tc>
        <w:tc>
          <w:tcPr>
            <w:tcW w:w="0" w:type="dxa"/>
            <w:vAlign w:val="bottom"/>
          </w:tcPr>
          <w:p>
            <w:pPr>
              <w:spacing w:after="0"/>
              <w:rPr>
                <w:sz w:val="1"/>
                <w:szCs w:val="1"/>
                <w:color w:val="auto"/>
              </w:rPr>
            </w:pPr>
          </w:p>
        </w:tc>
      </w:tr>
      <w:tr>
        <w:trPr>
          <w:trHeight w:val="225"/>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attributable to Campbell Soup Company</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0" w:name="page41"/>
    <w:bookmarkEnd w:id="40"/>
    <w:p>
      <w:pPr>
        <w:ind w:left="4740"/>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Balance Sheets</w:t>
      </w:r>
    </w:p>
    <w:p>
      <w:pPr>
        <w:spacing w:after="0" w:line="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(millions, except per share amounts)</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6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40" w:type="dxa"/>
            <w:vAlign w:val="bottom"/>
          </w:tcPr>
          <w:p>
            <w:pPr>
              <w:spacing w:after="0"/>
              <w:rPr>
                <w:sz w:val="15"/>
                <w:szCs w:val="15"/>
                <w:color w:val="auto"/>
              </w:rPr>
            </w:pPr>
          </w:p>
        </w:tc>
        <w:tc>
          <w:tcPr>
            <w:tcW w:w="11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July 30, 2023</w:t>
            </w:r>
          </w:p>
        </w:tc>
      </w:tr>
      <w:tr>
        <w:trPr>
          <w:trHeight w:val="22"/>
        </w:trPr>
        <w:tc>
          <w:tcPr>
            <w:tcW w:w="68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108</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630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18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1,386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19"/>
        </w:trPr>
        <w:tc>
          <w:tcPr>
            <w:tcW w:w="6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1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2,190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2,061</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 net of depreciation</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2,698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2,398</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5,077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3,965</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 net of amortization</w:t>
            </w: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4,716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554</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37"/>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15,235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12,058</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82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b w:val="1"/>
                <w:bCs w:val="1"/>
                <w:color w:val="auto"/>
              </w:rPr>
              <w:t>Current liabilities</w:t>
            </w:r>
          </w:p>
        </w:tc>
        <w:tc>
          <w:tcPr>
            <w:tcW w:w="1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Short-term borrowings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8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1,311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w:t>
            </w: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liabilities</w:t>
            </w: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720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Dividends payable</w:t>
            </w:r>
          </w:p>
        </w:tc>
        <w:tc>
          <w:tcPr>
            <w:tcW w:w="18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9"/>
        </w:trPr>
        <w:tc>
          <w:tcPr>
            <w:tcW w:w="6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income taxes</w:t>
            </w:r>
          </w:p>
        </w:tc>
        <w:tc>
          <w:tcPr>
            <w:tcW w:w="1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3,576</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2,222</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5,761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8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1,426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8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676</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11,439</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8,395</w:t>
            </w: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8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Campbell Soup Company shareholders' equity</w:t>
            </w:r>
          </w:p>
        </w:tc>
        <w:tc>
          <w:tcPr>
            <w:tcW w:w="1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Preferred stock; authorized 40 shares; none issued</w:t>
            </w: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stock, $.0375 par value; authorized 560 shares; issued 323 shares</w:t>
            </w:r>
          </w:p>
        </w:tc>
        <w:tc>
          <w:tcPr>
            <w:tcW w:w="18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437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19"/>
        </w:trPr>
        <w:tc>
          <w:tcPr>
            <w:tcW w:w="6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Earnings retained in the business</w:t>
            </w:r>
          </w:p>
        </w:tc>
        <w:tc>
          <w:tcPr>
            <w:tcW w:w="18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4,569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4,451</w:t>
            </w:r>
          </w:p>
        </w:tc>
      </w:tr>
      <w:tr>
        <w:trPr>
          <w:trHeight w:val="21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 stock in treasury, at cost</w:t>
            </w:r>
          </w:p>
        </w:tc>
        <w:tc>
          <w:tcPr>
            <w:tcW w:w="1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r>
      <w:tr>
        <w:trPr>
          <w:trHeight w:val="219"/>
        </w:trPr>
        <w:tc>
          <w:tcPr>
            <w:tcW w:w="6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Campbell Soup Company shareholders' equity</w:t>
            </w:r>
          </w:p>
        </w:tc>
        <w:tc>
          <w:tcPr>
            <w:tcW w:w="18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3,794</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8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3,796</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3,663</w:t>
            </w:r>
          </w:p>
        </w:tc>
      </w:tr>
      <w:tr>
        <w:trPr>
          <w:trHeight w:val="21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15,235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12,058</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3" w:right="37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(millions)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8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earnings</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567</w:t>
            </w:r>
          </w:p>
        </w:tc>
        <w:tc>
          <w:tcPr>
            <w:tcW w:w="10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858</w:t>
            </w:r>
          </w:p>
        </w:tc>
        <w:tc>
          <w:tcPr>
            <w:tcW w:w="1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757</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earnings to operating cash flow</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Impairment charges</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Restructuring charges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Stock-based compensation</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59</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Amortization of inventory fair value adjustment from acquisition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Pension and postretirement benefit expense (income)</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337</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income taxes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Net loss on sale of business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88</w:t>
            </w: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Changes in working capital, net of acquisition and divestiture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Inventories</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w:t>
            </w:r>
          </w:p>
        </w:tc>
      </w:tr>
      <w:tr>
        <w:trPr>
          <w:trHeight w:val="207"/>
        </w:trPr>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current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w:t>
            </w:r>
          </w:p>
        </w:tc>
      </w:tr>
      <w:tr>
        <w:trPr>
          <w:trHeight w:val="205"/>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200</w:t>
            </w:r>
          </w:p>
        </w:tc>
      </w:tr>
      <w:tr>
        <w:trPr>
          <w:trHeight w:val="206"/>
        </w:trPr>
        <w:tc>
          <w:tcPr>
            <w:tcW w:w="7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(77)</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99"/>
        </w:trPr>
        <w:tc>
          <w:tcPr>
            <w:tcW w:w="7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1,185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1,143</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1,181</w:t>
            </w:r>
          </w:p>
        </w:tc>
      </w:tr>
      <w:tr>
        <w:trPr>
          <w:trHeight w:val="20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plant assets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Purchases of route businesses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Sales of route businesses</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Business acquired, net of cash acquired</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Sale of business</w:t>
            </w: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6"/>
        </w:trPr>
        <w:tc>
          <w:tcPr>
            <w:tcW w:w="7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r>
      <w:tr>
        <w:trPr>
          <w:trHeight w:val="199"/>
        </w:trPr>
        <w:tc>
          <w:tcPr>
            <w:tcW w:w="7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(3,128)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w:t>
            </w:r>
          </w:p>
        </w:tc>
      </w:tr>
      <w:tr>
        <w:trPr>
          <w:trHeight w:val="20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Short-term borrowings, including commercial paper and delayed draw term loan</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5,622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1,173</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Short-term repayments, including commercial paper and delayed draw term loan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Long-term borrowings</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2,496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 repayments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Dividends paid</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Treasury stock issuances</w:t>
            </w:r>
          </w:p>
        </w:tc>
        <w:tc>
          <w:tcPr>
            <w:tcW w:w="240" w:type="dxa"/>
            <w:vAlign w:val="bottom"/>
          </w:tcPr>
          <w:p>
            <w:pPr>
              <w:spacing w:after="0"/>
              <w:rPr>
                <w:sz w:val="17"/>
                <w:szCs w:val="17"/>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related to tax withholding for stock-based compensation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5"/>
        </w:trPr>
        <w:tc>
          <w:tcPr>
            <w:tcW w:w="7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related to extinguishment of debt</w:t>
            </w: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w:t>
            </w:r>
          </w:p>
        </w:tc>
      </w:tr>
      <w:tr>
        <w:trPr>
          <w:trHeight w:val="207"/>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77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1,863</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w:t>
            </w:r>
          </w:p>
        </w:tc>
      </w:tr>
      <w:tr>
        <w:trPr>
          <w:trHeight w:val="199"/>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Effect of exchange rate changes on cash</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w:t>
            </w:r>
          </w:p>
        </w:tc>
      </w:tr>
      <w:tr>
        <w:trPr>
          <w:trHeight w:val="205"/>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beginning of period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189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69</w:t>
            </w:r>
          </w:p>
        </w:tc>
      </w:tr>
      <w:tr>
        <w:trPr>
          <w:trHeight w:val="224"/>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end of period</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108</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109</w:t>
            </w:r>
          </w:p>
        </w:tc>
      </w:tr>
      <w:tr>
        <w:trPr>
          <w:trHeight w:val="20"/>
        </w:trPr>
        <w:tc>
          <w:tcPr>
            <w:tcW w:w="7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accompanying Notes to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Consolidated Statements of Equity</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(millions, except per share amounts)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7"/>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Campbell Soup Company Shareholders’ Equity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Pr>
          <w:p>
            <w:pPr>
              <w:spacing w:after="0"/>
              <w:rPr>
                <w:sz w:val="17"/>
                <w:szCs w:val="17"/>
                <w:color w:val="auto"/>
              </w:rPr>
            </w:pPr>
          </w:p>
        </w:tc>
        <w:tc>
          <w:tcPr>
            <w:tcW w:w="1560" w:type="dxa"/>
            <w:vAlign w:val="bottom"/>
            <w:tcBorders>
              <w:bottom w:val="single" w:sz="8" w:color="auto"/>
            </w:tcBorders>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00" w:type="dxa"/>
            <w:vAlign w:val="bottom"/>
          </w:tcPr>
          <w:p>
            <w:pPr>
              <w:spacing w:after="0"/>
              <w:rPr>
                <w:sz w:val="17"/>
                <w:szCs w:val="17"/>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7"/>
                <w:szCs w:val="17"/>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7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6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86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Retained in the</w:t>
            </w:r>
          </w:p>
        </w:tc>
        <w:tc>
          <w:tcPr>
            <w:tcW w:w="180" w:type="dxa"/>
            <w:vAlign w:val="bottom"/>
          </w:tcPr>
          <w:p>
            <w:pPr>
              <w:spacing w:after="0"/>
              <w:rPr>
                <w:sz w:val="12"/>
                <w:szCs w:val="12"/>
                <w:color w:val="auto"/>
              </w:rPr>
            </w:pPr>
          </w:p>
        </w:tc>
        <w:tc>
          <w:tcPr>
            <w:tcW w:w="116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11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20" w:type="dxa"/>
            <w:vAlign w:val="bottom"/>
          </w:tcPr>
          <w:p>
            <w:pPr>
              <w:spacing w:after="0"/>
              <w:rPr>
                <w:sz w:val="12"/>
                <w:szCs w:val="12"/>
                <w:color w:val="auto"/>
              </w:rPr>
            </w:pPr>
          </w:p>
        </w:tc>
        <w:tc>
          <w:tcPr>
            <w:tcW w:w="72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1, 2021</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414</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3,742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757</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($1.48 per share)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(451)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29"/>
        </w:trPr>
        <w:tc>
          <w:tcPr>
            <w:tcW w:w="22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w w:val="98"/>
              </w:rPr>
              <w:t>Treasury stock issued under stock-based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1"/>
                <w:szCs w:val="11"/>
                <w:color w:val="auto"/>
              </w:rPr>
            </w:pPr>
          </w:p>
        </w:tc>
        <w:tc>
          <w:tcPr>
            <w:tcW w:w="6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50</w:t>
            </w:r>
          </w:p>
        </w:tc>
        <w:tc>
          <w:tcPr>
            <w:tcW w:w="200" w:type="dxa"/>
            <w:vAlign w:val="bottom"/>
          </w:tcPr>
          <w:p>
            <w:pPr>
              <w:spacing w:after="0"/>
              <w:rPr>
                <w:sz w:val="11"/>
                <w:szCs w:val="11"/>
                <w:color w:val="auto"/>
              </w:rPr>
            </w:pP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2022</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415</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4,040</w:t>
            </w: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2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Net earnings (loss)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51"/>
              <w:spacing w:after="0" w:line="157" w:lineRule="exact"/>
              <w:rPr>
                <w:sz w:val="20"/>
                <w:szCs w:val="20"/>
                <w:color w:val="auto"/>
              </w:rPr>
            </w:pPr>
            <w:r>
              <w:rPr>
                <w:rFonts w:ascii="Times New Roman" w:cs="Times New Roman" w:eastAsia="Times New Roman" w:hAnsi="Times New Roman"/>
                <w:sz w:val="14"/>
                <w:szCs w:val="14"/>
                <w:color w:val="auto"/>
              </w:rPr>
              <w:t>858</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1"/>
              <w:spacing w:after="0" w:line="15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($1.48 per share)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(447)</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29"/>
        </w:trPr>
        <w:tc>
          <w:tcPr>
            <w:tcW w:w="226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w w:val="98"/>
              </w:rPr>
              <w:t>Treasury stock issued under stock-based</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1"/>
                <w:szCs w:val="11"/>
                <w:color w:val="auto"/>
              </w:rPr>
            </w:pPr>
          </w:p>
        </w:tc>
        <w:tc>
          <w:tcPr>
            <w:tcW w:w="6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tcPr>
          <w:p>
            <w:pPr>
              <w:spacing w:after="0"/>
              <w:rPr>
                <w:sz w:val="11"/>
                <w:szCs w:val="11"/>
                <w:color w:val="auto"/>
              </w:rPr>
            </w:pP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1"/>
                <w:szCs w:val="11"/>
                <w:color w:val="auto"/>
              </w:rPr>
            </w:pPr>
          </w:p>
        </w:tc>
        <w:tc>
          <w:tcPr>
            <w:tcW w:w="8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30, 2023</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323</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420</w:t>
            </w: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4,451</w:t>
            </w: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2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Net earnings (loss)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51"/>
              <w:spacing w:after="0" w:line="159" w:lineRule="exact"/>
              <w:rPr>
                <w:sz w:val="20"/>
                <w:szCs w:val="20"/>
                <w:color w:val="auto"/>
              </w:rPr>
            </w:pPr>
            <w:r>
              <w:rPr>
                <w:rFonts w:ascii="Times New Roman" w:cs="Times New Roman" w:eastAsia="Times New Roman" w:hAnsi="Times New Roman"/>
                <w:sz w:val="14"/>
                <w:szCs w:val="14"/>
                <w:b w:val="1"/>
                <w:bCs w:val="1"/>
                <w:color w:val="auto"/>
              </w:rPr>
              <w:t>567</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1"/>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567</w:t>
            </w:r>
          </w:p>
        </w:tc>
        <w:tc>
          <w:tcPr>
            <w:tcW w:w="0" w:type="dxa"/>
            <w:vAlign w:val="bottom"/>
          </w:tcPr>
          <w:p>
            <w:pPr>
              <w:spacing w:after="0"/>
              <w:rPr>
                <w:sz w:val="1"/>
                <w:szCs w:val="1"/>
                <w:color w:val="auto"/>
              </w:rPr>
            </w:pPr>
          </w:p>
        </w:tc>
      </w:tr>
      <w:tr>
        <w:trPr>
          <w:trHeight w:val="19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($1.48 per share)</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(449)</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w:t>
            </w:r>
          </w:p>
        </w:tc>
        <w:tc>
          <w:tcPr>
            <w:tcW w:w="0" w:type="dxa"/>
            <w:vAlign w:val="bottom"/>
          </w:tcPr>
          <w:p>
            <w:pPr>
              <w:spacing w:after="0"/>
              <w:rPr>
                <w:sz w:val="1"/>
                <w:szCs w:val="1"/>
                <w:color w:val="auto"/>
              </w:rPr>
            </w:pPr>
          </w:p>
        </w:tc>
      </w:tr>
      <w:tr>
        <w:trPr>
          <w:trHeight w:val="134"/>
        </w:trPr>
        <w:tc>
          <w:tcPr>
            <w:tcW w:w="2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Replacement share-based awards</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issued in connection with Sovos</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42</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0" w:type="dxa"/>
            <w:vAlign w:val="bottom"/>
          </w:tcPr>
          <w:p>
            <w:pPr>
              <w:spacing w:after="0"/>
              <w:rPr>
                <w:sz w:val="1"/>
                <w:szCs w:val="1"/>
                <w:color w:val="auto"/>
              </w:rPr>
            </w:pPr>
          </w:p>
        </w:tc>
      </w:tr>
      <w:tr>
        <w:trPr>
          <w:trHeight w:val="20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Brands, Inc. acquisition</w:t>
            </w:r>
            <w:r>
              <w:rPr>
                <w:rFonts w:ascii="Times New Roman" w:cs="Times New Roman" w:eastAsia="Times New Roman" w:hAnsi="Times New Roman"/>
                <w:sz w:val="17"/>
                <w:szCs w:val="17"/>
                <w:b w:val="1"/>
                <w:bCs w:val="1"/>
                <w:color w:val="auto"/>
                <w:vertAlign w:val="superscript"/>
              </w:rPr>
              <w:t>(1)</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0" w:type="dxa"/>
            <w:vAlign w:val="bottom"/>
          </w:tcPr>
          <w:p>
            <w:pPr>
              <w:spacing w:after="0"/>
              <w:rPr>
                <w:sz w:val="1"/>
                <w:szCs w:val="1"/>
                <w:color w:val="auto"/>
              </w:rPr>
            </w:pPr>
          </w:p>
        </w:tc>
      </w:tr>
      <w:tr>
        <w:trPr>
          <w:trHeight w:val="134"/>
        </w:trPr>
        <w:tc>
          <w:tcPr>
            <w:tcW w:w="2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 stock-</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79</w:t>
            </w:r>
          </w:p>
        </w:tc>
        <w:tc>
          <w:tcPr>
            <w:tcW w:w="2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0" w:type="dxa"/>
            <w:vAlign w:val="bottom"/>
          </w:tcPr>
          <w:p>
            <w:pPr>
              <w:spacing w:after="0"/>
              <w:rPr>
                <w:sz w:val="1"/>
                <w:szCs w:val="1"/>
                <w:color w:val="auto"/>
              </w:rPr>
            </w:pPr>
          </w:p>
        </w:tc>
      </w:tr>
      <w:tr>
        <w:trPr>
          <w:trHeight w:val="188"/>
        </w:trPr>
        <w:tc>
          <w:tcPr>
            <w:tcW w:w="2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based compensation plans</w:t>
            </w:r>
          </w:p>
        </w:tc>
        <w:tc>
          <w:tcPr>
            <w:tcW w:w="7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July 28, 2024</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437</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4,569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3,796</w:t>
            </w:r>
          </w:p>
        </w:tc>
        <w:tc>
          <w:tcPr>
            <w:tcW w:w="0" w:type="dxa"/>
            <w:vAlign w:val="bottom"/>
          </w:tcPr>
          <w:p>
            <w:pPr>
              <w:spacing w:after="0"/>
              <w:rPr>
                <w:sz w:val="1"/>
                <w:szCs w:val="1"/>
                <w:color w:val="auto"/>
              </w:rPr>
            </w:pPr>
          </w:p>
        </w:tc>
      </w:tr>
      <w:tr>
        <w:trPr>
          <w:trHeight w:val="24"/>
        </w:trPr>
        <w:tc>
          <w:tcPr>
            <w:tcW w:w="2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40" w:hanging="137"/>
        <w:spacing w:after="0"/>
        <w:tabs>
          <w:tab w:leader="none" w:pos="140"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Note 3 for additional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this Report, unless otherwise stated, the terms "we," "us," "our" and the "company" refer to Campbell Soup Company and its consolidated subsidiaries.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 manufacturer and marketer of high-quality, branded food and beverage products.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Basis of Presentation </w:t>
      </w:r>
      <w:r>
        <w:rPr>
          <w:rFonts w:ascii="Times New Roman" w:cs="Times New Roman" w:eastAsia="Times New Roman" w:hAnsi="Times New Roman"/>
          <w:sz w:val="17"/>
          <w:szCs w:val="17"/>
          <w:color w:val="auto"/>
        </w:rPr>
        <w:t>— The consolidated financial statements include our accounts and entities in which we maintain a controlling financial interest.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Intercompany transactions are eliminated in consolidation. Our fiscal year ends on the Sunday nearest July 31. There were 52 weeks in 2024, 2023, and 2022.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will be 53 weeks in 2025.</w:t>
      </w:r>
    </w:p>
    <w:p>
      <w:pPr>
        <w:spacing w:after="0" w:line="80"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Use of Estimates </w:t>
      </w:r>
      <w:r>
        <w:rPr>
          <w:rFonts w:ascii="Times New Roman" w:cs="Times New Roman" w:eastAsia="Times New Roman" w:hAnsi="Times New Roman"/>
          <w:sz w:val="17"/>
          <w:szCs w:val="17"/>
          <w:color w:val="auto"/>
        </w:rPr>
        <w:t>— Generally accepted accounting principles require management to make estimates and assumptions that affect assets, liabilities, revenues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expenses. Actual results could differ from those estimates.</w:t>
      </w:r>
    </w:p>
    <w:p>
      <w:pPr>
        <w:spacing w:after="0" w:line="28"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 Our revenues primarily consist of the sale of food and beverage products through our own sales force and/or third-party brokers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partners. Revenues are recognized when our performance obligation has been satisfied and control of the product passes to our customers, which typically occurs when products are delivered.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7 for additional information on disaggregation of revenue.</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 All highly liquid debt instruments purchased with a maturity of three months or less are classified as cash equivalents.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 All inventories are valued at the lower of average cost or net realizable value.</w:t>
      </w:r>
    </w:p>
    <w:p>
      <w:pPr>
        <w:spacing w:after="0" w:line="101"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Property, Plant and Equipment </w:t>
      </w:r>
      <w:r>
        <w:rPr>
          <w:rFonts w:ascii="Times New Roman" w:cs="Times New Roman" w:eastAsia="Times New Roman" w:hAnsi="Times New Roman"/>
          <w:sz w:val="17"/>
          <w:szCs w:val="17"/>
          <w:color w:val="auto"/>
        </w:rPr>
        <w:t>— Property, plant and equipment are recorded at historical cost and are depreciated over estimated useful lives using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38"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Goodwill and Intangible Assets </w:t>
      </w:r>
      <w:r>
        <w:rPr>
          <w:rFonts w:ascii="Times New Roman" w:cs="Times New Roman" w:eastAsia="Times New Roman" w:hAnsi="Times New Roman"/>
          <w:sz w:val="17"/>
          <w:szCs w:val="17"/>
          <w:color w:val="auto"/>
        </w:rPr>
        <w:t>— Goodwill and intangible assets deemed to have indefinite lives are not amortized but rather are tested at least annually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fourth quarter for impairment, or more often if events or changes in circumstances indicate that the carrying amount of the asset may be impaired.</w:t>
      </w:r>
    </w:p>
    <w:p>
      <w:pPr>
        <w:spacing w:after="0" w:line="3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costs of capital and future economic and market conditions. If the carrying value of the reporting unit exceeds fair value, goodwill is considered impaired. An impairment charge is recognized for the amount by which the carrying value of the reporting unit exceeds fair value, limited to the amount of goodwill in the reporting unit.</w:t>
      </w:r>
    </w:p>
    <w:p>
      <w:pPr>
        <w:spacing w:after="0" w:line="6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3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Intangible assets with definite lives are amortized over their estimated useful lives and are reviewed for impairment as events or changes in circumstances occur indicating that the carrying value of the asset may not be recoverable. Undiscounted cash flow analyses are used to determine if the carrying amount of the asset is recoverable. If impairment is determined to exist, the charge is calculated based on estimated fair value.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7"/>
          <w:szCs w:val="17"/>
          <w:color w:val="auto"/>
        </w:rPr>
        <w:t>See Note 6 for more information.</w:t>
      </w:r>
    </w:p>
    <w:p>
      <w:pPr>
        <w:spacing w:after="0" w:line="84"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Leases — </w:t>
      </w:r>
      <w:r>
        <w:rPr>
          <w:rFonts w:ascii="Times New Roman" w:cs="Times New Roman" w:eastAsia="Times New Roman" w:hAnsi="Times New Roman"/>
          <w:sz w:val="17"/>
          <w:szCs w:val="17"/>
          <w:color w:val="auto"/>
        </w:rPr>
        <w:t>We determine if an agreement is or contains a lease at inception by evaluating if an identified asset exists that we control for a period of time.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lease exists, we record a right-of-use (ROU) asset and a corresponding lease liability on our Consolidated Balance Sheets. ROU assets represent our right to use an underlying asset for the lease term and the corresponding liabilities represent an obligation to make lease payments during the term. We have elected not to record leases with a term of 12 months or less on our Consolidated Balance Sheets.</w:t>
      </w:r>
    </w:p>
    <w:p>
      <w:pPr>
        <w:spacing w:after="0" w:line="5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ROU assets are recorded on our Consolidated Balance Sheets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leases generally include options to extend or terminate use of the underlying assets. These options are included in the lease term used to determine ROU assets and corresponding liabilities when we are reasonably certain we will exercise.</w:t>
      </w:r>
    </w:p>
    <w:p>
      <w:pPr>
        <w:spacing w:after="0" w:line="2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Operating leases expense is recognized on a straight-line basis over the lease term with the expense recorded in Cost of products sold, Marketing and selling expenses, or Administrative expenses depending on the nature of the leased item.</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using the effective interest method over the lease term and is recorded in Interest expense.</w:t>
      </w:r>
    </w:p>
    <w:p>
      <w:pPr>
        <w:spacing w:after="0" w:line="3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11 for more information.</w:t>
      </w:r>
    </w:p>
    <w:p>
      <w:pPr>
        <w:spacing w:after="0" w:line="97"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Derivative Financial Instruments </w:t>
      </w:r>
      <w:r>
        <w:rPr>
          <w:rFonts w:ascii="Times New Roman" w:cs="Times New Roman" w:eastAsia="Times New Roman" w:hAnsi="Times New Roman"/>
          <w:sz w:val="17"/>
          <w:szCs w:val="17"/>
          <w:color w:val="auto"/>
        </w:rPr>
        <w:t>— We use derivative financial instruments primarily for purposes of hedging exposures to fluctuations in foreign currency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4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All derivatives are recognized on the balance sheet at fair value. For derivatives that qualify for hedge accounting, we designate the derivative as a hedge of the fair value of a recognized asset or liability or a firm commitment (fair-value hedge) or a hedge of a forecasted transaction or of the variability of cash flows to be received or paid related to a recognized asset or liability (cash-flow hedge). Some derivatives may also be considered natural hedging instruments (changes in fair value act as economic offsets to changes in fair value of the underlying hedged item) and are not designated for hedge accounting.</w:t>
      </w:r>
    </w:p>
    <w:p>
      <w:pPr>
        <w:spacing w:after="0" w:line="54"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Changes in the fair value on the portion of the derivative included in the assessment of hedge effectiveness of a fair-value hedge, along with the gain or loss on the underlying hedged asset or liability (including losses or gains on firm commitments), are recorded in current-period earnings.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Changes in the fair value of derivatives that are not designated for hedge accounting are recognized in current-period earnings.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Cash flows from derivative contracts are included in Net cash provided by operating activities.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45" w:name="page46"/>
    <w:bookmarkEnd w:id="45"/>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Advertising Production Costs </w:t>
      </w:r>
      <w:r>
        <w:rPr>
          <w:rFonts w:ascii="Times New Roman" w:cs="Times New Roman" w:eastAsia="Times New Roman" w:hAnsi="Times New Roman"/>
          <w:sz w:val="17"/>
          <w:szCs w:val="17"/>
          <w:color w:val="auto"/>
        </w:rPr>
        <w:t>— Advertising production costs are expensed in the period that the advertisement first takes place or when a decision is made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to use an advertisement.</w:t>
      </w:r>
    </w:p>
    <w:p>
      <w:pPr>
        <w:spacing w:after="0" w:line="15"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Costs </w:t>
      </w:r>
      <w:r>
        <w:rPr>
          <w:rFonts w:ascii="Times New Roman" w:cs="Times New Roman" w:eastAsia="Times New Roman" w:hAnsi="Times New Roman"/>
          <w:sz w:val="17"/>
          <w:szCs w:val="17"/>
          <w:color w:val="auto"/>
        </w:rPr>
        <w:t>— The costs of research and development are expensed as incurred. Costs include expenditures for new product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manufacturing process innovation, and improvements to existing products and processes. Costs primarily consist of salaries, wages, consulting, and depreciation and maintenance of research facilities and equipment.</w:t>
      </w:r>
    </w:p>
    <w:p>
      <w:pPr>
        <w:spacing w:after="0" w:line="44"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Deferred tax assets and liabilities are recognized for the future impact of differences between the financial statement carrying amounts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53" w:lineRule="exact"/>
        <w:rPr>
          <w:sz w:val="20"/>
          <w:szCs w:val="20"/>
          <w:color w:val="auto"/>
        </w:rPr>
      </w:pPr>
    </w:p>
    <w:p>
      <w:pPr>
        <w:ind w:left="320" w:right="8400" w:hanging="317"/>
        <w:spacing w:after="0" w:line="358" w:lineRule="auto"/>
        <w:tabs>
          <w:tab w:leader="none" w:pos="183"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i w:val="1"/>
          <w:iCs w:val="1"/>
          <w:u w:val="single" w:color="auto"/>
          <w:color w:val="auto"/>
        </w:rPr>
        <w:t>Recently Adopted</w:t>
      </w: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December 2019, the Financial Accounting Standards Board (FASB) issued guidance on simplifying the accounting for income taxes. The guidance removes certain exceptions to the general principles of accounting for income taxes and also improves consistent application of accounting by clarifying or amending existing guidance. We adopted the guidance in the first quarter of 2022. The adoption did not have an impact on our consolidated financial statements.</w:t>
      </w:r>
    </w:p>
    <w:p>
      <w:pPr>
        <w:spacing w:after="0" w:line="5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September 2022, the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Early adoption is permitted. We adopted the guidance in the fourth quarter of 2023, with the exception of the rollforward information. The adoption did not have a material impact on our consolidated financial statements. See Note 19 for additional information.</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Accounting Pronouncements Not Yet Adopted</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November 2023, the FASB issued guidance to improve reportable segment disclosures, primarily through enhanced disclosures about significant segment expenses. In addition, the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purpose of the guidance is to enable investors to better understand an entity’s overall performance and assess potential future cash flows. The guidance is effective for fiscal years beginning after December 15, 2023, and interim periods within fiscal years beginning after December 15, 2024. Early adoption is permitted. We are currently evaluating the impact that the new guidance will have on our consolidated financial statements.</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guidance to improve income tax disclosures by requiring disaggregated information about a reporting entity’s effective tax rate reconciliation as well as information on income taxes paid. The guidance is effective for annual periods beginning after December 15, 2024. The guidance should be applied on a prospective basis with the option to apply the standard retrospectively. Early adoption is permitted. We are currently evaluating the impact that the new guidance will have on our consolidated financial statements.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3. Acquisition</w:t>
      </w:r>
    </w:p>
    <w:p>
      <w:pPr>
        <w:spacing w:after="0" w:line="79" w:lineRule="exact"/>
        <w:rPr>
          <w:sz w:val="20"/>
          <w:szCs w:val="20"/>
          <w:color w:val="auto"/>
        </w:rPr>
      </w:pPr>
    </w:p>
    <w:p>
      <w:pPr>
        <w:jc w:val="both"/>
        <w:ind w:firstLine="309"/>
        <w:spacing w:after="0" w:line="254" w:lineRule="auto"/>
        <w:rPr>
          <w:sz w:val="20"/>
          <w:szCs w:val="20"/>
          <w:color w:val="auto"/>
        </w:rPr>
      </w:pPr>
      <w:r>
        <w:rPr>
          <w:rFonts w:ascii="Times New Roman" w:cs="Times New Roman" w:eastAsia="Times New Roman" w:hAnsi="Times New Roman"/>
          <w:sz w:val="17"/>
          <w:szCs w:val="17"/>
          <w:color w:val="auto"/>
        </w:rPr>
        <w:t xml:space="preserve">On August 7, 2023, we entered into a merger agreement to acquire Sovos Brands, Inc. (Sovos Brands) for $23.00 per share. On March 12, 2024, we completed the acquisition. Sovos Brands' portfolio includes a variety of pasta sauces, dry pasta, soups, frozen entrées, frozen pizza and yogurts, all of which are sold in North America under the brand names </w:t>
      </w:r>
      <w:r>
        <w:rPr>
          <w:rFonts w:ascii="Times New Roman" w:cs="Times New Roman" w:eastAsia="Times New Roman" w:hAnsi="Times New Roman"/>
          <w:sz w:val="17"/>
          <w:szCs w:val="17"/>
          <w:i w:val="1"/>
          <w:iCs w:val="1"/>
          <w:color w:val="auto"/>
        </w:rPr>
        <w:t>Rao’s, Michael Angelo’s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noosa</w:t>
      </w:r>
      <w:r>
        <w:rPr>
          <w:rFonts w:ascii="Times New Roman" w:cs="Times New Roman" w:eastAsia="Times New Roman" w:hAnsi="Times New Roman"/>
          <w:sz w:val="17"/>
          <w:szCs w:val="17"/>
          <w:color w:val="auto"/>
        </w:rPr>
        <w:t>. Total purchase consideration was $2.899 billion, which was determined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
        </w:trPr>
        <w:tc>
          <w:tcPr>
            <w:tcW w:w="9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9"/>
        </w:trPr>
        <w:tc>
          <w:tcPr>
            <w:tcW w:w="972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7"/>
                <w:szCs w:val="17"/>
                <w:color w:val="auto"/>
              </w:rPr>
              <w:t>Cash consideration paid to Sovos Brands shareholders</w:t>
            </w:r>
            <w:r>
              <w:rPr>
                <w:rFonts w:ascii="Times New Roman" w:cs="Times New Roman" w:eastAsia="Times New Roman" w:hAnsi="Times New Roman"/>
                <w:sz w:val="22"/>
                <w:szCs w:val="22"/>
                <w:color w:val="auto"/>
                <w:vertAlign w:val="superscript"/>
              </w:rPr>
              <w:t>(1)</w:t>
            </w: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2,307</w:t>
            </w:r>
          </w:p>
        </w:tc>
      </w:tr>
      <w:tr>
        <w:trPr>
          <w:trHeight w:val="219"/>
        </w:trPr>
        <w:tc>
          <w:tcPr>
            <w:tcW w:w="9720" w:type="dxa"/>
            <w:vAlign w:val="bottom"/>
            <w:tcBorders>
              <w:bottom w:val="single" w:sz="8" w:color="CCEEFF"/>
            </w:tcBorders>
          </w:tcPr>
          <w:p>
            <w:pPr>
              <w:ind w:left="40"/>
              <w:spacing w:after="0" w:line="219" w:lineRule="exact"/>
              <w:rPr>
                <w:sz w:val="20"/>
                <w:szCs w:val="20"/>
                <w:color w:val="auto"/>
              </w:rPr>
            </w:pPr>
            <w:r>
              <w:rPr>
                <w:rFonts w:ascii="Times New Roman" w:cs="Times New Roman" w:eastAsia="Times New Roman" w:hAnsi="Times New Roman"/>
                <w:sz w:val="17"/>
                <w:szCs w:val="17"/>
                <w:color w:val="auto"/>
              </w:rPr>
              <w:t>Cash paid for share-based awards</w:t>
            </w:r>
            <w:r>
              <w:rPr>
                <w:rFonts w:ascii="Times New Roman" w:cs="Times New Roman" w:eastAsia="Times New Roman" w:hAnsi="Times New Roman"/>
                <w:sz w:val="22"/>
                <w:szCs w:val="22"/>
                <w:color w:val="auto"/>
                <w:vertAlign w:val="superscript"/>
              </w:rPr>
              <w:t>(2)</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2"/>
        </w:trPr>
        <w:tc>
          <w:tcPr>
            <w:tcW w:w="9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Cash consideration paid directly to shareholders</w:t>
            </w: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2,339</w:t>
            </w:r>
          </w:p>
        </w:tc>
      </w:tr>
      <w:tr>
        <w:trPr>
          <w:trHeight w:val="219"/>
        </w:trPr>
        <w:tc>
          <w:tcPr>
            <w:tcW w:w="9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paid for transaction costs of Sovos Brands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Repayment of Sovos Brands existing indebtedness and accrued interest</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12"/>
        </w:trPr>
        <w:tc>
          <w:tcPr>
            <w:tcW w:w="97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cash consideration</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2,857</w:t>
            </w:r>
          </w:p>
        </w:tc>
      </w:tr>
      <w:tr>
        <w:trPr>
          <w:trHeight w:val="219"/>
        </w:trPr>
        <w:tc>
          <w:tcPr>
            <w:tcW w:w="972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7"/>
                <w:szCs w:val="17"/>
                <w:color w:val="auto"/>
              </w:rPr>
              <w:t>Fair value of replacement share-based awards</w:t>
            </w:r>
            <w:r>
              <w:rPr>
                <w:rFonts w:ascii="Times New Roman" w:cs="Times New Roman" w:eastAsia="Times New Roman" w:hAnsi="Times New Roman"/>
                <w:sz w:val="22"/>
                <w:szCs w:val="22"/>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2"/>
        </w:trPr>
        <w:tc>
          <w:tcPr>
            <w:tcW w:w="972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Total consideration</w:t>
            </w: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2,899</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w:t>
      </w:r>
    </w:p>
    <w:p>
      <w:pPr>
        <w:spacing w:after="0" w:line="46" w:lineRule="exact"/>
        <w:rPr>
          <w:sz w:val="20"/>
          <w:szCs w:val="20"/>
          <w:color w:val="auto"/>
        </w:rPr>
      </w:pPr>
    </w:p>
    <w:p>
      <w:pPr>
        <w:ind w:left="240" w:hanging="237"/>
        <w:spacing w:after="0"/>
        <w:tabs>
          <w:tab w:leader="none" w:pos="24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Consideration paid to Sovos Brands shareholders which reflects $23.00 per share.</w:t>
      </w:r>
    </w:p>
    <w:p>
      <w:pPr>
        <w:ind w:left="320" w:hanging="317"/>
        <w:spacing w:after="0" w:line="206" w:lineRule="auto"/>
        <w:tabs>
          <w:tab w:leader="none" w:pos="304"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cash paid to equity award holders of Sovos Brands restricted stock and restricted stock unit awards attributable to pre-combination service. This excludes $3 million of cash paid that was recognized as expense.</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20" w:lineRule="auto"/>
        <w:tabs>
          <w:tab w:leader="none" w:pos="33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issued replacement equity awards in settlement of certain Sovos Brands equity awards that did not become vested in connection with the acquisition. The portion of fair value of the replacement awards attributable to pre-combination service was $42 million and is included in the purchase consideration. We recognized $26 million of expense related to accelerated vesting of certain replacement awards.</w:t>
      </w:r>
    </w:p>
    <w:p>
      <w:pPr>
        <w:spacing w:after="0" w:line="48"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cash portion of the acquisition was funded through a Delayed Draw Term Loan Credit Agreement (the 2024 DDTL Credit Agreement) of $2 billion and cash on hand. See Note 13 for additional information.</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table below presents the fair value that was allocated to acquired assets and assumed liabilities: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5"/>
                <w:szCs w:val="15"/>
                <w:color w:val="auto"/>
              </w:rPr>
            </w:pPr>
          </w:p>
        </w:tc>
        <w:tc>
          <w:tcPr>
            <w:tcW w:w="14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6"/>
              </w:rPr>
              <w:t>Estimated Fair Value</w:t>
            </w:r>
          </w:p>
        </w:tc>
      </w:tr>
      <w:tr>
        <w:trPr>
          <w:trHeight w:val="22"/>
        </w:trPr>
        <w:tc>
          <w:tcPr>
            <w:tcW w:w="9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9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Total assets acquired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2,363</w:t>
            </w:r>
          </w:p>
        </w:tc>
      </w:tr>
      <w:tr>
        <w:trPr>
          <w:trHeight w:val="21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income taxes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r>
      <w:tr>
        <w:trPr>
          <w:trHeight w:val="21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liabilities assumed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580</w:t>
            </w:r>
          </w:p>
        </w:tc>
      </w:tr>
      <w:tr>
        <w:trPr>
          <w:trHeight w:val="212"/>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assets acquired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r>
      <w:tr>
        <w:trPr>
          <w:trHeight w:val="212"/>
        </w:trPr>
        <w:tc>
          <w:tcPr>
            <w:tcW w:w="96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consideration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2,899</w:t>
            </w:r>
          </w:p>
        </w:tc>
      </w:tr>
      <w:tr>
        <w:trPr>
          <w:trHeight w:val="20"/>
        </w:trPr>
        <w:tc>
          <w:tcPr>
            <w:tcW w:w="9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excess of the purchase price over the estimated fair values of identifiable net assets was recorded as $1.116 billion of goodwill. The goodwill is not deductible for tax purposes. The goodwill was primarily attributable to future growth opportunities, anticipated synergies, and intangible assets that did not qualify for separate recognition. The goodwill is included in the Meals &amp; Beverages segment.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7" w:name="page48"/>
    <w:bookmarkEnd w:id="47"/>
    <w:p>
      <w:pPr>
        <w:jc w:val="both"/>
        <w:ind w:left="40" w:firstLine="309"/>
        <w:spacing w:after="0" w:line="286" w:lineRule="auto"/>
        <w:rPr>
          <w:sz w:val="20"/>
          <w:szCs w:val="20"/>
          <w:color w:val="auto"/>
        </w:rPr>
      </w:pPr>
      <w:r>
        <w:rPr>
          <w:rFonts w:ascii="Times New Roman" w:cs="Times New Roman" w:eastAsia="Times New Roman" w:hAnsi="Times New Roman"/>
          <w:sz w:val="17"/>
          <w:szCs w:val="17"/>
          <w:color w:val="auto"/>
        </w:rPr>
        <w:t>The purchase price allocation of Sovos Brands is preliminary and is subject to the finalization of certain items, including valuations and tax balances, which will be completed within the allowable measurement period.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identifiable intangible assets of Sovos Brands consist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5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Life in Years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
        </w:trPr>
        <w:tc>
          <w:tcPr>
            <w:tcW w:w="59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Non-amortizable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r>
      <w:tr>
        <w:trPr>
          <w:trHeight w:val="219"/>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Amortizable</w:t>
            </w:r>
          </w:p>
        </w:tc>
        <w:tc>
          <w:tcPr>
            <w:tcW w:w="5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Amortizable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0"/>
              </w:rPr>
              <w:t>to</w:t>
            </w:r>
          </w:p>
        </w:tc>
        <w:tc>
          <w:tcPr>
            <w:tcW w:w="5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12"/>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1,776</w:t>
            </w:r>
          </w:p>
        </w:tc>
      </w:tr>
      <w:tr>
        <w:trPr>
          <w:trHeight w:val="20"/>
        </w:trPr>
        <w:tc>
          <w:tcPr>
            <w:tcW w:w="5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40" w:firstLine="309"/>
        <w:spacing w:after="0" w:line="269" w:lineRule="auto"/>
        <w:rPr>
          <w:sz w:val="20"/>
          <w:szCs w:val="20"/>
          <w:color w:val="auto"/>
        </w:rPr>
      </w:pPr>
      <w:r>
        <w:rPr>
          <w:rFonts w:ascii="Times New Roman" w:cs="Times New Roman" w:eastAsia="Times New Roman" w:hAnsi="Times New Roman"/>
          <w:sz w:val="17"/>
          <w:szCs w:val="17"/>
          <w:color w:val="auto"/>
        </w:rPr>
        <w:t>The fair value of trademarks is determined using a relief from royalty valuation method based on discounted cash flow analyses that include significant management assumptions such as revenue growth rates, weighted average costs of capital and assumed royalty rates. As of July 28, 2024, Sovos Brands amortizable intangible assets had a weighted-average remaining useful life of 27 years.</w:t>
      </w:r>
    </w:p>
    <w:p>
      <w:pPr>
        <w:spacing w:after="0" w:line="51" w:lineRule="exact"/>
        <w:rPr>
          <w:sz w:val="20"/>
          <w:szCs w:val="20"/>
          <w:color w:val="auto"/>
        </w:rPr>
      </w:pPr>
    </w:p>
    <w:p>
      <w:pPr>
        <w:jc w:val="both"/>
        <w:ind w:left="40" w:firstLine="309"/>
        <w:spacing w:after="0" w:line="261" w:lineRule="auto"/>
        <w:rPr>
          <w:sz w:val="20"/>
          <w:szCs w:val="20"/>
          <w:color w:val="auto"/>
        </w:rPr>
      </w:pPr>
      <w:r>
        <w:rPr>
          <w:rFonts w:ascii="Times New Roman" w:cs="Times New Roman" w:eastAsia="Times New Roman" w:hAnsi="Times New Roman"/>
          <w:sz w:val="17"/>
          <w:szCs w:val="17"/>
          <w:color w:val="auto"/>
        </w:rPr>
        <w:t>We incurred transaction costs and integration costs, including costs to achieve synergies, of $128 million associated with the Sovos Brands acquisition in 2024. Approximately $35 million represented transaction costs, including outside advisory costs, recorded in Other expenses / (income). In addition, we recognized $2 million in Interest expense related to financing fees associated with the 2024 DDTL Credit Agreement. Integration costs included expenses associated with accelerated vesting of replacement awards, severance and retention bonuses, amortization of the acquisition date fair value adjustment to inventories and other costs. Integration costs recognized in 2024 included the following:</w:t>
      </w:r>
    </w:p>
    <w:p>
      <w:pPr>
        <w:spacing w:after="0" w:line="45" w:lineRule="exact"/>
        <w:rPr>
          <w:sz w:val="20"/>
          <w:szCs w:val="20"/>
          <w:color w:val="auto"/>
        </w:rPr>
      </w:pPr>
    </w:p>
    <w:p>
      <w:pPr>
        <w:ind w:left="660" w:hanging="308"/>
        <w:spacing w:after="0"/>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million in Costs of products sold, $17 million of which related to the amortization of the acquisition date fair value adjustment to inventories;</w:t>
      </w:r>
    </w:p>
    <w:p>
      <w:pPr>
        <w:spacing w:after="0" w:line="100" w:lineRule="exact"/>
        <w:rPr>
          <w:rFonts w:ascii="Times New Roman" w:cs="Times New Roman" w:eastAsia="Times New Roman" w:hAnsi="Times New Roman"/>
          <w:sz w:val="17"/>
          <w:szCs w:val="17"/>
          <w:color w:val="auto"/>
        </w:rPr>
      </w:pPr>
    </w:p>
    <w:p>
      <w:pPr>
        <w:ind w:left="660" w:hanging="308"/>
        <w:spacing w:after="0"/>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million of Marketing and selling expenses;</w:t>
      </w:r>
    </w:p>
    <w:p>
      <w:pPr>
        <w:spacing w:after="0" w:line="100" w:lineRule="exact"/>
        <w:rPr>
          <w:rFonts w:ascii="Times New Roman" w:cs="Times New Roman" w:eastAsia="Times New Roman" w:hAnsi="Times New Roman"/>
          <w:sz w:val="17"/>
          <w:szCs w:val="17"/>
          <w:color w:val="auto"/>
        </w:rPr>
      </w:pPr>
    </w:p>
    <w:p>
      <w:pPr>
        <w:ind w:left="660" w:hanging="308"/>
        <w:spacing w:after="0"/>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 million of Administrative expenses;</w:t>
      </w:r>
    </w:p>
    <w:p>
      <w:pPr>
        <w:spacing w:after="0" w:line="87" w:lineRule="exact"/>
        <w:rPr>
          <w:rFonts w:ascii="Times New Roman" w:cs="Times New Roman" w:eastAsia="Times New Roman" w:hAnsi="Times New Roman"/>
          <w:sz w:val="17"/>
          <w:szCs w:val="17"/>
          <w:color w:val="auto"/>
        </w:rPr>
      </w:pPr>
    </w:p>
    <w:p>
      <w:pPr>
        <w:ind w:left="660" w:hanging="308"/>
        <w:spacing w:after="0"/>
        <w:tabs>
          <w:tab w:leader="none" w:pos="6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million of Research and development expenses; and</w:t>
      </w:r>
    </w:p>
    <w:p>
      <w:pPr>
        <w:spacing w:after="0" w:line="100" w:lineRule="exact"/>
        <w:rPr>
          <w:rFonts w:ascii="Times New Roman" w:cs="Times New Roman" w:eastAsia="Times New Roman" w:hAnsi="Times New Roman"/>
          <w:sz w:val="17"/>
          <w:szCs w:val="17"/>
          <w:color w:val="auto"/>
        </w:rPr>
      </w:pPr>
    </w:p>
    <w:p>
      <w:pPr>
        <w:ind w:left="660" w:hanging="308"/>
        <w:spacing w:after="0"/>
        <w:tabs>
          <w:tab w:leader="none" w:pos="660" w:val="left"/>
        </w:tabs>
        <w:numPr>
          <w:ilvl w:val="0"/>
          <w:numId w:val="4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$21 million of Restructuring charges to achieve synergies. See Note 8 for additional information.</w:t>
      </w:r>
    </w:p>
    <w:p>
      <w:pPr>
        <w:spacing w:after="0" w:line="101" w:lineRule="exact"/>
        <w:rPr>
          <w:sz w:val="20"/>
          <w:szCs w:val="20"/>
          <w:color w:val="auto"/>
        </w:rPr>
      </w:pPr>
    </w:p>
    <w:p>
      <w:pPr>
        <w:jc w:val="both"/>
        <w:ind w:left="40" w:firstLine="309"/>
        <w:spacing w:after="0" w:line="286" w:lineRule="auto"/>
        <w:rPr>
          <w:sz w:val="20"/>
          <w:szCs w:val="20"/>
          <w:color w:val="auto"/>
        </w:rPr>
      </w:pPr>
      <w:r>
        <w:rPr>
          <w:rFonts w:ascii="Times New Roman" w:cs="Times New Roman" w:eastAsia="Times New Roman" w:hAnsi="Times New Roman"/>
          <w:sz w:val="17"/>
          <w:szCs w:val="17"/>
          <w:color w:val="auto"/>
        </w:rPr>
        <w:t>For the period March 12, 2024 through July 28, 2024, the Sovos Brands acquisition contributed $423 million to Net sales and a loss of $84 million to Net earnings, including the effect of transaction and integration costs and interest expense on the debt to finance the acquisition.</w:t>
      </w:r>
    </w:p>
    <w:p>
      <w:pPr>
        <w:spacing w:after="0" w:line="23" w:lineRule="exact"/>
        <w:rPr>
          <w:sz w:val="20"/>
          <w:szCs w:val="20"/>
          <w:color w:val="auto"/>
        </w:rPr>
      </w:pPr>
    </w:p>
    <w:p>
      <w:pPr>
        <w:jc w:val="both"/>
        <w:ind w:left="40" w:firstLine="309"/>
        <w:spacing w:after="0" w:line="286" w:lineRule="auto"/>
        <w:rPr>
          <w:sz w:val="20"/>
          <w:szCs w:val="20"/>
          <w:color w:val="auto"/>
        </w:rPr>
      </w:pPr>
      <w:r>
        <w:rPr>
          <w:rFonts w:ascii="Times New Roman" w:cs="Times New Roman" w:eastAsia="Times New Roman" w:hAnsi="Times New Roman"/>
          <w:sz w:val="17"/>
          <w:szCs w:val="17"/>
          <w:color w:val="auto"/>
        </w:rPr>
        <w:t>The following unaudited summary information is presented on a consolidated pro forma basis as if the Sovos Brands acquisition had occurred on August 1, 2022:</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2"/>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10,316</w:t>
            </w:r>
          </w:p>
        </w:tc>
      </w:tr>
      <w:tr>
        <w:trPr>
          <w:trHeight w:val="227"/>
        </w:trPr>
        <w:tc>
          <w:tcPr>
            <w:tcW w:w="8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Campbell Soup Company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592</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r>
    </w:tbl>
    <w:p>
      <w:pPr>
        <w:spacing w:after="0" w:line="143" w:lineRule="exact"/>
        <w:rPr>
          <w:sz w:val="20"/>
          <w:szCs w:val="20"/>
          <w:color w:val="auto"/>
        </w:rPr>
      </w:pPr>
    </w:p>
    <w:p>
      <w:pPr>
        <w:jc w:val="both"/>
        <w:ind w:left="40" w:firstLine="309"/>
        <w:spacing w:after="0" w:line="261" w:lineRule="auto"/>
        <w:rPr>
          <w:sz w:val="20"/>
          <w:szCs w:val="20"/>
          <w:color w:val="auto"/>
        </w:rPr>
      </w:pPr>
      <w:r>
        <w:rPr>
          <w:rFonts w:ascii="Times New Roman" w:cs="Times New Roman" w:eastAsia="Times New Roman" w:hAnsi="Times New Roman"/>
          <w:sz w:val="17"/>
          <w:szCs w:val="17"/>
          <w:color w:val="auto"/>
        </w:rPr>
        <w:t>The pro forma results are not necessarily indicative of the combined results had the Sovos Brands acquisition been completed on August 1, 2022, nor are they indicative of future combined results. The pro forma amounts include adjustments to interest expense for financing the acquisition, to amortization and depreciation expense based on the estimated fair value and useful lives of intangible assets and plant assets, and related tax effects. The pro forma results include adjustments to reflect amortization of the acquisition date fair value adjustment to inventories, expenses related to accelerated vesting of replacement awards and severance and retention bonuses as of August 1, 2022.</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4. Divestiture</w:t>
      </w:r>
    </w:p>
    <w:p>
      <w:pPr>
        <w:spacing w:after="0" w:line="92" w:lineRule="exact"/>
        <w:rPr>
          <w:sz w:val="20"/>
          <w:szCs w:val="20"/>
          <w:color w:val="auto"/>
        </w:rPr>
      </w:pPr>
    </w:p>
    <w:p>
      <w:pPr>
        <w:jc w:val="both"/>
        <w:ind w:left="40" w:firstLine="309"/>
        <w:spacing w:after="0" w:line="269" w:lineRule="auto"/>
        <w:rPr>
          <w:sz w:val="20"/>
          <w:szCs w:val="20"/>
          <w:color w:val="auto"/>
        </w:rPr>
      </w:pPr>
      <w:r>
        <w:rPr>
          <w:rFonts w:ascii="Times New Roman" w:cs="Times New Roman" w:eastAsia="Times New Roman" w:hAnsi="Times New Roman"/>
          <w:sz w:val="17"/>
          <w:szCs w:val="17"/>
          <w:color w:val="auto"/>
        </w:rPr>
        <w:t>On May 30, 2023, we completed the sale of our Emerald nuts business for $41 million. We recognized a pre- and after-tax loss on the sale of $13 million. In connection with the sale, we provided certain transition services to support the business. The business had net sales of $51 million in 2023 and $66 million in 2022. Earnings were not material in the periods. The results of the business through the date of sale were reflected within the Snacks reportable segment.</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127000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280" w:top="94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5. Accumulated Other Comprehensive Income (Loss)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Accumulated other comprehensive income (loss)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Pension and</w:t>
            </w:r>
          </w:p>
        </w:tc>
        <w:tc>
          <w:tcPr>
            <w:tcW w:w="140" w:type="dxa"/>
            <w:vAlign w:val="bottom"/>
          </w:tcPr>
          <w:p>
            <w:pPr>
              <w:spacing w:after="0"/>
              <w:rPr>
                <w:sz w:val="13"/>
                <w:szCs w:val="13"/>
                <w:color w:val="auto"/>
              </w:rPr>
            </w:pPr>
          </w:p>
        </w:tc>
        <w:tc>
          <w:tcPr>
            <w:tcW w:w="13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Total Accumulated</w:t>
            </w:r>
          </w:p>
        </w:tc>
        <w:tc>
          <w:tcPr>
            <w:tcW w:w="0" w:type="dxa"/>
            <w:vAlign w:val="bottom"/>
          </w:tcPr>
          <w:p>
            <w:pPr>
              <w:spacing w:after="0"/>
              <w:rPr>
                <w:sz w:val="1"/>
                <w:szCs w:val="1"/>
                <w:color w:val="auto"/>
              </w:rPr>
            </w:pPr>
          </w:p>
        </w:tc>
      </w:tr>
      <w:tr>
        <w:trPr>
          <w:trHeight w:val="14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10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7"/>
                <w:szCs w:val="17"/>
                <w:b w:val="1"/>
                <w:bCs w:val="1"/>
                <w:color w:val="auto"/>
                <w:vertAlign w:val="superscript"/>
              </w:rPr>
              <w:t>(2)</w:t>
            </w:r>
          </w:p>
        </w:tc>
        <w:tc>
          <w:tcPr>
            <w:tcW w:w="154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Postretirement Benefit</w:t>
            </w:r>
          </w:p>
        </w:tc>
        <w:tc>
          <w:tcPr>
            <w:tcW w:w="14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Comprehensive Income</w:t>
            </w:r>
          </w:p>
        </w:tc>
        <w:tc>
          <w:tcPr>
            <w:tcW w:w="0" w:type="dxa"/>
            <w:vAlign w:val="bottom"/>
          </w:tcPr>
          <w:p>
            <w:pPr>
              <w:spacing w:after="0"/>
              <w:rPr>
                <w:sz w:val="1"/>
                <w:szCs w:val="1"/>
                <w:color w:val="auto"/>
              </w:rPr>
            </w:pPr>
          </w:p>
        </w:tc>
      </w:tr>
      <w:tr>
        <w:trPr>
          <w:trHeight w:val="193"/>
        </w:trPr>
        <w:tc>
          <w:tcPr>
            <w:tcW w:w="5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Plan Adjustments</w:t>
            </w:r>
            <w:r>
              <w:rPr>
                <w:rFonts w:ascii="Times New Roman" w:cs="Times New Roman" w:eastAsia="Times New Roman" w:hAnsi="Times New Roman"/>
                <w:sz w:val="8"/>
                <w:szCs w:val="8"/>
                <w:b w:val="1"/>
                <w:bCs w:val="1"/>
                <w:color w:val="auto"/>
                <w:w w:val="99"/>
              </w:rPr>
              <w:t>(3)</w:t>
            </w:r>
          </w:p>
        </w:tc>
        <w:tc>
          <w:tcPr>
            <w:tcW w:w="140" w:type="dxa"/>
            <w:vAlign w:val="bottom"/>
          </w:tcPr>
          <w:p>
            <w:pPr>
              <w:spacing w:after="0"/>
              <w:rPr>
                <w:sz w:val="16"/>
                <w:szCs w:val="16"/>
                <w:color w:val="auto"/>
              </w:rPr>
            </w:pPr>
          </w:p>
        </w:tc>
        <w:tc>
          <w:tcPr>
            <w:tcW w:w="13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August 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July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July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Other comprehensive income (loss) before reclassifications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0" w:type="dxa"/>
            <w:vAlign w:val="bottom"/>
          </w:tcPr>
          <w:p>
            <w:pPr>
              <w:spacing w:after="0"/>
              <w:rPr>
                <w:sz w:val="1"/>
                <w:szCs w:val="1"/>
                <w:color w:val="auto"/>
              </w:rPr>
            </w:pPr>
          </w:p>
        </w:tc>
      </w:tr>
      <w:tr>
        <w:trPr>
          <w:trHeight w:val="167"/>
        </w:trPr>
        <w:tc>
          <w:tcPr>
            <w:tcW w:w="51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b w:val="1"/>
                <w:bCs w:val="1"/>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July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ind w:left="300" w:hanging="297"/>
        <w:spacing w:after="0" w:line="200" w:lineRule="auto"/>
        <w:tabs>
          <w:tab w:leader="none" w:pos="300"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no tax as of July 28, 2024, July 30, 2023, July 31, 2022, and August 1, 2021.</w:t>
      </w:r>
    </w:p>
    <w:p>
      <w:pPr>
        <w:ind w:left="320" w:hanging="317"/>
        <w:spacing w:after="0" w:line="198" w:lineRule="auto"/>
        <w:tabs>
          <w:tab w:leader="none" w:pos="308"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a tax benefit of $2 million as of July 28, 2024, and $1 million as of July 30, 2023, no tax as of July 31, 2022, and a tax benefit of $1 million as of August 1, 2021.</w:t>
      </w:r>
    </w:p>
    <w:p>
      <w:pPr>
        <w:spacing w:after="0" w:line="1" w:lineRule="exact"/>
        <w:rPr>
          <w:rFonts w:ascii="Times New Roman" w:cs="Times New Roman" w:eastAsia="Times New Roman" w:hAnsi="Times New Roman"/>
          <w:sz w:val="22"/>
          <w:szCs w:val="22"/>
          <w:color w:val="auto"/>
          <w:vertAlign w:val="superscript"/>
        </w:rPr>
      </w:pPr>
    </w:p>
    <w:p>
      <w:pPr>
        <w:ind w:left="320" w:right="3700" w:hanging="317"/>
        <w:spacing w:after="0" w:line="273" w:lineRule="auto"/>
        <w:tabs>
          <w:tab w:leader="none" w:pos="308"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tax expense of $1 million as of July 28, 2024, July 30, 2023, July 31, 2022, and August 1, 2021. Amounts related to noncontrolling interests were not material.</w:t>
      </w:r>
    </w:p>
    <w:p>
      <w:pPr>
        <w:spacing w:after="0" w:line="25"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reclassified from Accumulated other comprehensive income (loss)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3"/>
                <w:szCs w:val="13"/>
                <w:color w:val="auto"/>
              </w:rPr>
            </w:pPr>
          </w:p>
        </w:tc>
        <w:tc>
          <w:tcPr>
            <w:tcW w:w="8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Location of Loss (Gain) Recognized in</w:t>
            </w:r>
          </w:p>
        </w:tc>
        <w:tc>
          <w:tcPr>
            <w:tcW w:w="0" w:type="dxa"/>
            <w:vAlign w:val="bottom"/>
          </w:tcPr>
          <w:p>
            <w:pPr>
              <w:spacing w:after="0"/>
              <w:rPr>
                <w:sz w:val="1"/>
                <w:szCs w:val="1"/>
                <w:color w:val="auto"/>
              </w:rPr>
            </w:pPr>
          </w:p>
        </w:tc>
      </w:tr>
      <w:tr>
        <w:trPr>
          <w:trHeight w:val="187"/>
        </w:trPr>
        <w:tc>
          <w:tcPr>
            <w:tcW w:w="4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r>
        <w:trPr>
          <w:trHeight w:val="204"/>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(gains) on cash-flow hedges:</w:t>
            </w: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720" w:type="dxa"/>
            <w:vAlign w:val="bottom"/>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Cost of products sold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Forward starting interest rate swaps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Total before tax</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Tax expense (benefit)</w:t>
            </w: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tcBorders>
              <w:top w:val="single" w:sz="8" w:color="CCEEFF"/>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Loss (gain), net of tax</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 adjustments: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Prior service credit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(1)</w:t>
            </w:r>
          </w:p>
        </w:tc>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expenses / (income)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Tax expense (benefit)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Loss (gain), net of tax</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9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6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49" w:name="page50"/>
    <w:bookmarkEnd w:id="49"/>
    <w:p>
      <w:pPr>
        <w:ind w:right="8780" w:firstLine="3"/>
        <w:spacing w:after="0" w:line="358" w:lineRule="auto"/>
        <w:tabs>
          <w:tab w:leader="none" w:pos="172"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w:t>
      </w:r>
      <w:r>
        <w:rPr>
          <w:rFonts w:ascii="Times New Roman" w:cs="Times New Roman" w:eastAsia="Times New Roman" w:hAnsi="Times New Roman"/>
          <w:sz w:val="17"/>
          <w:szCs w:val="17"/>
          <w:b w:val="1"/>
          <w:bCs w:val="1"/>
          <w:i w:val="1"/>
          <w:iCs w:val="1"/>
          <w:color w:val="auto"/>
        </w:rPr>
        <w:t>Goodwill</w:t>
      </w: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shows the changes in the carrying amount of goodwill:</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8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00" w:type="dxa"/>
            <w:vAlign w:val="bottom"/>
          </w:tcPr>
          <w:p>
            <w:pPr>
              <w:spacing w:after="0"/>
              <w:rPr>
                <w:sz w:val="15"/>
                <w:szCs w:val="15"/>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balance at July 31, 2022</w:t>
            </w:r>
          </w:p>
        </w:tc>
        <w:tc>
          <w:tcPr>
            <w:tcW w:w="48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w:t>
            </w:r>
          </w:p>
        </w:tc>
      </w:tr>
      <w:tr>
        <w:trPr>
          <w:trHeight w:val="219"/>
        </w:trPr>
        <w:tc>
          <w:tcPr>
            <w:tcW w:w="70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Divestiture</w:t>
            </w:r>
            <w:r>
              <w:rPr>
                <w:rFonts w:ascii="Times New Roman" w:cs="Times New Roman" w:eastAsia="Times New Roman" w:hAnsi="Times New Roman"/>
                <w:sz w:val="22"/>
                <w:szCs w:val="22"/>
                <w:color w:val="auto"/>
                <w:vertAlign w:val="superscript"/>
              </w:rPr>
              <w:t>(1)</w:t>
            </w: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balance at July 30, 2023</w:t>
            </w:r>
          </w:p>
        </w:tc>
        <w:tc>
          <w:tcPr>
            <w:tcW w:w="48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3,965</w:t>
            </w:r>
          </w:p>
        </w:tc>
      </w:tr>
      <w:tr>
        <w:trPr>
          <w:trHeight w:val="219"/>
        </w:trPr>
        <w:tc>
          <w:tcPr>
            <w:tcW w:w="70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b w:val="1"/>
                <w:bCs w:val="1"/>
                <w:color w:val="auto"/>
              </w:rPr>
              <w:t>Acquisition</w:t>
            </w:r>
            <w:r>
              <w:rPr>
                <w:rFonts w:ascii="Times New Roman" w:cs="Times New Roman" w:eastAsia="Times New Roman" w:hAnsi="Times New Roman"/>
                <w:sz w:val="22"/>
                <w:szCs w:val="22"/>
                <w:b w:val="1"/>
                <w:bCs w:val="1"/>
                <w:color w:val="auto"/>
                <w:vertAlign w:val="superscript"/>
              </w:rPr>
              <w:t>(2)</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1,116</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 translation adjustment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balance at July 28, 2024</w:t>
            </w:r>
          </w:p>
        </w:tc>
        <w:tc>
          <w:tcPr>
            <w:tcW w:w="48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5,077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19" w:lineRule="exact"/>
        <w:rPr>
          <w:sz w:val="20"/>
          <w:szCs w:val="20"/>
          <w:color w:val="auto"/>
        </w:rPr>
      </w:pPr>
    </w:p>
    <w:p>
      <w:pPr>
        <w:ind w:left="300" w:hanging="297"/>
        <w:spacing w:after="0"/>
        <w:tabs>
          <w:tab w:leader="none" w:pos="30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4 for additional information on the sale of the Emerald nuts business.</w:t>
      </w:r>
    </w:p>
    <w:p>
      <w:pPr>
        <w:spacing w:after="0" w:line="26"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3 for additional information on the acquisition of Sovos Brands.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110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80" w:type="dxa"/>
            <w:vAlign w:val="bottom"/>
          </w:tcPr>
          <w:p>
            <w:pPr>
              <w:spacing w:after="0"/>
              <w:rPr>
                <w:sz w:val="10"/>
                <w:szCs w:val="10"/>
                <w:color w:val="auto"/>
              </w:rPr>
            </w:pPr>
          </w:p>
        </w:tc>
        <w:tc>
          <w:tcPr>
            <w:tcW w:w="8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1100" w:type="dxa"/>
            <w:vAlign w:val="bottom"/>
            <w:gridSpan w:val="2"/>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80" w:type="dxa"/>
            <w:vAlign w:val="bottom"/>
          </w:tcPr>
          <w:p>
            <w:pPr>
              <w:spacing w:after="0"/>
              <w:rPr>
                <w:sz w:val="10"/>
                <w:szCs w:val="10"/>
                <w:color w:val="auto"/>
              </w:rPr>
            </w:pPr>
          </w:p>
        </w:tc>
        <w:tc>
          <w:tcPr>
            <w:tcW w:w="8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Pr>
          <w:p>
            <w:pPr>
              <w:ind w:left="220"/>
              <w:spacing w:after="0" w:line="219" w:lineRule="exact"/>
              <w:rPr>
                <w:sz w:val="20"/>
                <w:szCs w:val="20"/>
                <w:color w:val="auto"/>
              </w:rPr>
            </w:pPr>
            <w:r>
              <w:rPr>
                <w:rFonts w:ascii="Times New Roman" w:cs="Times New Roman" w:eastAsia="Times New Roman" w:hAnsi="Times New Roman"/>
                <w:sz w:val="17"/>
                <w:szCs w:val="17"/>
                <w:color w:val="auto"/>
              </w:rPr>
              <w:t>Customer relationships</w:t>
            </w:r>
            <w:r>
              <w:rPr>
                <w:rFonts w:ascii="Times New Roman" w:cs="Times New Roman" w:eastAsia="Times New Roman" w:hAnsi="Times New Roman"/>
                <w:sz w:val="22"/>
                <w:szCs w:val="22"/>
                <w:color w:val="auto"/>
                <w:vertAlign w:val="superscript"/>
              </w:rPr>
              <w:t>(1)</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760</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Definite-lived trademarks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amortizable intangible assets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1,136</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(302)</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0" w:type="dxa"/>
            <w:vAlign w:val="bottom"/>
          </w:tcPr>
          <w:p>
            <w:pPr>
              <w:spacing w:after="0"/>
              <w:rPr>
                <w:sz w:val="1"/>
                <w:szCs w:val="1"/>
                <w:color w:val="auto"/>
              </w:rPr>
            </w:pPr>
          </w:p>
        </w:tc>
      </w:tr>
      <w:tr>
        <w:trPr>
          <w:trHeight w:val="19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trademarks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Pr>
          <w:p>
            <w:pPr>
              <w:ind w:left="320"/>
              <w:spacing w:after="0" w:line="219" w:lineRule="exact"/>
              <w:rPr>
                <w:sz w:val="20"/>
                <w:szCs w:val="20"/>
                <w:color w:val="auto"/>
              </w:rPr>
            </w:pP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22"/>
                <w:szCs w:val="22"/>
                <w:color w:val="auto"/>
                <w:vertAlign w:val="superscript"/>
              </w:rPr>
              <w:t>(1)</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i w:val="1"/>
                <w:iCs w:val="1"/>
                <w:color w:val="auto"/>
              </w:rPr>
              <w:t>Snyder's of Hanover</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19"/>
        </w:trPr>
        <w:tc>
          <w:tcPr>
            <w:tcW w:w="402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Lance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i w:val="1"/>
                <w:iCs w:val="1"/>
                <w:color w:val="auto"/>
              </w:rPr>
              <w:t>Kettle Brand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19"/>
        </w:trPr>
        <w:tc>
          <w:tcPr>
            <w:tcW w:w="402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Pace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i w:val="1"/>
                <w:iCs w:val="1"/>
                <w:color w:val="auto"/>
              </w:rPr>
              <w:t>Pacific Foods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19"/>
        </w:trPr>
        <w:tc>
          <w:tcPr>
            <w:tcW w:w="402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Cape Cod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320"/>
              <w:spacing w:after="0" w:line="219" w:lineRule="exact"/>
              <w:rPr>
                <w:sz w:val="20"/>
                <w:szCs w:val="20"/>
                <w:color w:val="auto"/>
              </w:rPr>
            </w:pPr>
            <w:r>
              <w:rPr>
                <w:rFonts w:ascii="Times New Roman" w:cs="Times New Roman" w:eastAsia="Times New Roman" w:hAnsi="Times New Roman"/>
                <w:sz w:val="17"/>
                <w:szCs w:val="17"/>
                <w:color w:val="auto"/>
              </w:rPr>
              <w:t>Various other Snacks</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0" w:type="dxa"/>
            <w:vAlign w:val="bottom"/>
          </w:tcPr>
          <w:p>
            <w:pPr>
              <w:spacing w:after="0"/>
              <w:rPr>
                <w:sz w:val="1"/>
                <w:szCs w:val="1"/>
                <w:color w:val="auto"/>
              </w:rPr>
            </w:pPr>
          </w:p>
        </w:tc>
      </w:tr>
      <w:tr>
        <w:trPr>
          <w:trHeight w:val="212"/>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indefinite-lived trademarks</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3,882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2,541</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intangible assets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84" w:lineRule="exact"/>
        <w:rPr>
          <w:sz w:val="20"/>
          <w:szCs w:val="20"/>
          <w:color w:val="auto"/>
        </w:rPr>
      </w:pPr>
    </w:p>
    <w:p>
      <w:pPr>
        <w:ind w:left="320" w:hanging="317"/>
        <w:spacing w:after="0" w:line="231" w:lineRule="auto"/>
        <w:tabs>
          <w:tab w:leader="none" w:pos="308"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As part of the Sovos Brands acquisition, we acquired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indefinite-lived trademark of $1.47 billion, customer relationships of $230 million and definite-lived trademarks of $76 million. See Note 3 for additional information.</w:t>
      </w:r>
    </w:p>
    <w:p>
      <w:pPr>
        <w:spacing w:after="0" w:line="44"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Associated with the acquisition of Snyder's-Lance, Inc. (Snyder's-Lance) and includes the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and Allied brands trademarks.</w:t>
      </w:r>
    </w:p>
    <w:p>
      <w:pPr>
        <w:spacing w:after="0" w:line="7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Amortization expense was $73 million for 2024, $48 million for 2023 and $41 million for 2022. Amortization expense in 2024 and 2023 included accelerated amortization expense of $27 million and $7 million, respectively, on customer relationships which began in the fourth quarter of 2023 due to the loss of certain contract manufacturing customers. As of July 28, 2024, amortizable intangible assets had a weighted-average remaining useful life of 19 years. Amortization expense is estimated to be approximately $71 million in 2025 and $46 million per year for the following four years.</w:t>
      </w:r>
    </w:p>
    <w:p>
      <w:pPr>
        <w:spacing w:after="0" w:line="4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In the fourth quarter of 2024, we recognized an impairment charge of $53 million on certain salty snacks and cookie trademarks within our Snacks segment, including </w:t>
      </w:r>
      <w:r>
        <w:rPr>
          <w:rFonts w:ascii="Times New Roman" w:cs="Times New Roman" w:eastAsia="Times New Roman" w:hAnsi="Times New Roman"/>
          <w:sz w:val="17"/>
          <w:szCs w:val="17"/>
          <w:i w:val="1"/>
          <w:iCs w:val="1"/>
          <w:color w:val="auto"/>
        </w:rPr>
        <w:t>Tom’s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Jays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Kruncher’s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O-Ke-Doke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Stella D’oro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Archway</w:t>
      </w:r>
      <w:r>
        <w:rPr>
          <w:rFonts w:ascii="Times New Roman" w:cs="Times New Roman" w:eastAsia="Times New Roman" w:hAnsi="Times New Roman"/>
          <w:sz w:val="17"/>
          <w:szCs w:val="17"/>
          <w:color w:val="auto"/>
        </w:rPr>
        <w:t>, collectively referred to as our "Allied brands." In 2024, sales and operating performance were below expectations due in part to competitive pressure and reduced margins. In the fourth quarter of 2024, based on recent performance, we reevaluated the position of the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7"/>
          <w:szCs w:val="17"/>
          <w:color w:val="auto"/>
        </w:rPr>
        <w:t>Allied brands within our portfolio and lowered our near-term and long-term outlook for future sales and operating performance. As of July 28, 2024, the carrying value of the Allied brands trademark was $43 million.</w:t>
      </w:r>
    </w:p>
    <w:p>
      <w:pPr>
        <w:spacing w:after="0" w:line="23" w:lineRule="exact"/>
        <w:rPr>
          <w:sz w:val="20"/>
          <w:szCs w:val="20"/>
          <w:color w:val="auto"/>
        </w:rPr>
      </w:pPr>
    </w:p>
    <w:p>
      <w:pPr>
        <w:jc w:val="both"/>
        <w:ind w:firstLine="309"/>
        <w:spacing w:after="0" w:line="253" w:lineRule="auto"/>
        <w:rPr>
          <w:sz w:val="20"/>
          <w:szCs w:val="20"/>
          <w:color w:val="auto"/>
        </w:rPr>
      </w:pPr>
      <w:r>
        <w:rPr>
          <w:rFonts w:ascii="Times New Roman" w:cs="Times New Roman" w:eastAsia="Times New Roman" w:hAnsi="Times New Roman"/>
          <w:sz w:val="17"/>
          <w:szCs w:val="17"/>
          <w:color w:val="auto"/>
        </w:rPr>
        <w:t>In the fourth quarter of 2024, we performed an assessment on the assets in our Pop Secret popcorn business within our Snacks segment as sales and operating performance were below expectations due in part to competitive pressure and reduced margins, and as we pursued divesting the business. As a result of these factors, in the fourth quarter of 2024, we reduced our long-term outlook for the business and recognized an impairment charge of $76 million on the trademark. As of July 28, 2024, the carrying value of the trademark was $28 million. The sale of the business was completed on August 26, 2024.</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impairment charges were recorded in Other expenses / (income) in the Consolidated Statement of Earnings.</w:t>
      </w:r>
    </w:p>
    <w:p>
      <w:pPr>
        <w:spacing w:after="0" w:line="97"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color w:val="auto"/>
        </w:rPr>
        <w:t xml:space="preserve">The $1.47 billion carrying value of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associated with the Sovos Brands acquisition approximates fair value. Excluding the carrying value of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and the </w:t>
      </w:r>
      <w:r>
        <w:rPr>
          <w:rFonts w:ascii="Times New Roman" w:cs="Times New Roman" w:eastAsia="Times New Roman" w:hAnsi="Times New Roman"/>
          <w:sz w:val="17"/>
          <w:szCs w:val="17"/>
          <w:i w:val="1"/>
          <w:iCs w:val="1"/>
          <w:color w:val="auto"/>
        </w:rPr>
        <w:t>Pop Secret</w:t>
      </w:r>
      <w:r>
        <w:rPr>
          <w:rFonts w:ascii="Times New Roman" w:cs="Times New Roman" w:eastAsia="Times New Roman" w:hAnsi="Times New Roman"/>
          <w:sz w:val="17"/>
          <w:szCs w:val="17"/>
          <w:color w:val="auto"/>
        </w:rPr>
        <w:t xml:space="preserve"> trademark, as of the 2024 annual impairment testing, indefinite-lived trademarks with approximately 10% or less of excess coverage of fair value over carrying value had an aggregate carrying value of $1.293 billion and included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and certain other Snacks trademarks.</w:t>
      </w:r>
    </w:p>
    <w:p>
      <w:pPr>
        <w:spacing w:after="0" w:line="5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estimates of future cash flows used in determining the fair value of goodwill and intangible assets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Segment Information</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reportable segments are as follows:</w:t>
      </w:r>
    </w:p>
    <w:p>
      <w:pPr>
        <w:spacing w:after="0" w:line="101" w:lineRule="exact"/>
        <w:rPr>
          <w:sz w:val="20"/>
          <w:szCs w:val="20"/>
          <w:color w:val="auto"/>
        </w:rPr>
      </w:pPr>
    </w:p>
    <w:p>
      <w:pPr>
        <w:jc w:val="both"/>
        <w:ind w:left="620" w:hanging="308"/>
        <w:spacing w:after="0" w:line="261"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Meals &amp; Beverages, which consists of our soup, simple meals and beverages products in retail and foodservice in the U.S. and Canada. The segment includes the following products: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and stocks;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Prego</w:t>
      </w:r>
      <w:r>
        <w:rPr>
          <w:rFonts w:ascii="Times New Roman" w:cs="Times New Roman" w:eastAsia="Times New Roman" w:hAnsi="Times New Roman"/>
          <w:sz w:val="17"/>
          <w:szCs w:val="17"/>
          <w:color w:val="auto"/>
        </w:rPr>
        <w:t xml:space="preserve"> pasta sauces;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Mexican sauces;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gravies, pasta, beans and dinner sauces;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canned poultry;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as of March 12, 2024,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dry pasta, frozen entrées, frozen pizza and soups; </w:t>
      </w:r>
      <w:r>
        <w:rPr>
          <w:rFonts w:ascii="Times New Roman" w:cs="Times New Roman" w:eastAsia="Times New Roman" w:hAnsi="Times New Roman"/>
          <w:sz w:val="17"/>
          <w:szCs w:val="17"/>
          <w:i w:val="1"/>
          <w:iCs w:val="1"/>
          <w:color w:val="auto"/>
        </w:rPr>
        <w:t>Michael Angelo's</w:t>
      </w:r>
      <w:r>
        <w:rPr>
          <w:rFonts w:ascii="Times New Roman" w:cs="Times New Roman" w:eastAsia="Times New Roman" w:hAnsi="Times New Roman"/>
          <w:sz w:val="17"/>
          <w:szCs w:val="17"/>
          <w:color w:val="auto"/>
        </w:rPr>
        <w:t xml:space="preserve"> frozen entrées and pasta sauces; and </w:t>
      </w:r>
      <w:r>
        <w:rPr>
          <w:rFonts w:ascii="Times New Roman" w:cs="Times New Roman" w:eastAsia="Times New Roman" w:hAnsi="Times New Roman"/>
          <w:sz w:val="17"/>
          <w:szCs w:val="17"/>
          <w:i w:val="1"/>
          <w:iCs w:val="1"/>
          <w:color w:val="auto"/>
        </w:rPr>
        <w:t>noosa</w:t>
      </w:r>
      <w:r>
        <w:rPr>
          <w:rFonts w:ascii="Times New Roman" w:cs="Times New Roman" w:eastAsia="Times New Roman" w:hAnsi="Times New Roman"/>
          <w:sz w:val="17"/>
          <w:szCs w:val="17"/>
          <w:color w:val="auto"/>
        </w:rPr>
        <w:t xml:space="preserve"> yogurts. The segment also includes snacking products in foodservice and Canada; and</w:t>
      </w:r>
    </w:p>
    <w:p>
      <w:pPr>
        <w:spacing w:after="0" w:line="40" w:lineRule="exact"/>
        <w:rPr>
          <w:rFonts w:ascii="Times New Roman" w:cs="Times New Roman" w:eastAsia="Times New Roman" w:hAnsi="Times New Roman"/>
          <w:sz w:val="17"/>
          <w:szCs w:val="17"/>
          <w:color w:val="auto"/>
        </w:rPr>
      </w:pPr>
    </w:p>
    <w:p>
      <w:pPr>
        <w:jc w:val="both"/>
        <w:ind w:left="620" w:hanging="308"/>
        <w:spacing w:after="0" w:line="262"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Snacks, which consists of Pepperidge Farm cookies*, crackers, fresh bakery and frozen products, including </w:t>
      </w:r>
      <w:r>
        <w:rPr>
          <w:rFonts w:ascii="Times New Roman" w:cs="Times New Roman" w:eastAsia="Times New Roman" w:hAnsi="Times New Roman"/>
          <w:sz w:val="17"/>
          <w:szCs w:val="17"/>
          <w:i w:val="1"/>
          <w:iCs w:val="1"/>
          <w:color w:val="auto"/>
        </w:rPr>
        <w:t>Goldfish</w:t>
      </w:r>
      <w:r>
        <w:rPr>
          <w:rFonts w:ascii="Times New Roman" w:cs="Times New Roman" w:eastAsia="Times New Roman" w:hAnsi="Times New Roman"/>
          <w:sz w:val="17"/>
          <w:szCs w:val="17"/>
          <w:color w:val="auto"/>
        </w:rPr>
        <w:t xml:space="preserve"> crackers*,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pretzels*,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sandwich crackers*,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potato chips*, </w:t>
      </w:r>
      <w:r>
        <w:rPr>
          <w:rFonts w:ascii="Times New Roman" w:cs="Times New Roman" w:eastAsia="Times New Roman" w:hAnsi="Times New Roman"/>
          <w:sz w:val="17"/>
          <w:szCs w:val="17"/>
          <w:i w:val="1"/>
          <w:iCs w:val="1"/>
          <w:color w:val="auto"/>
        </w:rPr>
        <w:t>Late July</w:t>
      </w:r>
      <w:r>
        <w:rPr>
          <w:rFonts w:ascii="Times New Roman" w:cs="Times New Roman" w:eastAsia="Times New Roman" w:hAnsi="Times New Roman"/>
          <w:sz w:val="17"/>
          <w:szCs w:val="17"/>
          <w:color w:val="auto"/>
        </w:rPr>
        <w:t xml:space="preserve"> snacks*, </w:t>
      </w:r>
      <w:r>
        <w:rPr>
          <w:rFonts w:ascii="Times New Roman" w:cs="Times New Roman" w:eastAsia="Times New Roman" w:hAnsi="Times New Roman"/>
          <w:sz w:val="17"/>
          <w:szCs w:val="17"/>
          <w:i w:val="1"/>
          <w:iCs w:val="1"/>
          <w:color w:val="auto"/>
        </w:rPr>
        <w:t>Snack Factory</w:t>
      </w:r>
      <w:r>
        <w:rPr>
          <w:rFonts w:ascii="Times New Roman" w:cs="Times New Roman" w:eastAsia="Times New Roman" w:hAnsi="Times New Roman"/>
          <w:sz w:val="17"/>
          <w:szCs w:val="17"/>
          <w:color w:val="auto"/>
        </w:rPr>
        <w:t xml:space="preserve"> pretzel crisps*, and other snacking products in retail in the U.S. We refer to the * brands as our "power brands." The segment also includes the retail business in Latin America. The segment included the results of our Emerald nuts business, which was sold on May 30, 2023, and our Pop Secret popcorn business, which was sold on August 26, 2024.</w:t>
      </w:r>
    </w:p>
    <w:p>
      <w:pPr>
        <w:spacing w:after="0" w:line="57"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evaluate segment performance before interest, taxes and costs associated with restructuring activities, cost savings and optimization initiatives, impairment charges and corporate expenses.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6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Our largest customer, Wal-Mart Stores, Inc. and its affiliates, accounted for approximately 22% of consolidated net sales in 2024, 2023, and 2022. Both of our reportable segments sold products to Wal-Mart Stores, Inc. or its affiliates.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Meals &amp; Beverages</w:t>
            </w:r>
          </w:p>
        </w:tc>
        <w:tc>
          <w:tcPr>
            <w:tcW w:w="38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5,258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35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54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9,636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540" w:type="dxa"/>
            <w:vAlign w:val="bottom"/>
            <w:vMerge w:val="restart"/>
          </w:tcPr>
          <w:p>
            <w:pPr>
              <w:jc w:val="right"/>
              <w:ind w:right="1274"/>
              <w:spacing w:after="0"/>
              <w:rPr>
                <w:sz w:val="20"/>
                <w:szCs w:val="20"/>
                <w:color w:val="auto"/>
              </w:rPr>
            </w:pPr>
            <w:r>
              <w:rPr>
                <w:rFonts w:ascii="Times New Roman" w:cs="Times New Roman" w:eastAsia="Times New Roman" w:hAnsi="Times New Roman"/>
                <w:sz w:val="17"/>
                <w:szCs w:val="17"/>
                <w:color w:val="auto"/>
              </w:rPr>
              <w:t>51</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35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20" w:type="dxa"/>
            <w:vAlign w:val="bottom"/>
            <w:tcBorders>
              <w:bottom w:val="single" w:sz="8" w:color="9A9A9A"/>
            </w:tcBorders>
          </w:tcPr>
          <w:p>
            <w:pPr>
              <w:spacing w:after="0"/>
              <w:rPr>
                <w:sz w:val="17"/>
                <w:szCs w:val="17"/>
                <w:color w:val="auto"/>
              </w:rPr>
            </w:pPr>
          </w:p>
        </w:tc>
        <w:tc>
          <w:tcPr>
            <w:tcW w:w="354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2"/>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interest and taxes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Meals &amp; Beverages</w:t>
            </w: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974</w:t>
            </w:r>
          </w:p>
        </w:tc>
        <w:tc>
          <w:tcPr>
            <w:tcW w:w="20" w:type="dxa"/>
            <w:vAlign w:val="bottom"/>
          </w:tcPr>
          <w:p>
            <w:pPr>
              <w:spacing w:after="0"/>
              <w:rPr>
                <w:sz w:val="19"/>
                <w:szCs w:val="19"/>
                <w:color w:val="auto"/>
              </w:rPr>
            </w:pPr>
          </w:p>
        </w:tc>
        <w:tc>
          <w:tcPr>
            <w:tcW w:w="40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20" w:type="dxa"/>
            <w:vAlign w:val="bottom"/>
          </w:tcPr>
          <w:p>
            <w:pPr>
              <w:spacing w:after="0"/>
              <w:rPr>
                <w:sz w:val="19"/>
                <w:szCs w:val="19"/>
                <w:color w:val="auto"/>
              </w:rPr>
            </w:pPr>
          </w:p>
        </w:tc>
        <w:tc>
          <w:tcPr>
            <w:tcW w:w="40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Snacks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19"/>
        </w:trPr>
        <w:tc>
          <w:tcPr>
            <w:tcW w:w="20" w:type="dxa"/>
            <w:vAlign w:val="bottom"/>
          </w:tcPr>
          <w:p>
            <w:pPr>
              <w:spacing w:after="0"/>
              <w:rPr>
                <w:sz w:val="19"/>
                <w:szCs w:val="19"/>
                <w:color w:val="auto"/>
              </w:rPr>
            </w:pPr>
          </w:p>
        </w:tc>
        <w:tc>
          <w:tcPr>
            <w:tcW w:w="7060" w:type="dxa"/>
            <w:vAlign w:val="bottom"/>
          </w:tcPr>
          <w:p>
            <w:pPr>
              <w:ind w:left="120"/>
              <w:spacing w:after="0" w:line="219" w:lineRule="exact"/>
              <w:rPr>
                <w:sz w:val="20"/>
                <w:szCs w:val="20"/>
                <w:color w:val="auto"/>
              </w:rPr>
            </w:pPr>
            <w:r>
              <w:rPr>
                <w:rFonts w:ascii="Times New Roman" w:cs="Times New Roman" w:eastAsia="Times New Roman" w:hAnsi="Times New Roman"/>
                <w:sz w:val="17"/>
                <w:szCs w:val="17"/>
                <w:color w:val="auto"/>
              </w:rPr>
              <w:t>Corporate income (expense)</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2"/>
                <w:szCs w:val="22"/>
                <w:color w:val="auto"/>
                <w:vertAlign w:val="superscript"/>
              </w:rPr>
              <w:t>(2)</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20" w:type="dxa"/>
            <w:vAlign w:val="bottom"/>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Meals &amp; Beverages</w:t>
            </w:r>
          </w:p>
        </w:tc>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163</w:t>
            </w:r>
          </w:p>
        </w:tc>
        <w:tc>
          <w:tcPr>
            <w:tcW w:w="20" w:type="dxa"/>
            <w:vAlign w:val="bottom"/>
          </w:tcPr>
          <w:p>
            <w:pPr>
              <w:spacing w:after="0"/>
              <w:rPr>
                <w:sz w:val="19"/>
                <w:szCs w:val="19"/>
                <w:color w:val="auto"/>
              </w:rPr>
            </w:pPr>
          </w:p>
        </w:tc>
        <w:tc>
          <w:tcPr>
            <w:tcW w:w="4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20" w:type="dxa"/>
            <w:vAlign w:val="bottom"/>
          </w:tcPr>
          <w:p>
            <w:pPr>
              <w:spacing w:after="0"/>
              <w:rPr>
                <w:sz w:val="19"/>
                <w:szCs w:val="19"/>
                <w:color w:val="auto"/>
              </w:rPr>
            </w:pPr>
          </w:p>
        </w:tc>
        <w:tc>
          <w:tcPr>
            <w:tcW w:w="4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20" w:type="dxa"/>
            <w:vAlign w:val="bottom"/>
          </w:tcPr>
          <w:p>
            <w:pPr>
              <w:spacing w:after="0"/>
              <w:rPr>
                <w:sz w:val="19"/>
                <w:szCs w:val="19"/>
                <w:color w:val="auto"/>
              </w:rPr>
            </w:pPr>
          </w:p>
        </w:tc>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19"/>
        </w:trPr>
        <w:tc>
          <w:tcPr>
            <w:tcW w:w="20" w:type="dxa"/>
            <w:vAlign w:val="bottom"/>
          </w:tcPr>
          <w:p>
            <w:pPr>
              <w:spacing w:after="0"/>
              <w:rPr>
                <w:sz w:val="19"/>
                <w:szCs w:val="19"/>
                <w:color w:val="auto"/>
              </w:rPr>
            </w:pPr>
          </w:p>
        </w:tc>
        <w:tc>
          <w:tcPr>
            <w:tcW w:w="706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7"/>
                <w:szCs w:val="17"/>
                <w:color w:val="auto"/>
              </w:rPr>
              <w:t>Corporate</w:t>
            </w:r>
            <w:r>
              <w:rPr>
                <w:rFonts w:ascii="Times New Roman" w:cs="Times New Roman" w:eastAsia="Times New Roman" w:hAnsi="Times New Roman"/>
                <w:sz w:val="22"/>
                <w:szCs w:val="22"/>
                <w:color w:val="auto"/>
                <w:vertAlign w:val="superscript"/>
              </w:rPr>
              <w:t>(3)</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37"/>
        </w:trPr>
        <w:tc>
          <w:tcPr>
            <w:tcW w:w="2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20" w:type="dxa"/>
            <w:vAlign w:val="bottom"/>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Meals &amp; Beverages</w:t>
            </w:r>
          </w:p>
        </w:tc>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147</w:t>
            </w:r>
          </w:p>
        </w:tc>
        <w:tc>
          <w:tcPr>
            <w:tcW w:w="20" w:type="dxa"/>
            <w:vAlign w:val="bottom"/>
          </w:tcPr>
          <w:p>
            <w:pPr>
              <w:spacing w:after="0"/>
              <w:rPr>
                <w:sz w:val="19"/>
                <w:szCs w:val="19"/>
                <w:color w:val="auto"/>
              </w:rPr>
            </w:pPr>
          </w:p>
        </w:tc>
        <w:tc>
          <w:tcPr>
            <w:tcW w:w="4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 w:type="dxa"/>
            <w:vAlign w:val="bottom"/>
          </w:tcPr>
          <w:p>
            <w:pPr>
              <w:spacing w:after="0"/>
              <w:rPr>
                <w:sz w:val="19"/>
                <w:szCs w:val="19"/>
                <w:color w:val="auto"/>
              </w:rPr>
            </w:pPr>
          </w:p>
        </w:tc>
        <w:tc>
          <w:tcPr>
            <w:tcW w:w="4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20" w:type="dxa"/>
            <w:vAlign w:val="bottom"/>
          </w:tcPr>
          <w:p>
            <w:pPr>
              <w:spacing w:after="0"/>
              <w:rPr>
                <w:sz w:val="19"/>
                <w:szCs w:val="19"/>
                <w:color w:val="auto"/>
              </w:rPr>
            </w:pPr>
          </w:p>
        </w:tc>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9"/>
        </w:trPr>
        <w:tc>
          <w:tcPr>
            <w:tcW w:w="20" w:type="dxa"/>
            <w:vAlign w:val="bottom"/>
          </w:tcPr>
          <w:p>
            <w:pPr>
              <w:spacing w:after="0"/>
              <w:rPr>
                <w:sz w:val="19"/>
                <w:szCs w:val="19"/>
                <w:color w:val="auto"/>
              </w:rPr>
            </w:pPr>
          </w:p>
        </w:tc>
        <w:tc>
          <w:tcPr>
            <w:tcW w:w="7060" w:type="dxa"/>
            <w:vAlign w:val="bottom"/>
            <w:tcBorders>
              <w:bottom w:val="single" w:sz="8" w:color="CCEEFF"/>
            </w:tcBorders>
          </w:tcPr>
          <w:p>
            <w:pPr>
              <w:ind w:left="140"/>
              <w:spacing w:after="0" w:line="219" w:lineRule="exact"/>
              <w:rPr>
                <w:sz w:val="20"/>
                <w:szCs w:val="20"/>
                <w:color w:val="auto"/>
              </w:rPr>
            </w:pPr>
            <w:r>
              <w:rPr>
                <w:rFonts w:ascii="Times New Roman" w:cs="Times New Roman" w:eastAsia="Times New Roman" w:hAnsi="Times New Roman"/>
                <w:sz w:val="17"/>
                <w:szCs w:val="17"/>
                <w:color w:val="auto"/>
              </w:rPr>
              <w:t>Corporate</w:t>
            </w:r>
            <w:r>
              <w:rPr>
                <w:rFonts w:ascii="Times New Roman" w:cs="Times New Roman" w:eastAsia="Times New Roman" w:hAnsi="Times New Roman"/>
                <w:sz w:val="22"/>
                <w:szCs w:val="22"/>
                <w:color w:val="auto"/>
                <w:vertAlign w:val="superscript"/>
              </w:rPr>
              <w:t>(3)</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37"/>
        </w:trPr>
        <w:tc>
          <w:tcPr>
            <w:tcW w:w="2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62" w:lineRule="exact"/>
        <w:rPr>
          <w:sz w:val="20"/>
          <w:szCs w:val="20"/>
          <w:color w:val="auto"/>
        </w:rPr>
      </w:pPr>
    </w:p>
    <w:p>
      <w:pPr>
        <w:jc w:val="both"/>
        <w:ind w:left="320" w:hanging="317"/>
        <w:spacing w:after="0" w:line="247" w:lineRule="auto"/>
        <w:tabs>
          <w:tab w:leader="none" w:pos="308"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unallocated items. Pension and postretirement actuarial gains and losses are included in Corporate. There were actuarial losses of $33 million in 2024, gains of $15 million in 2023, and losses of $44 million in 2022. Costs related to the cost savings and optimization initiatives were $92 million, $50 million and $26 million in 2024, 2023 and 2022, respectively. Unrealized mark-to-market adjustments on outstanding undesignated commodity hedges were losses of $22 million in 2024, gains of $21 million in 2023, and losses of $59 million in 2022. Accelerated amortization expense related to customer relationship intangible assets was $27 million and $7 million in 2024 and 2023, respectively. Costs associated with the acquisition of Sovos Brands were $105 million and $5 million in 2024 and 2023, respectively. Intangible asset impairment charges were $129 million in 2024. Costs of $3 million related to a cybersecurity incident were included in 2024. Litigation expenses related to the Plum baby food and snacks business, which was divested on May, 3, 2021, and certain other litigation matters were $5 million and were included in 2024. A loss of $13 million on the sale of our Emerald nuts business was included in 2023.</w:t>
      </w:r>
    </w:p>
    <w:p>
      <w:pPr>
        <w:spacing w:after="0" w:line="202"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8 for additional information.</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primarily corporate offices and enterprise-wide information technology systems.</w:t>
      </w:r>
    </w:p>
    <w:p>
      <w:pPr>
        <w:spacing w:after="0" w:line="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Our net sales based on product categories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7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Soup</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2,615</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Snacks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w:t>
            </w:r>
          </w:p>
        </w:tc>
      </w:tr>
      <w:tr>
        <w:trPr>
          <w:trHeight w:val="219"/>
        </w:trPr>
        <w:tc>
          <w:tcPr>
            <w:tcW w:w="7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simple meals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Beverages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9,636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8,562</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155"/>
        <w:spacing w:after="0" w:line="269" w:lineRule="auto"/>
        <w:rPr>
          <w:sz w:val="20"/>
          <w:szCs w:val="20"/>
          <w:color w:val="auto"/>
        </w:rPr>
      </w:pPr>
      <w:r>
        <w:rPr>
          <w:rFonts w:ascii="Times New Roman" w:cs="Times New Roman" w:eastAsia="Times New Roman" w:hAnsi="Times New Roman"/>
          <w:sz w:val="17"/>
          <w:szCs w:val="17"/>
          <w:color w:val="auto"/>
        </w:rPr>
        <w:t xml:space="preserve">Soup includes various soup, broths and stock products. Snacks include cookies, pretzels, crackers, popcorn, potato chips, tortilla chips and other salty snacks and baked products. Other simple meals include sauces, yogurts, pasta, frozen entrées, canned poultry, frozen pizza, gravies and beans. Beverages include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non-dairy beverages.</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We are a North American focused company with over 90% of our net sales and long-lived assets related to our U.S.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8. Restructuring Charges, Cost Savings Initiatives and Other Optimization Initiatives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Multi-year Cost Savings Initiatives and Snyder's-Lance Cost Transformation Program and Integration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Continuing Operations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Beginning in 2015, we implemented initiatives to reduce costs and to streamline our organizational structure.</w:t>
      </w:r>
    </w:p>
    <w:p>
      <w:pPr>
        <w:spacing w:after="0" w:line="8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Over the years, we expanded these initiatives by continuing to optimize our supply chain and manufacturing networks, as well as our information technology infrastructure.</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charges recorded in the Consolidated Statements of Earnings related to these initiatives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3"/>
                <w:szCs w:val="13"/>
                <w:color w:val="auto"/>
              </w:rPr>
            </w:pPr>
          </w:p>
        </w:tc>
        <w:tc>
          <w:tcPr>
            <w:tcW w:w="98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Recognized as of July</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28, 2024</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Marketing and selling expenses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pre-tax charges</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these initiatives is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88"/>
        </w:trPr>
        <w:tc>
          <w:tcPr>
            <w:tcW w:w="54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pay and benefits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impairment/accelerated depreciation</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Implementation costs and other related costs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Of the aggregate $895 million pre-tax costs incurred to date, approximately $720 million were cash expenditures. In addition, we invested $543 million in capital expenditures as of July 28, 2024. The capital expenditures primarily related to a U.S. warehouse optimization project, improvement of quality, safety and cost structure across the Snyder’s-Lance manufacturing network, optimization of production within our Meals &amp; Beverages manufacturing network, optimization of information technology infrastructure and applications, implementation of our existing SAP enterprise-resource planning system for Snyder's-Lance, enhancements to our headquarters in Camden, New Jersey, and optimization of the Snyder’s-Lance warehouse and distribution network.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7"/>
          <w:szCs w:val="17"/>
          <w:color w:val="auto"/>
        </w:rPr>
        <w:t>A summary of the restructuring activity and related reserves at July 28, 2024,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2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Asset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Other Non-</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6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Impairment/Accelerated</w:t>
            </w:r>
          </w:p>
        </w:tc>
        <w:tc>
          <w:tcPr>
            <w:tcW w:w="98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Cash Exit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Charges</w:t>
            </w:r>
          </w:p>
        </w:tc>
        <w:tc>
          <w:tcPr>
            <w:tcW w:w="0" w:type="dxa"/>
            <w:vAlign w:val="bottom"/>
          </w:tcPr>
          <w:p>
            <w:pPr>
              <w:spacing w:after="0"/>
              <w:rPr>
                <w:sz w:val="1"/>
                <w:szCs w:val="1"/>
                <w:color w:val="auto"/>
              </w:rPr>
            </w:pPr>
          </w:p>
        </w:tc>
      </w:tr>
      <w:tr>
        <w:trPr>
          <w:trHeight w:val="193"/>
        </w:trPr>
        <w:tc>
          <w:tcPr>
            <w:tcW w:w="5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and Benefits</w:t>
            </w:r>
          </w:p>
        </w:tc>
        <w:tc>
          <w:tcPr>
            <w:tcW w:w="120" w:type="dxa"/>
            <w:vAlign w:val="bottom"/>
          </w:tcPr>
          <w:p>
            <w:pPr>
              <w:spacing w:after="0"/>
              <w:rPr>
                <w:sz w:val="16"/>
                <w:szCs w:val="16"/>
                <w:color w:val="auto"/>
              </w:rPr>
            </w:pPr>
          </w:p>
        </w:tc>
        <w:tc>
          <w:tcPr>
            <w:tcW w:w="14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4"/>
                <w:szCs w:val="14"/>
                <w:b w:val="1"/>
                <w:bCs w:val="1"/>
                <w:color w:val="auto"/>
              </w:rPr>
              <w:t>Related Costs</w:t>
            </w:r>
            <w:r>
              <w:rPr>
                <w:rFonts w:ascii="Times New Roman" w:cs="Times New Roman" w:eastAsia="Times New Roman" w:hAnsi="Times New Roman"/>
                <w:sz w:val="17"/>
                <w:szCs w:val="17"/>
                <w:b w:val="1"/>
                <w:bCs w:val="1"/>
                <w:color w:val="auto"/>
                <w:vertAlign w:val="superscript"/>
              </w:rPr>
              <w:t>(3)</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Depreciation</w:t>
            </w:r>
          </w:p>
        </w:tc>
        <w:tc>
          <w:tcPr>
            <w:tcW w:w="9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4"/>
                <w:szCs w:val="14"/>
                <w:b w:val="1"/>
                <w:bCs w:val="1"/>
                <w:color w:val="auto"/>
                <w:w w:val="91"/>
              </w:rPr>
              <w:t>Costs</w:t>
            </w:r>
            <w:r>
              <w:rPr>
                <w:rFonts w:ascii="Times New Roman" w:cs="Times New Roman" w:eastAsia="Times New Roman" w:hAnsi="Times New Roman"/>
                <w:sz w:val="17"/>
                <w:szCs w:val="17"/>
                <w:b w:val="1"/>
                <w:bCs w:val="1"/>
                <w:color w:val="auto"/>
                <w:w w:val="91"/>
                <w:vertAlign w:val="superscript"/>
              </w:rPr>
              <w:t>(4)</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balance at July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2023 charges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2023 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60" w:type="dxa"/>
            <w:vAlign w:val="bottom"/>
          </w:tcPr>
          <w:p>
            <w:pPr>
              <w:ind w:left="20"/>
              <w:spacing w:after="0" w:line="211" w:lineRule="exact"/>
              <w:rPr>
                <w:sz w:val="20"/>
                <w:szCs w:val="20"/>
                <w:color w:val="auto"/>
              </w:rPr>
            </w:pPr>
            <w:r>
              <w:rPr>
                <w:rFonts w:ascii="Times New Roman" w:cs="Times New Roman" w:eastAsia="Times New Roman" w:hAnsi="Times New Roman"/>
                <w:sz w:val="17"/>
                <w:szCs w:val="17"/>
                <w:color w:val="auto"/>
              </w:rPr>
              <w:t>Accrued balance at July 30, 2023</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2024 charges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b w:val="1"/>
                <w:bCs w:val="1"/>
                <w:color w:val="auto"/>
              </w:rPr>
              <w:t>28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2024 cash payments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b w:val="1"/>
                <w:bCs w:val="1"/>
                <w:color w:val="auto"/>
              </w:rPr>
              <w:t>Accrued balance at July 28, 2024</w:t>
            </w:r>
            <w:r>
              <w:rPr>
                <w:rFonts w:ascii="Times New Roman" w:cs="Times New Roman" w:eastAsia="Times New Roman" w:hAnsi="Times New Roman"/>
                <w:sz w:val="22"/>
                <w:szCs w:val="22"/>
                <w:b w:val="1"/>
                <w:bCs w:val="1"/>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ectPr>
          <w:pgSz w:w="11900" w:h="16838" w:orient="portrait"/>
          <w:cols w:equalWidth="0" w:num="1">
            <w:col w:w="11240"/>
          </w:cols>
          <w:pgMar w:left="320" w:top="947" w:right="339" w:bottom="1440" w:gutter="0" w:footer="0" w:header="0"/>
        </w:sectPr>
      </w:pP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$7 million of severance pay and benefits recorded in Other liabilities in the Consolidated Balance Sheet.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$7 million of severance pay and benefits recorded in Other liabilities in the Consolidated Balance Sheet.</w:t>
      </w:r>
    </w:p>
    <w:p>
      <w:pPr>
        <w:spacing w:after="0" w:line="62" w:lineRule="exact"/>
        <w:rPr>
          <w:sz w:val="20"/>
          <w:szCs w:val="20"/>
          <w:color w:val="auto"/>
        </w:rPr>
      </w:pPr>
    </w:p>
    <w:p>
      <w:pPr>
        <w:sectPr>
          <w:pgSz w:w="11900" w:h="16838" w:orient="portrait"/>
          <w:cols w:equalWidth="0" w:num="2">
            <w:col w:w="140" w:space="160"/>
            <w:col w:w="10940"/>
          </w:cols>
          <w:pgMar w:left="320" w:top="947" w:right="339" w:bottom="1440" w:gutter="0" w:footer="0" w:header="0"/>
          <w:type w:val="continuous"/>
        </w:sectPr>
      </w:pPr>
    </w:p>
    <w:p>
      <w:pPr>
        <w:jc w:val="both"/>
        <w:ind w:left="320" w:hanging="317"/>
        <w:spacing w:after="0" w:line="236" w:lineRule="auto"/>
        <w:tabs>
          <w:tab w:leader="none" w:pos="308"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other costs recognized as incurred that are not reflected in the restructuring reserves in the Consolidated Balance Sheets. The costs are included in Administrative expenses, Cost of products sold, Marketing and selling expenses and Research and development expenses in the Consolidated Statements of Earnings.</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non-cash costs that are not reflected in the restructuring reserves in the Consolidated Balance Sheets.</w:t>
      </w:r>
    </w:p>
    <w:p>
      <w:pPr>
        <w:spacing w:after="0" w:line="73"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5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Meals &amp; Beverages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Snacks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2"/>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July 28, 2024, we have substantially completed the multi-year cost saving initiatives and Snyder's-Lance cost transformation program and integration.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phases that have not been fully implemented will be incorporated into the new cost savings initiatives described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Sovos Brands Integration Initiatives</w:t>
      </w:r>
    </w:p>
    <w:p>
      <w:pPr>
        <w:spacing w:after="0" w:line="105"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On March 12, 2024, we completed the acquisition of Sovos Brands. See Note 3 for additional information. We have identified opportunities for cost synergies as we integrate Sovos Brands.</w:t>
      </w:r>
    </w:p>
    <w:p>
      <w:pPr>
        <w:spacing w:after="0" w:line="36"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In 2024, we recorded Restructuring charges of $21 million related to initiatives to achieve the synergies. The charges incurred in 2024 were associated with the Meals &amp; Beverages segment.</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restructuring activity and related reserves associated with the Sovos Brands integration at July 28, 2024,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Severance Pay and Benefits</w:t>
            </w:r>
          </w:p>
        </w:tc>
      </w:tr>
      <w:tr>
        <w:trPr>
          <w:trHeight w:val="22"/>
        </w:trPr>
        <w:tc>
          <w:tcPr>
            <w:tcW w:w="9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2"/>
        </w:trPr>
        <w:tc>
          <w:tcPr>
            <w:tcW w:w="9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2024 charges</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9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2024 cash payments</w:t>
            </w:r>
          </w:p>
        </w:tc>
        <w:tc>
          <w:tcPr>
            <w:tcW w:w="7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(3)</w:t>
            </w:r>
          </w:p>
        </w:tc>
      </w:tr>
      <w:tr>
        <w:trPr>
          <w:trHeight w:val="237"/>
        </w:trPr>
        <w:tc>
          <w:tcPr>
            <w:tcW w:w="9560" w:type="dxa"/>
            <w:vAlign w:val="bottom"/>
            <w:tcBorders>
              <w:bottom w:val="single" w:sz="8" w:color="CCEEFF"/>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b w:val="1"/>
                <w:bCs w:val="1"/>
                <w:color w:val="auto"/>
              </w:rPr>
              <w:t>Accrued balance at July 28, 2024</w:t>
            </w:r>
            <w:r>
              <w:rPr>
                <w:rFonts w:ascii="Times New Roman" w:cs="Times New Roman" w:eastAsia="Times New Roman" w:hAnsi="Times New Roman"/>
                <w:sz w:val="22"/>
                <w:szCs w:val="22"/>
                <w:b w:val="1"/>
                <w:bCs w:val="1"/>
                <w:color w:val="auto"/>
                <w:vertAlign w:val="superscript"/>
              </w:rPr>
              <w:t>(1)</w:t>
            </w: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18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__________________________________</w:t>
      </w:r>
    </w:p>
    <w:p>
      <w:pPr>
        <w:spacing w:after="0" w:line="38" w:lineRule="exact"/>
        <w:rPr>
          <w:sz w:val="20"/>
          <w:szCs w:val="20"/>
          <w:color w:val="auto"/>
        </w:rPr>
      </w:pPr>
    </w:p>
    <w:p>
      <w:pPr>
        <w:ind w:left="300" w:hanging="297"/>
        <w:spacing w:after="0"/>
        <w:tabs>
          <w:tab w:leader="none" w:pos="30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$5 million of severance pay and benefits recorded in Other liabilities in the Consolidated Balance Sheet.</w:t>
      </w:r>
    </w:p>
    <w:p>
      <w:pPr>
        <w:spacing w:after="0" w:line="79"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Beginning in 2025, the initiatives to achieve synergies will be incorporated into the new cost savings initiatives described below.</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color w:val="auto"/>
        </w:rPr>
        <w:t>2025 Cost Savings Initiatives</w:t>
      </w:r>
    </w:p>
    <w:p>
      <w:pPr>
        <w:spacing w:after="0" w:line="9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On September 10, 2024, we announced plans to implement new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existing multi-year cost savings initiatives and Snyder's-Lance cost transformation program and integration. Certain initiatives from that program have been incorporated into our new cost savings initiatives. Cost estimates for these new initiatives, as well as timing for certain activities, are continuing to be developed.</w:t>
      </w:r>
    </w:p>
    <w:p>
      <w:pPr>
        <w:spacing w:after="0" w:line="57"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The total estimated pre-tax costs for actions that have been identified to date are approximately $180 million and we expect to incur substantially all of the costs through 2028. These estimates will be updated as the detailed plans are developed. We expect the costs for the actions that have been identified to date to consist of the following: approximately $25 million in severance pay and benefits; approximately $45 million in asset impairment and accelerated depreciation; and approximately $110 million in implementation costs and other related costs. We expect these pre-tax costs to be associated with our segments as follows: Meals &amp; Beverages - approximately 80%; Snacks - approximately 5% and Corporate - approximately 15%. Of the aggregate $180 million of pre-tax costs identified to date, we expect approximately $135 million will be cash expenditures. In addition, we expect to invest approximately $235 million in capital expenditures.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Optimization Initiatives</w:t>
      </w:r>
    </w:p>
    <w:p>
      <w:pPr>
        <w:spacing w:after="0" w:line="9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the second quarter of 2024, we began implementation of a new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2024, we incurred $5 million in Marketing and selling expenses related to this initiative.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Earnings per Share (EPS)</w:t>
      </w:r>
    </w:p>
    <w:p>
      <w:pPr>
        <w:spacing w:after="0" w:line="10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2024 and 2023 excludes less than 1 million stock options that would have been antidilutive. The earnings per share calculation for 2022 excludes approximately 1 million stock options that would have been antidilutive.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Pension and Postretirement Benefits</w:t>
      </w:r>
    </w:p>
    <w:p>
      <w:pPr>
        <w:spacing w:after="0" w:line="10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Pension Benefits — </w:t>
      </w:r>
      <w:r>
        <w:rPr>
          <w:rFonts w:ascii="Times New Roman" w:cs="Times New Roman" w:eastAsia="Times New Roman" w:hAnsi="Times New Roman"/>
          <w:sz w:val="17"/>
          <w:szCs w:val="17"/>
          <w:color w:val="auto"/>
        </w:rPr>
        <w:t>We sponsor a number of noncontributory defined benefit pension plans to provide retirement benefits to eligible U.S. and non-U.S.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The benefits provided under these plans are based primarily on years of service and compensation levels. Benefits are paid from funds previously provided to trustees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for fifteen years for certain active employees participating in the plans under the old formula prior to the amendments. Employees will receive the benefit from either the new or old formula, whichever is higher. Effective as of January 1, 2011, our U.S. pension plans were amended so that employees hired or rehired on or after that date and who are not covered by collective bargaining agreements will not be eligible to participate in the plans. All collective bargaining units adopted this amendment by December 31, 2011.</w:t>
      </w:r>
    </w:p>
    <w:p>
      <w:pPr>
        <w:spacing w:after="0" w:line="6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June 2023, we settled $245 million of our pension benefit obligations associated with approximately 6,000 retired participants that were receiving benefits within our U.S. defined benefit pension plans. A group annuity contract was purchased on behalf of these participants with a third-party insurance provider and funded directly by $241 million from the assets of our pension plans, resulting in an actuarial gain of $4 million.</w:t>
      </w:r>
    </w:p>
    <w:p>
      <w:pPr>
        <w:spacing w:after="0" w:line="34"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Postretirement Benefits — </w:t>
      </w:r>
      <w:r>
        <w:rPr>
          <w:rFonts w:ascii="Times New Roman" w:cs="Times New Roman" w:eastAsia="Times New Roman" w:hAnsi="Times New Roman"/>
          <w:sz w:val="17"/>
          <w:szCs w:val="17"/>
          <w:color w:val="auto"/>
        </w:rPr>
        <w:t>We provide postretirement benefits, including health care and life insurance to eligible retired U.S. employees, and where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their dependents. Accordingly, we sponsor a retiree medical program for eligible retired U.S. employees and fund applicable retiree medical accounts intended to provide reimbursement for eligible health care expenses on a tax-favored basis for retirees who satisfy certain eligibility requirements. Effective as of January 1, 2019, we no longer sponsor our own retiree medical coverage for substantially all retired U.S. employees that are Medicare eligible. Instead, we offer these Medicare-eligible retirees access to health care coverage through a private exchange and offer a health reimbursement account to subsidize benefits for a select group of such retirees. We also provide postretirement life insurance to all eligible U.S. employees who retired prior to January 1, 2018, as well as certain eligible retired employees covered by one of our collective bargaining agreements who retired prior to January 1, 2023.</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5" w:name="page56"/>
    <w:bookmarkEnd w:id="55"/>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Determining net periodic benefit expense (income) is dependent on various actuarial assumptions, including discount rates, expected return on plan assets, compensation increases, turnover rates and health care trend rates. Actuarial gains and losses are recognized immediately in Other expenses / (income) in the Consolidated Statements of Earnings as of the measurement date, which is our fiscal year end, or more frequently if an interim remeasurement is required. We use the fair value of plan assets to calculate the expected return on plan assets.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Components of net periodic benefit expense (income)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54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3"/>
              </w:rPr>
              <w:t>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280" w:type="dxa"/>
            <w:vAlign w:val="bottom"/>
          </w:tcPr>
          <w:p>
            <w:pPr>
              <w:spacing w:after="0"/>
              <w:rPr>
                <w:sz w:val="19"/>
                <w:szCs w:val="19"/>
                <w:color w:val="auto"/>
              </w:rPr>
            </w:pPr>
          </w:p>
        </w:tc>
        <w:tc>
          <w:tcPr>
            <w:tcW w:w="940" w:type="dxa"/>
            <w:vAlign w:val="bottom"/>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3"/>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97"/>
              <w:spacing w:after="0"/>
              <w:rPr>
                <w:sz w:val="20"/>
                <w:szCs w:val="20"/>
                <w:color w:val="auto"/>
              </w:rPr>
            </w:pPr>
            <w:r>
              <w:rPr>
                <w:rFonts w:ascii="Times New Roman" w:cs="Times New Roman" w:eastAsia="Times New Roman" w:hAnsi="Times New Roman"/>
                <w:sz w:val="17"/>
                <w:szCs w:val="17"/>
                <w:b w:val="1"/>
                <w:bCs w:val="1"/>
                <w:color w:val="auto"/>
                <w:w w:val="98"/>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credit</w:t>
            </w:r>
          </w:p>
        </w:tc>
        <w:tc>
          <w:tcPr>
            <w:tcW w:w="280" w:type="dxa"/>
            <w:vAlign w:val="bottom"/>
          </w:tcPr>
          <w:p>
            <w:pPr>
              <w:spacing w:after="0"/>
              <w:rPr>
                <w:sz w:val="19"/>
                <w:szCs w:val="19"/>
                <w:color w:val="auto"/>
              </w:rPr>
            </w:pPr>
          </w:p>
        </w:tc>
        <w:tc>
          <w:tcPr>
            <w:tcW w:w="1040" w:type="dxa"/>
            <w:vAlign w:val="bottom"/>
            <w:gridSpan w:val="2"/>
          </w:tcPr>
          <w:p>
            <w:pPr>
              <w:jc w:val="center"/>
              <w:ind w:left="43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Actuarial losses (gains)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3"/>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periodic benefit expense (income)</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tcPr>
          <w:p>
            <w:pPr>
              <w:jc w:val="center"/>
              <w:ind w:left="537"/>
              <w:spacing w:after="0"/>
              <w:rPr>
                <w:sz w:val="20"/>
                <w:szCs w:val="20"/>
                <w:color w:val="auto"/>
              </w:rPr>
            </w:pPr>
            <w:r>
              <w:rPr>
                <w:rFonts w:ascii="Times New Roman" w:cs="Times New Roman" w:eastAsia="Times New Roman" w:hAnsi="Times New Roman"/>
                <w:sz w:val="17"/>
                <w:szCs w:val="17"/>
                <w:b w:val="1"/>
                <w:bCs w:val="1"/>
                <w:color w:val="auto"/>
                <w:w w:val="93"/>
              </w:rPr>
              <w:t>31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components of net periodic benefit expense (income) other than the service cost component are included in Other expenses / (income) in the Consolidated Statements of Earnings.</w:t>
      </w:r>
    </w:p>
    <w:p>
      <w:pPr>
        <w:spacing w:after="0" w:line="2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pension actuarial losses recognized in 2024 were primarily due to decreases in discount rates used to determine the benefit obligation and plan experience, partially offset by gains on plan assets. The pension actuarial gains recognized in 2023 were primarily due to increases in discount rates used to determine the benefit obligation and the gain from the annuity settlement, partially offset by losses on plan assets and plan experience. The pension actuarial losses recognized in 2022 were primarily due to losses on plan assets, partially offset by increases in discount rates used to determine the benefit obligation.</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postretirement actuarial gains recognized in 2023 and 2022 were primarily due to increases in discount rates used to determine the benefit obligation.</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Change in benefit obligation: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540" w:type="dxa"/>
            <w:vAlign w:val="bottom"/>
            <w:tcBorders>
              <w:bottom w:val="single" w:sz="8" w:color="CCEEFF"/>
            </w:tcBorders>
            <w:vMerge w:val="continue"/>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Obligation at beginning of year</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losses (gains)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adjustment</w:t>
            </w:r>
          </w:p>
        </w:tc>
        <w:tc>
          <w:tcPr>
            <w:tcW w:w="1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obligation at end of year</w:t>
            </w:r>
          </w:p>
        </w:tc>
        <w:tc>
          <w:tcPr>
            <w:tcW w:w="1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145</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Change in the fair value of pension plan assets:</w:t>
            </w:r>
          </w:p>
        </w:tc>
        <w:tc>
          <w:tcPr>
            <w:tcW w:w="1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year</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Employer contributions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 paid</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currency adjustment</w:t>
            </w:r>
          </w:p>
        </w:tc>
        <w:tc>
          <w:tcPr>
            <w:tcW w:w="1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end of year</w:t>
            </w:r>
          </w:p>
        </w:tc>
        <w:tc>
          <w:tcPr>
            <w:tcW w:w="1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1,307</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56</w:t>
            </w: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45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4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6" w:name="page57"/>
    <w:bookmarkEnd w:id="56"/>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Net amounts recognized in the 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12"/>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amounts recognized asset / (liability)</w:t>
            </w: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b w:val="1"/>
                <w:bCs w:val="1"/>
                <w:color w:val="auto"/>
                <w:w w:val="97"/>
              </w:rPr>
              <w:t>(145)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Amounts recognized in Accumulated other comprehensive income (loss) consist of:</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 service credit (cost)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following table provides information for pension plans with projected benefit obligations in excess of plan assets and accumulated benefit obligations in excess of plan assets: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accumulated benefit obligation for all pension plans was $1.247 billion at July 28, 2024, and $1.24 billion at July 30, 2023.</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Weighted-average assumptions used to determine benefit obligations at the end of the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0" w:type="dxa"/>
            <w:vAlign w:val="bottom"/>
          </w:tcPr>
          <w:p>
            <w:pPr>
              <w:spacing w:after="0"/>
              <w:rPr>
                <w:sz w:val="15"/>
                <w:szCs w:val="15"/>
                <w:color w:val="auto"/>
              </w:rPr>
            </w:pPr>
          </w:p>
        </w:tc>
        <w:tc>
          <w:tcPr>
            <w:tcW w:w="170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20" w:type="dxa"/>
            <w:vAlign w:val="bottom"/>
            <w:gridSpan w:val="3"/>
          </w:tcPr>
          <w:p>
            <w:pPr>
              <w:jc w:val="center"/>
              <w:ind w:right="834"/>
              <w:spacing w:after="0"/>
              <w:rPr>
                <w:sz w:val="20"/>
                <w:szCs w:val="20"/>
                <w:color w:val="auto"/>
              </w:rPr>
            </w:pPr>
            <w:r>
              <w:rPr>
                <w:rFonts w:ascii="Times New Roman" w:cs="Times New Roman" w:eastAsia="Times New Roman" w:hAnsi="Times New Roman"/>
                <w:sz w:val="14"/>
                <w:szCs w:val="14"/>
                <w:b w:val="1"/>
                <w:bCs w:val="1"/>
                <w:color w:val="auto"/>
                <w:w w:val="96"/>
              </w:rPr>
              <w:t>Postretirement</w:t>
            </w:r>
          </w:p>
        </w:tc>
      </w:tr>
      <w:tr>
        <w:trPr>
          <w:trHeight w:val="22"/>
        </w:trPr>
        <w:tc>
          <w:tcPr>
            <w:tcW w:w="5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r>
      <w:tr>
        <w:trPr>
          <w:trHeight w:val="181"/>
        </w:trPr>
        <w:tc>
          <w:tcPr>
            <w:tcW w:w="56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7"/>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5.28%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right="218"/>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7"/>
                <w:szCs w:val="17"/>
                <w:b w:val="1"/>
                <w:bCs w:val="1"/>
                <w:color w:val="auto"/>
              </w:rPr>
              <w:t>5.23%</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5.47%</w:t>
            </w:r>
          </w:p>
        </w:tc>
      </w:tr>
      <w:tr>
        <w:trPr>
          <w:trHeight w:val="21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3.23%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right="218"/>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7"/>
                <w:szCs w:val="17"/>
                <w:b w:val="1"/>
                <w:bCs w:val="1"/>
                <w:color w:val="auto"/>
              </w:rPr>
              <w:t>3.25%</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7"/>
                <w:szCs w:val="17"/>
                <w:color w:val="auto"/>
              </w:rPr>
              <w:t>3.25%</w:t>
            </w: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crediting rate</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8"/>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7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Not applicable</w:t>
            </w:r>
          </w:p>
        </w:tc>
      </w:tr>
      <w:tr>
        <w:trPr>
          <w:trHeight w:val="374"/>
        </w:trPr>
        <w:tc>
          <w:tcPr>
            <w:tcW w:w="730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Weighted-average assumptions used to determine net periodic benefit cost for the years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6"/>
        </w:trPr>
        <w:tc>
          <w:tcPr>
            <w:tcW w:w="5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
        </w:trPr>
        <w:tc>
          <w:tcPr>
            <w:tcW w:w="5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r>
      <w:tr>
        <w:trPr>
          <w:trHeight w:val="181"/>
        </w:trPr>
        <w:tc>
          <w:tcPr>
            <w:tcW w:w="5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17"/>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right="218"/>
              <w:spacing w:after="0"/>
              <w:rPr>
                <w:sz w:val="20"/>
                <w:szCs w:val="20"/>
                <w:color w:val="auto"/>
              </w:rPr>
            </w:pPr>
            <w:r>
              <w:rPr>
                <w:rFonts w:ascii="Times New Roman" w:cs="Times New Roman" w:eastAsia="Times New Roman" w:hAnsi="Times New Roman"/>
                <w:sz w:val="17"/>
                <w:szCs w:val="17"/>
                <w:b w:val="1"/>
                <w:bCs w:val="1"/>
                <w:color w:val="auto"/>
              </w:rPr>
              <w:t>5.46%</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7"/>
                <w:szCs w:val="17"/>
                <w:color w:val="auto"/>
              </w:rPr>
              <w:t>5.03%</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3.13%</w:t>
            </w:r>
          </w:p>
        </w:tc>
      </w:tr>
      <w:tr>
        <w:trPr>
          <w:trHeight w:val="219"/>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right="218"/>
              <w:spacing w:after="0"/>
              <w:rPr>
                <w:sz w:val="20"/>
                <w:szCs w:val="20"/>
                <w:color w:val="auto"/>
              </w:rPr>
            </w:pPr>
            <w:r>
              <w:rPr>
                <w:rFonts w:ascii="Times New Roman" w:cs="Times New Roman" w:eastAsia="Times New Roman" w:hAnsi="Times New Roman"/>
                <w:sz w:val="17"/>
                <w:szCs w:val="17"/>
                <w:b w:val="1"/>
                <w:bCs w:val="1"/>
                <w:color w:val="auto"/>
              </w:rPr>
              <w:t>6.38%</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7"/>
                <w:szCs w:val="17"/>
                <w:color w:val="auto"/>
              </w:rPr>
              <w:t>6.40%</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7"/>
                <w:szCs w:val="17"/>
                <w:color w:val="auto"/>
              </w:rPr>
              <w:t>5.82%</w:t>
            </w: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218"/>
              <w:spacing w:after="0"/>
              <w:rPr>
                <w:sz w:val="20"/>
                <w:szCs w:val="20"/>
                <w:color w:val="auto"/>
              </w:rPr>
            </w:pPr>
            <w:r>
              <w:rPr>
                <w:rFonts w:ascii="Times New Roman" w:cs="Times New Roman" w:eastAsia="Times New Roman" w:hAnsi="Times New Roman"/>
                <w:sz w:val="17"/>
                <w:szCs w:val="17"/>
                <w:b w:val="1"/>
                <w:bCs w:val="1"/>
                <w:color w:val="auto"/>
              </w:rPr>
              <w:t>3.23%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7"/>
                <w:szCs w:val="17"/>
                <w:color w:val="auto"/>
              </w:rPr>
              <w:t>3.23%</w:t>
            </w:r>
          </w:p>
        </w:tc>
        <w:tc>
          <w:tcPr>
            <w:tcW w:w="1820" w:type="dxa"/>
            <w:vAlign w:val="bottom"/>
            <w:gridSpan w:val="3"/>
            <w:shd w:val="clear" w:color="auto" w:fill="CCEEFF"/>
          </w:tcPr>
          <w:p>
            <w:pPr>
              <w:jc w:val="center"/>
              <w:ind w:left="422"/>
              <w:spacing w:after="0"/>
              <w:rPr>
                <w:sz w:val="20"/>
                <w:szCs w:val="20"/>
                <w:color w:val="auto"/>
              </w:rPr>
            </w:pPr>
            <w:r>
              <w:rPr>
                <w:rFonts w:ascii="Times New Roman" w:cs="Times New Roman" w:eastAsia="Times New Roman" w:hAnsi="Times New Roman"/>
                <w:sz w:val="17"/>
                <w:szCs w:val="17"/>
                <w:color w:val="auto"/>
              </w:rPr>
              <w:t>3.23%</w:t>
            </w:r>
          </w:p>
        </w:tc>
      </w:tr>
      <w:tr>
        <w:trPr>
          <w:trHeight w:val="227"/>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crediting rate</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right="218"/>
              <w:spacing w:after="0"/>
              <w:rPr>
                <w:sz w:val="20"/>
                <w:szCs w:val="20"/>
                <w:color w:val="auto"/>
              </w:rPr>
            </w:pPr>
            <w:r>
              <w:rPr>
                <w:rFonts w:ascii="Times New Roman" w:cs="Times New Roman" w:eastAsia="Times New Roman" w:hAnsi="Times New Roman"/>
                <w:sz w:val="17"/>
                <w:szCs w:val="17"/>
                <w:b w:val="1"/>
                <w:bCs w:val="1"/>
                <w:color w:val="auto"/>
              </w:rPr>
              <w:t>4.00%</w:t>
            </w:r>
          </w:p>
        </w:tc>
        <w:tc>
          <w:tcPr>
            <w:tcW w:w="100" w:type="dxa"/>
            <w:vAlign w:val="bottom"/>
          </w:tcPr>
          <w:p>
            <w:pPr>
              <w:spacing w:after="0"/>
              <w:rPr>
                <w:sz w:val="19"/>
                <w:szCs w:val="19"/>
                <w:color w:val="auto"/>
              </w:rPr>
            </w:pP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7"/>
                <w:szCs w:val="17"/>
                <w:color w:val="auto"/>
              </w:rPr>
              <w:t>4.00%</w:t>
            </w:r>
          </w:p>
        </w:tc>
        <w:tc>
          <w:tcPr>
            <w:tcW w:w="1820" w:type="dxa"/>
            <w:vAlign w:val="bottom"/>
            <w:gridSpan w:val="3"/>
          </w:tcPr>
          <w:p>
            <w:pPr>
              <w:jc w:val="center"/>
              <w:ind w:left="422"/>
              <w:spacing w:after="0"/>
              <w:rPr>
                <w:sz w:val="20"/>
                <w:szCs w:val="20"/>
                <w:color w:val="auto"/>
              </w:rPr>
            </w:pPr>
            <w:r>
              <w:rPr>
                <w:rFonts w:ascii="Times New Roman" w:cs="Times New Roman" w:eastAsia="Times New Roman" w:hAnsi="Times New Roman"/>
                <w:sz w:val="17"/>
                <w:szCs w:val="17"/>
                <w:color w:val="auto"/>
              </w:rPr>
              <w:t>4.00%</w:t>
            </w:r>
          </w:p>
        </w:tc>
      </w:tr>
    </w:tbl>
    <w:p>
      <w:pPr>
        <w:spacing w:after="0" w:line="143" w:lineRule="exact"/>
        <w:rPr>
          <w:sz w:val="20"/>
          <w:szCs w:val="20"/>
          <w:color w:val="auto"/>
        </w:rPr>
      </w:pPr>
    </w:p>
    <w:p>
      <w:pPr>
        <w:jc w:val="both"/>
        <w:ind w:firstLine="309"/>
        <w:spacing w:after="0" w:line="262" w:lineRule="auto"/>
        <w:rPr>
          <w:sz w:val="20"/>
          <w:szCs w:val="20"/>
          <w:color w:val="auto"/>
        </w:rPr>
      </w:pPr>
      <w:r>
        <w:rPr>
          <w:rFonts w:ascii="Times New Roman" w:cs="Times New Roman" w:eastAsia="Times New Roman" w:hAnsi="Times New Roman"/>
          <w:sz w:val="17"/>
          <w:szCs w:val="17"/>
          <w:color w:val="auto"/>
        </w:rPr>
        <w:t>The discount rate is established as of the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2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discount rate used to determine net periodic postretirement expense was 5.47% in 2024, 4.48% in 2023, and 2.37% in 2022.</w:t>
      </w:r>
    </w:p>
    <w:p>
      <w:pPr>
        <w:spacing w:after="0" w:line="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Assumed health care cost trend rates at the end of the year: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4380" w:type="dxa"/>
            <w:vAlign w:val="bottom"/>
            <w:gridSpan w:val="2"/>
          </w:tcPr>
          <w:p>
            <w:pPr>
              <w:jc w:val="center"/>
              <w:ind w:left="29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Health care cost trend rate assumed for next year</w:t>
            </w:r>
          </w:p>
        </w:tc>
        <w:tc>
          <w:tcPr>
            <w:tcW w:w="306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6.50%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Pr>
          <w:p>
            <w:pPr>
              <w:spacing w:after="0"/>
              <w:rPr>
                <w:sz w:val="18"/>
                <w:szCs w:val="18"/>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Rate to which the cost trend rate is assumed to decline (ultimate trend rate)</w:t>
            </w:r>
          </w:p>
        </w:tc>
        <w:tc>
          <w:tcPr>
            <w:tcW w:w="4380" w:type="dxa"/>
            <w:vAlign w:val="bottom"/>
            <w:gridSpan w:val="2"/>
          </w:tcPr>
          <w:p>
            <w:pPr>
              <w:jc w:val="center"/>
              <w:ind w:left="2978"/>
              <w:spacing w:after="0"/>
              <w:rPr>
                <w:sz w:val="20"/>
                <w:szCs w:val="20"/>
                <w:color w:val="auto"/>
              </w:rPr>
            </w:pPr>
            <w:r>
              <w:rPr>
                <w:rFonts w:ascii="Times New Roman" w:cs="Times New Roman" w:eastAsia="Times New Roman" w:hAnsi="Times New Roman"/>
                <w:sz w:val="17"/>
                <w:szCs w:val="17"/>
                <w:b w:val="1"/>
                <w:bCs w:val="1"/>
                <w:color w:val="auto"/>
              </w:rPr>
              <w:t>5.00%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that the rate reaches the ultimate trend rate</w:t>
            </w:r>
          </w:p>
        </w:tc>
        <w:tc>
          <w:tcPr>
            <w:tcW w:w="4380" w:type="dxa"/>
            <w:vAlign w:val="bottom"/>
            <w:gridSpan w:val="2"/>
            <w:shd w:val="clear" w:color="auto" w:fill="CCEEFF"/>
          </w:tcPr>
          <w:p>
            <w:pPr>
              <w:jc w:val="center"/>
              <w:ind w:left="2998"/>
              <w:spacing w:after="0"/>
              <w:rPr>
                <w:sz w:val="20"/>
                <w:szCs w:val="20"/>
                <w:color w:val="auto"/>
              </w:rPr>
            </w:pPr>
            <w:r>
              <w:rPr>
                <w:rFonts w:ascii="Times New Roman" w:cs="Times New Roman" w:eastAsia="Times New Roman" w:hAnsi="Times New Roman"/>
                <w:sz w:val="17"/>
                <w:szCs w:val="17"/>
                <w:b w:val="1"/>
                <w:bCs w:val="1"/>
                <w:color w:val="auto"/>
                <w:w w:val="99"/>
              </w:rPr>
              <w:t>2030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2030</w:t>
            </w:r>
          </w:p>
        </w:tc>
        <w:tc>
          <w:tcPr>
            <w:tcW w:w="80" w:type="dxa"/>
            <w:vAlign w:val="bottom"/>
          </w:tcPr>
          <w:p>
            <w:pPr>
              <w:spacing w:after="0"/>
              <w:rPr>
                <w:sz w:val="19"/>
                <w:szCs w:val="19"/>
                <w:color w:val="auto"/>
              </w:rPr>
            </w:pPr>
          </w:p>
        </w:tc>
      </w:tr>
      <w:tr>
        <w:trPr>
          <w:trHeight w:val="735"/>
        </w:trPr>
        <w:tc>
          <w:tcPr>
            <w:tcW w:w="5360" w:type="dxa"/>
            <w:vAlign w:val="bottom"/>
          </w:tcPr>
          <w:p>
            <w:pPr>
              <w:spacing w:after="0"/>
              <w:rPr>
                <w:sz w:val="24"/>
                <w:szCs w:val="24"/>
                <w:color w:val="auto"/>
              </w:rPr>
            </w:pPr>
          </w:p>
        </w:tc>
        <w:tc>
          <w:tcPr>
            <w:tcW w:w="3060" w:type="dxa"/>
            <w:vAlign w:val="bottom"/>
          </w:tcPr>
          <w:p>
            <w:pPr>
              <w:jc w:val="right"/>
              <w:ind w:right="2638"/>
              <w:spacing w:after="0"/>
              <w:rPr>
                <w:sz w:val="20"/>
                <w:szCs w:val="20"/>
                <w:color w:val="auto"/>
              </w:rPr>
            </w:pPr>
            <w:r>
              <w:rPr>
                <w:rFonts w:ascii="Times New Roman" w:cs="Times New Roman" w:eastAsia="Times New Roman" w:hAnsi="Times New Roman"/>
                <w:sz w:val="17"/>
                <w:szCs w:val="17"/>
                <w:color w:val="auto"/>
              </w:rPr>
              <w:t>57</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5360" w:type="dxa"/>
            <w:vAlign w:val="bottom"/>
            <w:tcBorders>
              <w:bottom w:val="single" w:sz="8" w:color="9A9A9A"/>
            </w:tcBorders>
          </w:tcPr>
          <w:p>
            <w:pPr>
              <w:spacing w:after="0"/>
              <w:rPr>
                <w:sz w:val="17"/>
                <w:szCs w:val="17"/>
                <w:color w:val="auto"/>
              </w:rPr>
            </w:pPr>
          </w:p>
        </w:tc>
        <w:tc>
          <w:tcPr>
            <w:tcW w:w="306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7" w:name="page58"/>
    <w:bookmarkEnd w:id="57"/>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Pension Plan Assets</w:t>
      </w:r>
    </w:p>
    <w:p>
      <w:pPr>
        <w:spacing w:after="0" w:line="9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fundamental goal underlying the investment policy is to ensure that the assets of the plans are invested in a prudent manner to earn a rate of return over time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volatility of pension assets relative to pension liabilities, and to follow investment practices that comply with applicable laws and regulations.</w:t>
      </w:r>
    </w:p>
    <w:p>
      <w:pPr>
        <w:spacing w:after="0" w:line="5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primary policy objectives will be met by investing assets to achieve a reasonable tradeoff between return and risk relative to plan obligations, including investing a portion of the assets in funds selected in part to hedge the interest rate sensitivity to plan obligations.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portfolio includes investments in the following asset classes: fixed income, equity, real estate and alternatives. Fixed income investments provide a moderate expected return and hedge the exposure to interest rate risk of the plans’ obligations. Equities are used for their high expected return. Additional asset classes are used to provide diversification.</w:t>
      </w:r>
    </w:p>
    <w:p>
      <w:pPr>
        <w:spacing w:after="0" w:line="3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Asset allocation is monitored on an ongoing basis relative to the established asset class targets. The interaction between plan assets and benefit obligations is periodically studied to assist in the establishment of strategic asset allocation targets. A key element of our investment strategy is to reduce our funded status risk in part through appropriate asset allocation within our plan assets.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year-end pension plan weighted-average asset allocations by category were: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Strategic Target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27%</w:t>
            </w: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securities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73%</w:t>
            </w: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66%</w:t>
            </w: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and other</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7%</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7%</w:t>
            </w:r>
          </w:p>
        </w:tc>
      </w:tr>
      <w:tr>
        <w:trPr>
          <w:trHeight w:val="212"/>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100%</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Pension plan assets are categorized based on the following fair value hierarchy:</w:t>
      </w:r>
    </w:p>
    <w:p>
      <w:pPr>
        <w:spacing w:after="0" w:line="101" w:lineRule="exact"/>
        <w:rPr>
          <w:sz w:val="20"/>
          <w:szCs w:val="20"/>
          <w:color w:val="auto"/>
        </w:rPr>
      </w:pPr>
    </w:p>
    <w:p>
      <w:pPr>
        <w:ind w:left="620" w:hanging="30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87"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in Level 1 that are observable for the asset or liability through corroboration with observable market data.</w:t>
      </w:r>
    </w:p>
    <w:p>
      <w:pPr>
        <w:spacing w:after="0" w:line="288"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which are valued based on our estimates of assumptions that market participants would use in pricing the asset or liability.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7"/>
          <w:szCs w:val="17"/>
          <w:color w:val="auto"/>
        </w:rPr>
        <w:t>The following table presents our pension plan assets by asset category at July 28, 2024, and July 30,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8"/>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6"/>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July 28, 2024 Using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6"/>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8"/>
              </w:rPr>
              <w:t>July 30, 2023 Using</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20" w:type="dxa"/>
            <w:vAlign w:val="bottom"/>
            <w:gridSpan w:val="7"/>
            <w:vMerge w:val="restart"/>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60" w:type="dxa"/>
            <w:vAlign w:val="bottom"/>
            <w:gridSpan w:val="7"/>
            <w:vMerge w:val="restart"/>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6"/>
              <w:spacing w:after="0" w:line="121" w:lineRule="exact"/>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7"/>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6"/>
              <w:spacing w:after="0" w:line="121" w:lineRule="exact"/>
              <w:rPr>
                <w:sz w:val="20"/>
                <w:szCs w:val="20"/>
                <w:color w:val="auto"/>
              </w:rPr>
            </w:pPr>
            <w:r>
              <w:rPr>
                <w:rFonts w:ascii="Times New Roman" w:cs="Times New Roman" w:eastAsia="Times New Roman" w:hAnsi="Times New Roman"/>
                <w:sz w:val="13"/>
                <w:szCs w:val="13"/>
                <w:b w:val="1"/>
                <w:bCs w:val="1"/>
                <w:color w:val="auto"/>
              </w:rPr>
              <w:t>as of</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7"/>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July 28,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July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80" w:type="dxa"/>
            <w:vAlign w:val="bottom"/>
          </w:tcPr>
          <w:p>
            <w:pPr>
              <w:spacing w:after="0"/>
              <w:rPr>
                <w:sz w:val="16"/>
                <w:szCs w:val="16"/>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7"/>
        </w:trPr>
        <w:tc>
          <w:tcPr>
            <w:tcW w:w="35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Equities: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Non-U.S.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bonds: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Non-U.S.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Government and agency bonds: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Non-U.S.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bonds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Mortgage and asset backed securities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 estate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Hedge funds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assets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liabilities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Investments measured at net asset value:</w:t>
            </w: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Commingled equity funds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Commingled fixed income funds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Real estate</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Hedge funds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investments measured at net asset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items to reconcile to fair value</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pension plan assets at fair value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Short-term investments — </w:t>
      </w:r>
      <w:r>
        <w:rPr>
          <w:rFonts w:ascii="Times New Roman" w:cs="Times New Roman" w:eastAsia="Times New Roman" w:hAnsi="Times New Roman"/>
          <w:sz w:val="17"/>
          <w:szCs w:val="17"/>
          <w:color w:val="auto"/>
        </w:rPr>
        <w:t>Investments include cash and cash equivalents, and various short-term debt instruments and short-term investment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Institutional short-term investment vehicles valued daily are classified as Level 1 at cost which approximates market value. Short-term debt instruments are classified at Level 2 and are valued based on bid quotations and recent trade data for identical or similar obligations. Other investments valued based upon net asset value are included as a reconciling item to the fair value table.</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Equities — </w:t>
      </w:r>
      <w:r>
        <w:rPr>
          <w:rFonts w:ascii="Times New Roman" w:cs="Times New Roman" w:eastAsia="Times New Roman" w:hAnsi="Times New Roman"/>
          <w:sz w:val="17"/>
          <w:szCs w:val="17"/>
          <w:color w:val="auto"/>
        </w:rPr>
        <w:t>Generally common stocks and preferred stocks are classified as Level 1 and are valued using quoted market prices in active markets.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Corporate bonds — </w:t>
      </w:r>
      <w:r>
        <w:rPr>
          <w:rFonts w:ascii="Times New Roman" w:cs="Times New Roman" w:eastAsia="Times New Roman" w:hAnsi="Times New Roman"/>
          <w:sz w:val="17"/>
          <w:szCs w:val="17"/>
          <w:color w:val="auto"/>
        </w:rPr>
        <w:t>These investments are valued based on quoted market prices, yield curves and pricing models using current market rates.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Government and agency bonds — </w:t>
      </w:r>
      <w:r>
        <w:rPr>
          <w:rFonts w:ascii="Times New Roman" w:cs="Times New Roman" w:eastAsia="Times New Roman" w:hAnsi="Times New Roman"/>
          <w:sz w:val="17"/>
          <w:szCs w:val="17"/>
          <w:color w:val="auto"/>
        </w:rPr>
        <w:t>These investments are generally valued based on bid quotations and recent trade data for identical or similar obligations.</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Municipal bonds — </w:t>
      </w:r>
      <w:r>
        <w:rPr>
          <w:rFonts w:ascii="Times New Roman" w:cs="Times New Roman" w:eastAsia="Times New Roman" w:hAnsi="Times New Roman"/>
          <w:sz w:val="17"/>
          <w:szCs w:val="17"/>
          <w:color w:val="auto"/>
        </w:rPr>
        <w:t>These investments are valued based on quoted market prices, yield curves and pricing models using current market rates.</w:t>
      </w:r>
    </w:p>
    <w:p>
      <w:pPr>
        <w:spacing w:after="0" w:line="101" w:lineRule="exact"/>
        <w:rPr>
          <w:sz w:val="20"/>
          <w:szCs w:val="20"/>
          <w:color w:val="auto"/>
        </w:rPr>
      </w:pPr>
    </w:p>
    <w:p>
      <w:pPr>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Mortgage and asset backed securities — </w:t>
      </w:r>
      <w:r>
        <w:rPr>
          <w:rFonts w:ascii="Times New Roman" w:cs="Times New Roman" w:eastAsia="Times New Roman" w:hAnsi="Times New Roman"/>
          <w:sz w:val="17"/>
          <w:szCs w:val="17"/>
          <w:color w:val="auto"/>
        </w:rPr>
        <w:t>These investments are valued based on prices obtained from third party pricing sources. The prices from third 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sources may be based on bid quotes from dealers and recent trade data. Mortgage backed securities are traded in the over-the-counter market.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59" w:name="page60"/>
    <w:bookmarkEnd w:id="59"/>
    <w:p>
      <w:pPr>
        <w:jc w:val="both"/>
        <w:ind w:firstLine="30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Real estate — </w:t>
      </w:r>
      <w:r>
        <w:rPr>
          <w:rFonts w:ascii="Times New Roman" w:cs="Times New Roman" w:eastAsia="Times New Roman" w:hAnsi="Times New Roman"/>
          <w:sz w:val="17"/>
          <w:szCs w:val="17"/>
          <w:color w:val="auto"/>
        </w:rPr>
        <w:t>Real estate investments consist of real estate investment trusts, property funds and limited partnerships. Real estate investment trusts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classified as Level 1 and are valued based on quoted market prices. Property funds are classified as either Level 2 or Level 3 depending upon whether liquidity is limited or there are few observable market participant transactions. Property funds are valued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43" w:lineRule="exact"/>
        <w:rPr>
          <w:sz w:val="20"/>
          <w:szCs w:val="20"/>
          <w:color w:val="auto"/>
        </w:rPr>
      </w:pPr>
    </w:p>
    <w:p>
      <w:pPr>
        <w:jc w:val="both"/>
        <w:ind w:firstLine="30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Hedge funds — </w:t>
      </w:r>
      <w:r>
        <w:rPr>
          <w:rFonts w:ascii="Times New Roman" w:cs="Times New Roman" w:eastAsia="Times New Roman" w:hAnsi="Times New Roman"/>
          <w:sz w:val="17"/>
          <w:szCs w:val="17"/>
          <w:color w:val="auto"/>
        </w:rPr>
        <w:t>Hedge fund investments include hedge funds valued based upon a net asset value derived from the fair value of underlying securities. Hedge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51"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Derivatives — </w:t>
      </w:r>
      <w:r>
        <w:rPr>
          <w:rFonts w:ascii="Times New Roman" w:cs="Times New Roman" w:eastAsia="Times New Roman" w:hAnsi="Times New Roman"/>
          <w:sz w:val="17"/>
          <w:szCs w:val="17"/>
          <w:color w:val="auto"/>
        </w:rPr>
        <w:t>Derivative financial instruments include forward currency contracts, futures contracts, options contracts, interest rate swaps and credit default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swaps. Derivative financial instruments are classified as Level 2 and are valued based on observable market transactions or prices.</w:t>
      </w:r>
    </w:p>
    <w:p>
      <w:pPr>
        <w:spacing w:after="0" w:line="28" w:lineRule="exact"/>
        <w:rPr>
          <w:sz w:val="20"/>
          <w:szCs w:val="20"/>
          <w:color w:val="auto"/>
        </w:rPr>
      </w:pPr>
    </w:p>
    <w:p>
      <w:pPr>
        <w:jc w:val="both"/>
        <w:ind w:firstLine="309"/>
        <w:spacing w:after="0" w:line="291" w:lineRule="auto"/>
        <w:rPr>
          <w:sz w:val="20"/>
          <w:szCs w:val="20"/>
          <w:color w:val="auto"/>
        </w:rPr>
      </w:pPr>
      <w:r>
        <w:rPr>
          <w:rFonts w:ascii="Times New Roman" w:cs="Times New Roman" w:eastAsia="Times New Roman" w:hAnsi="Times New Roman"/>
          <w:sz w:val="17"/>
          <w:szCs w:val="17"/>
          <w:i w:val="1"/>
          <w:iCs w:val="1"/>
          <w:color w:val="auto"/>
        </w:rPr>
        <w:t xml:space="preserve">Commingled funds — </w:t>
      </w:r>
      <w:r>
        <w:rPr>
          <w:rFonts w:ascii="Times New Roman" w:cs="Times New Roman" w:eastAsia="Times New Roman" w:hAnsi="Times New Roman"/>
          <w:sz w:val="17"/>
          <w:szCs w:val="17"/>
          <w:color w:val="auto"/>
        </w:rPr>
        <w:t>Investments in commingled funds are not traded in active markets. Commingled funds are valued based on the net asset values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funds and are included as a reconciling item to the fair value table.</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items to reconcile to fair value of plan assets included amounts due for securities sold, amounts payable for securities purchased and other payables.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changes in fair value of Level 3 investments for the years ended July 28, 2024, and July 30,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Hedge Funds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July 30, 2023</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Actual return on plan assets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Purchases, sales and settlements, net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Transfers out of Level 3</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July 28, 2024</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Hedge Funds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July 31, 2022</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Actual return on plan assets</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sales and settlements,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Transfers out of Level 3</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July 30, 2023</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Estimated future benefit payments are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121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111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105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2030-2034</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484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future benefit payments include payments from funded and unfunded plans.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do not expect contributions to pension plans to be material in 2025.</w:t>
      </w:r>
    </w:p>
    <w:p>
      <w:pPr>
        <w:spacing w:after="0" w:line="97" w:lineRule="exact"/>
        <w:rPr>
          <w:sz w:val="20"/>
          <w:szCs w:val="20"/>
          <w:color w:val="auto"/>
        </w:rPr>
      </w:pPr>
    </w:p>
    <w:p>
      <w:pPr>
        <w:jc w:val="both"/>
        <w:ind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Defined Contribution Plans — </w:t>
      </w:r>
      <w:r>
        <w:rPr>
          <w:rFonts w:ascii="Times New Roman" w:cs="Times New Roman" w:eastAsia="Times New Roman" w:hAnsi="Times New Roman"/>
          <w:sz w:val="17"/>
          <w:szCs w:val="17"/>
          <w:color w:val="auto"/>
        </w:rPr>
        <w:t>We sponsor a 401(k) Retirement Plan that covers substantially all U.S. employees and provide a matching contribution of 100%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employee contributions up to 4% of eligible compensation. In addition, for employees not eligible to participate in defined benefit plans that we sponsor, we provide a contribution equal to 3% of eligible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60" w:name="page61"/>
    <w:bookmarkEnd w:id="60"/>
    <w:p>
      <w:pPr>
        <w:spacing w:after="0" w:line="286" w:lineRule="auto"/>
        <w:rPr>
          <w:sz w:val="20"/>
          <w:szCs w:val="20"/>
          <w:color w:val="auto"/>
        </w:rPr>
      </w:pPr>
      <w:r>
        <w:rPr>
          <w:rFonts w:ascii="Times New Roman" w:cs="Times New Roman" w:eastAsia="Times New Roman" w:hAnsi="Times New Roman"/>
          <w:sz w:val="17"/>
          <w:szCs w:val="17"/>
          <w:color w:val="auto"/>
        </w:rPr>
        <w:t>compensation regardless of their participation in the 401(k) Retirement Plan. Amounts charged to Costs and expenses were $73 million in both 2024 and 2023, and $69 million in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Leases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lease warehouse and distribution facilities, office space, manufacturing facilities, equipment and vehicles, primarily through operating leases.</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Leases recorded on our Consolidated Balance Sheet have remaining terms primarily from 1 to 11 years.</w:t>
      </w:r>
    </w:p>
    <w:p>
      <w:pPr>
        <w:spacing w:after="0" w:line="88"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Our fleet leases generally include residual value guarantees that are assessed at lease inception in determining ROU assets and corresponding liabilities. No other significant restrictions or covenants are included in our leases.</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lease costs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71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Operating lease cost</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 amortization of ROU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 interest on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12"/>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38" w:lineRule="exact"/>
        <w:rPr>
          <w:sz w:val="20"/>
          <w:szCs w:val="20"/>
          <w:color w:val="auto"/>
        </w:rPr>
      </w:pPr>
    </w:p>
    <w:p>
      <w:pPr>
        <w:ind w:left="300" w:hanging="297"/>
        <w:spacing w:after="0"/>
        <w:tabs>
          <w:tab w:leader="none" w:pos="300"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2024 excludes costs associated with the cost savings initiatives described in Note 8.</w:t>
      </w:r>
    </w:p>
    <w:p>
      <w:pPr>
        <w:spacing w:after="0" w:line="66"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following table summarizes the lease amounts recorded in the 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300" w:type="dxa"/>
            <w:vAlign w:val="bottom"/>
            <w:tcBorders>
              <w:bottom w:val="single" w:sz="8" w:color="CCEEFF"/>
            </w:tcBorders>
            <w:vMerge w:val="continue"/>
          </w:tcPr>
          <w:p>
            <w:pPr>
              <w:spacing w:after="0"/>
              <w:rPr>
                <w:sz w:val="15"/>
                <w:szCs w:val="15"/>
                <w:color w:val="auto"/>
              </w:rPr>
            </w:pPr>
          </w:p>
        </w:tc>
        <w:tc>
          <w:tcPr>
            <w:tcW w:w="24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Balance Sheet Classification</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 net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20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2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428"/>
        </w:trPr>
        <w:tc>
          <w:tcPr>
            <w:tcW w:w="5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Financing Leases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300" w:type="dxa"/>
            <w:vAlign w:val="bottom"/>
            <w:tcBorders>
              <w:bottom w:val="single" w:sz="8" w:color="CCEEFF"/>
            </w:tcBorders>
            <w:vMerge w:val="continue"/>
          </w:tcPr>
          <w:p>
            <w:pPr>
              <w:spacing w:after="0"/>
              <w:rPr>
                <w:sz w:val="15"/>
                <w:szCs w:val="15"/>
                <w:color w:val="auto"/>
              </w:rPr>
            </w:pPr>
          </w:p>
        </w:tc>
        <w:tc>
          <w:tcPr>
            <w:tcW w:w="24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Balance Sheet Classification</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 net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 net of depreciation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borrowings</w:t>
            </w:r>
          </w:p>
        </w:tc>
        <w:tc>
          <w:tcPr>
            <w:tcW w:w="120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20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Weighted-average lease terms and discount rates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36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5"/>
                <w:szCs w:val="15"/>
                <w:color w:val="auto"/>
              </w:rPr>
            </w:pPr>
          </w:p>
        </w:tc>
      </w:tr>
      <w:tr>
        <w:trPr>
          <w:trHeight w:val="22"/>
        </w:trPr>
        <w:tc>
          <w:tcPr>
            <w:tcW w:w="4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1"/>
        </w:trPr>
        <w:tc>
          <w:tcPr>
            <w:tcW w:w="4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00" w:type="dxa"/>
            <w:vAlign w:val="bottom"/>
            <w:tcBorders>
              <w:top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6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5"/>
                <w:szCs w:val="15"/>
                <w:color w:val="auto"/>
              </w:rPr>
            </w:pPr>
          </w:p>
        </w:tc>
        <w:tc>
          <w:tcPr>
            <w:tcW w:w="1420" w:type="dxa"/>
            <w:vAlign w:val="bottom"/>
            <w:tcBorders>
              <w:top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17"/>
        </w:trPr>
        <w:tc>
          <w:tcPr>
            <w:tcW w:w="4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Weighted-average remaining term in years</w:t>
            </w:r>
          </w:p>
        </w:tc>
        <w:tc>
          <w:tcPr>
            <w:tcW w:w="2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7"/>
                <w:szCs w:val="17"/>
                <w:b w:val="1"/>
                <w:bCs w:val="1"/>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2.6</w:t>
            </w:r>
          </w:p>
        </w:tc>
      </w:tr>
      <w:tr>
        <w:trPr>
          <w:trHeight w:val="227"/>
        </w:trPr>
        <w:tc>
          <w:tcPr>
            <w:tcW w:w="4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726"/>
        </w:trPr>
        <w:tc>
          <w:tcPr>
            <w:tcW w:w="4240" w:type="dxa"/>
            <w:vAlign w:val="bottom"/>
          </w:tcPr>
          <w:p>
            <w:pPr>
              <w:spacing w:after="0"/>
              <w:rPr>
                <w:sz w:val="24"/>
                <w:szCs w:val="24"/>
                <w:color w:val="auto"/>
              </w:rPr>
            </w:pPr>
          </w:p>
        </w:tc>
        <w:tc>
          <w:tcPr>
            <w:tcW w:w="212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rPr>
              <w:t>61</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8"/>
        </w:trPr>
        <w:tc>
          <w:tcPr>
            <w:tcW w:w="4240" w:type="dxa"/>
            <w:vAlign w:val="bottom"/>
            <w:tcBorders>
              <w:bottom w:val="single" w:sz="8" w:color="9A9A9A"/>
            </w:tcBorders>
          </w:tcPr>
          <w:p>
            <w:pPr>
              <w:spacing w:after="0"/>
              <w:rPr>
                <w:sz w:val="17"/>
                <w:szCs w:val="17"/>
                <w:color w:val="auto"/>
              </w:rPr>
            </w:pPr>
          </w:p>
        </w:tc>
        <w:tc>
          <w:tcPr>
            <w:tcW w:w="212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1" w:name="page62"/>
    <w:bookmarkEnd w:id="61"/>
    <w:p>
      <w:pPr>
        <w:ind w:left="320"/>
        <w:spacing w:after="0"/>
        <w:rPr>
          <w:sz w:val="20"/>
          <w:szCs w:val="20"/>
          <w:color w:val="auto"/>
        </w:rPr>
      </w:pPr>
      <w:r>
        <w:rPr>
          <w:rFonts w:ascii="Times New Roman" w:cs="Times New Roman" w:eastAsia="Times New Roman" w:hAnsi="Times New Roman"/>
          <w:sz w:val="17"/>
          <w:szCs w:val="17"/>
          <w:color w:val="auto"/>
        </w:rPr>
        <w:t>Future minimum lease payments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22"/>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undiscounted lease payments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imputed interest</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reported lease liability</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358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The following table summarizes cash flow and other information related to leases:</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95</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58"/>
        </w:trPr>
        <w:tc>
          <w:tcPr>
            <w:tcW w:w="8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ROU assets obtained in exchange for lease obligations: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153</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19"/>
        </w:trPr>
        <w:tc>
          <w:tcPr>
            <w:tcW w:w="8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58"/>
        </w:trPr>
        <w:tc>
          <w:tcPr>
            <w:tcW w:w="8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8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ROU assets obtained with business acquired:</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85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Taxes on Earnings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for income taxes on earnings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48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3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Currently payable:</w:t>
            </w: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8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Non-U.S.</w:t>
            </w:r>
          </w:p>
        </w:tc>
        <w:tc>
          <w:tcPr>
            <w:tcW w:w="35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tcBorders>
              <w:bottom w:val="single" w:sz="8" w:color="CCEEFF"/>
            </w:tcBorders>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w:t>
            </w:r>
          </w:p>
        </w:tc>
        <w:tc>
          <w:tcPr>
            <w:tcW w:w="3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3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Non-U.S.</w:t>
            </w:r>
          </w:p>
        </w:tc>
        <w:tc>
          <w:tcPr>
            <w:tcW w:w="35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520" w:type="dxa"/>
            <w:vAlign w:val="bottom"/>
            <w:vMerge w:val="restart"/>
          </w:tcPr>
          <w:p>
            <w:pPr>
              <w:jc w:val="right"/>
              <w:ind w:right="1214"/>
              <w:spacing w:after="0"/>
              <w:rPr>
                <w:sz w:val="20"/>
                <w:szCs w:val="20"/>
                <w:color w:val="auto"/>
              </w:rPr>
            </w:pPr>
            <w:r>
              <w:rPr>
                <w:rFonts w:ascii="Times New Roman" w:cs="Times New Roman" w:eastAsia="Times New Roman" w:hAnsi="Times New Roman"/>
                <w:sz w:val="17"/>
                <w:szCs w:val="17"/>
                <w:color w:val="auto"/>
              </w:rPr>
              <w:t>62</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348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80" w:type="dxa"/>
            <w:vAlign w:val="bottom"/>
            <w:tcBorders>
              <w:bottom w:val="single" w:sz="8" w:color="9A9A9A"/>
            </w:tcBorders>
          </w:tcPr>
          <w:p>
            <w:pPr>
              <w:spacing w:after="0"/>
              <w:rPr>
                <w:sz w:val="17"/>
                <w:szCs w:val="17"/>
                <w:color w:val="auto"/>
              </w:rPr>
            </w:pPr>
          </w:p>
        </w:tc>
        <w:tc>
          <w:tcPr>
            <w:tcW w:w="35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20" w:type="dxa"/>
            <w:vAlign w:val="bottom"/>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r>
      <w:tr>
        <w:trPr>
          <w:trHeight w:val="21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Non-U.S.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2"/>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8480" w:type="dxa"/>
            <w:vAlign w:val="bottom"/>
            <w:gridSpan w:val="4"/>
          </w:tcPr>
          <w:p>
            <w:pPr>
              <w:ind w:left="300"/>
              <w:spacing w:after="0"/>
              <w:rPr>
                <w:sz w:val="20"/>
                <w:szCs w:val="20"/>
                <w:color w:val="auto"/>
              </w:rPr>
            </w:pPr>
            <w:r>
              <w:rPr>
                <w:rFonts w:ascii="Times New Roman" w:cs="Times New Roman" w:eastAsia="Times New Roman" w:hAnsi="Times New Roman"/>
                <w:sz w:val="17"/>
                <w:szCs w:val="17"/>
                <w:color w:val="auto"/>
              </w:rPr>
              <w:t>The following is a reconciliation of the effective income tax rate to the U.S. federal statutory income tax rate: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7080" w:type="dxa"/>
            <w:vAlign w:val="bottom"/>
            <w:tcBorders>
              <w:bottom w:val="single" w:sz="8" w:color="CCEEFF"/>
            </w:tcBorders>
            <w:gridSpan w:val="2"/>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2"/>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21.0 %</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tax benefit)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effect of international items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 income tax law changes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70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Nondeductible executive compensation</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0.5</w:t>
            </w:r>
          </w:p>
        </w:tc>
      </w:tr>
      <w:tr>
        <w:trPr>
          <w:trHeight w:val="219"/>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(0.4)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25.1 %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__________________________________________</w:t>
      </w:r>
    </w:p>
    <w:p>
      <w:pPr>
        <w:spacing w:after="0" w:line="38" w:lineRule="exact"/>
        <w:rPr>
          <w:sz w:val="20"/>
          <w:szCs w:val="20"/>
          <w:color w:val="auto"/>
        </w:rPr>
      </w:pPr>
    </w:p>
    <w:p>
      <w:pPr>
        <w:ind w:left="300" w:hanging="297"/>
        <w:spacing w:after="0"/>
        <w:tabs>
          <w:tab w:leader="none" w:pos="30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increase in 2024 is associated with the acquisition of Sovos Brands.</w:t>
      </w:r>
    </w:p>
    <w:p>
      <w:pPr>
        <w:spacing w:after="0" w:line="6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On August 16, 2022, the Inflation Reduction Act (IRA) was signed into law. The IRA introduces a corporate alternative minimum tax beginning in 2024, a 1% excise tax on share repurchases in excess of issuances after January 1, 2023, and several tax incentives to promote clean energy. Any excise tax incurred is recognized as part of the cost basis of the shares acquired in the Consolidated Statements of Equity. The provisions of the IRA did not have a material impact on our consolidated financial statements.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Deferred tax liabilities and assets are comprised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5"/>
                <w:szCs w:val="15"/>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ROU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Benefits and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loss carryforwards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loss carryforwards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2"/>
        </w:trPr>
        <w:tc>
          <w:tcPr>
            <w:tcW w:w="8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12"/>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At July 28, 2024, our U.S. and non-U.S. subsidiaries had tax loss carryforwards of approximately $145 million. Of these carryforwards, $13 million may be carried forward indefinitely, and $132 million expire between 2025 and 2045, with the majority expiring after 2028. At July 28, 2024, deferred tax asset valuation allowances have been established to offset $41 million of these tax loss carryforwards. Additionally, as of July 28, 2024, our U.S. and non-U.S. subsidiaries had capital loss carryforwards of approximately $123 million, all of which were offset by valuation allowances. Of these capital loss carryforwards, $77 million expire in 2026, and $46 million may be carried forward indefinitely.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3" w:name="page64"/>
    <w:bookmarkEnd w:id="63"/>
    <w:p>
      <w:pPr>
        <w:jc w:val="both"/>
        <w:ind w:firstLine="309"/>
        <w:spacing w:after="0" w:line="243" w:lineRule="auto"/>
        <w:rPr>
          <w:sz w:val="20"/>
          <w:szCs w:val="20"/>
          <w:color w:val="auto"/>
        </w:rPr>
      </w:pPr>
      <w:r>
        <w:rPr>
          <w:rFonts w:ascii="Times New Roman" w:cs="Times New Roman" w:eastAsia="Times New Roman" w:hAnsi="Times New Roman"/>
          <w:sz w:val="17"/>
          <w:szCs w:val="17"/>
          <w:color w:val="auto"/>
        </w:rPr>
        <w:t>The net change in the deferred tax asset valuation allowance in 2024 was a decrease of $100 million. The decrease was primarily due to the expiration of capital loss carryforwards in 2024. The net change in the deferred tax asset valuation allowance in 2023 was a decrease of $2 million. The decrease was primarily due to state tax loss carryforwards. The net change in the deferred tax asset valuation allowance in 2022 was a decrease of $11 million. The decrease was primarily due to the liquidation of an inactive subsidiary.</w:t>
      </w:r>
    </w:p>
    <w:p>
      <w:pPr>
        <w:spacing w:after="0" w:line="7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As of July 30, 2023, other deferred tax assets included $12 million of state tax credit carryforwards. As of July 30, 2023, deferred tax asset valuation allowances had been established to offset the state tax credit carryforwards. As of July 28, 2024, the state tax credit carryforwards have expired.</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As of July 28, 2024, we had approximately $11 million of undistributed earnings of foreign subsidiaries which are deemed to be permanently reinvested and for which we have not recognized a deferred tax liability. We estimate that the tax liability that might be incurred if permanently reinvested earnings were remitted to the U.S. would not be material. Foreign subsidiary earnings in 2021 and thereafter are not considered permanently reinvested and we have therefore recognized a deferred tax liability and expense.</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activity related to unrecognized tax benefits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Increases related to prior-year tax positions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Decreases related to prior-year tax positions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Increases related to current-year tax positions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Settlements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Lapse of statute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amount of unrecognized tax benefits that, if recognized, would impact the annual effective tax rate was $14 million as of July 28, 2024, and $12 million as of July 30, 2023, and July 31, 2022. The total amount of unrecognized tax benefits can change due to audit settlements, tax examination activities, statute expirations and the recognition and measurement criteria under accounting for uncertainty in income taxes.</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Our accounting policy for interest and penalties attributable to income taxes is to reflect any expense or benefit as a component of our income tax provision. The total amount of interest and penalties recognized in the Consolidated Statements of Earnings was not material in 2024, 2023, and 2022. The total amount of interest and penalties recognized in the Consolidated Balance Sheets in Other liabilities was $6 million as of July 28, 2024, and $5 million as of July 30, 2023.</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file income tax returns in the U.S. federal jurisdiction and various state and non-U.S. jurisdictions. In the normal course of business, we are subject to examination by taxing authorities, including the U.S. and Canada. With limited exceptions, we have been audited for income tax purposes in the U.S. through 2021 and in Canada through 2016. In addition, several state income tax examinations are in progress for the years 2015 to 2023.</w:t>
      </w:r>
    </w:p>
    <w:p>
      <w:pPr>
        <w:spacing w:after="0" w:line="34" w:lineRule="exact"/>
        <w:rPr>
          <w:sz w:val="20"/>
          <w:szCs w:val="20"/>
          <w:color w:val="auto"/>
        </w:rPr>
      </w:pPr>
    </w:p>
    <w:p>
      <w:pPr>
        <w:ind w:left="320" w:right="7640" w:hanging="317"/>
        <w:spacing w:after="0" w:line="384" w:lineRule="auto"/>
        <w:tabs>
          <w:tab w:leader="none" w:pos="268"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Short-term Borrowings and Long-term Debt </w:t>
      </w:r>
      <w:r>
        <w:rPr>
          <w:rFonts w:ascii="Times New Roman" w:cs="Times New Roman" w:eastAsia="Times New Roman" w:hAnsi="Times New Roman"/>
          <w:sz w:val="17"/>
          <w:szCs w:val="17"/>
          <w:color w:val="auto"/>
        </w:rPr>
        <w:t>Short-term borrowings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804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8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short-term borrowings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32" w:lineRule="exact"/>
        <w:rPr>
          <w:sz w:val="20"/>
          <w:szCs w:val="20"/>
          <w:color w:val="auto"/>
        </w:rPr>
      </w:pPr>
    </w:p>
    <w:p>
      <w:pPr>
        <w:ind w:left="300" w:hanging="297"/>
        <w:spacing w:after="0"/>
        <w:tabs>
          <w:tab w:leader="none" w:pos="30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unamortized net discount/premium on debt issuances and debt issuance costs.</w:t>
      </w:r>
    </w:p>
    <w:p>
      <w:pPr>
        <w:spacing w:after="0" w:line="79" w:lineRule="exact"/>
        <w:rPr>
          <w:rFonts w:ascii="Times New Roman" w:cs="Times New Roman" w:eastAsia="Times New Roman" w:hAnsi="Times New Roman"/>
          <w:sz w:val="22"/>
          <w:szCs w:val="22"/>
          <w:color w:val="auto"/>
          <w:vertAlign w:val="superscript"/>
        </w:rPr>
      </w:pPr>
    </w:p>
    <w:p>
      <w:pPr>
        <w:ind w:left="320" w:right="160"/>
        <w:spacing w:after="0" w:line="351"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weighted-average interest rate of commercial paper, which consisted of U.S. borrowings, was 5.60% as of July 28, 2024, and 5.43% as of July 30, 2023. As of July 28, 2024, we issued $28 million of standby letters of credit.</w:t>
      </w:r>
    </w:p>
    <w:p>
      <w:pPr>
        <w:spacing w:after="0" w:line="1"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On April 16, 2024, we terminated our existing revolving credit facility dated September 27, 2021 (as amended on April 4, 2023). On April 16, 2024, we entered into a Five-Year Credit Agreement for an unsecured, senior revolving credit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64" w:name="page65"/>
    <w:bookmarkEnd w:id="64"/>
    <w:p>
      <w:pPr>
        <w:jc w:val="both"/>
        <w:spacing w:after="0" w:line="257" w:lineRule="auto"/>
        <w:rPr>
          <w:sz w:val="20"/>
          <w:szCs w:val="20"/>
          <w:color w:val="auto"/>
        </w:rPr>
      </w:pPr>
      <w:r>
        <w:rPr>
          <w:rFonts w:ascii="Times New Roman" w:cs="Times New Roman" w:eastAsia="Times New Roman" w:hAnsi="Times New Roman"/>
          <w:sz w:val="17"/>
          <w:szCs w:val="17"/>
          <w:color w:val="auto"/>
        </w:rPr>
        <w:t>facility (the 2024 Revolving Credit Facility Agreement) in an aggregate principal amount equal to $1.85 billion with a maturity date of April 16, 2029, or such later date as extended pursuant to the terms set forth in the 2024 Revolving Credit Facility Agreement. The 2024 Revolving Credit Facility Agreement remained unused at July 28, 2024,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facility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w:t>
      </w:r>
    </w:p>
    <w:p>
      <w:pPr>
        <w:spacing w:after="0" w:line="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$1.15 billion aggregate principal amount of senior notes maturing in March 2025 that we expect to repay and/or refinance using available sources, which may include cash on hand, accessing the capital markets, commercial paper and/or revolving credit facility.</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Long-term debt consists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3"/>
                <w:szCs w:val="13"/>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460" w:type="dxa"/>
            <w:vAlign w:val="bottom"/>
            <w:tcBorders>
              <w:top w:val="single" w:sz="8" w:color="auto"/>
              <w:bottom w:val="single" w:sz="8" w:color="CCEEFF"/>
            </w:tcBorders>
          </w:tcPr>
          <w:p>
            <w:pPr>
              <w:spacing w:after="0"/>
              <w:rPr>
                <w:sz w:val="2"/>
                <w:szCs w:val="2"/>
                <w:color w:val="auto"/>
              </w:rPr>
            </w:pPr>
          </w:p>
        </w:tc>
        <w:tc>
          <w:tcPr>
            <w:tcW w:w="12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3.95%</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March 15, 2025</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r>
      <w:tr>
        <w:trPr>
          <w:trHeight w:val="219"/>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3.30%</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March 19, 2025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Variable-rate term loan due November 15, 2025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5.30% Notes due March 20, 2026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5.20% Notes due March 19, 2027</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4.15%</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March 15, 2028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5.20% Notes due March 21, 2029</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2.375% Notes due April 24, 2030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5.40% Notes due March 21, 2034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3.80%</w:t>
            </w:r>
          </w:p>
        </w:tc>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due August 2, 2042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19"/>
        </w:trPr>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4.80%</w:t>
            </w:r>
          </w:p>
        </w:tc>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due March 15, 2048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19"/>
        </w:trPr>
        <w:tc>
          <w:tcPr>
            <w:tcW w:w="20" w:type="dxa"/>
            <w:vAlign w:val="bottom"/>
          </w:tcPr>
          <w:p>
            <w:pPr>
              <w:spacing w:after="0"/>
              <w:rPr>
                <w:sz w:val="19"/>
                <w:szCs w:val="19"/>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3.125% Notes due April 24, 2050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3"/>
          </w:tcPr>
          <w:p>
            <w:pPr>
              <w:spacing w:after="0" w:line="219"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2"/>
        </w:trPr>
        <w:tc>
          <w:tcPr>
            <w:tcW w:w="20" w:type="dxa"/>
            <w:vAlign w:val="bottom"/>
            <w:shd w:val="clear" w:color="auto" w:fill="CCEEFF"/>
          </w:tcPr>
          <w:p>
            <w:pPr>
              <w:spacing w:after="0"/>
              <w:rPr>
                <w:sz w:val="18"/>
                <w:szCs w:val="18"/>
                <w:color w:val="auto"/>
              </w:rPr>
            </w:pPr>
          </w:p>
        </w:tc>
        <w:tc>
          <w:tcPr>
            <w:tcW w:w="80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w:t>
            </w:r>
          </w:p>
        </w:tc>
      </w:tr>
      <w:tr>
        <w:trPr>
          <w:trHeight w:val="21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long-term debt</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32" w:lineRule="exact"/>
        <w:rPr>
          <w:sz w:val="20"/>
          <w:szCs w:val="20"/>
          <w:color w:val="auto"/>
        </w:rPr>
      </w:pPr>
    </w:p>
    <w:p>
      <w:pPr>
        <w:ind w:left="300" w:hanging="297"/>
        <w:spacing w:after="0"/>
        <w:tabs>
          <w:tab w:leader="none" w:pos="300"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unamortized net discount/premium on debt issuances and debt issuance costs.</w:t>
      </w:r>
    </w:p>
    <w:p>
      <w:pPr>
        <w:spacing w:after="0" w:line="66" w:lineRule="exact"/>
        <w:rPr>
          <w:rFonts w:ascii="Times New Roman" w:cs="Times New Roman" w:eastAsia="Times New Roman" w:hAnsi="Times New Roman"/>
          <w:sz w:val="22"/>
          <w:szCs w:val="22"/>
          <w:color w:val="auto"/>
          <w:vertAlign w:val="superscript"/>
        </w:rPr>
      </w:pPr>
    </w:p>
    <w:p>
      <w:pPr>
        <w:ind w:left="3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Principal amounts of long-term debt, including finance lease obligations, maturing over the next five years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
        </w:trPr>
        <w:tc>
          <w:tcPr>
            <w:tcW w:w="5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w:t>
            </w:r>
          </w:p>
        </w:tc>
      </w:tr>
      <w:tr>
        <w:trPr>
          <w:trHeight w:val="219"/>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0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r>
      <w:tr>
        <w:trPr>
          <w:trHeight w:val="219"/>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0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w:t>
            </w:r>
          </w:p>
        </w:tc>
      </w:tr>
      <w:tr>
        <w:trPr>
          <w:trHeight w:val="21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0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2,877</w:t>
            </w:r>
          </w:p>
        </w:tc>
      </w:tr>
    </w:tbl>
    <w:p>
      <w:pPr>
        <w:spacing w:after="0" w:line="147"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On October 10, 2023, we entered into the 2024 DDTL Credit Agreement totaling up to $2 billion scheduled to mature on October 8, 2024. Loans under the 2024 DDTL Credit Agreement bear interest at the rates specified in the 2024 DDTL Credit Agreement, which vary based on the type of loan and certain other conditions. The 2024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2024 DDTL Credit Agreement) of not less than 3.25:1.00, and events of default for credit facilities of this type. The proceeds of the loans under the 2024 DDTL Credit Agreement could only be used in connection with the acquisition of</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5" w:name="page66"/>
    <w:bookmarkEnd w:id="65"/>
    <w:p>
      <w:pPr>
        <w:jc w:val="both"/>
        <w:spacing w:after="0" w:line="286" w:lineRule="auto"/>
        <w:rPr>
          <w:sz w:val="20"/>
          <w:szCs w:val="20"/>
          <w:color w:val="auto"/>
        </w:rPr>
      </w:pPr>
      <w:r>
        <w:rPr>
          <w:rFonts w:ascii="Times New Roman" w:cs="Times New Roman" w:eastAsia="Times New Roman" w:hAnsi="Times New Roman"/>
          <w:sz w:val="17"/>
          <w:szCs w:val="17"/>
          <w:color w:val="auto"/>
        </w:rPr>
        <w:t>Sovos Brands and the payment of fees and expenses incurred in connection therewith. On March 12, 2024, we borrowed $2 billion under the 2024 DDTL Credit Agreement and used the proceeds in order to fund the acquisition of Sovos Brands, along with the fees and expenses incurred in connection therewith.</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March 19, 2024, pursuant to the registration statement, we issued senior unsecured notes of $2.5 billion, consisting of:</w:t>
      </w:r>
    </w:p>
    <w:p>
      <w:pPr>
        <w:spacing w:after="0" w:line="51" w:lineRule="exact"/>
        <w:rPr>
          <w:sz w:val="20"/>
          <w:szCs w:val="20"/>
          <w:color w:val="auto"/>
        </w:rPr>
      </w:pPr>
    </w:p>
    <w:p>
      <w:pPr>
        <w:ind w:left="620" w:hanging="308"/>
        <w:spacing w:after="0" w:line="286"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 million aggregate principal amount of notes bearing interest at a fixed rate of 5.30% per annum, due March 20, 2026, with interest payable semi-annually on each of March 20 and September 20 commencing September 20, 2024;</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notes bearing interest at a fixed rate of 5.20% per annum, due March 19, 2027, with interest payable semi-annually on each of March 19 and September 19 commencing September 19, 2024;</w:t>
      </w:r>
    </w:p>
    <w:p>
      <w:pPr>
        <w:spacing w:after="0" w:line="23"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 million aggregate principal amount of notes bearing interest at a fixed rate of 5.20% per annum, due March 21, 2029, with interest payable semi-annually on each of March 21 and September 21 commencing September 21, 2024; and</w:t>
      </w:r>
    </w:p>
    <w:p>
      <w:pPr>
        <w:spacing w:after="0" w:line="36"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billion aggregate principal amount of notes bearing interest at a fixed rate of 5.40% per annum, due March 21, 2034, with interest payable semi-annually on each of March 21 and September 21 commencing September 21, 2024.</w:t>
      </w:r>
    </w:p>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We used the net proceeds from the sale of the notes to repay the $2 billion of outstanding borrowings under the 2024 DDTL Credit Agreement used to fund the Sovos Brands acquisition, including fees and expenses in connection therewith, and the remainder of the net proceeds to repay commercial paper.</w:t>
      </w:r>
    </w:p>
    <w:p>
      <w:pPr>
        <w:spacing w:after="0" w:line="4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On November 15, 2022, we entered into a delayed draw term loan credit agreement (the 2022 DDTL Credit Agreement) totaling up to $500 million scheduled to mature on November 15, 2025. Loans under the 2022 DDTL Credit Agreement bear interest at the rates specified in the 2022 DDTL Credit Agreement, which vary based on the type of loan and certain other conditions. The 2022 DDTL Credit Agreement contains customary representations and warranties, affirmative and negative covenants, including a financial covenant with respect to a minimum consolidated interest coverage ratio of consolidated adjusted EBITDA to consolidated interest expense (as each is defined in the 2022 DDTL Credit Agreement) of not less than 3.25:1.00, and events of default for credit facilities of this type. We borrowed $500 million under the 2022 DDTL Credit Agreement on March 13, 2023, and used the proceeds and cash on hand to repay the 3.65% $566 million Notes that matured on March 15, 2023. On April 5, 2024, we repaid $100 million of the $500 million outstanding under the 2022 DDTL Credit Agreement.</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On March 4, 2022, we completed the redemption of all $450 million outstanding aggregate principal amount of our 2.50% Senior Notes due August 2, 2022. The consideration for the redemption was $453 million, including $3 million of premium. We recognized a loss of $4 million (including the $3 million of premium and other costs), which was recorded in Interest expense in the Consolidated Statement of Earnings. In addition, we paid accrued and unpaid interest on the redeemed notes through the date of settlement. We used a combination of cash on hand and short-term debt to fund the redemption.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Financial Instruments</w:t>
      </w:r>
    </w:p>
    <w:p>
      <w:pPr>
        <w:spacing w:after="0" w:line="92"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July 28, 2024, or July 30, 2023.</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6" w:name="page67"/>
    <w:bookmarkEnd w:id="66"/>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are also exposed to credit risk from our customers. During 2024, our largest customer accounted for approximately 22% of consolidated net sales. Our five largest customers accounted for approximately 47% of our consolidated net sales in 2024.</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closely monitor credit risk associated with counterparties and customers.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94"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We are exposed to foreign currency exchange risk, primarily the Canadian dollar and Euro, related to intercompany transactions and third-party transactions. We utilize foreign exchange forward purchase and sale contracts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$108 million as of July 28, 2024, and $125 million as of July 30, 2023.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contracts and option contracts that are not designated as accounting hedges was $189 million as of July 28, 2024, and $15 million as of July 30, 2023.</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94"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We settled forward starting interest rate swaps with a notional value of $1.1 billion in March 2024 at a loss of $11 million. The $11 million loss on these instruments was recorded in other comprehensive income (loss) and will be recognized as additional interest expense over the 10-year, 5-year, and 3-year lives of the debt issued in March 2024. There were no forward starting interest rate swaps or treasury lock contracts outstanding as of July 28, 2024 and July 30, 2023. Subsequent to July 28, 2024, we entered into forward starting interest rate swaps accounted for as cash-flow hedges with a notional value of $450 million related to an anticipated debt issuance. The forward starting interest rate swaps mature in January 2025.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Commodity Price Risk</w:t>
      </w:r>
    </w:p>
    <w:p>
      <w:pPr>
        <w:spacing w:after="0" w:line="9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cocoa, aluminum, corn and soybean meal. Commodity futures, options and swap contracts are either designated as cash-flow hedging instruments or are undesignated. We hedge a portion of commodity requirements for periods typically up to 18 months. There were no commodity contracts designated as cash-flow hedges as of July 28, 2024 or July 30, 2023. The notional amount of commodity contracts not designated as accounting hedges was $200 million as of July 28, 2024, and $194 million as of July 30, 2023. The change in fair value on undesignated instruments is recorded in Cost of products sold.</w:t>
      </w:r>
    </w:p>
    <w:p>
      <w:pPr>
        <w:spacing w:after="0" w:line="61" w:lineRule="exact"/>
        <w:rPr>
          <w:sz w:val="20"/>
          <w:szCs w:val="20"/>
          <w:color w:val="auto"/>
        </w:rPr>
      </w:pPr>
    </w:p>
    <w:p>
      <w:pPr>
        <w:jc w:val="both"/>
        <w:ind w:firstLine="309"/>
        <w:spacing w:after="0" w:line="249" w:lineRule="auto"/>
        <w:rPr>
          <w:sz w:val="20"/>
          <w:szCs w:val="20"/>
          <w:color w:val="auto"/>
        </w:rPr>
      </w:pPr>
      <w:r>
        <w:rPr>
          <w:rFonts w:ascii="Times New Roman" w:cs="Times New Roman" w:eastAsia="Times New Roman" w:hAnsi="Times New Roman"/>
          <w:sz w:val="17"/>
          <w:szCs w:val="17"/>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approximately $48 million as of July 28, 2024, and $47 million as of July 30, 2023. The change in fair value on the embedded derivative is recorded in Cost of products sold.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Obligation Price Risk</w:t>
      </w:r>
    </w:p>
    <w:p>
      <w:pPr>
        <w:spacing w:after="0" w:line="9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as of July 28, 2024, and July 30, 2023, were $71 million and $42 million, respectively.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7" w:name="page68"/>
    <w:bookmarkEnd w:id="67"/>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The following tables summarize the fair value of derivative instruments on a gross basis as recorded in the Consolidated Balance Sheets as of July 28, 2024, and July 30,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5"/>
                <w:szCs w:val="15"/>
                <w:color w:val="auto"/>
              </w:rPr>
            </w:pPr>
          </w:p>
        </w:tc>
        <w:tc>
          <w:tcPr>
            <w:tcW w:w="432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 Derivatives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hedges:</w:t>
            </w:r>
          </w:p>
        </w:tc>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4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212"/>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hedges</w:t>
            </w:r>
          </w:p>
        </w:tc>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r>
      <w:tr>
        <w:trPr>
          <w:trHeight w:val="19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3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compensation contracts</w:t>
            </w:r>
          </w:p>
        </w:tc>
        <w:tc>
          <w:tcPr>
            <w:tcW w:w="4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Commodity contracts</w:t>
            </w:r>
          </w:p>
        </w:tc>
        <w:tc>
          <w:tcPr>
            <w:tcW w:w="43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r>
      <w:tr>
        <w:trPr>
          <w:trHeight w:val="212"/>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not designated as hedges</w:t>
            </w:r>
          </w:p>
        </w:tc>
        <w:tc>
          <w:tcPr>
            <w:tcW w:w="2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Pr>
          <w:p>
            <w:pPr>
              <w:spacing w:after="0"/>
              <w:rPr>
                <w:sz w:val="18"/>
                <w:szCs w:val="18"/>
                <w:color w:val="auto"/>
              </w:rPr>
            </w:pPr>
          </w:p>
        </w:tc>
      </w:tr>
      <w:tr>
        <w:trPr>
          <w:trHeight w:val="212"/>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 derivatives</w:t>
            </w:r>
          </w:p>
        </w:tc>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4"/>
                <w:szCs w:val="24"/>
                <w:color w:val="auto"/>
              </w:rPr>
            </w:pPr>
          </w:p>
        </w:tc>
        <w:tc>
          <w:tcPr>
            <w:tcW w:w="432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hedges:</w:t>
            </w:r>
          </w:p>
        </w:tc>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0" w:type="dxa"/>
            <w:vAlign w:val="bottom"/>
            <w:shd w:val="clear" w:color="auto" w:fill="CCEEFF"/>
          </w:tcPr>
          <w:p>
            <w:pPr>
              <w:spacing w:after="0"/>
              <w:rPr>
                <w:sz w:val="19"/>
                <w:szCs w:val="19"/>
                <w:color w:val="auto"/>
              </w:rPr>
            </w:pPr>
          </w:p>
        </w:tc>
        <w:tc>
          <w:tcPr>
            <w:tcW w:w="4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derivatives designated as hedges</w:t>
            </w:r>
          </w:p>
        </w:tc>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top w:val="single" w:sz="8" w:color="auto"/>
              <w:bottom w:val="single" w:sz="8" w:color="auto"/>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hedges:</w:t>
            </w:r>
          </w:p>
        </w:tc>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20" w:type="dxa"/>
            <w:vAlign w:val="bottom"/>
          </w:tcPr>
          <w:p>
            <w:pPr>
              <w:spacing w:after="0"/>
              <w:rPr>
                <w:sz w:val="19"/>
                <w:szCs w:val="19"/>
                <w:color w:val="auto"/>
              </w:rPr>
            </w:pPr>
          </w:p>
        </w:tc>
        <w:tc>
          <w:tcPr>
            <w:tcW w:w="4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7"/>
                <w:szCs w:val="17"/>
                <w:b w:val="1"/>
                <w:bCs w:val="1"/>
                <w:color w:val="auto"/>
              </w:rPr>
              <w:t>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derivatives not designated as hedges</w:t>
            </w:r>
          </w:p>
        </w:tc>
        <w:tc>
          <w:tcPr>
            <w:tcW w:w="2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b w:val="1"/>
                <w:bCs w:val="1"/>
                <w:color w:val="auto"/>
              </w:rPr>
              <w:t>16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liability derivatives</w:t>
            </w:r>
          </w:p>
        </w:tc>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b w:val="1"/>
                <w:bCs w:val="1"/>
                <w:color w:val="auto"/>
              </w:rPr>
              <w:t>16</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July 28, 2024, and July 30, 2023, would be adjusted as detailed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w w:val="98"/>
              </w:rPr>
              <w:t>Gross Amounts Not</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Gross Amounts Not</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Offset in the</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14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Offset in the</w:t>
            </w: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Presented in the</w:t>
            </w:r>
          </w:p>
        </w:tc>
        <w:tc>
          <w:tcPr>
            <w:tcW w:w="14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Consolidated Balance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Subject to Netting</w:t>
            </w:r>
          </w:p>
        </w:tc>
        <w:tc>
          <w:tcPr>
            <w:tcW w:w="20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2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Consolidated Balance</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Sheet Subject to</w:t>
            </w:r>
          </w:p>
        </w:tc>
        <w:tc>
          <w:tcPr>
            <w:tcW w:w="180" w:type="dxa"/>
            <w:vAlign w:val="bottom"/>
          </w:tcPr>
          <w:p>
            <w:pPr>
              <w:spacing w:after="0"/>
              <w:rPr>
                <w:sz w:val="12"/>
                <w:szCs w:val="12"/>
                <w:color w:val="auto"/>
              </w:rPr>
            </w:pPr>
          </w:p>
        </w:tc>
        <w:tc>
          <w:tcPr>
            <w:tcW w:w="11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Agreements</w:t>
            </w: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Netting Agreements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are required to maintain cash margin accounts in connection with funding the settlement of open positions for exchange-traded commodity derivative instruments. Cash margin asset balances of $2 million at July 28, 2024 and July 30, 2023 were included in Other current assets in the Consolidated Balance Sheets.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8" w:name="page69"/>
    <w:bookmarkEnd w:id="68"/>
    <w:p>
      <w:pPr>
        <w:ind w:left="320"/>
        <w:spacing w:after="0"/>
        <w:rPr>
          <w:sz w:val="20"/>
          <w:szCs w:val="20"/>
          <w:color w:val="auto"/>
        </w:rPr>
      </w:pPr>
      <w:r>
        <w:rPr>
          <w:rFonts w:ascii="Times New Roman" w:cs="Times New Roman" w:eastAsia="Times New Roman" w:hAnsi="Times New Roman"/>
          <w:sz w:val="17"/>
          <w:szCs w:val="17"/>
          <w:color w:val="auto"/>
        </w:rPr>
        <w:t>The following tables show the effect of our derivative instruments designated as cash-flow hedges for the years ended July 28, 2024, July 30,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31, 2022 in other comprehensive income (loss) (OCI) and the Consolidated Statements of Earnings: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6"/>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Total Cash-Flow Hedge</w:t>
            </w:r>
          </w:p>
        </w:tc>
        <w:tc>
          <w:tcPr>
            <w:tcW w:w="740" w:type="dxa"/>
            <w:vAlign w:val="bottom"/>
          </w:tcPr>
          <w:p>
            <w:pPr>
              <w:spacing w:after="0"/>
              <w:rPr>
                <w:sz w:val="13"/>
                <w:szCs w:val="13"/>
                <w:color w:val="auto"/>
              </w:rPr>
            </w:pPr>
          </w:p>
        </w:tc>
      </w:tr>
      <w:tr>
        <w:trPr>
          <w:trHeight w:val="185"/>
        </w:trPr>
        <w:tc>
          <w:tcPr>
            <w:tcW w:w="5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8"/>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OCI derivative gain (loss) at beginning of year</w:t>
            </w:r>
          </w:p>
        </w:tc>
        <w:tc>
          <w:tcPr>
            <w:tcW w:w="1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portion of changes in fair value recognized in OCI:</w:t>
            </w: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1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5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starting interest rate swaps</w:t>
            </w:r>
          </w:p>
        </w:tc>
        <w:tc>
          <w:tcPr>
            <w:tcW w:w="1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0"/>
        </w:trPr>
        <w:tc>
          <w:tcPr>
            <w:tcW w:w="55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Amount of loss (gain) reclassified from OCI to earnings:</w:t>
            </w:r>
          </w:p>
        </w:tc>
        <w:tc>
          <w:tcPr>
            <w:tcW w:w="278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Location in Earnings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8"/>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Commodity contracts</w:t>
            </w:r>
          </w:p>
        </w:tc>
        <w:tc>
          <w:tcPr>
            <w:tcW w:w="1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products sold</w:t>
            </w:r>
          </w:p>
        </w:tc>
        <w:tc>
          <w:tcPr>
            <w:tcW w:w="1240" w:type="dxa"/>
            <w:vAlign w:val="bottom"/>
            <w:gridSpan w:val="2"/>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5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Cost of products sold</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Forward starting interest rate swaps</w:t>
            </w:r>
          </w:p>
        </w:tc>
        <w:tc>
          <w:tcPr>
            <w:tcW w:w="2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OCI derivative gain (loss) at end of year</w:t>
            </w: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Based on current valuations, the amount expected to be reclassified from OCI into earnings within the next 12 months is a loss of less than $1 million.</w:t>
      </w:r>
    </w:p>
    <w:p>
      <w:pPr>
        <w:spacing w:after="0" w:line="8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following table shows the total amounts of line items presented in the Consolidated Statements of Earnings for the years ended 2024, 2023, and 2022 in which the effects of derivative instruments designated as cash-flow hedges are recorded and the total effect of hedge activity on these line items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63"/>
              <w:spacing w:after="0" w:line="12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63"/>
              <w:spacing w:after="0" w:line="12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87"/>
        </w:trPr>
        <w:tc>
          <w:tcPr>
            <w:tcW w:w="5160" w:type="dxa"/>
            <w:vAlign w:val="bottom"/>
            <w:vMerge w:val="continue"/>
          </w:tcPr>
          <w:p>
            <w:pPr>
              <w:spacing w:after="0"/>
              <w:rPr>
                <w:sz w:val="16"/>
                <w:szCs w:val="16"/>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products sold</w:t>
            </w:r>
          </w:p>
        </w:tc>
        <w:tc>
          <w:tcPr>
            <w:tcW w:w="18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products sold</w:t>
            </w:r>
          </w:p>
        </w:tc>
        <w:tc>
          <w:tcPr>
            <w:tcW w:w="2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products sold</w:t>
            </w:r>
          </w:p>
        </w:tc>
        <w:tc>
          <w:tcPr>
            <w:tcW w:w="180" w:type="dxa"/>
            <w:vAlign w:val="bottom"/>
          </w:tcPr>
          <w:p>
            <w:pPr>
              <w:spacing w:after="0"/>
              <w:rPr>
                <w:sz w:val="16"/>
                <w:szCs w:val="16"/>
                <w:color w:val="auto"/>
              </w:rPr>
            </w:pPr>
          </w:p>
        </w:tc>
        <w:tc>
          <w:tcPr>
            <w:tcW w:w="7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Statements of Earnings: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6,665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6,440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5,935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(gain) on cash-flow hedges: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amount excluded from effectiveness testing recognized in each line item of earnings using an amortization approach was not material in all periods presented.</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shows the effects of our derivative instruments not designated as hedges in the Consolidated Statements of Earnings: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 of Loss (Gain)</w:t>
            </w:r>
          </w:p>
        </w:tc>
        <w:tc>
          <w:tcPr>
            <w:tcW w:w="260" w:type="dxa"/>
            <w:vAlign w:val="bottom"/>
          </w:tcPr>
          <w:p>
            <w:pPr>
              <w:spacing w:after="0"/>
              <w:rPr>
                <w:sz w:val="13"/>
                <w:szCs w:val="13"/>
                <w:color w:val="auto"/>
              </w:rPr>
            </w:pPr>
          </w:p>
        </w:tc>
        <w:tc>
          <w:tcPr>
            <w:tcW w:w="82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8"/>
        </w:trPr>
        <w:tc>
          <w:tcPr>
            <w:tcW w:w="4500" w:type="dxa"/>
            <w:vAlign w:val="bottom"/>
            <w:vMerge w:val="continue"/>
          </w:tcPr>
          <w:p>
            <w:pPr>
              <w:spacing w:after="0"/>
              <w:rPr>
                <w:sz w:val="16"/>
                <w:szCs w:val="16"/>
                <w:color w:val="auto"/>
              </w:rPr>
            </w:pPr>
          </w:p>
        </w:tc>
        <w:tc>
          <w:tcPr>
            <w:tcW w:w="32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Commodity contracts</w:t>
            </w: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products sold</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compensation contracts</w:t>
            </w: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2"/>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Fair Value Measurements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categorize financial assets and liabilities based on the following fair value hierarchy:</w:t>
      </w:r>
    </w:p>
    <w:p>
      <w:pPr>
        <w:spacing w:after="0" w:line="88" w:lineRule="exact"/>
        <w:rPr>
          <w:sz w:val="20"/>
          <w:szCs w:val="20"/>
          <w:color w:val="auto"/>
        </w:rPr>
      </w:pPr>
    </w:p>
    <w:p>
      <w:pPr>
        <w:ind w:left="620" w:hanging="308"/>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100"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included in Level 1 that are observable for the asset or liability through corroboration with observable market data.</w:t>
      </w:r>
    </w:p>
    <w:p>
      <w:pPr>
        <w:spacing w:after="0" w:line="288"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which are valued based on our estimates of assumptions that market participants would use in pricing the asset or liability.</w:t>
      </w:r>
    </w:p>
    <w:p>
      <w:pPr>
        <w:spacing w:after="0" w:line="88" w:lineRule="exact"/>
        <w:rPr>
          <w:sz w:val="20"/>
          <w:szCs w:val="20"/>
          <w:color w:val="auto"/>
        </w:rPr>
      </w:pPr>
    </w:p>
    <w:p>
      <w:pPr>
        <w:ind w:firstLine="309"/>
        <w:spacing w:after="0" w:line="286" w:lineRule="auto"/>
        <w:rPr>
          <w:sz w:val="20"/>
          <w:szCs w:val="20"/>
          <w:color w:val="auto"/>
        </w:rPr>
      </w:pPr>
      <w:r>
        <w:rPr>
          <w:rFonts w:ascii="Times New Roman" w:cs="Times New Roman" w:eastAsia="Times New Roman" w:hAnsi="Times New Roman"/>
          <w:sz w:val="17"/>
          <w:szCs w:val="17"/>
          <w:color w:val="auto"/>
        </w:rPr>
        <w:t>Fair value is defined as the exit price, or the amount that would be received to sell an asset or paid to transfer a liability in an orderly transaction between market participants as of the measurement date. When available, we use unadjusted quoted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69" w:name="page70"/>
    <w:bookmarkEnd w:id="69"/>
    <w:p>
      <w:pPr>
        <w:jc w:val="both"/>
        <w:spacing w:after="0" w:line="269" w:lineRule="auto"/>
        <w:rPr>
          <w:sz w:val="20"/>
          <w:szCs w:val="20"/>
          <w:color w:val="auto"/>
        </w:rPr>
      </w:pPr>
      <w:r>
        <w:rPr>
          <w:rFonts w:ascii="Times New Roman" w:cs="Times New Roman" w:eastAsia="Times New Roman" w:hAnsi="Times New Roman"/>
          <w:sz w:val="17"/>
          <w:szCs w:val="17"/>
          <w:color w:val="auto"/>
        </w:rPr>
        <w:t>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10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following tables present our financial assets and liabilities that are measured at fair value on a recurring basis as of July 28, 2024, and July 30, 2023, consistent with the fair value hierarchy:</w:t>
      </w:r>
    </w:p>
    <w:tbl>
      <w:tblPr>
        <w:tblLayout w:type="fixed"/>
        <w:tblInd w:w="10" w:type="dxa"/>
        <w:tblCellMar>
          <w:top w:w="0" w:type="dxa"/>
          <w:left w:w="0" w:type="dxa"/>
          <w:bottom w:w="0" w:type="dxa"/>
          <w:right w:w="0" w:type="dxa"/>
        </w:tblCellMar>
      </w:tblPr>
      <w:tr>
        <w:trPr>
          <w:trHeight w:val="157"/>
        </w:trPr>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6"/>
          </w:tcPr>
          <w:p>
            <w:pPr>
              <w:jc w:val="center"/>
              <w:ind w:left="499"/>
              <w:spacing w:after="0" w:line="157" w:lineRule="exact"/>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gridSpan w:val="6"/>
          </w:tcPr>
          <w:p>
            <w:pPr>
              <w:jc w:val="center"/>
              <w:ind w:left="519"/>
              <w:spacing w:after="0" w:line="157" w:lineRule="exact"/>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July 28, 2024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July 30, 2023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4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July 28, 2024</w:t>
            </w:r>
          </w:p>
        </w:tc>
        <w:tc>
          <w:tcPr>
            <w:tcW w:w="220" w:type="dxa"/>
            <w:vAlign w:val="bottom"/>
          </w:tcPr>
          <w:p>
            <w:pPr>
              <w:spacing w:after="0"/>
              <w:rPr>
                <w:sz w:val="16"/>
                <w:szCs w:val="16"/>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July 30, 2023</w:t>
            </w:r>
          </w:p>
        </w:tc>
        <w:tc>
          <w:tcPr>
            <w:tcW w:w="200" w:type="dxa"/>
            <w:vAlign w:val="bottom"/>
          </w:tcPr>
          <w:p>
            <w:pPr>
              <w:spacing w:after="0"/>
              <w:rPr>
                <w:sz w:val="16"/>
                <w:szCs w:val="16"/>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60" w:type="dxa"/>
            <w:vAlign w:val="bottom"/>
          </w:tcPr>
          <w:p>
            <w:pPr>
              <w:spacing w:after="0"/>
              <w:rPr>
                <w:sz w:val="16"/>
                <w:szCs w:val="16"/>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6"/>
        </w:trPr>
        <w:tc>
          <w:tcPr>
            <w:tcW w:w="1940" w:type="dxa"/>
            <w:vAlign w:val="bottom"/>
            <w:tcBorders>
              <w:top w:val="single" w:sz="8" w:color="CCEEFF"/>
              <w:left w:val="single" w:sz="8" w:color="CCEEFF"/>
            </w:tcBorders>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60" w:type="dxa"/>
            <w:vAlign w:val="bottom"/>
            <w:tcBorders>
              <w:left w:val="single" w:sz="8" w:color="CCEEFF"/>
            </w:tcBorders>
            <w:shd w:val="clear" w:color="auto" w:fill="000000"/>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194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Foreign exchange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4"/>
                <w:szCs w:val="14"/>
                <w:color w:val="auto"/>
              </w:rPr>
            </w:pPr>
          </w:p>
        </w:tc>
        <w:tc>
          <w:tcPr>
            <w:tcW w:w="2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4"/>
                <w:szCs w:val="14"/>
                <w:color w:val="auto"/>
              </w:rPr>
            </w:pPr>
          </w:p>
        </w:tc>
        <w:tc>
          <w:tcPr>
            <w:tcW w:w="2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940" w:type="dxa"/>
            <w:vAlign w:val="bottom"/>
            <w:gridSpan w:val="2"/>
          </w:tcPr>
          <w:p>
            <w:pPr>
              <w:ind w:left="140"/>
              <w:spacing w:after="0" w:line="231" w:lineRule="exact"/>
              <w:rPr>
                <w:sz w:val="20"/>
                <w:szCs w:val="20"/>
                <w:color w:val="auto"/>
              </w:rPr>
            </w:pPr>
            <w:r>
              <w:rPr>
                <w:rFonts w:ascii="Times New Roman" w:cs="Times New Roman" w:eastAsia="Times New Roman" w:hAnsi="Times New Roman"/>
                <w:sz w:val="17"/>
                <w:szCs w:val="17"/>
                <w:color w:val="auto"/>
              </w:rPr>
              <w:t>contracts</w:t>
            </w:r>
            <w:r>
              <w:rPr>
                <w:rFonts w:ascii="Times New Roman" w:cs="Times New Roman" w:eastAsia="Times New Roman" w:hAnsi="Times New Roman"/>
                <w:sz w:val="22"/>
                <w:szCs w:val="22"/>
                <w:color w:val="auto"/>
                <w:vertAlign w:val="superscript"/>
              </w:rPr>
              <w:t>(1)</w:t>
            </w:r>
          </w:p>
        </w:tc>
        <w:tc>
          <w:tcPr>
            <w:tcW w:w="1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CCEEFF"/>
            </w:tcBorders>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Commodity derivative</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CCEEFF"/>
            </w:tcBorders>
            <w:gridSpan w:val="2"/>
            <w:shd w:val="clear" w:color="auto" w:fill="CCEEFF"/>
          </w:tcPr>
          <w:p>
            <w:pPr>
              <w:ind w:left="140"/>
              <w:spacing w:after="0" w:line="231" w:lineRule="exact"/>
              <w:rPr>
                <w:sz w:val="20"/>
                <w:szCs w:val="20"/>
                <w:color w:val="auto"/>
              </w:rPr>
            </w:pPr>
            <w:r>
              <w:rPr>
                <w:rFonts w:ascii="Times New Roman" w:cs="Times New Roman" w:eastAsia="Times New Roman" w:hAnsi="Times New Roman"/>
                <w:sz w:val="17"/>
                <w:szCs w:val="17"/>
                <w:color w:val="auto"/>
              </w:rPr>
              <w:t>contracts</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67"/>
        </w:trPr>
        <w:tc>
          <w:tcPr>
            <w:tcW w:w="194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Deferred compensation</w:t>
            </w:r>
          </w:p>
        </w:tc>
        <w:tc>
          <w:tcPr>
            <w:tcW w:w="120" w:type="dxa"/>
            <w:vAlign w:val="bottom"/>
          </w:tcPr>
          <w:p>
            <w:pPr>
              <w:spacing w:after="0"/>
              <w:rPr>
                <w:sz w:val="14"/>
                <w:szCs w:val="14"/>
                <w:color w:val="auto"/>
              </w:rPr>
            </w:pP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940" w:type="dxa"/>
            <w:vAlign w:val="bottom"/>
            <w:gridSpan w:val="2"/>
          </w:tcPr>
          <w:p>
            <w:pPr>
              <w:ind w:left="140"/>
              <w:spacing w:after="0" w:line="231" w:lineRule="exact"/>
              <w:rPr>
                <w:sz w:val="20"/>
                <w:szCs w:val="20"/>
                <w:color w:val="auto"/>
              </w:rPr>
            </w:pPr>
            <w:r>
              <w:rPr>
                <w:rFonts w:ascii="Times New Roman" w:cs="Times New Roman" w:eastAsia="Times New Roman" w:hAnsi="Times New Roman"/>
                <w:sz w:val="17"/>
                <w:szCs w:val="17"/>
                <w:color w:val="auto"/>
              </w:rPr>
              <w:t>derivative contracts</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CCEEFF"/>
            </w:tcBorders>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Deferred compensation</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CCEEFF"/>
            </w:tcBorders>
            <w:gridSpan w:val="2"/>
            <w:shd w:val="clear" w:color="auto" w:fill="CCEEFF"/>
          </w:tcPr>
          <w:p>
            <w:pPr>
              <w:ind w:left="140"/>
              <w:spacing w:after="0" w:line="231" w:lineRule="exact"/>
              <w:rPr>
                <w:sz w:val="20"/>
                <w:szCs w:val="20"/>
                <w:color w:val="auto"/>
              </w:rPr>
            </w:pPr>
            <w:r>
              <w:rPr>
                <w:rFonts w:ascii="Times New Roman" w:cs="Times New Roman" w:eastAsia="Times New Roman" w:hAnsi="Times New Roman"/>
                <w:sz w:val="17"/>
                <w:szCs w:val="17"/>
                <w:color w:val="auto"/>
              </w:rPr>
              <w:t>investments</w:t>
            </w:r>
            <w:r>
              <w:rPr>
                <w:rFonts w:ascii="Times New Roman" w:cs="Times New Roman" w:eastAsia="Times New Roman" w:hAnsi="Times New Roman"/>
                <w:sz w:val="22"/>
                <w:szCs w:val="22"/>
                <w:color w:val="auto"/>
                <w:vertAlign w:val="superscript"/>
              </w:rPr>
              <w:t>(4)</w:t>
            </w:r>
          </w:p>
        </w:tc>
        <w:tc>
          <w:tcPr>
            <w:tcW w:w="1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gridSpan w:val="6"/>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80" w:type="dxa"/>
            <w:vAlign w:val="bottom"/>
            <w:gridSpan w:val="6"/>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4"/>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July 28, 2024 Using</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4"/>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July 30, 2023 Using</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Hierarchy</w:t>
            </w: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Fair Value Hierarchy</w:t>
            </w: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line="109" w:lineRule="exact"/>
              <w:rPr>
                <w:sz w:val="20"/>
                <w:szCs w:val="20"/>
                <w:color w:val="auto"/>
              </w:rPr>
            </w:pPr>
            <w:r>
              <w:rPr>
                <w:rFonts w:ascii="Times New Roman" w:cs="Times New Roman" w:eastAsia="Times New Roman" w:hAnsi="Times New Roman"/>
                <w:sz w:val="11"/>
                <w:szCs w:val="11"/>
                <w:b w:val="1"/>
                <w:bCs w:val="1"/>
                <w:color w:val="auto"/>
              </w:rPr>
              <w:t>as of</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center"/>
              <w:ind w:right="220"/>
              <w:spacing w:after="0" w:line="109" w:lineRule="exact"/>
              <w:rPr>
                <w:sz w:val="20"/>
                <w:szCs w:val="20"/>
                <w:color w:val="auto"/>
              </w:rPr>
            </w:pPr>
            <w:r>
              <w:rPr>
                <w:rFonts w:ascii="Times New Roman" w:cs="Times New Roman" w:eastAsia="Times New Roman" w:hAnsi="Times New Roman"/>
                <w:sz w:val="11"/>
                <w:szCs w:val="11"/>
                <w:b w:val="1"/>
                <w:bCs w:val="1"/>
                <w:color w:val="auto"/>
              </w:rPr>
              <w:t>as of</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July 28, 2024</w:t>
            </w:r>
          </w:p>
        </w:tc>
        <w:tc>
          <w:tcPr>
            <w:tcW w:w="220" w:type="dxa"/>
            <w:vAlign w:val="bottom"/>
          </w:tcPr>
          <w:p>
            <w:pPr>
              <w:spacing w:after="0"/>
              <w:rPr>
                <w:sz w:val="15"/>
                <w:szCs w:val="15"/>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6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July 30, 2023</w:t>
            </w:r>
          </w:p>
        </w:tc>
        <w:tc>
          <w:tcPr>
            <w:tcW w:w="200" w:type="dxa"/>
            <w:vAlign w:val="bottom"/>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26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4"/>
        </w:trPr>
        <w:tc>
          <w:tcPr>
            <w:tcW w:w="194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94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Foreign exchange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940" w:type="dxa"/>
            <w:vAlign w:val="bottom"/>
            <w:gridSpan w:val="2"/>
          </w:tcPr>
          <w:p>
            <w:pPr>
              <w:ind w:left="140"/>
              <w:spacing w:after="0" w:line="231" w:lineRule="exact"/>
              <w:rPr>
                <w:sz w:val="20"/>
                <w:szCs w:val="20"/>
                <w:color w:val="auto"/>
              </w:rPr>
            </w:pPr>
            <w:r>
              <w:rPr>
                <w:rFonts w:ascii="Times New Roman" w:cs="Times New Roman" w:eastAsia="Times New Roman" w:hAnsi="Times New Roman"/>
                <w:sz w:val="17"/>
                <w:szCs w:val="17"/>
                <w:color w:val="auto"/>
              </w:rPr>
              <w:t>contracts</w:t>
            </w:r>
            <w:r>
              <w:rPr>
                <w:rFonts w:ascii="Times New Roman" w:cs="Times New Roman" w:eastAsia="Times New Roman" w:hAnsi="Times New Roman"/>
                <w:sz w:val="22"/>
                <w:szCs w:val="22"/>
                <w:color w:val="auto"/>
                <w:vertAlign w:val="superscript"/>
              </w:rPr>
              <w:t>(1)</w:t>
            </w:r>
          </w:p>
        </w:tc>
        <w:tc>
          <w:tcPr>
            <w:tcW w:w="1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CCEEFF"/>
            </w:tcBorders>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Commodity derivative</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940" w:type="dxa"/>
            <w:vAlign w:val="bottom"/>
            <w:tcBorders>
              <w:left w:val="single" w:sz="8" w:color="CCEEFF"/>
            </w:tcBorders>
            <w:gridSpan w:val="2"/>
            <w:shd w:val="clear" w:color="auto" w:fill="CCEEFF"/>
          </w:tcPr>
          <w:p>
            <w:pPr>
              <w:ind w:left="140"/>
              <w:spacing w:after="0" w:line="231" w:lineRule="exact"/>
              <w:rPr>
                <w:sz w:val="20"/>
                <w:szCs w:val="20"/>
                <w:color w:val="auto"/>
              </w:rPr>
            </w:pPr>
            <w:r>
              <w:rPr>
                <w:rFonts w:ascii="Times New Roman" w:cs="Times New Roman" w:eastAsia="Times New Roman" w:hAnsi="Times New Roman"/>
                <w:sz w:val="17"/>
                <w:szCs w:val="17"/>
                <w:color w:val="auto"/>
              </w:rPr>
              <w:t>contracts</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194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Deferred compensation</w:t>
            </w:r>
          </w:p>
        </w:tc>
        <w:tc>
          <w:tcPr>
            <w:tcW w:w="120" w:type="dxa"/>
            <w:vAlign w:val="bottom"/>
          </w:tcPr>
          <w:p>
            <w:pPr>
              <w:spacing w:after="0"/>
              <w:rPr>
                <w:sz w:val="14"/>
                <w:szCs w:val="14"/>
                <w:color w:val="auto"/>
              </w:rPr>
            </w:pPr>
          </w:p>
        </w:tc>
        <w:tc>
          <w:tcPr>
            <w:tcW w:w="920" w:type="dxa"/>
            <w:vAlign w:val="bottom"/>
            <w:vMerge w:val="restart"/>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940" w:type="dxa"/>
            <w:vAlign w:val="bottom"/>
            <w:gridSpan w:val="2"/>
          </w:tcPr>
          <w:p>
            <w:pPr>
              <w:ind w:left="140"/>
              <w:spacing w:after="0" w:line="231" w:lineRule="exact"/>
              <w:rPr>
                <w:sz w:val="20"/>
                <w:szCs w:val="20"/>
                <w:color w:val="auto"/>
              </w:rPr>
            </w:pPr>
            <w:r>
              <w:rPr>
                <w:rFonts w:ascii="Times New Roman" w:cs="Times New Roman" w:eastAsia="Times New Roman" w:hAnsi="Times New Roman"/>
                <w:sz w:val="17"/>
                <w:szCs w:val="17"/>
                <w:color w:val="auto"/>
              </w:rPr>
              <w:t>obligation</w:t>
            </w:r>
            <w:r>
              <w:rPr>
                <w:rFonts w:ascii="Times New Roman" w:cs="Times New Roman" w:eastAsia="Times New Roman" w:hAnsi="Times New Roman"/>
                <w:sz w:val="22"/>
                <w:szCs w:val="22"/>
                <w:color w:val="auto"/>
                <w:vertAlign w:val="superscript"/>
              </w:rPr>
              <w:t>(4)</w:t>
            </w: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194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rPr>
              <w:t>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32" w:lineRule="exact"/>
        <w:rPr>
          <w:sz w:val="20"/>
          <w:szCs w:val="20"/>
          <w:color w:val="auto"/>
        </w:rPr>
      </w:pPr>
    </w:p>
    <w:p>
      <w:pPr>
        <w:ind w:left="300" w:hanging="297"/>
        <w:spacing w:after="0"/>
        <w:tabs>
          <w:tab w:leader="none" w:pos="30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observable market transactions of spot currency rates and forward rates.</w:t>
      </w:r>
    </w:p>
    <w:p>
      <w:pPr>
        <w:spacing w:after="0" w:line="1" w:lineRule="exact"/>
        <w:rPr>
          <w:rFonts w:ascii="Times New Roman" w:cs="Times New Roman" w:eastAsia="Times New Roman" w:hAnsi="Times New Roman"/>
          <w:sz w:val="22"/>
          <w:szCs w:val="22"/>
          <w:color w:val="auto"/>
          <w:vertAlign w:val="superscript"/>
        </w:rPr>
      </w:pPr>
    </w:p>
    <w:p>
      <w:pPr>
        <w:ind w:left="320" w:hanging="317"/>
        <w:spacing w:after="0" w:line="219" w:lineRule="auto"/>
        <w:tabs>
          <w:tab w:leader="none" w:pos="308"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5" w:lineRule="auto"/>
        <w:tabs>
          <w:tab w:leader="none" w:pos="30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equity index swap rates.</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the fair value of the participants’ investments.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changes in fair value of Level 3 assets for the years ended July 28, 2024, and July 30,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year</w:t>
            </w:r>
          </w:p>
        </w:tc>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center"/>
              <w:ind w:left="678"/>
              <w:spacing w:after="0"/>
              <w:rPr>
                <w:sz w:val="20"/>
                <w:szCs w:val="20"/>
                <w:color w:val="auto"/>
              </w:rPr>
            </w:pPr>
            <w:r>
              <w:rPr>
                <w:rFonts w:ascii="Times New Roman" w:cs="Times New Roman" w:eastAsia="Times New Roman" w:hAnsi="Times New Roman"/>
                <w:sz w:val="17"/>
                <w:szCs w:val="17"/>
                <w:color w:val="auto"/>
                <w:w w:val="93"/>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(losses)</w:t>
            </w:r>
          </w:p>
        </w:tc>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678"/>
              <w:spacing w:after="0"/>
              <w:rPr>
                <w:sz w:val="20"/>
                <w:szCs w:val="20"/>
                <w:color w:val="auto"/>
              </w:rPr>
            </w:pPr>
            <w:r>
              <w:rPr>
                <w:rFonts w:ascii="Times New Roman" w:cs="Times New Roman" w:eastAsia="Times New Roman" w:hAnsi="Times New Roman"/>
                <w:sz w:val="17"/>
                <w:szCs w:val="17"/>
                <w:color w:val="auto"/>
                <w:w w:val="93"/>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4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638"/>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end of year</w:t>
            </w:r>
          </w:p>
        </w:tc>
        <w:tc>
          <w:tcPr>
            <w:tcW w:w="47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center"/>
              <w:ind w:left="678"/>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700" w:type="dxa"/>
            <w:vAlign w:val="bottom"/>
            <w:vMerge w:val="restart"/>
          </w:tcPr>
          <w:p>
            <w:pPr>
              <w:jc w:val="right"/>
              <w:ind w:right="2754"/>
              <w:spacing w:after="0"/>
              <w:rPr>
                <w:sz w:val="20"/>
                <w:szCs w:val="20"/>
                <w:color w:val="auto"/>
              </w:rPr>
            </w:pPr>
            <w:r>
              <w:rPr>
                <w:rFonts w:ascii="Times New Roman" w:cs="Times New Roman" w:eastAsia="Times New Roman" w:hAnsi="Times New Roman"/>
                <w:sz w:val="17"/>
                <w:szCs w:val="17"/>
                <w:color w:val="auto"/>
              </w:rPr>
              <w:t>70</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384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40" w:type="dxa"/>
            <w:vAlign w:val="bottom"/>
            <w:tcBorders>
              <w:bottom w:val="single" w:sz="8" w:color="9A9A9A"/>
            </w:tcBorders>
          </w:tcPr>
          <w:p>
            <w:pPr>
              <w:spacing w:after="0"/>
              <w:rPr>
                <w:sz w:val="16"/>
                <w:szCs w:val="16"/>
                <w:color w:val="auto"/>
              </w:rPr>
            </w:pPr>
          </w:p>
        </w:tc>
        <w:tc>
          <w:tcPr>
            <w:tcW w:w="47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0" w:name="page71"/>
    <w:bookmarkEnd w:id="70"/>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Items Measured at Fair Value on a Nonrecurring Basis</w:t>
      </w:r>
    </w:p>
    <w:p>
      <w:pPr>
        <w:spacing w:after="0" w:line="9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addition to assets and liabilities that are measured at fair value on a recurring basis, we are also required to measure certain items at fair value on a nonrecurring basis.</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In the fourth quarter of 2024, we recognized impairment charges on certain trademarks in our Snacks segment. See also Note 6 for additional information on the impairment charges.</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Fair value was determined based on unobservable Level 3 inputs. The fair value of trademarks was determined based on discounted cash flow analysis that involves significant management assumptions such as expected revenue growth rates, assumed royalty rates and weighted-average costs of capital.</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fair value measurements of the trademarks: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9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9"/>
              </w:rPr>
              <w:t>Impairment</w:t>
            </w:r>
          </w:p>
        </w:tc>
        <w:tc>
          <w:tcPr>
            <w:tcW w:w="180" w:type="dxa"/>
            <w:vAlign w:val="bottom"/>
          </w:tcPr>
          <w:p>
            <w:pPr>
              <w:spacing w:after="0"/>
              <w:rPr>
                <w:sz w:val="10"/>
                <w:szCs w:val="10"/>
                <w:color w:val="auto"/>
              </w:rPr>
            </w:pPr>
          </w:p>
        </w:tc>
        <w:tc>
          <w:tcPr>
            <w:tcW w:w="88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7"/>
        </w:trPr>
        <w:tc>
          <w:tcPr>
            <w:tcW w:w="9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Charges</w:t>
            </w: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0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Pop Secret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0" w:type="dxa"/>
            <w:vAlign w:val="bottom"/>
          </w:tcPr>
          <w:p>
            <w:pPr>
              <w:spacing w:after="0"/>
              <w:rPr>
                <w:sz w:val="1"/>
                <w:szCs w:val="1"/>
                <w:color w:val="auto"/>
              </w:rPr>
            </w:pPr>
          </w:p>
        </w:tc>
      </w:tr>
      <w:tr>
        <w:trPr>
          <w:trHeight w:val="227"/>
        </w:trPr>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Allied brands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carrying values of cash and cash equivalents, accounts receivable and accounts payable approximate fair value.</w:t>
      </w:r>
    </w:p>
    <w:p>
      <w:pPr>
        <w:spacing w:after="0" w:line="10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There were $25 million of cash equivalents at July 28, 2024, and none at July 30, 2023. Cash equivalents represent fair value as these highly liquid investments have an original maturity of three months or less. Fair value of cash equivalents is based on Level 2 inputs.</w:t>
      </w:r>
    </w:p>
    <w:p>
      <w:pPr>
        <w:spacing w:after="0" w:line="2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fair value of short- and long-term debt was $6.866 billion at July 28, 2024, and $4.293 billion at July 30, 2023. The carrying value was $7.184 billion at July 28, 2024, and $4.689 billion at July 30, 2023. The fair value of long-term debt is principally estimated using Level 2 inputs based on quoted market prices or pricing models using current market rates.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Shareholders' Equity</w:t>
      </w:r>
    </w:p>
    <w:p>
      <w:pPr>
        <w:spacing w:after="0" w:line="105"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June 2021, the Board authorized an anti-dilutive share repurchase program of up to $250 million (June 2021 program) to offset the impact of dilution from shares issued under our stock compensation programs. The June 2021 program has no expiration date, but it may be suspended or discontinued at any time. Repurchases under the June 2021 program may be made in open-market or privately negotiated transactions.</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38"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2024, we repurchased 1.56 million shares at a cost of $67 million pursuant to our June 2021 program. As of July 28, 2024, approximately $37 million remained available under the June 2021 program and approximately $301 million remained under the September 2021 program. In 2023, we repurchased 2.698 million shares at a cost of $142 million. In 2022, we repurchased approximately 3.8 million shares at a cost of $167 million.</w:t>
      </w:r>
    </w:p>
    <w:p>
      <w:pPr>
        <w:spacing w:after="0" w:line="51"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September 2024, the Board authorized a new anti-dilutive share repurchase program of up to $250 million (September 2024 program) to offset the impact of dilution from shares issued under our stock compensation programs. The September 2024 program has no expiration date, but it may be discontinued at any time. Repurchases under the September 2024 program may be made in open-market or privately negotiated transactions.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Stock-based Compensation</w:t>
      </w:r>
    </w:p>
    <w:p>
      <w:pPr>
        <w:spacing w:after="0" w:line="105"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In 2005, shareholders approved the 2005 Long-Term Incentive Plan, which authorized the issuance of 6 million shares to satisfy awards of stock options, stock appreciation rights, unrestricted stock, restricted stock/units (including performance restricted stock) and performance units.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1" w:name="page72"/>
    <w:bookmarkEnd w:id="71"/>
    <w:p>
      <w:pPr>
        <w:jc w:val="both"/>
        <w:spacing w:after="0" w:line="264" w:lineRule="auto"/>
        <w:rPr>
          <w:sz w:val="20"/>
          <w:szCs w:val="20"/>
          <w:color w:val="auto"/>
        </w:rPr>
      </w:pPr>
      <w:r>
        <w:rPr>
          <w:rFonts w:ascii="Times New Roman" w:cs="Times New Roman" w:eastAsia="Times New Roman" w:hAnsi="Times New Roman"/>
          <w:sz w:val="17"/>
          <w:szCs w:val="17"/>
          <w:color w:val="auto"/>
        </w:rPr>
        <w:t>shareholders. In 2022, shareholders approved the 2022 Long-Term Incentive Plan, which authorized the issuance of 12 million shares to satisfy awards of stock options, stock appreciation rights, unrestricted stock, restricted stock/units (including performance restricted stock) and performance units. The 2022 Long-Term Incentive Plan replaced the 2015 Long-Term Incentive Plan and no new awards can be granted under the 2015 Long-Term Incentive Plan and none of the shares that remain available under the 2015 Long-Term Incentive Plan are available for issuance under the 2022 Long-Term Incentive Plan.</w:t>
      </w:r>
    </w:p>
    <w:p>
      <w:pPr>
        <w:spacing w:after="0" w:line="41" w:lineRule="exact"/>
        <w:rPr>
          <w:sz w:val="20"/>
          <w:szCs w:val="20"/>
          <w:color w:val="auto"/>
        </w:rPr>
      </w:pPr>
    </w:p>
    <w:p>
      <w:pPr>
        <w:jc w:val="both"/>
        <w:ind w:firstLine="309"/>
        <w:spacing w:after="0" w:line="254" w:lineRule="auto"/>
        <w:rPr>
          <w:sz w:val="20"/>
          <w:szCs w:val="20"/>
          <w:color w:val="auto"/>
        </w:rPr>
      </w:pPr>
      <w:r>
        <w:rPr>
          <w:rFonts w:ascii="Times New Roman" w:cs="Times New Roman" w:eastAsia="Times New Roman" w:hAnsi="Times New Roman"/>
          <w:sz w:val="17"/>
          <w:szCs w:val="17"/>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free cash flow (FCF)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after the relevant three-year performance period, a recipient of TSR performance restricted stock/units may earn a total award ranging from 0% to 200% of the initial grant. Awards of EPS performance restricted stock/units granted beginning in 2022 will be earned upon the achievement of our adjusted EPS compound annual growth rate goal (EPS CAGR performance restricted stock/units), measured over a three-year period. A recipient of EPS CAGR performance restricted stock/units may earn a total award ranging from 0% to 200% of the initial grant. Awards of EPS performance restricted stock/units granted prior to 2022 were earned based upon our achievement of annual earnings per share goals and vested over the relevant three-year period. During the three-year vesting period, a recipient of EPS performance restricted stock/units earned a total award of either 0% or 100%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FCF performance restricted stock units were earned based upon the achievement of free cash flow (defined as Net cash provided by operating activities less capital expenditures and certain investing and financing activities) compared to annual operating plan objectives over a three-year period. An annual objective was established each fiscal year for three consecutive years. Performance against these objectives was averaged at the end of the three-year period to determine the number of underlying units that vested at the end of the three years. A recipient of FCF performance restricted stock units earned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7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Stock options are granted on a selective basis under the Long-Term Incentive Plans. The term of a stock option granted under these plans may not exceed ten years from the date of grant. The option price may not be less than the fair market value of a share of common stock on the date of the grant. Options granted under these plans generally vest ratably over a three-year period. In 2019, we also granted certain options that vest at the end of a three-year period. We last issued stock options in 2019.</w:t>
      </w:r>
    </w:p>
    <w:p>
      <w:pPr>
        <w:spacing w:after="0" w:line="5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In 2024, we issued time-lapse restricted stock units, unrestricted stock, TSR performance restricted stock units and EPS CAGR performance restricted stock units. We last issued FCF performance restricted stock units in 2019, EPS performance restricted stock units in 2018, strategic performance restricted stock units in 2014 and special performance restricted units in 2015.</w:t>
      </w:r>
    </w:p>
    <w:p>
      <w:pPr>
        <w:spacing w:after="0" w:line="38"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In connection with the Sovos Brands acquisition, we issued 1.721 million time-lapse restricted stock units (Replacement units) in exchange for certain Sovos Brands restricted stock units and performance restricted stock units. The Replacement units are subject to the same terms and conditions of the original Sovos Brands restricted stock units and performance restricted stock units. Certain Replacement units were subject to accelerated vesting. The Replacement units have a total fair value of $74 million based on the quoted price of our stock on the acquisition date. The portion of Replacement units attributed to pre-combination service was $42 million, which was accounted for as part of consideration transferred and was recorded in Additional Paid-in Capital in our Consolidated Statements of Equity. See Note 3 for additional information. The portion of the Replacement units attributable to post-combination service will be recognized as stock-based compensation expense over the remaining vesting period. Also in connection with the Sovos Brands acquisition in 2024, our adjusted EPS compound annual growth rate goals for the EPS CAGR performance restricted stock units granted in 2024, 2023 and 2022 were revised to equitably adjust for the impact of completed acquisitions and divestitures that were not contemplated at the time of approval of the original targets.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2" w:name="page73"/>
    <w:bookmarkEnd w:id="72"/>
    <w:p>
      <w:pPr>
        <w:ind w:firstLine="309"/>
        <w:spacing w:after="0" w:line="286" w:lineRule="auto"/>
        <w:rPr>
          <w:sz w:val="20"/>
          <w:szCs w:val="20"/>
          <w:color w:val="auto"/>
        </w:rPr>
      </w:pPr>
      <w:r>
        <w:rPr>
          <w:rFonts w:ascii="Times New Roman" w:cs="Times New Roman" w:eastAsia="Times New Roman" w:hAnsi="Times New Roman"/>
          <w:sz w:val="17"/>
          <w:szCs w:val="17"/>
          <w:color w:val="auto"/>
        </w:rPr>
        <w:t>In determining stock-based compensation expense, we estimate forfeitures expected to occur. Total pre-tax stock-based compensation expense and tax-related benefits recognized in the Consolidated Statements of Earnings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7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75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Total pre-tax stock-based compensation expense</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7"/>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Tax-related benefits</w:t>
            </w:r>
          </w:p>
        </w:tc>
        <w:tc>
          <w:tcPr>
            <w:tcW w:w="820" w:type="dxa"/>
            <w:vAlign w:val="bottom"/>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101" w:lineRule="exact"/>
        <w:rPr>
          <w:sz w:val="20"/>
          <w:szCs w:val="20"/>
          <w:color w:val="auto"/>
        </w:rPr>
      </w:pPr>
    </w:p>
    <w:p>
      <w:pPr>
        <w:ind w:left="320" w:right="4080" w:hanging="317"/>
        <w:spacing w:after="0" w:line="310" w:lineRule="auto"/>
        <w:tabs>
          <w:tab w:leader="none" w:pos="308"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$26 million of expense related to accelerated vesting of certain Replacement units in 2024. The following table summarizes stock option activity as of July 28,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2"/>
                <w:szCs w:val="12"/>
                <w:color w:val="auto"/>
              </w:rPr>
            </w:pPr>
          </w:p>
        </w:tc>
        <w:tc>
          <w:tcPr>
            <w:tcW w:w="1240" w:type="dxa"/>
            <w:vAlign w:val="bottom"/>
            <w:vMerge w:val="restart"/>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361"/>
              <w:spacing w:after="0" w:line="12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200" w:type="dxa"/>
            <w:vAlign w:val="bottom"/>
            <w:vMerge w:val="restart"/>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381"/>
              <w:spacing w:after="0" w:line="142"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240" w:type="dxa"/>
            <w:vAlign w:val="bottom"/>
          </w:tcPr>
          <w:p>
            <w:pPr>
              <w:jc w:val="center"/>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80" w:type="dxa"/>
            <w:vAlign w:val="bottom"/>
          </w:tcPr>
          <w:p>
            <w:pPr>
              <w:spacing w:after="0"/>
              <w:rPr>
                <w:sz w:val="16"/>
                <w:szCs w:val="16"/>
                <w:color w:val="auto"/>
              </w:rPr>
            </w:pPr>
          </w:p>
        </w:tc>
        <w:tc>
          <w:tcPr>
            <w:tcW w:w="124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200" w:type="dxa"/>
            <w:vAlign w:val="bottom"/>
            <w:tcBorders>
              <w:top w:val="single" w:sz="8" w:color="auto"/>
            </w:tcBorders>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0" w:type="dxa"/>
            <w:vAlign w:val="bottom"/>
          </w:tcPr>
          <w:p>
            <w:pPr>
              <w:spacing w:after="0"/>
              <w:rPr>
                <w:sz w:val="1"/>
                <w:szCs w:val="1"/>
                <w:color w:val="auto"/>
              </w:rPr>
            </w:pPr>
          </w:p>
        </w:tc>
      </w:tr>
      <w:tr>
        <w:trPr>
          <w:trHeight w:val="224"/>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July 30, 2023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44.77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36.60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Terminated</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July 28, 2024</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CCEEFF"/>
              <w:bottom w:val="single" w:sz="8" w:color="auto"/>
            </w:tcBorders>
            <w:shd w:val="clear" w:color="auto" w:fill="CCEEFF"/>
          </w:tcPr>
          <w:p>
            <w:pPr>
              <w:jc w:val="right"/>
              <w:ind w:right="90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45.33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at July 28, 2024</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779</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901"/>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45.33</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total intrinsic value of options exercised during 2024, 2023 and 2022 was $1 million, $3 million and $1 million, respectively. We measured the fair value of stock options using the Black-Scholes option pricing model.</w:t>
      </w:r>
    </w:p>
    <w:p>
      <w:pPr>
        <w:spacing w:after="0" w:line="3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time-lapse restricted stock units and EPS CAGR performance restricted stock units as of July 28, 2024:</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241"/>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0"/>
        </w:trPr>
        <w:tc>
          <w:tcPr>
            <w:tcW w:w="7620" w:type="dxa"/>
            <w:vAlign w:val="bottom"/>
          </w:tcPr>
          <w:p>
            <w:pPr>
              <w:spacing w:after="0"/>
              <w:rPr>
                <w:sz w:val="12"/>
                <w:szCs w:val="12"/>
                <w:color w:val="auto"/>
              </w:rPr>
            </w:pPr>
          </w:p>
        </w:tc>
        <w:tc>
          <w:tcPr>
            <w:tcW w:w="184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20" w:type="dxa"/>
            <w:vAlign w:val="bottom"/>
          </w:tcPr>
          <w:p>
            <w:pPr>
              <w:spacing w:after="0"/>
              <w:rPr>
                <w:sz w:val="12"/>
                <w:szCs w:val="12"/>
                <w:color w:val="auto"/>
              </w:rPr>
            </w:pPr>
          </w:p>
        </w:tc>
        <w:tc>
          <w:tcPr>
            <w:tcW w:w="1440" w:type="dxa"/>
            <w:vAlign w:val="bottom"/>
          </w:tcPr>
          <w:p>
            <w:pPr>
              <w:jc w:val="center"/>
              <w:ind w:right="241"/>
              <w:spacing w:after="0" w:line="141"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86"/>
        </w:trPr>
        <w:tc>
          <w:tcPr>
            <w:tcW w:w="7620" w:type="dxa"/>
            <w:vAlign w:val="bottom"/>
          </w:tcPr>
          <w:p>
            <w:pPr>
              <w:spacing w:after="0"/>
              <w:rPr>
                <w:sz w:val="16"/>
                <w:szCs w:val="16"/>
                <w:color w:val="auto"/>
              </w:rPr>
            </w:pPr>
          </w:p>
        </w:tc>
        <w:tc>
          <w:tcPr>
            <w:tcW w:w="1740" w:type="dxa"/>
            <w:vAlign w:val="bottom"/>
            <w:tcBorders>
              <w:top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July 30,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45.39</w:t>
            </w:r>
          </w:p>
        </w:tc>
        <w:tc>
          <w:tcPr>
            <w:tcW w:w="0" w:type="dxa"/>
            <w:vAlign w:val="bottom"/>
          </w:tcPr>
          <w:p>
            <w:pPr>
              <w:spacing w:after="0"/>
              <w:rPr>
                <w:sz w:val="1"/>
                <w:szCs w:val="1"/>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Replacement units granted in connection with Sovos Brands acquisition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43.01</w:t>
            </w:r>
          </w:p>
        </w:tc>
        <w:tc>
          <w:tcPr>
            <w:tcW w:w="0" w:type="dxa"/>
            <w:vAlign w:val="bottom"/>
          </w:tcPr>
          <w:p>
            <w:pPr>
              <w:spacing w:after="0"/>
              <w:rPr>
                <w:sz w:val="1"/>
                <w:szCs w:val="1"/>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(2,275)</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43.19</w:t>
            </w:r>
          </w:p>
        </w:tc>
        <w:tc>
          <w:tcPr>
            <w:tcW w:w="0" w:type="dxa"/>
            <w:vAlign w:val="bottom"/>
          </w:tcPr>
          <w:p>
            <w:pPr>
              <w:spacing w:after="0"/>
              <w:rPr>
                <w:sz w:val="1"/>
                <w:szCs w:val="1"/>
                <w:color w:val="auto"/>
              </w:rPr>
            </w:pP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at July 28, 2024</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determine the fair value of time-lapse restricted stock units, EPS CAGR performance restricted stock units and FCF performance restricted stock units based on the quoted price of our stock at the date of grant. We expense time-lapse restricted stock units and EPS CAGR performance restricted stock units on a straight-line basis over the vesting period, except for awards issued to retirement-eligible participants and certain Replacement units, which we expense on an accelerated basis. There were 873 thousand EPS CAGR performance target grants outstanding at July 28, 2024, with a weighted-average grant-date fair value of $42.99. We expensed FCF performance restricted stock units over the requisite service period of each objective. As of October 31, 2021, there were no FCF performance target grants outstanding. The actual number of EPS CAGR performance restricted stock units and FCF performance restricted stock units that vest will depend on actual performance achieved. We estimate expense based on the number of awards expected to vest.</w:t>
      </w:r>
    </w:p>
    <w:p>
      <w:pPr>
        <w:spacing w:after="0" w:line="49"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As of July 28, 2024, total remaining unearned compensation related to nonvested time-lapse restricted stock units and EPS CAGR performance restricted units was $55 million, which will be amortized over the weighted-average remaining service period of 1.7 years. In the first quarter of 2022, recipients of FCF performance restricted stock units earned 167% of the initial grants based upon the average of actual performance achieved during a three-year period ended August 1, 2021. As a result,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3" w:name="page74"/>
    <w:bookmarkEnd w:id="73"/>
    <w:p>
      <w:pPr>
        <w:jc w:val="both"/>
        <w:spacing w:after="0" w:line="269" w:lineRule="auto"/>
        <w:rPr>
          <w:sz w:val="20"/>
          <w:szCs w:val="20"/>
          <w:color w:val="auto"/>
        </w:rPr>
      </w:pPr>
      <w:r>
        <w:rPr>
          <w:rFonts w:ascii="Times New Roman" w:cs="Times New Roman" w:eastAsia="Times New Roman" w:hAnsi="Times New Roman"/>
          <w:sz w:val="17"/>
          <w:szCs w:val="17"/>
          <w:color w:val="auto"/>
        </w:rPr>
        <w:t>approximately 158 thousand additional shares were awarded. The fair value of restricted stock units vested during 2024, 2023 and 2022 was $97 million, $37 million and $50 million, respectively. The weighted-average grant-date fair value of the restricted stock units granted during 2023 and 2022 was $47.65 and $41.96, respectively.</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TSR performance restricted stock units as of July 28,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0"/>
        </w:trPr>
        <w:tc>
          <w:tcPr>
            <w:tcW w:w="7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222"/>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30"/>
        </w:trPr>
        <w:tc>
          <w:tcPr>
            <w:tcW w:w="7820" w:type="dxa"/>
            <w:vAlign w:val="bottom"/>
          </w:tcPr>
          <w:p>
            <w:pPr>
              <w:spacing w:after="0"/>
              <w:rPr>
                <w:sz w:val="11"/>
                <w:szCs w:val="11"/>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1"/>
                <w:szCs w:val="11"/>
                <w:color w:val="auto"/>
              </w:rPr>
            </w:pPr>
          </w:p>
        </w:tc>
        <w:tc>
          <w:tcPr>
            <w:tcW w:w="1340" w:type="dxa"/>
            <w:vAlign w:val="bottom"/>
          </w:tcPr>
          <w:p>
            <w:pPr>
              <w:jc w:val="center"/>
              <w:ind w:right="222"/>
              <w:spacing w:after="0" w:line="130"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82"/>
        </w:trPr>
        <w:tc>
          <w:tcPr>
            <w:tcW w:w="782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820" w:type="dxa"/>
            <w:vAlign w:val="bottom"/>
          </w:tcPr>
          <w:p>
            <w:pPr>
              <w:spacing w:after="0"/>
              <w:rPr>
                <w:sz w:val="15"/>
                <w:szCs w:val="15"/>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July 30, 2023</w:t>
            </w:r>
          </w:p>
        </w:tc>
        <w:tc>
          <w:tcPr>
            <w:tcW w:w="1640" w:type="dxa"/>
            <w:vAlign w:val="bottom"/>
            <w:shd w:val="clear" w:color="auto" w:fill="CCEEFF"/>
          </w:tcPr>
          <w:p>
            <w:pPr>
              <w:jc w:val="center"/>
              <w:ind w:left="1139"/>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51.81</w:t>
            </w:r>
          </w:p>
        </w:tc>
        <w:tc>
          <w:tcPr>
            <w:tcW w:w="0" w:type="dxa"/>
            <w:vAlign w:val="bottom"/>
          </w:tcPr>
          <w:p>
            <w:pPr>
              <w:spacing w:after="0"/>
              <w:rPr>
                <w:sz w:val="1"/>
                <w:szCs w:val="1"/>
                <w:color w:val="auto"/>
              </w:rPr>
            </w:pPr>
          </w:p>
        </w:tc>
      </w:tr>
      <w:tr>
        <w:trPr>
          <w:trHeight w:val="219"/>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center"/>
              <w:ind w:left="1139"/>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7"/>
                <w:szCs w:val="17"/>
                <w:color w:val="auto"/>
                <w:w w:val="97"/>
              </w:rPr>
              <w:t>(289)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tcPr>
          <w:p>
            <w:pPr>
              <w:jc w:val="center"/>
              <w:ind w:left="1119"/>
              <w:spacing w:after="0"/>
              <w:rPr>
                <w:sz w:val="20"/>
                <w:szCs w:val="20"/>
                <w:color w:val="auto"/>
              </w:rPr>
            </w:pPr>
            <w:r>
              <w:rPr>
                <w:rFonts w:ascii="Times New Roman" w:cs="Times New Roman" w:eastAsia="Times New Roman" w:hAnsi="Times New Roman"/>
                <w:sz w:val="17"/>
                <w:szCs w:val="17"/>
                <w:color w:val="auto"/>
                <w:w w:val="97"/>
              </w:rPr>
              <w:t>(173)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51.78</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July 28, 2024</w:t>
            </w:r>
          </w:p>
        </w:tc>
        <w:tc>
          <w:tcPr>
            <w:tcW w:w="1640" w:type="dxa"/>
            <w:vAlign w:val="bottom"/>
            <w:tcBorders>
              <w:bottom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estimated the fair value of TSR performance restricted stock units at the grant date using a Monte Carlo simulation. Weighted-average assumptions used in the Monte Carlo simulation were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4.84%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0.46%</w:t>
            </w:r>
          </w:p>
        </w:tc>
      </w:tr>
      <w:tr>
        <w:trPr>
          <w:trHeight w:val="219"/>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3.54%</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3.50%</w:t>
            </w: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22.16%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26.40%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27.42%</w:t>
            </w:r>
          </w:p>
        </w:tc>
      </w:tr>
      <w:tr>
        <w:trPr>
          <w:trHeight w:val="227"/>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3 years</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3 years</w:t>
            </w:r>
          </w:p>
        </w:tc>
        <w:tc>
          <w:tcPr>
            <w:tcW w:w="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 years</w:t>
            </w:r>
          </w:p>
        </w:tc>
      </w:tr>
    </w:tbl>
    <w:p>
      <w:pPr>
        <w:spacing w:after="0" w:line="156" w:lineRule="exact"/>
        <w:rPr>
          <w:sz w:val="20"/>
          <w:szCs w:val="20"/>
          <w:color w:val="auto"/>
        </w:rPr>
      </w:pPr>
    </w:p>
    <w:p>
      <w:pPr>
        <w:jc w:val="both"/>
        <w:ind w:firstLine="309"/>
        <w:spacing w:after="0" w:line="246" w:lineRule="auto"/>
        <w:rPr>
          <w:sz w:val="20"/>
          <w:szCs w:val="20"/>
          <w:color w:val="auto"/>
        </w:rPr>
      </w:pPr>
      <w:r>
        <w:rPr>
          <w:rFonts w:ascii="Times New Roman" w:cs="Times New Roman" w:eastAsia="Times New Roman" w:hAnsi="Times New Roman"/>
          <w:sz w:val="17"/>
          <w:szCs w:val="17"/>
          <w:color w:val="auto"/>
        </w:rPr>
        <w:t>We recognize compensation expense on a straight-line basis over the service period, except for awards issued to retirement eligible participants, which we expense on an accelerated basis. As of July 28, 2024, total remaining unearned compensation related to TSR performance restricted stock units was $12 million, which will be amortized over the weighted-average remaining service period of 1.6 years. In the first quarter of 2024, recipients of TSR performance restricted stock units earned 75% of the initial grants based upon our TSR ranking in a performance peer group during a three-year period ended July 28, 2023. In the first quarter of 2023, recipients of TSR performance restricted stock units earned 100% of the initial grants based upon our TSR ranking in a performance peer group during a three-year period ended July 29, 2022. In the first quarter of 2022, recipients of TSR performance restricted stock units earned 75% of the initial grants based upon our TSR ranking in a performance peer group during a three-year period ended July 30, 2021. The fair value of TSR performance restricted stock units vested during 2024, 2023, and 2022 was $12 million, $21 million and $8 million, respectively. The weighted-average grant-date fair value of the TSR performance restricted stock units granted during 2023 and 2022 was $53.74 and $45.54, respectively. In the first quarter of 2025, recipients of TSR performance restricted stock units will receive a 175% payout based upon our TSR ranking in a performance peer group during a three-year period ended July 26, 2024.</w:t>
      </w:r>
    </w:p>
    <w:p>
      <w:pPr>
        <w:spacing w:after="0" w:line="5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tax benefits on the exercise of stock options in 2024, 2023 and 2022 were not material. Cash received from the exercise of stock options was $2 million, $22 million and $3 million for 2024, 2023, and 2022, respectively, and is reflected in cash flows from financing activities in the Consolidated Statements of Cash Flows.</w:t>
      </w:r>
    </w:p>
    <w:p>
      <w:pPr>
        <w:spacing w:after="0" w:line="47" w:lineRule="exact"/>
        <w:rPr>
          <w:sz w:val="20"/>
          <w:szCs w:val="20"/>
          <w:color w:val="auto"/>
        </w:rPr>
      </w:pPr>
    </w:p>
    <w:p>
      <w:pPr>
        <w:ind w:right="8540" w:firstLine="3"/>
        <w:spacing w:after="0" w:line="358" w:lineRule="auto"/>
        <w:tabs>
          <w:tab w:leader="none" w:pos="257"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color w:val="auto"/>
        </w:rPr>
        <w:t>also subject to the uncertainty of how opposing parties and their counsel will themselves view the relevant evidence and applicable law.</w:t>
      </w:r>
    </w:p>
    <w:p>
      <w:pPr>
        <w:spacing w:after="0" w:line="88"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our Napoleon, Ohio wastewater treatment facility in excess of the facility's Clean Water Act permit limits. We have and are continuing to take actions to remediate the exceedances and are in settlement discussions with the DOJ and the private environmental groups.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spacing w:after="0" w:line="6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July 28, 2024.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Contingencies</w:t>
      </w:r>
    </w:p>
    <w:p>
      <w:pPr>
        <w:spacing w:after="0" w:line="9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guarantee approximately 4,700 bank loans made to independent contractor distributors by third-party financial institutions for the purchase of distribution routes. The maximum potential amount of the future payments under existing guarantees we could be required to make is $522 million as of July 28, 2024. Our guarantees are indirectly secured by the distribution routes. We do not expect that we will be required to make material guarantee payments as a result of defaults on the bank loans guaranteed. The amounts recognized as of July 28, 2024, and July 30, 2023, were not material.</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We have provided certain indemnifications in connection with divestitures, contracts and other transactions. Certain indemnifications have finite expiration dates. Liabilities recognized based on known exposures related to such matters were not material at July 28, 2024, and July 30, 2023.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Supplier Finance Program Obligations</w:t>
      </w:r>
    </w:p>
    <w:p>
      <w:pPr>
        <w:spacing w:after="0" w:line="92"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$243 million at July 28, 2024, and $258 million at July 30,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Supplemental Financial Statement Data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3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Customer accounts receivable</w:t>
            </w:r>
          </w:p>
        </w:tc>
        <w:tc>
          <w:tcPr>
            <w:tcW w:w="426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602</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Allowances</w:t>
            </w:r>
          </w:p>
        </w:tc>
        <w:tc>
          <w:tcPr>
            <w:tcW w:w="39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2"/>
        </w:trPr>
        <w:tc>
          <w:tcPr>
            <w:tcW w:w="4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Subtotal</w:t>
            </w:r>
          </w:p>
        </w:tc>
        <w:tc>
          <w:tcPr>
            <w:tcW w:w="39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587</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9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3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Raw materials, containers and supplies</w:t>
            </w:r>
          </w:p>
        </w:tc>
        <w:tc>
          <w:tcPr>
            <w:tcW w:w="426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376</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Finished products</w:t>
            </w:r>
          </w:p>
        </w:tc>
        <w:tc>
          <w:tcPr>
            <w:tcW w:w="39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1,386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900" w:type="dxa"/>
            <w:vAlign w:val="bottom"/>
            <w:vMerge w:val="restart"/>
          </w:tcPr>
          <w:p>
            <w:pPr>
              <w:jc w:val="right"/>
              <w:ind w:right="2294"/>
              <w:spacing w:after="0"/>
              <w:rPr>
                <w:sz w:val="20"/>
                <w:szCs w:val="20"/>
                <w:color w:val="auto"/>
              </w:rPr>
            </w:pPr>
            <w:r>
              <w:rPr>
                <w:rFonts w:ascii="Times New Roman" w:cs="Times New Roman" w:eastAsia="Times New Roman" w:hAnsi="Times New Roman"/>
                <w:sz w:val="17"/>
                <w:szCs w:val="17"/>
                <w:color w:val="auto"/>
              </w:rPr>
              <w:t>75</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1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180" w:type="dxa"/>
            <w:vAlign w:val="bottom"/>
            <w:tcBorders>
              <w:bottom w:val="single" w:sz="8" w:color="9A9A9A"/>
            </w:tcBorders>
          </w:tcPr>
          <w:p>
            <w:pPr>
              <w:spacing w:after="0"/>
              <w:rPr>
                <w:sz w:val="16"/>
                <w:szCs w:val="16"/>
                <w:color w:val="auto"/>
              </w:rPr>
            </w:pPr>
          </w:p>
        </w:tc>
        <w:tc>
          <w:tcPr>
            <w:tcW w:w="39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2"/>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5"/>
                <w:szCs w:val="15"/>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assets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74</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Buildings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r>
      <w:tr>
        <w:trPr>
          <w:trHeight w:val="219"/>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Machinery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w:t>
            </w:r>
          </w:p>
        </w:tc>
      </w:tr>
      <w:tr>
        <w:trPr>
          <w:trHeight w:val="21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Projects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12"/>
        </w:trPr>
        <w:tc>
          <w:tcPr>
            <w:tcW w:w="8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cost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6,418</w:t>
            </w:r>
          </w:p>
        </w:tc>
        <w:tc>
          <w:tcPr>
            <w:tcW w:w="1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5,916</w:t>
            </w:r>
          </w:p>
        </w:tc>
      </w:tr>
      <w:tr>
        <w:trPr>
          <w:trHeight w:val="219"/>
        </w:trPr>
        <w:tc>
          <w:tcPr>
            <w:tcW w:w="80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Accumulated depreciation</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(3,518)</w:t>
            </w:r>
          </w:p>
        </w:tc>
      </w:tr>
      <w:tr>
        <w:trPr>
          <w:trHeight w:val="212"/>
        </w:trPr>
        <w:tc>
          <w:tcPr>
            <w:tcW w:w="80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2,698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2,398</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w:t>
      </w:r>
    </w:p>
    <w:p>
      <w:pPr>
        <w:spacing w:after="0" w:line="106" w:lineRule="exact"/>
        <w:rPr>
          <w:sz w:val="20"/>
          <w:szCs w:val="20"/>
          <w:color w:val="auto"/>
        </w:rPr>
      </w:pPr>
    </w:p>
    <w:p>
      <w:pPr>
        <w:ind w:left="320" w:hanging="317"/>
        <w:spacing w:after="0" w:line="229" w:lineRule="auto"/>
        <w:tabs>
          <w:tab w:leader="none" w:pos="308"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Depreciation expense was $338 million in 2024, $339 million in 2023 and $296 million in 2022. Buildings are depreciated over periods ranging from 7 to 45 years. Machinery and equipment are depreciated over periods generally ranging from 1 to 20 years.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ROU assets, net of amortization</w:t>
            </w:r>
          </w:p>
        </w:tc>
        <w:tc>
          <w:tcPr>
            <w:tcW w:w="388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333</w:t>
            </w:r>
          </w:p>
        </w:tc>
        <w:tc>
          <w:tcPr>
            <w:tcW w:w="20" w:type="dxa"/>
            <w:vAlign w:val="bottom"/>
          </w:tcPr>
          <w:p>
            <w:pPr>
              <w:spacing w:after="0"/>
              <w:rPr>
                <w:sz w:val="19"/>
                <w:szCs w:val="19"/>
                <w:color w:val="auto"/>
              </w:rPr>
            </w:pPr>
          </w:p>
        </w:tc>
        <w:tc>
          <w:tcPr>
            <w:tcW w:w="46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Pension</w:t>
            </w:r>
          </w:p>
        </w:tc>
        <w:tc>
          <w:tcPr>
            <w:tcW w:w="3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5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388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212</w:t>
            </w:r>
          </w:p>
        </w:tc>
        <w:tc>
          <w:tcPr>
            <w:tcW w:w="20" w:type="dxa"/>
            <w:vAlign w:val="bottom"/>
          </w:tcPr>
          <w:p>
            <w:pPr>
              <w:spacing w:after="0"/>
              <w:rPr>
                <w:sz w:val="19"/>
                <w:szCs w:val="19"/>
                <w:color w:val="auto"/>
              </w:rPr>
            </w:pPr>
          </w:p>
        </w:tc>
        <w:tc>
          <w:tcPr>
            <w:tcW w:w="46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Fair value of derivatives</w:t>
            </w:r>
          </w:p>
        </w:tc>
        <w:tc>
          <w:tcPr>
            <w:tcW w:w="3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trade and consumer promotion programs</w:t>
            </w:r>
          </w:p>
        </w:tc>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interest</w:t>
            </w:r>
          </w:p>
        </w:tc>
        <w:tc>
          <w:tcPr>
            <w:tcW w:w="3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w:t>
            </w:r>
          </w:p>
        </w:tc>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5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3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Pension benefits</w:t>
            </w:r>
          </w:p>
        </w:tc>
        <w:tc>
          <w:tcPr>
            <w:tcW w:w="388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20" w:type="dxa"/>
            <w:vAlign w:val="bottom"/>
          </w:tcPr>
          <w:p>
            <w:pPr>
              <w:spacing w:after="0"/>
              <w:rPr>
                <w:sz w:val="19"/>
                <w:szCs w:val="19"/>
                <w:color w:val="auto"/>
              </w:rPr>
            </w:pPr>
          </w:p>
        </w:tc>
        <w:tc>
          <w:tcPr>
            <w:tcW w:w="46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Postretirement benefits</w:t>
            </w:r>
          </w:p>
        </w:tc>
        <w:tc>
          <w:tcPr>
            <w:tcW w:w="3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compensation</w:t>
            </w:r>
          </w:p>
        </w:tc>
        <w:tc>
          <w:tcPr>
            <w:tcW w:w="3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Unrecognized tax benefits</w:t>
            </w:r>
          </w:p>
        </w:tc>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w:t>
            </w:r>
          </w:p>
        </w:tc>
        <w:tc>
          <w:tcPr>
            <w:tcW w:w="3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254"/>
              <w:spacing w:after="0"/>
              <w:rPr>
                <w:sz w:val="20"/>
                <w:szCs w:val="20"/>
                <w:color w:val="auto"/>
              </w:rPr>
            </w:pPr>
            <w:r>
              <w:rPr>
                <w:rFonts w:ascii="Times New Roman" w:cs="Times New Roman" w:eastAsia="Times New Roman" w:hAnsi="Times New Roman"/>
                <w:sz w:val="17"/>
                <w:szCs w:val="17"/>
                <w:color w:val="auto"/>
              </w:rPr>
              <w:t>76</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45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40" w:type="dxa"/>
            <w:vAlign w:val="bottom"/>
            <w:tcBorders>
              <w:bottom w:val="single" w:sz="8" w:color="9A9A9A"/>
            </w:tcBorders>
          </w:tcPr>
          <w:p>
            <w:pPr>
              <w:spacing w:after="0"/>
              <w:rPr>
                <w:sz w:val="17"/>
                <w:szCs w:val="17"/>
                <w:color w:val="auto"/>
              </w:rPr>
            </w:pPr>
          </w:p>
        </w:tc>
        <w:tc>
          <w:tcPr>
            <w:tcW w:w="35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i w:val="1"/>
          <w:iCs w:val="1"/>
          <w:color w:val="auto"/>
        </w:rPr>
        <w:t>Statements of Earnings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7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expenses / (income)</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74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Amortization of intangible assets</w:t>
            </w:r>
            <w:r>
              <w:rPr>
                <w:rFonts w:ascii="Times New Roman" w:cs="Times New Roman" w:eastAsia="Times New Roman" w:hAnsi="Times New Roman"/>
                <w:sz w:val="22"/>
                <w:szCs w:val="22"/>
                <w:color w:val="auto"/>
                <w:vertAlign w:val="superscript"/>
              </w:rPr>
              <w:t>(1)</w:t>
            </w: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periodic benefit expense (income) other than the service cost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74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Impairment of intangible assets</w:t>
            </w:r>
            <w:r>
              <w:rPr>
                <w:rFonts w:ascii="Times New Roman" w:cs="Times New Roman" w:eastAsia="Times New Roman" w:hAnsi="Times New Roman"/>
                <w:sz w:val="22"/>
                <w:szCs w:val="22"/>
                <w:color w:val="auto"/>
                <w:vertAlign w:val="superscript"/>
              </w:rPr>
              <w:t>(2)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7"/>
                <w:szCs w:val="17"/>
                <w:color w:val="auto"/>
              </w:rPr>
              <w:t>Loss on sale of business</w:t>
            </w:r>
            <w:r>
              <w:rPr>
                <w:rFonts w:ascii="Times New Roman" w:cs="Times New Roman" w:eastAsia="Times New Roman" w:hAnsi="Times New Roman"/>
                <w:sz w:val="22"/>
                <w:szCs w:val="22"/>
                <w:color w:val="auto"/>
                <w:vertAlign w:val="superscript"/>
              </w:rPr>
              <w:t>(3)</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Costs associated with acquisition</w:t>
            </w:r>
            <w:r>
              <w:rPr>
                <w:rFonts w:ascii="Times New Roman" w:cs="Times New Roman" w:eastAsia="Times New Roman" w:hAnsi="Times New Roman"/>
                <w:sz w:val="22"/>
                <w:szCs w:val="22"/>
                <w:color w:val="auto"/>
                <w:vertAlign w:val="superscript"/>
              </w:rPr>
              <w:t>(4)</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Transition services fees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7"/>
        </w:trPr>
        <w:tc>
          <w:tcPr>
            <w:tcW w:w="74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7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9"/>
        </w:trPr>
        <w:tc>
          <w:tcPr>
            <w:tcW w:w="74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Advertising and consumer promotion expense</w:t>
            </w:r>
            <w:r>
              <w:rPr>
                <w:rFonts w:ascii="Times New Roman" w:cs="Times New Roman" w:eastAsia="Times New Roman" w:hAnsi="Times New Roman"/>
                <w:sz w:val="22"/>
                <w:szCs w:val="22"/>
                <w:color w:val="auto"/>
                <w:vertAlign w:val="superscript"/>
              </w:rPr>
              <w:t>(5)</w:t>
            </w:r>
          </w:p>
        </w:tc>
        <w:tc>
          <w:tcPr>
            <w:tcW w:w="3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r>
      <w:tr>
        <w:trPr>
          <w:trHeight w:val="193"/>
        </w:trPr>
        <w:tc>
          <w:tcPr>
            <w:tcW w:w="7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74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2"/>
                <w:szCs w:val="22"/>
                <w:color w:val="auto"/>
                <w:vertAlign w:val="superscript"/>
              </w:rPr>
              <w:t>(6)</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Interest capitalized</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7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0"/>
        </w:trPr>
        <w:tc>
          <w:tcPr>
            <w:tcW w:w="7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____________________________________</w:t>
      </w:r>
    </w:p>
    <w:p>
      <w:pPr>
        <w:spacing w:after="0" w:line="76" w:lineRule="exact"/>
        <w:rPr>
          <w:sz w:val="20"/>
          <w:szCs w:val="20"/>
          <w:color w:val="auto"/>
        </w:rPr>
      </w:pPr>
    </w:p>
    <w:p>
      <w:pPr>
        <w:ind w:left="300" w:hanging="297"/>
        <w:spacing w:after="0"/>
        <w:tabs>
          <w:tab w:leader="none" w:pos="30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accelerated amortization expense related to customer relationship intangible assets of $27 million and $7 million in 2024 and 2023, respectively.</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Note 6 for additional information.</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2023, we recognized a loss of $13 million on the sale of our Emerald nuts business. See Note 4 for additional information.</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Related to the acquisition of Sovos Brands. See Note 3 for additional information.</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Marketing and selling expenses.</w:t>
      </w:r>
    </w:p>
    <w:p>
      <w:pPr>
        <w:spacing w:after="0" w:line="53" w:lineRule="exact"/>
        <w:rPr>
          <w:rFonts w:ascii="Times New Roman" w:cs="Times New Roman" w:eastAsia="Times New Roman" w:hAnsi="Times New Roman"/>
          <w:sz w:val="22"/>
          <w:szCs w:val="22"/>
          <w:color w:val="auto"/>
          <w:vertAlign w:val="superscript"/>
        </w:rPr>
      </w:pPr>
    </w:p>
    <w:p>
      <w:pPr>
        <w:ind w:left="320" w:hanging="317"/>
        <w:spacing w:after="0" w:line="219" w:lineRule="auto"/>
        <w:tabs>
          <w:tab w:leader="none" w:pos="308"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2022, we recognized a loss of $4 million (including $3 million of premium and other costs) on the extinguishment of debt. See Note 13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i w:val="1"/>
          <w:iCs w:val="1"/>
          <w:color w:val="auto"/>
        </w:rPr>
        <w:t>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2780" w:type="dxa"/>
            <w:vAlign w:val="bottom"/>
            <w:tcBorders>
              <w:bottom w:val="single" w:sz="8" w:color="auto"/>
            </w:tcBorders>
            <w:gridSpan w:val="2"/>
            <w:shd w:val="clear" w:color="auto" w:fill="CCEEFF"/>
          </w:tcPr>
          <w:p>
            <w:pPr>
              <w:spacing w:after="0" w:line="160"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6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non-cash charges to net earnings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ROU asset expense</w:t>
            </w: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20" w:type="dxa"/>
            <w:vAlign w:val="bottom"/>
          </w:tcPr>
          <w:p>
            <w:pPr>
              <w:spacing w:after="0"/>
              <w:rPr>
                <w:sz w:val="19"/>
                <w:szCs w:val="19"/>
                <w:color w:val="auto"/>
              </w:rPr>
            </w:pPr>
          </w:p>
        </w:tc>
        <w:tc>
          <w:tcPr>
            <w:tcW w:w="74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Amortization of debt issuance costs/debt discount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Benefit related expense</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2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Benefit related payments</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(40)</w:t>
            </w:r>
          </w:p>
        </w:tc>
        <w:tc>
          <w:tcPr>
            <w:tcW w:w="80" w:type="dxa"/>
            <w:vAlign w:val="bottom"/>
          </w:tcPr>
          <w:p>
            <w:pPr>
              <w:spacing w:after="0"/>
              <w:rPr>
                <w:sz w:val="19"/>
                <w:szCs w:val="19"/>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2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Cash Flow Information</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Interest paid</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received</w:t>
            </w:r>
          </w:p>
        </w:tc>
        <w:tc>
          <w:tcPr>
            <w:tcW w:w="3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7"/>
        </w:trPr>
        <w:tc>
          <w:tcPr>
            <w:tcW w:w="20" w:type="dxa"/>
            <w:vAlign w:val="bottom"/>
          </w:tcPr>
          <w:p>
            <w:pPr>
              <w:spacing w:after="0"/>
              <w:rPr>
                <w:sz w:val="19"/>
                <w:szCs w:val="19"/>
                <w:color w:val="auto"/>
              </w:rPr>
            </w:pPr>
          </w:p>
        </w:tc>
        <w:tc>
          <w:tcPr>
            <w:tcW w:w="74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Income taxes paid</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r>
      <w:tr>
        <w:trPr>
          <w:trHeight w:val="198"/>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2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Non-cash Investing Activities</w:t>
            </w:r>
          </w:p>
        </w:tc>
        <w:tc>
          <w:tcPr>
            <w:tcW w:w="528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and unpaid capital expenditures</w:t>
            </w: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Subsequent Event</w:t>
      </w:r>
    </w:p>
    <w:p>
      <w:pPr>
        <w:spacing w:after="0" w:line="105"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On August 26, 2024, we sold our Pop Secret popcorn business for $75 million, subject to certain post-closing adjustments. We expect to recognize a pre-tax loss on the sale of approximately $25 million as the carrying value of the disposal group will include allocated goodwill. In connection with the sale, we will provide certain transition services to support the business.</w:t>
      </w:r>
    </w:p>
    <w:p>
      <w:pPr>
        <w:spacing w:after="0" w:line="38"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business had net sales of $119 million in 2024, $133 million in 2023 and $125 million in 2022. Earnings were not material in the periods. The results of the business were reflected within the Snacks reportable segment.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4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management of Campbell Soup Company (the Company) is responsible for establishing and maintaining adequate internal control over financial reporting (as such term is defined in Rule 13a-15(e)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internal control over financial reporting includes those policies and procedures that:</w:t>
      </w:r>
    </w:p>
    <w:p>
      <w:pPr>
        <w:spacing w:after="0" w:line="101" w:lineRule="exact"/>
        <w:rPr>
          <w:sz w:val="20"/>
          <w:szCs w:val="20"/>
          <w:color w:val="auto"/>
        </w:rPr>
      </w:pPr>
    </w:p>
    <w:p>
      <w:pPr>
        <w:ind w:left="620" w:hanging="308"/>
        <w:spacing w:after="0"/>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w:t>
      </w:r>
    </w:p>
    <w:p>
      <w:pPr>
        <w:spacing w:after="0" w:line="100" w:lineRule="exact"/>
        <w:rPr>
          <w:rFonts w:ascii="Times New Roman" w:cs="Times New Roman" w:eastAsia="Times New Roman" w:hAnsi="Times New Roman"/>
          <w:sz w:val="17"/>
          <w:szCs w:val="17"/>
          <w:color w:val="auto"/>
        </w:rPr>
      </w:pPr>
    </w:p>
    <w:p>
      <w:pPr>
        <w:jc w:val="both"/>
        <w:ind w:left="620" w:hanging="308"/>
        <w:spacing w:after="0" w:line="269"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38"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36"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Management has excluded Sovos Brands, Inc. (Sovos Brands) from its assessment of internal control over financial reporting as of July 28, 2024 because it was acquired by the Company in a purchase business combination during 2024. Total assets and total net sales of Sovos Brands excluded from management's assessment of internal control over financial reporting represent approximately 2% and 4%, respectively, of the related consolidated financial statement amounts as of and for the year ended July 28, 2024. This exclusion is in accordance with the guidelines established by the Securities and Exchange Commission.</w:t>
      </w:r>
    </w:p>
    <w:p>
      <w:pPr>
        <w:spacing w:after="0" w:line="4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Except as noted above, the Company’s management assessed the effectiveness of the Company’s internal control over financial reporting as of July 28, 2024. In making this assessment, management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Based on this assessment using those criteria, management concluded that the Company’s internal control over financial reporting was effective as of July 28, 2024.</w:t>
      </w:r>
    </w:p>
    <w:p>
      <w:pPr>
        <w:spacing w:after="0" w:line="5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July 28, 2024 has been audited by PricewaterhouseCoopers LLP, an independent registered public accounting firm, as stated in their report, which appears on the next page.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33769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Mark A. Clouse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33769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Carrie L. Anderson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33769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769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Stanley Polomski</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Senior Vice President and Controller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19,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79" w:name="page80"/>
    <w:bookmarkEnd w:id="79"/>
    <w:p>
      <w:pPr>
        <w:ind w:left="3480"/>
        <w:spacing w:after="0"/>
        <w:rPr>
          <w:sz w:val="20"/>
          <w:szCs w:val="20"/>
          <w:color w:val="auto"/>
        </w:rPr>
      </w:pPr>
      <w:r>
        <w:rPr>
          <w:rFonts w:ascii="Times New Roman" w:cs="Times New Roman" w:eastAsia="Times New Roman" w:hAnsi="Times New Roman"/>
          <w:sz w:val="17"/>
          <w:szCs w:val="17"/>
          <w:b w:val="1"/>
          <w:bCs w:val="1"/>
          <w:u w:val="single" w:color="auto"/>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Campbell Soup Company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Campbell Soup Company and its subsidiaries (the "Company") as of July 28, 2024 and July 30, 2023, and the related consolidated statements of earnings, of comprehensive income, of equity and of cash flows for each of the three years in the period ended July 28, 2024, including the related notes and schedule of valuation and qualifying accounts for each of the three years in the period ended July 28, 2024 appearing on page 90 (collectively referred to as the "consolidated financial statements"). We also have audited the Company's internal control over financial reporting as of July 28,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July 28, 2024 and July 30, 2023, and the results of its operations and its cash flows for each of the three years in the period ended July 28, 2024 in conformity with accounting principles generally accepted in the United States of America. Also in our opinion, the Company maintained, in all material respects, effective internal control over financial reporting as of July 28,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described in Management's Report on Internal Control Over Financial Reporting, management has excluded Sovos Brands, Inc. ("Sovos Brands") from its assessment of internal control over financial reporting as of July 28, 2024 because it was acquired by the Company in a purchase business combination during 2024. We have also excluded Sovos Brands from our audit of internal control over financial reporting. Total assets and total net sales of Sovos Brands excluded from management's assessment and our audit of internal control over financial reporting represent approximately 2% and 4%, respectively, of the related consolidated financial statement amounts as of and for the year ended July 28,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80" w:name="page81"/>
    <w:bookmarkEnd w:id="80"/>
    <w:p>
      <w:pPr>
        <w:jc w:val="both"/>
        <w:spacing w:after="0" w:line="26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w:t>
      </w:r>
    </w:p>
    <w:p>
      <w:pPr>
        <w:spacing w:after="0" w:line="1" w:lineRule="exact"/>
        <w:rPr>
          <w:sz w:val="20"/>
          <w:szCs w:val="20"/>
          <w:color w:val="auto"/>
        </w:rPr>
      </w:pPr>
    </w:p>
    <w:p>
      <w:pPr>
        <w:jc w:val="both"/>
        <w:ind w:firstLine="3"/>
        <w:spacing w:after="0" w:line="259" w:lineRule="auto"/>
        <w:tabs>
          <w:tab w:leader="none" w:pos="26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Indefinite-Lived Intangible Assets Impairment Test for Certain Trademarks</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As described in Notes 1 and 6 to the consolidated financial statements, the Company’s indefinite-lived intangible assets (trademarks) were $3.882 billion as of July 28, 2024. Of the carrying value of all indefinite-lived trademarks, $620 million related to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trademark, $350 million related to the </w:t>
      </w:r>
      <w:r>
        <w:rPr>
          <w:rFonts w:ascii="Times New Roman" w:cs="Times New Roman" w:eastAsia="Times New Roman" w:hAnsi="Times New Roman"/>
          <w:sz w:val="17"/>
          <w:szCs w:val="17"/>
          <w:i w:val="1"/>
          <w:iCs w:val="1"/>
          <w:color w:val="auto"/>
        </w:rPr>
        <w:t xml:space="preserve">Lance </w:t>
      </w:r>
      <w:r>
        <w:rPr>
          <w:rFonts w:ascii="Times New Roman" w:cs="Times New Roman" w:eastAsia="Times New Roman" w:hAnsi="Times New Roman"/>
          <w:sz w:val="17"/>
          <w:szCs w:val="17"/>
          <w:color w:val="auto"/>
        </w:rPr>
        <w:t>trademark, $318 million related to the</w:t>
      </w:r>
      <w:r>
        <w:rPr>
          <w:rFonts w:ascii="Times New Roman" w:cs="Times New Roman" w:eastAsia="Times New Roman" w:hAnsi="Times New Roman"/>
          <w:sz w:val="17"/>
          <w:szCs w:val="17"/>
          <w:i w:val="1"/>
          <w:iCs w:val="1"/>
          <w:color w:val="auto"/>
        </w:rPr>
        <w:t xml:space="preserve"> Kettle Brand </w:t>
      </w:r>
      <w:r>
        <w:rPr>
          <w:rFonts w:ascii="Times New Roman" w:cs="Times New Roman" w:eastAsia="Times New Roman" w:hAnsi="Times New Roman"/>
          <w:sz w:val="17"/>
          <w:szCs w:val="17"/>
          <w:color w:val="auto"/>
        </w:rPr>
        <w:t>trademark, $280 million related to the</w:t>
      </w:r>
      <w:r>
        <w:rPr>
          <w:rFonts w:ascii="Times New Roman" w:cs="Times New Roman" w:eastAsia="Times New Roman" w:hAnsi="Times New Roman"/>
          <w:sz w:val="17"/>
          <w:szCs w:val="17"/>
          <w:i w:val="1"/>
          <w:iCs w:val="1"/>
          <w:color w:val="auto"/>
        </w:rPr>
        <w:t xml:space="preserve"> Pacific Foods </w:t>
      </w:r>
      <w:r>
        <w:rPr>
          <w:rFonts w:ascii="Times New Roman" w:cs="Times New Roman" w:eastAsia="Times New Roman" w:hAnsi="Times New Roman"/>
          <w:sz w:val="17"/>
          <w:szCs w:val="17"/>
          <w:color w:val="auto"/>
        </w:rPr>
        <w:t>trademark, and $187 million related to the</w:t>
      </w:r>
      <w:r>
        <w:rPr>
          <w:rFonts w:ascii="Times New Roman" w:cs="Times New Roman" w:eastAsia="Times New Roman" w:hAnsi="Times New Roman"/>
          <w:sz w:val="17"/>
          <w:szCs w:val="17"/>
          <w:i w:val="1"/>
          <w:iCs w:val="1"/>
          <w:color w:val="auto"/>
        </w:rPr>
        <w:t xml:space="preserve"> Cape Cod </w:t>
      </w:r>
      <w:r>
        <w:rPr>
          <w:rFonts w:ascii="Times New Roman" w:cs="Times New Roman" w:eastAsia="Times New Roman" w:hAnsi="Times New Roman"/>
          <w:sz w:val="17"/>
          <w:szCs w:val="17"/>
          <w:color w:val="auto"/>
        </w:rPr>
        <w:t>trademark. Management conducts a test at least annually in the fourth quarter for impairment, or more often if events or changes in circumstances indicate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carrying amount of the asset may be impaired. Indefinite-lived intangible assets are tested for impairment by comparing the fair value of the asset to the carrying value. Fair value is determined using a relief from royalty valuation method based on discounted cash flow analyses that include significant management assumptions such as revenue growth rates, weighted average costs of capital and assumed royalty rates. If the carrying value exceeds fair value, an impairment charge will be recorded to reduce the asset to fair value.</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principal considerations for our determination that performing procedures relating to the indefinite-lived intangible assets impairment test for certain trademarks is a critical audit matter are (i) the significant judgment by management when developing the fair value estimate of certain trademarks; (ii) a high degree of auditor judgment, subjectivity, and effort in performing procedures and evaluating management’s significant assumptions related to the weighted average costs of capital for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trademarks and the assumed royalty rates for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Kettle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Brand,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Cape Cod </w:t>
      </w:r>
      <w:r>
        <w:rPr>
          <w:rFonts w:ascii="Times New Roman" w:cs="Times New Roman" w:eastAsia="Times New Roman" w:hAnsi="Times New Roman"/>
          <w:sz w:val="17"/>
          <w:szCs w:val="17"/>
          <w:color w:val="auto"/>
        </w:rPr>
        <w:t>trademarks; and (iii) the audit effort involved the use of professionals with specialized skill and knowledge.</w:t>
      </w:r>
    </w:p>
    <w:p>
      <w:pPr>
        <w:spacing w:after="0" w:line="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Addressing the matter involved performing procedures and evaluating audit evidence in connection with forming our overall opinion on the consolidated financial statements. These procedures included testing the effectiveness of controls relating to management’s indefinite-lived intangible assets impairment test for trademarks. These procedures also included, among others (i) testing management’s process for developing the fair value estimate of certain trademarks; (ii) evaluating the appropriateness of the relief from royalty valuation method; (iii) testing the completeness and accuracy of underlying data used in the relief from royalty valuation method; and (iv) evaluating the reasonableness of the significant assumptions used by management related to the weighted average costs of capital for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trademarks and the assumed royalty rates for the </w:t>
      </w:r>
      <w:r>
        <w:rPr>
          <w:rFonts w:ascii="Times New Roman" w:cs="Times New Roman" w:eastAsia="Times New Roman" w:hAnsi="Times New Roman"/>
          <w:sz w:val="17"/>
          <w:szCs w:val="17"/>
          <w:i w:val="1"/>
          <w:iCs w:val="1"/>
          <w:color w:val="auto"/>
        </w:rPr>
        <w:t>Snyder's of Hanover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Kettle Brand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Cape Cod</w:t>
      </w:r>
      <w:r>
        <w:rPr>
          <w:rFonts w:ascii="Times New Roman" w:cs="Times New Roman" w:eastAsia="Times New Roman" w:hAnsi="Times New Roman"/>
          <w:sz w:val="17"/>
          <w:szCs w:val="17"/>
          <w:color w:val="auto"/>
        </w:rPr>
        <w:t xml:space="preserve"> trademarks. Evaluating management’s assumption related to the assumed royalty rates involved evaluating whether the assumption used by management was reasonable considering (i) the current and past performance of the certain trademarks; (ii) the consistency with external market and industry data; and (iii) whether the assumption was consistent with evidence obtained in other areas of the audit. Professionals with specialized skill and knowledge were used to assist in the evaluation of the appropriateness of the relief from royalty valuation method and the reasonableness of the weighted average costs of capital and assumed royalty rate assumptions.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of Sovos Brands – Valuation of the Rao’s Trademark</w:t>
      </w:r>
    </w:p>
    <w:p>
      <w:pPr>
        <w:spacing w:after="0" w:line="1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As described in Note 3 to the consolidated financial statements, on March 12, 2024, the Company acquired Sovos Brands for total purchase consideration of $2.899 billion. Of the acquired intangible assets, $1.470 billion was recorded for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Fair value of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was determined using a relief from royalty valuation method. Significant management assumptions used in determining the fair value include the revenue growth rates, weighted average cost of capital and assumed royalty rate.</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principal considerations for our determination that performing procedures relating to the valuation of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acquired in the acquisition of Sovos Brands is a critical audit matter are (i) the significant judgment by management when developing the fair value estimate of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acquired; (ii) a high degree of auditor judgment, subjectivity, and effort in performing procedures and evaluating management’s significant assumptions related to the revenue growth rates, weighted average cost of capital, and assumed royalty rate; and (iii) the audit effort involved the use of professionals with specialized skill and knowledge.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118745</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81" w:name="page82"/>
    <w:bookmarkEnd w:id="81"/>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management’s valuation of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acquired. These procedures also included, among others (i) reading the purchase agreement; (ii) testing management’s process for developing the fair value estimate of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acquired; (iii) evaluating the appropriateness of the relief from royalty valuation method; (iv) testing the completeness and accuracy of the underlying data used in the relief from royalty valuation method; and (v) evaluating the reasonableness of the significant assumptions used by management related to the revenue growth rates, weighted average cost of capital, and assumed royalty rate. Evaluating management’s assumptions related to the revenue growth rates and assumed royalty rate involved considering (i) the current and past performance of the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trademark; (ii) the consistency with external market and industry data; and (iii) whether these assumptions were consistent with evidence obtained in other areas of the audit. Professionals with specialized skill and knowledge were used to assist in the evaluation of the appropriateness of the relief from royalty valuation method and the reasonableness of the weighted average cost of capital and assumed royalty rate assumptions.</w:t>
      </w:r>
    </w:p>
    <w:p>
      <w:pPr>
        <w:spacing w:after="0" w:line="323"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7"/>
          <w:szCs w:val="17"/>
          <w:color w:val="auto"/>
        </w:rPr>
        <w:t>/s/</w:t>
        <w:tab/>
        <w:t>PricewaterhouseCoopers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19, 2024</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1954.</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 13a-15(e) under the Exchange Act) as of July 28, 2024 (the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annual report of management on our internal control over financial reporting is provided under "Financial Statements and Supplementary Data" on page</w:t>
      </w:r>
    </w:p>
    <w:p>
      <w:pPr>
        <w:spacing w:after="0" w:line="27" w:lineRule="exact"/>
        <w:rPr>
          <w:sz w:val="20"/>
          <w:szCs w:val="20"/>
          <w:color w:val="auto"/>
        </w:rPr>
      </w:pPr>
    </w:p>
    <w:p>
      <w:pPr>
        <w:ind w:firstLine="3"/>
        <w:spacing w:after="0" w:line="265" w:lineRule="auto"/>
        <w:tabs>
          <w:tab w:leader="none" w:pos="29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attestation report of PricewaterhouseCoopers LLP, our independent registered public accounting firm, regarding our internal control over financial reporting is provided under "Financial Statements and Supplementary Data" on pages 80-82.</w:t>
      </w:r>
    </w:p>
    <w:p>
      <w:pPr>
        <w:spacing w:after="0" w:line="41"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materially affected, or were likely to materially affect, such internal control over financial reporting during the quarter ended July 28, 2024.</w:t>
      </w:r>
    </w:p>
    <w:p>
      <w:pPr>
        <w:spacing w:after="0" w:line="36"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Management has excluded Sovos Brands, Inc. (Sovos Brands) from its assessment of internal control over financial reporting as of July 28, 2024 because it was acquired by the company in a purchase business combination during 2024. Total assets and total net sales of Sovos Brands excluded from management's assessment of internal control over financial reporting represent approximately 2% and 4%, respectively, of the related consolidated financial statement amounts as of and for the year ended July 28, 2024. This exclusion is in accordance with the guidelines established by the Securities and Exchange Commission.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9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During the quarter ended July 28, 2024, none of our directors or officers (as defined in Rule 16a-1(f) under the Exchange Act)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94" w:lineRule="exact"/>
        <w:rPr>
          <w:sz w:val="20"/>
          <w:szCs w:val="20"/>
          <w:color w:val="auto"/>
        </w:rPr>
      </w:pPr>
    </w:p>
    <w:p>
      <w:pPr>
        <w:jc w:val="both"/>
        <w:ind w:firstLine="309"/>
        <w:spacing w:after="0"/>
        <w:rPr>
          <w:sz w:val="20"/>
          <w:szCs w:val="20"/>
          <w:color w:val="auto"/>
        </w:rPr>
      </w:pPr>
      <w:r>
        <w:rPr>
          <w:rFonts w:ascii="Times New Roman" w:cs="Times New Roman" w:eastAsia="Times New Roman" w:hAnsi="Times New Roman"/>
          <w:sz w:val="17"/>
          <w:szCs w:val="17"/>
          <w:color w:val="auto"/>
        </w:rPr>
        <w:t>The sections entitled "Item 1 — Election of Directors" and "Voting Securities and Principal Shareholders — Ownership of Directors and Executive Officers" in our Proxy Statement for the 2024 Annual Meeting of Shareholders (the 2024 Proxy) are incorporated herein by reference. The information presented in the section entitled "Corporate Governance Policies and Practices — Board Meetings and Committees — Board Committee Structure" in the 2024 Proxy relating to the members of our Audit Committee and the Audit Committee’s financial experts is incorporated herein by reference. The information presented in the section entitled "Compensation Discussion and Analysis — How Do We Manage Risks Related to Our Compensation Program? — Trading Campbell's Securities" in the 2024 Proxy relating to the company's Insider Trading Policy is incorporated herein by reference.</w:t>
      </w:r>
    </w:p>
    <w:p>
      <w:pPr>
        <w:spacing w:after="0" w:line="76"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Certain of the information required by this Item relating to our executive officers is set forth under the heading "Information about our Executive Officers" in this Report.</w:t>
      </w:r>
    </w:p>
    <w:p>
      <w:pPr>
        <w:spacing w:after="0" w:line="2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the Investor portion of our website, </w:t>
      </w:r>
      <w:r>
        <w:rPr>
          <w:rFonts w:ascii="Times New Roman" w:cs="Times New Roman" w:eastAsia="Times New Roman" w:hAnsi="Times New Roman"/>
          <w:sz w:val="17"/>
          <w:szCs w:val="17"/>
          <w:u w:val="single" w:color="auto"/>
          <w:color w:val="auto"/>
        </w:rPr>
        <w:t>www.campbellsoupcompany.com</w:t>
      </w:r>
      <w:r>
        <w:rPr>
          <w:rFonts w:ascii="Times New Roman" w:cs="Times New Roman" w:eastAsia="Times New Roman" w:hAnsi="Times New Roman"/>
          <w:sz w:val="17"/>
          <w:szCs w:val="17"/>
          <w:color w:val="auto"/>
        </w:rPr>
        <w:t xml:space="preserve"> (under the "About Us—Investors—Governance— Governance Documents" caption). We intend to satisfy the disclosure requirement regarding any amendment to, or a waiver of, a provision of the Code of Ethics for the Chief Executive Officer and Senior Financial Officers by posting such information on our website.</w:t>
      </w:r>
    </w:p>
    <w:p>
      <w:pPr>
        <w:spacing w:after="0" w:line="5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We have also adopted a separate Code of Business Conduct and Ethics applicable to the Board of Directors, our officers and all of our employees. The Code of Business Conduct and Ethics is posted on the Investor portion of our website, </w:t>
      </w:r>
      <w:r>
        <w:rPr>
          <w:rFonts w:ascii="Times New Roman" w:cs="Times New Roman" w:eastAsia="Times New Roman" w:hAnsi="Times New Roman"/>
          <w:sz w:val="17"/>
          <w:szCs w:val="17"/>
          <w:u w:val="single" w:color="auto"/>
          <w:color w:val="auto"/>
        </w:rPr>
        <w:t>www.campbellsoupcompany.com</w:t>
      </w:r>
      <w:r>
        <w:rPr>
          <w:rFonts w:ascii="Times New Roman" w:cs="Times New Roman" w:eastAsia="Times New Roman" w:hAnsi="Times New Roman"/>
          <w:sz w:val="17"/>
          <w:szCs w:val="17"/>
          <w:color w:val="auto"/>
        </w:rPr>
        <w:t xml:space="preserve"> (under the "About Us—Investors—Governance— Governance Documents" caption). Our Corporate Governance Standards and the charters of our four standing committees of the Board of Directors can also be found at this website. Printed copies of the foregoing are available to any shareholder requesting a copy by:</w:t>
      </w:r>
    </w:p>
    <w:p>
      <w:pPr>
        <w:spacing w:after="0" w:line="54" w:lineRule="exact"/>
        <w:rPr>
          <w:sz w:val="20"/>
          <w:szCs w:val="20"/>
          <w:color w:val="auto"/>
        </w:rPr>
      </w:pPr>
    </w:p>
    <w:p>
      <w:pPr>
        <w:ind w:left="620" w:hanging="308"/>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writing to Investor Relations, Campbell Soup Company, 1 Campbell Place, Camden, NJ 08103-1799;</w:t>
      </w:r>
    </w:p>
    <w:p>
      <w:pPr>
        <w:spacing w:after="0" w:line="8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calling 856-342-6081; or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3" w:name="page84"/>
    <w:bookmarkEnd w:id="83"/>
    <w:p>
      <w:pPr>
        <w:ind w:left="620" w:hanging="308"/>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e-mailing our Investor Relations Department at IR@campbells.com.</w:t>
      </w:r>
    </w:p>
    <w:p>
      <w:pPr>
        <w:spacing w:after="0" w:line="8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10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2024 Proxy is incorporated herein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Shareholder Matters</w:t>
      </w:r>
    </w:p>
    <w:p>
      <w:pPr>
        <w:spacing w:after="0" w:line="94" w:lineRule="exact"/>
        <w:rPr>
          <w:sz w:val="20"/>
          <w:szCs w:val="20"/>
          <w:color w:val="auto"/>
        </w:rPr>
      </w:pPr>
    </w:p>
    <w:p>
      <w:pPr>
        <w:jc w:val="both"/>
        <w:ind w:firstLine="309"/>
        <w:spacing w:after="0" w:line="286" w:lineRule="auto"/>
        <w:rPr>
          <w:sz w:val="20"/>
          <w:szCs w:val="20"/>
          <w:color w:val="auto"/>
        </w:rPr>
      </w:pPr>
      <w:r>
        <w:rPr>
          <w:rFonts w:ascii="Times New Roman" w:cs="Times New Roman" w:eastAsia="Times New Roman" w:hAnsi="Times New Roman"/>
          <w:sz w:val="17"/>
          <w:szCs w:val="17"/>
          <w:color w:val="auto"/>
        </w:rPr>
        <w:t>The information presented in the sections entitled "Voting Securities and Principal Shareholders — Ownership of Directors and Executive Officers" and "Voting Securities and Principal Shareholders — Principal Shareholders" in the 2024 Proxy is incorporated herein by reference.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about the stock that could have been issued under our equity compensation plans as of July 28,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8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7"/>
              </w:rPr>
              <w:t>Remaining Available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Securities to be</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Future Issuance Under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6"/>
              </w:rPr>
              <w:t>Issued Upon</w:t>
            </w:r>
          </w:p>
        </w:tc>
        <w:tc>
          <w:tcPr>
            <w:tcW w:w="180" w:type="dxa"/>
            <w:vAlign w:val="bottom"/>
          </w:tcPr>
          <w:p>
            <w:pPr>
              <w:spacing w:after="0"/>
              <w:rPr>
                <w:sz w:val="11"/>
                <w:szCs w:val="11"/>
                <w:color w:val="auto"/>
              </w:rPr>
            </w:pPr>
          </w:p>
        </w:tc>
        <w:tc>
          <w:tcPr>
            <w:tcW w:w="136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18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8"/>
              </w:rPr>
              <w:t>Equity Compensation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Exercise of</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80" w:type="dxa"/>
            <w:vAlign w:val="bottom"/>
          </w:tcPr>
          <w:p>
            <w:pPr>
              <w:spacing w:after="0"/>
              <w:rPr>
                <w:sz w:val="12"/>
                <w:szCs w:val="12"/>
                <w:color w:val="auto"/>
              </w:rPr>
            </w:pPr>
          </w:p>
        </w:tc>
        <w:tc>
          <w:tcPr>
            <w:tcW w:w="13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1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(Excluding Securities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2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7"/>
              </w:rPr>
              <w:t>Options, Warrants and</w:t>
            </w:r>
          </w:p>
        </w:tc>
        <w:tc>
          <w:tcPr>
            <w:tcW w:w="1540" w:type="dxa"/>
            <w:vAlign w:val="bottom"/>
            <w:gridSpan w:val="3"/>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1860" w:type="dxa"/>
            <w:vAlign w:val="bottom"/>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7"/>
              </w:rPr>
              <w:t>Reflected in the First Column)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20" w:type="dxa"/>
            <w:vAlign w:val="bottom"/>
            <w:gridSpan w:val="2"/>
            <w:vMerge w:val="continue"/>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5"/>
              </w:rPr>
              <w:t>Rights (a)</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8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7"/>
                <w:szCs w:val="17"/>
                <w:color w:val="auto"/>
              </w:rPr>
              <w:t xml:space="preserve">Equity Compensation Plans Approved by Security Holders </w:t>
            </w:r>
            <w:r>
              <w:rPr>
                <w:rFonts w:ascii="Times New Roman" w:cs="Times New Roman" w:eastAsia="Times New Roman" w:hAnsi="Times New Roman"/>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6,697,103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45.33</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10,123,366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9"/>
                <w:szCs w:val="19"/>
                <w:color w:val="auto"/>
              </w:rPr>
            </w:pP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N/A</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6,697,103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45.33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10,123,366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___________________________________</w:t>
      </w:r>
    </w:p>
    <w:p>
      <w:pPr>
        <w:spacing w:after="0" w:line="18" w:lineRule="exact"/>
        <w:rPr>
          <w:sz w:val="20"/>
          <w:szCs w:val="20"/>
          <w:color w:val="auto"/>
        </w:rPr>
      </w:pPr>
    </w:p>
    <w:p>
      <w:pPr>
        <w:jc w:val="both"/>
        <w:ind w:left="320" w:hanging="317"/>
        <w:spacing w:after="0" w:line="220" w:lineRule="auto"/>
        <w:tabs>
          <w:tab w:leader="none" w:pos="315" w:val="left"/>
        </w:tabs>
        <w:numPr>
          <w:ilvl w:val="0"/>
          <w:numId w:val="68"/>
        </w:numPr>
        <w:rPr>
          <w:rFonts w:ascii="Calibri" w:cs="Calibri" w:eastAsia="Calibri" w:hAnsi="Calibri"/>
          <w:sz w:val="25"/>
          <w:szCs w:val="25"/>
          <w:color w:val="auto"/>
          <w:vertAlign w:val="superscript"/>
        </w:rPr>
      </w:pPr>
      <w:r>
        <w:rPr>
          <w:rFonts w:ascii="Times New Roman" w:cs="Times New Roman" w:eastAsia="Times New Roman" w:hAnsi="Times New Roman"/>
          <w:sz w:val="17"/>
          <w:szCs w:val="17"/>
          <w:color w:val="auto"/>
        </w:rPr>
        <w:t>Column (a) represents stock options and restricted stock units outstanding under the 2022 Long-Term Incentive Plan, the 2015 Long-Term Incentive Plan, the 2005 Long-Term Incentive Plan and replacement equity awards in settlement of certain Sovos Brands equity awards previously issued pursuant to the Sovos Brands, Inc. 2021 Equity Incentive Plan, which the company assumed in connection with the acquisition of Sovos Brands on March 12, 2024. Column (a) includes 3,490,304 TSR performance restricted stock units and EPS performance restricted stock units based on the maximum number of shares potentially issuable under the awards, and the number of shares, if any, to be issued pursuant to such awards will be determined based upon performance during the applicable three-year performance period. No additional awards can be made under either of the 2005 Long-Term Incentive Plan or 2015 Long-Term Incentive Plan. Future equity awards under the 2022 Long-Term Incentive Plan may take the form of incentive stock options, nonqualified stock options, stock appreciation rights (SARs), restricted stock, restricted performance stock, unrestricted Campbell stock, restricted stock units and performance units. Column</w:t>
      </w:r>
    </w:p>
    <w:p>
      <w:pPr>
        <w:spacing w:after="0" w:line="1" w:lineRule="exact"/>
        <w:rPr>
          <w:rFonts w:ascii="Calibri" w:cs="Calibri" w:eastAsia="Calibri" w:hAnsi="Calibri"/>
          <w:sz w:val="25"/>
          <w:szCs w:val="25"/>
          <w:color w:val="auto"/>
          <w:vertAlign w:val="superscript"/>
        </w:rPr>
      </w:pPr>
    </w:p>
    <w:p>
      <w:pPr>
        <w:jc w:val="both"/>
        <w:ind w:left="320" w:hanging="8"/>
        <w:spacing w:after="0" w:line="242" w:lineRule="auto"/>
        <w:tabs>
          <w:tab w:leader="none" w:pos="595"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weighted-average exercise price of the outstanding stock options only; the outstanding restricted stock units are not included in this calculation. Column (c) represents the maximum number of future equity awards that can be made under the 2022 Long-Term Incentive Plan as of July 28, 2024.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information presented in the sections entitled "Corporate Governance Policies and Practices — Transactions with Related Persons," "Item 1 — Election of Directors," "Corporate Governance Policies and Practices — Director Independence" and "Corporate Governance Policies and Practices — Board Meetings and Committees — Board Committee Structure" in the 2024 Proxy is incorporated herein by reference.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Accountant Fees and Services</w:t>
      </w:r>
    </w:p>
    <w:p>
      <w:pPr>
        <w:spacing w:after="0" w:line="107"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17"/>
          <w:szCs w:val="17"/>
          <w:color w:val="auto"/>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2024 Proxy is incorporated herein by reference.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and Financial Statement Schedules</w:t>
      </w:r>
    </w:p>
    <w:p>
      <w:pPr>
        <w:spacing w:after="0" w:line="107" w:lineRule="exact"/>
        <w:rPr>
          <w:sz w:val="20"/>
          <w:szCs w:val="20"/>
          <w:color w:val="auto"/>
        </w:rPr>
      </w:pPr>
    </w:p>
    <w:p>
      <w:pPr>
        <w:ind w:left="240" w:hanging="237"/>
        <w:spacing w:after="0"/>
        <w:tabs>
          <w:tab w:leader="none" w:pos="2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documents are filed as part of this Report:</w:t>
      </w:r>
    </w:p>
    <w:p>
      <w:pPr>
        <w:spacing w:after="0" w:line="81" w:lineRule="exact"/>
        <w:rPr>
          <w:rFonts w:ascii="Times New Roman" w:cs="Times New Roman" w:eastAsia="Times New Roman" w:hAnsi="Times New Roman"/>
          <w:sz w:val="17"/>
          <w:szCs w:val="17"/>
          <w:color w:val="auto"/>
        </w:rPr>
      </w:pPr>
    </w:p>
    <w:p>
      <w:pPr>
        <w:ind w:left="520" w:hanging="208"/>
        <w:spacing w:after="0"/>
        <w:tabs>
          <w:tab w:leader="none" w:pos="520" w:val="left"/>
        </w:tabs>
        <w:numPr>
          <w:ilvl w:val="1"/>
          <w:numId w:val="6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84" w:name="page85"/>
    <w:bookmarkEnd w:id="84"/>
    <w:p>
      <w:pPr>
        <w:ind w:left="620"/>
        <w:spacing w:after="0"/>
        <w:rPr>
          <w:sz w:val="20"/>
          <w:szCs w:val="20"/>
          <w:color w:val="auto"/>
        </w:rPr>
      </w:pPr>
      <w:r>
        <w:rPr>
          <w:rFonts w:ascii="Times New Roman" w:cs="Times New Roman" w:eastAsia="Times New Roman" w:hAnsi="Times New Roman"/>
          <w:sz w:val="17"/>
          <w:szCs w:val="17"/>
          <w:color w:val="auto"/>
        </w:rPr>
        <w:t>Consolidated Statements of Earnings for 2024, 2023 and 2022</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Comprehensive Income for 2024, 2023 and 2022</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Balance Sheets as of July 28, 2024 and July 30, 2023</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Cash Flows for 2024, 2023 and 2022</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Consolidated Statements of Equity for 2024, 2023 and 2022</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238)</w:t>
      </w:r>
    </w:p>
    <w:p>
      <w:pPr>
        <w:spacing w:after="0" w:line="95" w:lineRule="exact"/>
        <w:rPr>
          <w:sz w:val="20"/>
          <w:szCs w:val="20"/>
          <w:color w:val="auto"/>
        </w:rPr>
      </w:pPr>
    </w:p>
    <w:p>
      <w:pPr>
        <w:ind w:left="520" w:hanging="208"/>
        <w:spacing w:after="0"/>
        <w:tabs>
          <w:tab w:leader="none" w:pos="520" w:val="left"/>
        </w:tabs>
        <w:numPr>
          <w:ilvl w:val="0"/>
          <w:numId w:val="7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Financial Statement Schedule</w:t>
      </w:r>
    </w:p>
    <w:p>
      <w:pPr>
        <w:spacing w:after="0" w:line="106" w:lineRule="exact"/>
        <w:rPr>
          <w:rFonts w:ascii="Times New Roman" w:cs="Times New Roman" w:eastAsia="Times New Roman" w:hAnsi="Times New Roman"/>
          <w:sz w:val="17"/>
          <w:szCs w:val="17"/>
          <w:b w:val="1"/>
          <w:bCs w:val="1"/>
          <w:i w:val="1"/>
          <w:iCs w:val="1"/>
          <w:color w:val="auto"/>
        </w:rPr>
      </w:pPr>
    </w:p>
    <w:p>
      <w:pPr>
        <w:ind w:left="62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II - Valuation and Qualifying Accounts for 2024, 2023 and 2022</w:t>
      </w:r>
    </w:p>
    <w:p>
      <w:pPr>
        <w:spacing w:after="0" w:line="81" w:lineRule="exact"/>
        <w:rPr>
          <w:rFonts w:ascii="Times New Roman" w:cs="Times New Roman" w:eastAsia="Times New Roman" w:hAnsi="Times New Roman"/>
          <w:sz w:val="17"/>
          <w:szCs w:val="17"/>
          <w:b w:val="1"/>
          <w:bCs w:val="1"/>
          <w:i w:val="1"/>
          <w:iCs w:val="1"/>
          <w:color w:val="auto"/>
        </w:rPr>
      </w:pPr>
    </w:p>
    <w:p>
      <w:pPr>
        <w:ind w:left="520" w:hanging="208"/>
        <w:spacing w:after="0"/>
        <w:tabs>
          <w:tab w:leader="none" w:pos="520" w:val="left"/>
        </w:tabs>
        <w:numPr>
          <w:ilvl w:val="0"/>
          <w:numId w:val="7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Exhibits</w:t>
      </w:r>
    </w:p>
    <w:p>
      <w:pPr>
        <w:spacing w:after="0" w:line="1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Reference is made to Item 15(b) below.</w:t>
      </w:r>
    </w:p>
    <w:p>
      <w:pPr>
        <w:spacing w:after="0" w:line="97" w:lineRule="exact"/>
        <w:rPr>
          <w:sz w:val="20"/>
          <w:szCs w:val="20"/>
          <w:color w:val="auto"/>
        </w:rPr>
      </w:pPr>
    </w:p>
    <w:p>
      <w:pPr>
        <w:ind w:left="280" w:hanging="238"/>
        <w:spacing w:after="0"/>
        <w:tabs>
          <w:tab w:leader="none" w:pos="2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 The Exhibit Index, which immediately precedes the signature page, is incorporated by reference into this Report.</w:t>
      </w:r>
    </w:p>
    <w:p>
      <w:pPr>
        <w:spacing w:after="0" w:line="87" w:lineRule="exact"/>
        <w:rPr>
          <w:rFonts w:ascii="Times New Roman" w:cs="Times New Roman" w:eastAsia="Times New Roman" w:hAnsi="Times New Roman"/>
          <w:sz w:val="17"/>
          <w:szCs w:val="17"/>
          <w:color w:val="auto"/>
        </w:rPr>
      </w:pPr>
    </w:p>
    <w:p>
      <w:pPr>
        <w:ind w:left="280" w:hanging="238"/>
        <w:spacing w:after="0"/>
        <w:tabs>
          <w:tab w:leader="none" w:pos="2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Statement Schedules</w:t>
      </w:r>
      <w:r>
        <w:rPr>
          <w:rFonts w:ascii="Times New Roman" w:cs="Times New Roman" w:eastAsia="Times New Roman" w:hAnsi="Times New Roman"/>
          <w:sz w:val="17"/>
          <w:szCs w:val="17"/>
          <w:color w:val="auto"/>
        </w:rPr>
        <w:t>. Reference is made to Item 15(a)(2) above.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47"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color w:val="auto"/>
        </w:rPr>
        <w:t>INDEX TO EXHIBITS</w:t>
      </w:r>
    </w:p>
    <w:p>
      <w:pPr>
        <w:spacing w:after="0" w:line="101" w:lineRule="exact"/>
        <w:rPr>
          <w:sz w:val="20"/>
          <w:szCs w:val="20"/>
          <w:color w:val="auto"/>
        </w:rPr>
      </w:pPr>
    </w:p>
    <w:p>
      <w:pPr>
        <w:jc w:val="both"/>
        <w:ind w:left="1140" w:right="20" w:hanging="1107"/>
        <w:spacing w:after="0"/>
        <w:tabs>
          <w:tab w:leader="none" w:pos="1140" w:val="left"/>
        </w:tabs>
        <w:numPr>
          <w:ilvl w:val="0"/>
          <w:numId w:val="72"/>
        </w:numPr>
        <w:rPr>
          <w:rFonts w:ascii="Times New Roman" w:cs="Times New Roman" w:eastAsia="Times New Roman" w:hAnsi="Times New Roman"/>
          <w:sz w:val="17"/>
          <w:szCs w:val="17"/>
          <w:u w:val="single" w:color="auto"/>
          <w:color w:val="0000FF"/>
        </w:rPr>
      </w:pPr>
      <w:hyperlink r:id="rId118">
        <w:r>
          <w:rPr>
            <w:rFonts w:ascii="Times New Roman" w:cs="Times New Roman" w:eastAsia="Times New Roman" w:hAnsi="Times New Roman"/>
            <w:sz w:val="17"/>
            <w:szCs w:val="17"/>
            <w:u w:val="single" w:color="auto"/>
            <w:color w:val="0000FF"/>
          </w:rPr>
          <w:t>Agreement and Plan of Merger, dated August 7, 2023, by and among Sovos Brands, Inc., Campbell Soup Company and Premium Products</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Merger Sub, Inc., is incorporated by reference to Exhibit 2.1 to Campbell’s Form 8-K (SEC file number 1-3822) filed with the SEC on August 7,</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2023.</w:t>
        </w:r>
      </w:hyperlink>
    </w:p>
    <w:p>
      <w:pPr>
        <w:spacing w:after="0" w:line="215" w:lineRule="exact"/>
        <w:rPr>
          <w:rFonts w:ascii="Times New Roman" w:cs="Times New Roman" w:eastAsia="Times New Roman" w:hAnsi="Times New Roman"/>
          <w:sz w:val="17"/>
          <w:szCs w:val="17"/>
          <w:u w:val="single" w:color="auto"/>
          <w:color w:val="0000FF"/>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3(a)</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Campbell’s Restated Certificate of Incorporation, as amended through February 24, 1997, is incorporated by reference to Exhibit 3(i)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20" w:type="dxa"/>
            <w:vAlign w:val="bottom"/>
            <w:tcBorders>
              <w:top w:val="single" w:sz="8" w:color="0000FF"/>
            </w:tcBorders>
            <w:gridSpan w:val="23"/>
          </w:tcPr>
          <w:p>
            <w:pPr>
              <w:spacing w:after="0" w:line="147"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Campbell’s Form 10-K (SEC file number 1-3822) for the fiscal year ended July 28, 2002.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3(b)</w:t>
            </w: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40" w:type="dxa"/>
            <w:vAlign w:val="bottom"/>
            <w:vMerge w:val="continue"/>
          </w:tcPr>
          <w:p>
            <w:pPr>
              <w:spacing w:after="0"/>
              <w:rPr>
                <w:sz w:val="24"/>
                <w:szCs w:val="24"/>
                <w:color w:val="auto"/>
              </w:rPr>
            </w:pP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By-Laws of Campbell Soup Company, amended and restated effective May 23, 2023, are incorporated by reference to Exhibit 3.1 to Campbell’s</w:t>
              </w:r>
            </w:hyperlink>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9920" w:type="dxa"/>
            <w:vAlign w:val="bottom"/>
            <w:tcBorders>
              <w:top w:val="single" w:sz="8" w:color="0000FF"/>
            </w:tcBorders>
            <w:gridSpan w:val="17"/>
          </w:tcPr>
          <w:p>
            <w:pPr>
              <w:spacing w:after="0" w:line="173"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Form 8-K (SEC file number 1-3822) filed with the SEC on May 24, 2023</w:t>
              </w:r>
              <w:r>
                <w:rPr>
                  <w:rFonts w:ascii="Times New Roman" w:cs="Times New Roman" w:eastAsia="Times New Roman" w:hAnsi="Times New Roman"/>
                  <w:sz w:val="17"/>
                  <w:szCs w:val="17"/>
                  <w:color w:val="000000"/>
                </w:rPr>
                <w:t>.</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4(a)</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Indenture, dated November 24, 2008, between Campbell and The Bank of New York Mellon, as Trustee, is incorporated by reference to Exhibit</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80" w:type="dxa"/>
            <w:vAlign w:val="bottom"/>
            <w:tcBorders>
              <w:top w:val="single" w:sz="8" w:color="0000FF"/>
            </w:tcBorders>
            <w:gridSpan w:val="31"/>
          </w:tcPr>
          <w:p>
            <w:pPr>
              <w:spacing w:after="0" w:line="147"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4(a) to Campbell’s Registration Statement on Form S-3 (SEC file number 333-155626) filed with the SEC on November 24, 2008.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4(b)</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Form of First Supplemental Indenture, dated August 2, 2012, among Campbell, The Bank of New York Mellon and Wells Fargo Bank, National</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00" w:type="dxa"/>
            <w:vAlign w:val="bottom"/>
            <w:tcBorders>
              <w:top w:val="single" w:sz="8" w:color="0000FF"/>
            </w:tcBorders>
            <w:gridSpan w:val="27"/>
          </w:tcPr>
          <w:p>
            <w:pPr>
              <w:spacing w:after="0" w:line="147"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Association, as Series Trustee, to Indenture dated November 24, 2008, is incorporated by reference to Exhibit 4.1 to Campbell's Form 8-K (SEC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4060" w:type="dxa"/>
            <w:vAlign w:val="bottom"/>
            <w:tcBorders>
              <w:top w:val="single" w:sz="8" w:color="0000FF"/>
              <w:bottom w:val="single" w:sz="8" w:color="0000FF"/>
            </w:tcBorders>
            <w:gridSpan w:val="8"/>
          </w:tcPr>
          <w:p>
            <w:pPr>
              <w:spacing w:after="0" w:line="147"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file number 1-3822) filed with the SEC on August 2, 2012.</w:t>
              </w:r>
            </w:hyperlink>
          </w:p>
        </w:tc>
        <w:tc>
          <w:tcPr>
            <w:tcW w:w="608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4(c)</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Form of Subordinated Indenture between Campbell and Wells Fargo Bank, National Association, as Trustee,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00" w:type="dxa"/>
            <w:vAlign w:val="bottom"/>
            <w:tcBorders>
              <w:top w:val="single" w:sz="8" w:color="0000FF"/>
            </w:tcBorders>
            <w:gridSpan w:val="22"/>
          </w:tcPr>
          <w:p>
            <w:pPr>
              <w:spacing w:after="0" w:line="147"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Exhibit 4.2 to Campbell's Registration Statement on Form S-3 (SEC file number 333-249174) filed with the SEC on September 30, 2020.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20" w:type="dxa"/>
            <w:vAlign w:val="bottom"/>
            <w:gridSpan w:val="4"/>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4(d)</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Indenture dated as of March 19, 2015, between Campbell and Wells Fargo Bank, National Association, as trustee,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7020" w:type="dxa"/>
            <w:vAlign w:val="bottom"/>
            <w:tcBorders>
              <w:top w:val="single" w:sz="8" w:color="0000FF"/>
              <w:bottom w:val="single" w:sz="8" w:color="0000FF"/>
            </w:tcBorders>
            <w:gridSpan w:val="11"/>
          </w:tcPr>
          <w:p>
            <w:pPr>
              <w:spacing w:after="0" w:line="147"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Exhibit 4.1 to Campbell's Form 8-K (SEC file number 1-3822) filed with the SEC on March 19, 2015.</w:t>
              </w:r>
            </w:hyperlink>
          </w:p>
        </w:tc>
        <w:tc>
          <w:tcPr>
            <w:tcW w:w="316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4(e)</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Form of Subordinated Indenture between the Campbell Soup Company and U.S. Bank Trust Company, National Association, as trustee, is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500" w:type="dxa"/>
            <w:vAlign w:val="bottom"/>
            <w:tcBorders>
              <w:top w:val="single" w:sz="8" w:color="0000FF"/>
            </w:tcBorders>
            <w:gridSpan w:val="14"/>
          </w:tcPr>
          <w:p>
            <w:pPr>
              <w:spacing w:after="0" w:line="147"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incorporated by reference to Exhibit 4.2 to Campbell’s Registration Statement on Form S-3 (SEC file number 333-274048) filed with the</w:t>
              </w:r>
            </w:hyperlink>
          </w:p>
        </w:tc>
        <w:tc>
          <w:tcPr>
            <w:tcW w:w="800" w:type="dxa"/>
            <w:vAlign w:val="bottom"/>
            <w:gridSpan w:val="18"/>
          </w:tcPr>
          <w:p>
            <w:pPr>
              <w:spacing w:after="0" w:line="147"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SEC on</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80" w:type="dxa"/>
            <w:vAlign w:val="bottom"/>
            <w:tcBorders>
              <w:top w:val="single" w:sz="8" w:color="0000FF"/>
            </w:tcBorders>
            <w:gridSpan w:val="19"/>
          </w:tcPr>
          <w:p>
            <w:pPr>
              <w:spacing w:after="0" w:line="147"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August 17, 2023.</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4(f)</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First Supplemental Indenture, dated as of August 17, 2023, between Campbell Soup Company, Computershare Trust Company, N.A. (as successor</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20" w:type="dxa"/>
            <w:vAlign w:val="bottom"/>
            <w:tcBorders>
              <w:top w:val="single" w:sz="8" w:color="0000FF"/>
            </w:tcBorders>
            <w:gridSpan w:val="28"/>
          </w:tcPr>
          <w:p>
            <w:pPr>
              <w:spacing w:after="0" w:line="147"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in interest to Wells Fargo Bank, National Association), as retiring trustee, and U.S. Bank Trust Company, National Association, as successor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64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140" w:type="dxa"/>
            <w:vAlign w:val="bottom"/>
          </w:tcPr>
          <w:p>
            <w:pPr>
              <w:spacing w:after="0"/>
              <w:rPr>
                <w:sz w:val="12"/>
                <w:szCs w:val="12"/>
                <w:color w:val="auto"/>
              </w:rPr>
            </w:pPr>
          </w:p>
        </w:tc>
        <w:tc>
          <w:tcPr>
            <w:tcW w:w="10300" w:type="dxa"/>
            <w:vAlign w:val="bottom"/>
            <w:gridSpan w:val="32"/>
          </w:tcPr>
          <w:p>
            <w:pPr>
              <w:spacing w:after="0" w:line="147"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trustee, is incorporated by reference to Exhibit 4.3 to Campbell’s Registration Statement on Form S-3 (SEC file number 333-274048) filed with</w:t>
              </w:r>
            </w:hyperlink>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9860" w:type="dxa"/>
            <w:vAlign w:val="bottom"/>
            <w:tcBorders>
              <w:top w:val="single" w:sz="8" w:color="0000FF"/>
            </w:tcBorders>
            <w:gridSpan w:val="16"/>
          </w:tcPr>
          <w:p>
            <w:pPr>
              <w:spacing w:after="0" w:line="160"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the SEC on August 17, 2023.</w:t>
              </w:r>
            </w:hyperlink>
          </w:p>
        </w:tc>
        <w:tc>
          <w:tcPr>
            <w:tcW w:w="1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4(g)</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Form of 3.800% Notes due 2042 is incorporated by reference to Exhibit 4.1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3"/>
          </w:tcPr>
          <w:p>
            <w:pPr>
              <w:spacing w:after="0" w:line="147"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on August 2, 2012.</w:t>
              </w:r>
            </w:hyperlink>
          </w:p>
        </w:tc>
        <w:tc>
          <w:tcPr>
            <w:tcW w:w="892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4(h)</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Form of 3.300% Note due 2025 is incorporated by referenced to Exhibit 4.2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60" w:type="dxa"/>
            <w:vAlign w:val="bottom"/>
            <w:tcBorders>
              <w:top w:val="single" w:sz="8" w:color="0000FF"/>
            </w:tcBorders>
            <w:gridSpan w:val="25"/>
          </w:tcPr>
          <w:p>
            <w:pPr>
              <w:spacing w:after="0" w:line="147"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SEC on March 19, 2015.</w:t>
              </w:r>
            </w:hyperlink>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4(i)</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Form of 3.950% Note due 2025 is incorporated by reference to Exhibit 4.2.5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60" w:type="dxa"/>
            <w:vAlign w:val="bottom"/>
            <w:tcBorders>
              <w:top w:val="single" w:sz="8" w:color="0000FF"/>
            </w:tcBorders>
            <w:gridSpan w:val="30"/>
          </w:tcPr>
          <w:p>
            <w:pPr>
              <w:spacing w:after="0" w:line="147"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SEC on March 16, 2018.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4(j)</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Form of 4.150% Note due 2028 is incorporated by reference to Exhibit 4.2.6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60" w:type="dxa"/>
            <w:vAlign w:val="bottom"/>
            <w:tcBorders>
              <w:top w:val="single" w:sz="8" w:color="0000FF"/>
            </w:tcBorders>
            <w:gridSpan w:val="30"/>
          </w:tcPr>
          <w:p>
            <w:pPr>
              <w:spacing w:after="0" w:line="147"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SEC on March 16, 2018.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4(k)</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Form of 4.800% Note due 2048 is incorporated by reference to Exhibit 4.2.7 to Campbell's Form 8-K (SEC file number 1-3822) filed with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60" w:type="dxa"/>
            <w:vAlign w:val="bottom"/>
            <w:tcBorders>
              <w:top w:val="single" w:sz="8" w:color="0000FF"/>
            </w:tcBorders>
            <w:gridSpan w:val="30"/>
          </w:tcPr>
          <w:p>
            <w:pPr>
              <w:spacing w:after="0" w:line="147"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SEC on March 16, 2018.</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96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4(l)</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Form of 2.375% Note due 2030 incorporated by reference to Exhibit 4.2.1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60" w:type="dxa"/>
            <w:vAlign w:val="bottom"/>
            <w:tcBorders>
              <w:top w:val="single" w:sz="8" w:color="0000FF"/>
            </w:tcBorders>
            <w:gridSpan w:val="18"/>
          </w:tcPr>
          <w:p>
            <w:pPr>
              <w:spacing w:after="0" w:line="147"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on April 24, 2020.</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4(m)</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Form of 3.125% Note due 2050 incorporated by reference to Exhibit 4.2.2 to Campbell's Form 8-K (SEC file number 1-3822) filed with the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9960" w:type="dxa"/>
            <w:vAlign w:val="bottom"/>
            <w:tcBorders>
              <w:top w:val="single" w:sz="8" w:color="0000FF"/>
            </w:tcBorders>
            <w:gridSpan w:val="18"/>
          </w:tcPr>
          <w:p>
            <w:pPr>
              <w:spacing w:after="0" w:line="147"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on April 24, 2020.</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4(n)</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Description of securities incorporated by reference to Exhibit 4(p) to Campbell's Form 10-K (SEC file number 1-3822) filed with the SEC on</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080" w:type="dxa"/>
            <w:vAlign w:val="bottom"/>
            <w:tcBorders>
              <w:top w:val="single" w:sz="8" w:color="0000FF"/>
            </w:tcBorders>
            <w:gridSpan w:val="21"/>
          </w:tcPr>
          <w:p>
            <w:pPr>
              <w:spacing w:after="0" w:line="147"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September 26, 2019.</w:t>
              </w:r>
            </w:hyperlink>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60" w:type="dxa"/>
            <w:vAlign w:val="bottom"/>
            <w:gridSpan w:val="13"/>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4(o)</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Form of 2026 Note, incorporated by reference to Exhibit 4.3.1 to Campbell’s Current Report on Form 8-K (SEC file number 1-3822) filed with</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7"/>
          </w:tcPr>
          <w:p>
            <w:pPr>
              <w:spacing w:after="0" w:line="147"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the SEC on March 21, 2024.</w:t>
              </w:r>
            </w:hyperlink>
          </w:p>
        </w:tc>
        <w:tc>
          <w:tcPr>
            <w:tcW w:w="8060" w:type="dxa"/>
            <w:vAlign w:val="bottom"/>
            <w:tcBorders>
              <w:top w:val="single" w:sz="8" w:color="0000FF"/>
            </w:tcBorders>
            <w:gridSpan w:val="13"/>
          </w:tcPr>
          <w:p>
            <w:pPr>
              <w:spacing w:after="0"/>
              <w:rPr>
                <w:sz w:val="12"/>
                <w:szCs w:val="12"/>
                <w:color w:val="auto"/>
              </w:rPr>
            </w:pPr>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4(p)</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Form of 2027 Note, incorporated by reference to Exhibit 4.3.2 to Campbell’s Current Report on Form 8-K (SEC file number 1-3822) filed with</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7"/>
          </w:tcPr>
          <w:p>
            <w:pPr>
              <w:spacing w:after="0" w:line="147"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the SEC on March 21, 2024.</w:t>
              </w:r>
            </w:hyperlink>
          </w:p>
        </w:tc>
        <w:tc>
          <w:tcPr>
            <w:tcW w:w="8060" w:type="dxa"/>
            <w:vAlign w:val="bottom"/>
            <w:tcBorders>
              <w:top w:val="single" w:sz="8" w:color="0000FF"/>
            </w:tcBorders>
            <w:gridSpan w:val="13"/>
          </w:tcPr>
          <w:p>
            <w:pPr>
              <w:spacing w:after="0"/>
              <w:rPr>
                <w:sz w:val="12"/>
                <w:szCs w:val="12"/>
                <w:color w:val="auto"/>
              </w:rPr>
            </w:pPr>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4(q)</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Form of 2029 Note, incorporated by reference to Exhibit 4.3.3 to Campbell’s Current Report on Form 8-K (SEC file number 1-3822) filed with</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7"/>
          </w:tcPr>
          <w:p>
            <w:pPr>
              <w:spacing w:after="0" w:line="147"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the SEC on March 21, 2024.</w:t>
              </w:r>
            </w:hyperlink>
          </w:p>
        </w:tc>
        <w:tc>
          <w:tcPr>
            <w:tcW w:w="8060" w:type="dxa"/>
            <w:vAlign w:val="bottom"/>
            <w:tcBorders>
              <w:top w:val="single" w:sz="8" w:color="0000FF"/>
            </w:tcBorders>
            <w:gridSpan w:val="13"/>
          </w:tcPr>
          <w:p>
            <w:pPr>
              <w:spacing w:after="0"/>
              <w:rPr>
                <w:sz w:val="12"/>
                <w:szCs w:val="12"/>
                <w:color w:val="auto"/>
              </w:rPr>
            </w:pPr>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4(r)</w:t>
            </w:r>
          </w:p>
        </w:tc>
        <w:tc>
          <w:tcPr>
            <w:tcW w:w="10300" w:type="dxa"/>
            <w:vAlign w:val="bottom"/>
            <w:gridSpan w:val="32"/>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Form of 2034 Note, incorporated by reference to Exhibit 4.3.4 to Campbell’s Current Report on Form 8-K (SEC file number 1-3822) filed with</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6"/>
          </w:tcPr>
          <w:p>
            <w:pPr>
              <w:spacing w:after="0" w:line="147" w:lineRule="exact"/>
              <w:rPr>
                <w:rFonts w:ascii="Times New Roman" w:cs="Times New Roman" w:eastAsia="Times New Roman" w:hAnsi="Times New Roman"/>
                <w:sz w:val="17"/>
                <w:szCs w:val="17"/>
                <w:color w:val="0000FF"/>
                <w:w w:val="99"/>
              </w:rPr>
            </w:pPr>
            <w:hyperlink r:id="rId137">
              <w:r>
                <w:rPr>
                  <w:rFonts w:ascii="Times New Roman" w:cs="Times New Roman" w:eastAsia="Times New Roman" w:hAnsi="Times New Roman"/>
                  <w:sz w:val="17"/>
                  <w:szCs w:val="17"/>
                  <w:color w:val="0000FF"/>
                  <w:w w:val="99"/>
                </w:rPr>
                <w:t>the SEC on March 21, 2024.</w:t>
              </w:r>
            </w:hyperlink>
          </w:p>
        </w:tc>
        <w:tc>
          <w:tcPr>
            <w:tcW w:w="8100" w:type="dxa"/>
            <w:vAlign w:val="bottom"/>
            <w:tcBorders>
              <w:top w:val="single" w:sz="8" w:color="0000FF"/>
            </w:tcBorders>
            <w:gridSpan w:val="14"/>
          </w:tcPr>
          <w:p>
            <w:pPr>
              <w:spacing w:after="0"/>
              <w:rPr>
                <w:sz w:val="12"/>
                <w:szCs w:val="12"/>
                <w:color w:val="auto"/>
              </w:rPr>
            </w:pPr>
          </w:p>
        </w:tc>
        <w:tc>
          <w:tcPr>
            <w:tcW w:w="2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818"/>
        </w:trPr>
        <w:tc>
          <w:tcPr>
            <w:tcW w:w="1140" w:type="dxa"/>
            <w:vAlign w:val="bottom"/>
          </w:tcPr>
          <w:p>
            <w:pPr>
              <w:spacing w:after="0"/>
              <w:rPr>
                <w:sz w:val="24"/>
                <w:szCs w:val="24"/>
                <w:color w:val="auto"/>
              </w:rPr>
            </w:pPr>
          </w:p>
        </w:tc>
        <w:tc>
          <w:tcPr>
            <w:tcW w:w="5060" w:type="dxa"/>
            <w:vAlign w:val="bottom"/>
            <w:gridSpan w:val="9"/>
          </w:tcPr>
          <w:p>
            <w:pPr>
              <w:ind w:left="4400"/>
              <w:spacing w:after="0"/>
              <w:rPr>
                <w:sz w:val="20"/>
                <w:szCs w:val="20"/>
                <w:color w:val="auto"/>
              </w:rPr>
            </w:pPr>
            <w:r>
              <w:rPr>
                <w:rFonts w:ascii="Times New Roman" w:cs="Times New Roman" w:eastAsia="Times New Roman" w:hAnsi="Times New Roman"/>
                <w:sz w:val="17"/>
                <w:szCs w:val="17"/>
                <w:color w:val="auto"/>
              </w:rPr>
              <w:t>86</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94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10(a)+</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Campbell Soup Company 2005 Long-Term Incentive Plan, as amended and restated on November 18, 2010,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6920" w:type="dxa"/>
            <w:vAlign w:val="bottom"/>
            <w:tcBorders>
              <w:top w:val="single" w:sz="8" w:color="0000FF"/>
              <w:bottom w:val="single" w:sz="8" w:color="0000FF"/>
            </w:tcBorders>
            <w:gridSpan w:val="17"/>
          </w:tcPr>
          <w:p>
            <w:pPr>
              <w:spacing w:after="0" w:line="147"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Campbell’s 2010 Proxy Statement (SEC file number 1-3822) filed with the SEC on October 7, 2010.</w:t>
              </w:r>
            </w:hyperlink>
          </w:p>
        </w:tc>
        <w:tc>
          <w:tcPr>
            <w:tcW w:w="32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10(b)+</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Campbell Soup Company 2015 Long-Term Incentive Plan is incorporated by reference to Campbell’s 2015 Proxy Statement (SEC file number 1-</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340" w:type="dxa"/>
            <w:vAlign w:val="bottom"/>
            <w:tcBorders>
              <w:top w:val="single" w:sz="8" w:color="0000FF"/>
            </w:tcBorders>
            <w:gridSpan w:val="37"/>
          </w:tcPr>
          <w:p>
            <w:pPr>
              <w:spacing w:after="0" w:line="147"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3822) filed with the SEC on October 9,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10(c)+</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Campbell Soup Company 2022 Long-Term Incentive Plan, is incorporated by reference to Appendix B to Campbell’s 2022 Proxy Statement (SEC</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7"/>
          </w:tcPr>
          <w:p>
            <w:pPr>
              <w:spacing w:after="0" w:line="147"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file number 1-3822) filed with the SEC on October 18, 2022.</w:t>
              </w:r>
            </w:hyperlink>
          </w:p>
        </w:tc>
        <w:tc>
          <w:tcPr>
            <w:tcW w:w="586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10(d)+</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Campbell Soup Company Annual Incentive Plan, as amended on November 19, 2014, is incorporated by reference to Campbell’s 2014 Proxy</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5260" w:type="dxa"/>
            <w:vAlign w:val="bottom"/>
            <w:tcBorders>
              <w:top w:val="single" w:sz="8" w:color="0000FF"/>
              <w:bottom w:val="single" w:sz="8" w:color="0000FF"/>
            </w:tcBorders>
            <w:gridSpan w:val="8"/>
          </w:tcPr>
          <w:p>
            <w:pPr>
              <w:spacing w:after="0" w:line="147"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Statement (SEC file number 1-3822) filed with the SEC on October 1, 2014.</w:t>
              </w:r>
            </w:hyperlink>
          </w:p>
        </w:tc>
        <w:tc>
          <w:tcPr>
            <w:tcW w:w="5140" w:type="dxa"/>
            <w:vAlign w:val="bottom"/>
            <w:tcBorders>
              <w:top w:val="single" w:sz="8" w:color="0000FF"/>
            </w:tcBorders>
            <w:gridSpan w:val="3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10(e)+</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Campbell Soup Company Supplemental Retirement Plan (formerly known as Deferred Compensation Plan II), as amended and restated effective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380" w:type="dxa"/>
            <w:vAlign w:val="bottom"/>
            <w:tcBorders>
              <w:top w:val="single" w:sz="8" w:color="0000FF"/>
            </w:tcBorders>
            <w:gridSpan w:val="39"/>
          </w:tcPr>
          <w:p>
            <w:pPr>
              <w:spacing w:after="0" w:line="147"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as of August 1, 2015, is incorporated herein by reference to Exhibit 4(c) to Campbell’s Form S-8 (SEC file number 333-216582) filed with the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40" w:type="dxa"/>
            <w:vAlign w:val="bottom"/>
            <w:tcBorders>
              <w:top w:val="single" w:sz="8" w:color="0000FF"/>
            </w:tcBorders>
            <w:gridSpan w:val="32"/>
          </w:tcPr>
          <w:p>
            <w:pPr>
              <w:spacing w:after="0" w:line="147"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SEC on March 9,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10(f)+</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Form of Severance Protection Agreement is incorporated by reference to Exhibit 10(i) to Campbell's Form 10-K (SEC file number 1-3822) for the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2"/>
          </w:tcPr>
          <w:p>
            <w:pPr>
              <w:spacing w:after="0" w:line="147"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fiscal year ended July 30, 2017.</w:t>
              </w:r>
            </w:hyperlink>
          </w:p>
        </w:tc>
        <w:tc>
          <w:tcPr>
            <w:tcW w:w="8040" w:type="dxa"/>
            <w:vAlign w:val="bottom"/>
            <w:tcBorders>
              <w:top w:val="single" w:sz="8" w:color="0000FF"/>
            </w:tcBorders>
            <w:gridSpan w:val="29"/>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10(g)+</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Form of Amendment to the Severance Protection Agreement is incorporated by reference to Exhibit 10(j) to Campbell's Form 10-K (SEC file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number) for the fiscal year ended July 30, 2017.</w:t>
              </w:r>
            </w:hyperlink>
          </w:p>
        </w:tc>
        <w:tc>
          <w:tcPr>
            <w:tcW w:w="7020" w:type="dxa"/>
            <w:vAlign w:val="bottom"/>
            <w:tcBorders>
              <w:top w:val="single" w:sz="8" w:color="0000FF"/>
            </w:tcBorders>
            <w:gridSpan w:val="31"/>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10(h)+</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Form of U.S. Severance Protection Agreement is incorporated by reference to Exhibit 10(m) to Campbell’s Form 10-K (SEC file number 1-3822)</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360" w:type="dxa"/>
            <w:vAlign w:val="bottom"/>
            <w:tcBorders>
              <w:top w:val="single" w:sz="8" w:color="0000FF"/>
            </w:tcBorders>
            <w:gridSpan w:val="38"/>
          </w:tcPr>
          <w:p>
            <w:pPr>
              <w:spacing w:after="0" w:line="147"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for the fiscal year ended July 31, 2011.</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10(i)+</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of Amendment to U.S. Severance Protection Agreement is incorporated by reference to Exhibit 10(o) to Campbell's Form 10-K (SEC file</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60" w:type="dxa"/>
            <w:vAlign w:val="bottom"/>
            <w:tcBorders>
              <w:top w:val="single" w:sz="8" w:color="0000FF"/>
            </w:tcBorders>
            <w:gridSpan w:val="28"/>
          </w:tcPr>
          <w:p>
            <w:pPr>
              <w:spacing w:after="0" w:line="147"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number 1-3822) for the fiscal year ended July 31, 2016.</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10(j)+</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Campbell Soup Company Supplemental Employees’ Retirement Plan, as amended and restated effective January 1, 2009, is incorporated by</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8580" w:type="dxa"/>
            <w:vAlign w:val="bottom"/>
            <w:tcBorders>
              <w:top w:val="single" w:sz="8" w:color="0000FF"/>
              <w:bottom w:val="single" w:sz="8" w:color="0000FF"/>
            </w:tcBorders>
            <w:gridSpan w:val="19"/>
          </w:tcPr>
          <w:p>
            <w:pPr>
              <w:spacing w:after="0" w:line="147"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reference to Exhibit 10(c) to Campbell’s Form 10-Q (SEC file number 1-3822) for the fiscal quarter ended February 1, 2009.</w:t>
              </w:r>
            </w:hyperlink>
          </w:p>
        </w:tc>
        <w:tc>
          <w:tcPr>
            <w:tcW w:w="170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10(k)+</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First Amendment to the Campbell Soup Company Supplemental Employees’ Retirement Plan, effective as of December 31, 2010, is incorporated</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00" w:type="dxa"/>
            <w:vAlign w:val="bottom"/>
            <w:tcBorders>
              <w:top w:val="single" w:sz="8" w:color="0000FF"/>
            </w:tcBorders>
            <w:gridSpan w:val="25"/>
          </w:tcPr>
          <w:p>
            <w:pPr>
              <w:spacing w:after="0" w:line="147"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by reference to Exhibit 10(c) to Campbell’s Form 10-Q (SEC file number 1-3822) for the fiscal quarter ended January 30, 2011.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2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10(l)+</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Form of 2005 Long-Term Incentive Plan Nonqualified Stock Option Agreement is incorporated by reference to Exhibit 10 to Campbell's Form</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5460" w:type="dxa"/>
            <w:vAlign w:val="bottom"/>
            <w:tcBorders>
              <w:top w:val="single" w:sz="8" w:color="0000FF"/>
              <w:bottom w:val="single" w:sz="8" w:color="0000FF"/>
            </w:tcBorders>
            <w:gridSpan w:val="12"/>
          </w:tcPr>
          <w:p>
            <w:pPr>
              <w:spacing w:after="0" w:line="147"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10-Q (SEC file number 1-3822) for the fiscal quarter ended November 1, 2015.</w:t>
              </w:r>
            </w:hyperlink>
          </w:p>
        </w:tc>
        <w:tc>
          <w:tcPr>
            <w:tcW w:w="4620" w:type="dxa"/>
            <w:vAlign w:val="bottom"/>
            <w:tcBorders>
              <w:top w:val="single" w:sz="8" w:color="0000FF"/>
            </w:tcBorders>
            <w:gridSpan w:val="1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10(m)+</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2015 Long-Term Incentive Plan Nonqualified Stock Option Agreement is incorporated by reference to Exhibit 10(dd) to Campbell's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080" w:type="dxa"/>
            <w:vAlign w:val="bottom"/>
            <w:tcBorders>
              <w:top w:val="single" w:sz="8" w:color="0000FF"/>
            </w:tcBorders>
            <w:gridSpan w:val="24"/>
          </w:tcPr>
          <w:p>
            <w:pPr>
              <w:spacing w:after="0" w:line="147"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10-K (SEC file number 1-3822) for the fiscal year ended July 31, 2016.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2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10(n)+</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of 2015 Long-Term Incentive Plan Performance Stock Unit Agreement (Earnings Per Share) is incorporated by reference to Exhibit 10(b)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6600" w:type="dxa"/>
            <w:vAlign w:val="bottom"/>
            <w:tcBorders>
              <w:top w:val="single" w:sz="8" w:color="0000FF"/>
              <w:bottom w:val="single" w:sz="8" w:color="0000FF"/>
            </w:tcBorders>
            <w:gridSpan w:val="15"/>
          </w:tcPr>
          <w:p>
            <w:pPr>
              <w:spacing w:after="0" w:line="147"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Campbell's Form 10-Q (SEC file number 1-3822) for the fiscal quarter ended October 30, 2016.</w:t>
              </w:r>
            </w:hyperlink>
          </w:p>
        </w:tc>
        <w:tc>
          <w:tcPr>
            <w:tcW w:w="3580" w:type="dxa"/>
            <w:vAlign w:val="bottom"/>
            <w:tcBorders>
              <w:top w:val="single" w:sz="8" w:color="0000FF"/>
            </w:tcBorders>
            <w:gridSpan w:val="14"/>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10(o)+</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2015 Long-Term Incentive Plan Performance Stock Unit Agreement (Total Shareholder Return) is incorporated by reference to Exhibit</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300" w:type="dxa"/>
            <w:vAlign w:val="bottom"/>
            <w:tcBorders>
              <w:top w:val="single" w:sz="8" w:color="0000FF"/>
            </w:tcBorders>
            <w:gridSpan w:val="35"/>
          </w:tcPr>
          <w:p>
            <w:pPr>
              <w:spacing w:after="0" w:line="147"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10(ff) to Campbell’s Form 10-K (SEC file number 1-3822) for the fiscal year ended July 31, 2016.</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10(p)+</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2015 Long-Term Incentive Plan Time-Lapse Restricted Stock Unit Agreement is incorporated by reference to Exhibit 10(c) to Campbell's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40" w:type="dxa"/>
            <w:vAlign w:val="bottom"/>
            <w:tcBorders>
              <w:top w:val="single" w:sz="8" w:color="0000FF"/>
            </w:tcBorders>
            <w:gridSpan w:val="27"/>
          </w:tcPr>
          <w:p>
            <w:pPr>
              <w:spacing w:after="0" w:line="147"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10-Q (SEC file number 1-3822) for the fiscal quarter ended October 30, 2016.</w:t>
              </w:r>
            </w:hyperlink>
          </w:p>
        </w:tc>
        <w:tc>
          <w:tcPr>
            <w:tcW w:w="120" w:type="dxa"/>
            <w:vAlign w:val="bottom"/>
            <w:gridSpan w:val="6"/>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gridSpan w:val="10"/>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10(q)+</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Form of 2015 Long-Term Incentive Plan Time-Lapse Restricted Stock Unit Agreement incorporated by reference to Exhibit 10(s) to Campbell's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60" w:type="dxa"/>
            <w:vAlign w:val="bottom"/>
            <w:tcBorders>
              <w:top w:val="single" w:sz="8" w:color="0000FF"/>
            </w:tcBorders>
            <w:gridSpan w:val="28"/>
          </w:tcPr>
          <w:p>
            <w:pPr>
              <w:spacing w:after="0" w:line="147"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Form 10-K(SEC file number 1-3822) for the fiscal year ended August 1, 2021.</w:t>
              </w:r>
            </w:hyperlink>
          </w:p>
        </w:tc>
        <w:tc>
          <w:tcPr>
            <w:tcW w:w="100" w:type="dxa"/>
            <w:vAlign w:val="bottom"/>
            <w:gridSpan w:val="5"/>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10(r)+</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of 2015 Long-Term Incentive Performance Restricted Stock Unit Agreement is incorporated by reference to Exhibit 10(t) to Campbell's</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120" w:type="dxa"/>
            <w:vAlign w:val="bottom"/>
            <w:tcBorders>
              <w:top w:val="single" w:sz="8" w:color="0000FF"/>
            </w:tcBorders>
            <w:gridSpan w:val="26"/>
          </w:tcPr>
          <w:p>
            <w:pPr>
              <w:spacing w:after="0" w:line="147"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10-K (SEC file number 1-3822) for the fiscal year ended August 1, 2021.</w:t>
              </w:r>
            </w:hyperlink>
          </w:p>
        </w:tc>
        <w:tc>
          <w:tcPr>
            <w:tcW w:w="140" w:type="dxa"/>
            <w:vAlign w:val="bottom"/>
            <w:gridSpan w:val="7"/>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40" w:type="dxa"/>
            <w:vAlign w:val="bottom"/>
            <w:gridSpan w:val="11"/>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10(s)+</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Form of 2022 Long-Term Incentive Plan Time-Lapse Restricted Stock Unit Agreement is incorporated by reference to Exhibit 10(w) to</w:t>
              </w:r>
            </w:hyperlink>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6140" w:type="dxa"/>
            <w:vAlign w:val="bottom"/>
            <w:tcBorders>
              <w:top w:val="single" w:sz="8" w:color="0000FF"/>
              <w:bottom w:val="single" w:sz="8" w:color="0000FF"/>
            </w:tcBorders>
            <w:gridSpan w:val="14"/>
          </w:tcPr>
          <w:p>
            <w:pPr>
              <w:spacing w:after="0" w:line="135" w:lineRule="exact"/>
              <w:rPr>
                <w:rFonts w:ascii="Times New Roman" w:cs="Times New Roman" w:eastAsia="Times New Roman" w:hAnsi="Times New Roman"/>
                <w:sz w:val="15"/>
                <w:szCs w:val="15"/>
                <w:color w:val="0000FF"/>
              </w:rPr>
            </w:pPr>
            <w:hyperlink r:id="rId158">
              <w:r>
                <w:rPr>
                  <w:rFonts w:ascii="Times New Roman" w:cs="Times New Roman" w:eastAsia="Times New Roman" w:hAnsi="Times New Roman"/>
                  <w:sz w:val="15"/>
                  <w:szCs w:val="15"/>
                  <w:color w:val="0000FF"/>
                </w:rPr>
                <w:t>Campbell's Form 10-K (SEC file number 1-3822) for the fiscal year ended July 30, 2023.</w:t>
              </w:r>
            </w:hyperlink>
          </w:p>
        </w:tc>
        <w:tc>
          <w:tcPr>
            <w:tcW w:w="3160" w:type="dxa"/>
            <w:vAlign w:val="bottom"/>
            <w:tcBorders>
              <w:top w:val="single" w:sz="8" w:color="0000FF"/>
            </w:tcBorders>
            <w:gridSpan w:val="7"/>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11"/>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10(t)+</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Form of 2022 Long-Term Incentive Plan Performance Restricted Stock Unit Agreement (Earnings Per Share)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7280" w:type="dxa"/>
            <w:vAlign w:val="bottom"/>
            <w:tcBorders>
              <w:top w:val="single" w:sz="8" w:color="0000FF"/>
              <w:bottom w:val="single" w:sz="8" w:color="0000FF"/>
            </w:tcBorders>
            <w:gridSpan w:val="18"/>
          </w:tcPr>
          <w:p>
            <w:pPr>
              <w:spacing w:after="0" w:line="135" w:lineRule="exact"/>
              <w:rPr>
                <w:rFonts w:ascii="Times New Roman" w:cs="Times New Roman" w:eastAsia="Times New Roman" w:hAnsi="Times New Roman"/>
                <w:sz w:val="15"/>
                <w:szCs w:val="15"/>
                <w:color w:val="0000FF"/>
              </w:rPr>
            </w:pPr>
            <w:hyperlink r:id="rId159">
              <w:r>
                <w:rPr>
                  <w:rFonts w:ascii="Times New Roman" w:cs="Times New Roman" w:eastAsia="Times New Roman" w:hAnsi="Times New Roman"/>
                  <w:sz w:val="15"/>
                  <w:szCs w:val="15"/>
                  <w:color w:val="0000FF"/>
                </w:rPr>
                <w:t>Exhibit 10(x) to Campbell's Form 10-K (SEC file number 1-3822) for the fiscal year ended July 30, 2023.</w:t>
              </w:r>
            </w:hyperlink>
          </w:p>
        </w:tc>
        <w:tc>
          <w:tcPr>
            <w:tcW w:w="2380" w:type="dxa"/>
            <w:vAlign w:val="bottom"/>
            <w:tcBorders>
              <w:top w:val="single" w:sz="8" w:color="0000FF"/>
            </w:tcBorders>
            <w:gridSpan w:val="4"/>
          </w:tcPr>
          <w:p>
            <w:pPr>
              <w:spacing w:after="0"/>
              <w:rPr>
                <w:sz w:val="12"/>
                <w:szCs w:val="12"/>
                <w:color w:val="auto"/>
              </w:rPr>
            </w:pPr>
          </w:p>
        </w:tc>
        <w:tc>
          <w:tcPr>
            <w:tcW w:w="600" w:type="dxa"/>
            <w:vAlign w:val="bottom"/>
            <w:gridSpan w:val="11"/>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10(u)+</w:t>
            </w:r>
          </w:p>
        </w:tc>
        <w:tc>
          <w:tcPr>
            <w:tcW w:w="10420" w:type="dxa"/>
            <w:vAlign w:val="bottom"/>
            <w:gridSpan w:val="41"/>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Form of 2022 Long-Term Incentive Plan Performance Restricted Stock Unit Agreement (Total Shareholder Return) is incorporated by reference to</w:t>
              </w:r>
            </w:hyperlink>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10260" w:type="dxa"/>
            <w:vAlign w:val="bottom"/>
            <w:tcBorders>
              <w:top w:val="single" w:sz="8" w:color="0000FF"/>
            </w:tcBorders>
            <w:gridSpan w:val="33"/>
          </w:tcPr>
          <w:p>
            <w:pPr>
              <w:spacing w:after="0" w:line="147"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Exhibit 10(y) to Campbell's Form 10-K (SEC file number 1-3822) for the fiscal year ended July 30, 2023.</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818"/>
        </w:trPr>
        <w:tc>
          <w:tcPr>
            <w:tcW w:w="1140" w:type="dxa"/>
            <w:vAlign w:val="bottom"/>
          </w:tcPr>
          <w:p>
            <w:pPr>
              <w:spacing w:after="0"/>
              <w:rPr>
                <w:sz w:val="24"/>
                <w:szCs w:val="24"/>
                <w:color w:val="auto"/>
              </w:rPr>
            </w:pPr>
          </w:p>
        </w:tc>
        <w:tc>
          <w:tcPr>
            <w:tcW w:w="5260" w:type="dxa"/>
            <w:vAlign w:val="bottom"/>
            <w:tcBorders>
              <w:top w:val="single" w:sz="8" w:color="0000FF"/>
            </w:tcBorders>
            <w:gridSpan w:val="8"/>
          </w:tcPr>
          <w:p>
            <w:pPr>
              <w:ind w:left="4400"/>
              <w:spacing w:after="0"/>
              <w:rPr>
                <w:sz w:val="20"/>
                <w:szCs w:val="20"/>
                <w:color w:val="auto"/>
              </w:rPr>
            </w:pPr>
            <w:r>
              <w:rPr>
                <w:rFonts w:ascii="Times New Roman" w:cs="Times New Roman" w:eastAsia="Times New Roman" w:hAnsi="Times New Roman"/>
                <w:sz w:val="17"/>
                <w:szCs w:val="17"/>
                <w:color w:val="auto"/>
              </w:rPr>
              <w:t>87</w:t>
            </w: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87" w:name="page88"/>
    <w:bookmarkEnd w:id="87"/>
    <w:tbl>
      <w:tblPr>
        <w:tblLayout w:type="fixed"/>
        <w:tblInd w:w="7"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10(v)</w:t>
            </w:r>
          </w:p>
        </w:tc>
        <w:tc>
          <w:tcPr>
            <w:tcW w:w="10100" w:type="dxa"/>
            <w:vAlign w:val="bottom"/>
            <w:gridSpan w:val="21"/>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2023 Non-Employee Director Fees are incorporated by reference to Exhibit 10.1 to Campbell’s Form 10-Q (SEC file number 1-3822) for the</w:t>
              </w:r>
            </w:hyperlink>
          </w:p>
        </w:tc>
      </w:tr>
      <w:tr>
        <w:trPr>
          <w:trHeight w:val="173"/>
        </w:trPr>
        <w:tc>
          <w:tcPr>
            <w:tcW w:w="1100" w:type="dxa"/>
            <w:vAlign w:val="bottom"/>
          </w:tcPr>
          <w:p>
            <w:pPr>
              <w:spacing w:after="0"/>
              <w:rPr>
                <w:sz w:val="15"/>
                <w:szCs w:val="15"/>
                <w:color w:val="auto"/>
              </w:rPr>
            </w:pPr>
          </w:p>
        </w:tc>
        <w:tc>
          <w:tcPr>
            <w:tcW w:w="264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fiscal quarter ended October 30, 2022.</w:t>
              </w:r>
            </w:hyperlink>
          </w:p>
        </w:tc>
        <w:tc>
          <w:tcPr>
            <w:tcW w:w="7040" w:type="dxa"/>
            <w:vAlign w:val="bottom"/>
            <w:tcBorders>
              <w:top w:val="single" w:sz="8" w:color="0000FF"/>
            </w:tcBorders>
            <w:gridSpan w:val="10"/>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10(w)+</w:t>
            </w:r>
          </w:p>
        </w:tc>
        <w:tc>
          <w:tcPr>
            <w:tcW w:w="10100" w:type="dxa"/>
            <w:vAlign w:val="bottom"/>
            <w:gridSpan w:val="21"/>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First Amendment to the Campbell Soup Company Supplemental Retirement Plan effective November 30, 2018 is incorporated by reference to</w:t>
              </w:r>
            </w:hyperlink>
          </w:p>
        </w:tc>
      </w:tr>
      <w:tr>
        <w:trPr>
          <w:trHeight w:val="147"/>
        </w:trPr>
        <w:tc>
          <w:tcPr>
            <w:tcW w:w="110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9"/>
          </w:tcPr>
          <w:p>
            <w:pPr>
              <w:spacing w:after="0" w:line="147"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Exhibit 10(b) to Campbell's Form 10-Q (SEC file number 1-3822) for the fiscal quarter ended January 27, 2019.</w:t>
              </w:r>
            </w:hyperlink>
          </w:p>
        </w:tc>
        <w:tc>
          <w:tcPr>
            <w:tcW w:w="23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10(x)+</w:t>
            </w:r>
          </w:p>
        </w:tc>
        <w:tc>
          <w:tcPr>
            <w:tcW w:w="10100" w:type="dxa"/>
            <w:vAlign w:val="bottom"/>
            <w:gridSpan w:val="21"/>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Second Amendment to the Campbell Soup Company Supplemental Retirement Plan effective September 16, 2020 is incorporated by reference to</w:t>
              </w:r>
            </w:hyperlink>
          </w:p>
        </w:tc>
      </w:tr>
      <w:tr>
        <w:trPr>
          <w:trHeight w:val="147"/>
        </w:trPr>
        <w:tc>
          <w:tcPr>
            <w:tcW w:w="1100" w:type="dxa"/>
            <w:vAlign w:val="bottom"/>
          </w:tcPr>
          <w:p>
            <w:pPr>
              <w:spacing w:after="0"/>
              <w:rPr>
                <w:sz w:val="12"/>
                <w:szCs w:val="12"/>
                <w:color w:val="auto"/>
              </w:rPr>
            </w:pPr>
          </w:p>
        </w:tc>
        <w:tc>
          <w:tcPr>
            <w:tcW w:w="9980" w:type="dxa"/>
            <w:vAlign w:val="bottom"/>
            <w:tcBorders>
              <w:top w:val="single" w:sz="8" w:color="0000FF"/>
            </w:tcBorders>
            <w:gridSpan w:val="18"/>
          </w:tcPr>
          <w:p>
            <w:pPr>
              <w:spacing w:after="0" w:line="147"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Exhibit 10(bb) to Campbell's Form 10-K (SEC file number 1-3822) for the fiscal year ended August 2, 2020.</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10(y)+</w:t>
            </w:r>
          </w:p>
        </w:tc>
        <w:tc>
          <w:tcPr>
            <w:tcW w:w="10100" w:type="dxa"/>
            <w:vAlign w:val="bottom"/>
            <w:gridSpan w:val="21"/>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Third Amendment to the Campbell Soup Company Supplemental Retirement Plan effective December 31, 2020 is incorporated by reference to</w:t>
              </w:r>
            </w:hyperlink>
          </w:p>
        </w:tc>
      </w:tr>
      <w:tr>
        <w:trPr>
          <w:trHeight w:val="147"/>
        </w:trPr>
        <w:tc>
          <w:tcPr>
            <w:tcW w:w="1100" w:type="dxa"/>
            <w:vAlign w:val="bottom"/>
          </w:tcPr>
          <w:p>
            <w:pPr>
              <w:spacing w:after="0"/>
              <w:rPr>
                <w:sz w:val="12"/>
                <w:szCs w:val="12"/>
                <w:color w:val="auto"/>
              </w:rPr>
            </w:pPr>
          </w:p>
        </w:tc>
        <w:tc>
          <w:tcPr>
            <w:tcW w:w="7640" w:type="dxa"/>
            <w:vAlign w:val="bottom"/>
            <w:tcBorders>
              <w:top w:val="single" w:sz="8" w:color="0000FF"/>
              <w:bottom w:val="single" w:sz="8" w:color="0000FF"/>
            </w:tcBorders>
            <w:gridSpan w:val="8"/>
          </w:tcPr>
          <w:p>
            <w:pPr>
              <w:spacing w:after="0" w:line="147"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Exhibit 10.1 to Campbell's Form 10-Q (SEC file number 1-3822) for the fiscal quarter ended January 31, 2021.</w:t>
              </w:r>
            </w:hyperlink>
          </w:p>
        </w:tc>
        <w:tc>
          <w:tcPr>
            <w:tcW w:w="2180" w:type="dxa"/>
            <w:vAlign w:val="bottom"/>
            <w:tcBorders>
              <w:top w:val="single" w:sz="8" w:color="0000FF"/>
            </w:tcBorders>
            <w:gridSpan w:val="6"/>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10(z)+</w:t>
            </w:r>
          </w:p>
        </w:tc>
        <w:tc>
          <w:tcPr>
            <w:tcW w:w="10100" w:type="dxa"/>
            <w:vAlign w:val="bottom"/>
            <w:gridSpan w:val="21"/>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Fourth Amendment to the Campbell Soup Company Supplemental Retirement Plan, effective September 1, 2023 is incorporated by reference to</w:t>
              </w:r>
            </w:hyperlink>
          </w:p>
        </w:tc>
      </w:tr>
      <w:tr>
        <w:trPr>
          <w:trHeight w:val="147"/>
        </w:trPr>
        <w:tc>
          <w:tcPr>
            <w:tcW w:w="1100" w:type="dxa"/>
            <w:vAlign w:val="bottom"/>
          </w:tcPr>
          <w:p>
            <w:pPr>
              <w:spacing w:after="0"/>
              <w:rPr>
                <w:sz w:val="12"/>
                <w:szCs w:val="12"/>
                <w:color w:val="auto"/>
              </w:rPr>
            </w:pPr>
          </w:p>
        </w:tc>
        <w:tc>
          <w:tcPr>
            <w:tcW w:w="730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Exhibit 10(ff) to Campbell's Form 10-K (SEC file number 1-3822) for the fiscal year ended July 30, 2023.</w:t>
              </w:r>
            </w:hyperlink>
          </w:p>
        </w:tc>
        <w:tc>
          <w:tcPr>
            <w:tcW w:w="26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10(aa)+</w:t>
            </w:r>
          </w:p>
        </w:tc>
        <w:tc>
          <w:tcPr>
            <w:tcW w:w="10100" w:type="dxa"/>
            <w:vAlign w:val="bottom"/>
            <w:gridSpan w:val="21"/>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Campbell Soup Company Executive Severance Pay Plan is incorporated by reference to Exhibit 10 to Campbell's Form 8-K (SEC file number 1-</w:t>
              </w:r>
            </w:hyperlink>
          </w:p>
        </w:tc>
      </w:tr>
      <w:tr>
        <w:trPr>
          <w:trHeight w:val="147"/>
        </w:trPr>
        <w:tc>
          <w:tcPr>
            <w:tcW w:w="110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2"/>
          </w:tcPr>
          <w:p>
            <w:pPr>
              <w:spacing w:after="0" w:line="147"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3822) filed with the SEC on April 2, 2019.</w:t>
              </w:r>
            </w:hyperlink>
          </w:p>
        </w:tc>
        <w:tc>
          <w:tcPr>
            <w:tcW w:w="714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10(bb)+</w:t>
            </w:r>
          </w:p>
        </w:tc>
        <w:tc>
          <w:tcPr>
            <w:tcW w:w="10100" w:type="dxa"/>
            <w:vAlign w:val="bottom"/>
            <w:gridSpan w:val="21"/>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First Amendment to the Campbell Soup Company Executive Severance Pay Plan, effective September 1, 2023 is incorporated by reference to</w:t>
              </w:r>
            </w:hyperlink>
          </w:p>
        </w:tc>
      </w:tr>
      <w:tr>
        <w:trPr>
          <w:trHeight w:val="147"/>
        </w:trPr>
        <w:tc>
          <w:tcPr>
            <w:tcW w:w="1100" w:type="dxa"/>
            <w:vAlign w:val="bottom"/>
          </w:tcPr>
          <w:p>
            <w:pPr>
              <w:spacing w:after="0"/>
              <w:rPr>
                <w:sz w:val="12"/>
                <w:szCs w:val="12"/>
                <w:color w:val="auto"/>
              </w:rPr>
            </w:pPr>
          </w:p>
        </w:tc>
        <w:tc>
          <w:tcPr>
            <w:tcW w:w="7360" w:type="dxa"/>
            <w:vAlign w:val="bottom"/>
            <w:tcBorders>
              <w:top w:val="single" w:sz="8" w:color="0000FF"/>
              <w:bottom w:val="single" w:sz="8" w:color="0000FF"/>
            </w:tcBorders>
            <w:gridSpan w:val="6"/>
          </w:tcPr>
          <w:p>
            <w:pPr>
              <w:spacing w:after="0" w:line="147"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Exhibit 10(hh) to Campbell's Form 10-K (SEC file number 1-3822) for the fiscal year ended July 30, 2023.</w:t>
              </w:r>
            </w:hyperlink>
          </w:p>
        </w:tc>
        <w:tc>
          <w:tcPr>
            <w:tcW w:w="2380" w:type="dxa"/>
            <w:vAlign w:val="bottom"/>
            <w:tcBorders>
              <w:top w:val="single" w:sz="8" w:color="0000FF"/>
            </w:tcBorders>
            <w:gridSpan w:val="7"/>
          </w:tcPr>
          <w:p>
            <w:pPr>
              <w:spacing w:after="0"/>
              <w:rPr>
                <w:sz w:val="12"/>
                <w:szCs w:val="12"/>
                <w:color w:val="auto"/>
              </w:rPr>
            </w:pPr>
          </w:p>
        </w:tc>
        <w:tc>
          <w:tcPr>
            <w:tcW w:w="1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10(cc)</w:t>
            </w:r>
          </w:p>
        </w:tc>
        <w:tc>
          <w:tcPr>
            <w:tcW w:w="10100" w:type="dxa"/>
            <w:vAlign w:val="bottom"/>
            <w:gridSpan w:val="21"/>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Voting Agreement, dated August 7, 2023, by and among certain funds associated with Advent International Corporation and Campbell Soup</w:t>
              </w:r>
            </w:hyperlink>
          </w:p>
        </w:tc>
      </w:tr>
      <w:tr>
        <w:trPr>
          <w:trHeight w:val="147"/>
        </w:trPr>
        <w:tc>
          <w:tcPr>
            <w:tcW w:w="1100" w:type="dxa"/>
            <w:vAlign w:val="bottom"/>
          </w:tcPr>
          <w:p>
            <w:pPr>
              <w:spacing w:after="0"/>
              <w:rPr>
                <w:sz w:val="12"/>
                <w:szCs w:val="12"/>
                <w:color w:val="auto"/>
              </w:rPr>
            </w:pPr>
          </w:p>
        </w:tc>
        <w:tc>
          <w:tcPr>
            <w:tcW w:w="9640" w:type="dxa"/>
            <w:vAlign w:val="bottom"/>
            <w:tcBorders>
              <w:top w:val="single" w:sz="8" w:color="0000FF"/>
            </w:tcBorders>
            <w:gridSpan w:val="10"/>
          </w:tcPr>
          <w:p>
            <w:pPr>
              <w:spacing w:after="0" w:line="147"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Company, is incorporated by reference to Exhibit 10.1 to Campbell’s Form 8-K (SEC file number 1-3822) filed with the SEC on August 7,</w:t>
              </w:r>
            </w:hyperlink>
          </w:p>
        </w:tc>
        <w:tc>
          <w:tcPr>
            <w:tcW w:w="460" w:type="dxa"/>
            <w:vAlign w:val="bottom"/>
            <w:gridSpan w:val="11"/>
          </w:tcPr>
          <w:p>
            <w:pPr>
              <w:jc w:val="right"/>
              <w:ind w:right="140"/>
              <w:spacing w:after="0" w:line="147" w:lineRule="exact"/>
              <w:rPr>
                <w:rFonts w:ascii="Times New Roman" w:cs="Times New Roman" w:eastAsia="Times New Roman" w:hAnsi="Times New Roman"/>
                <w:sz w:val="17"/>
                <w:szCs w:val="17"/>
                <w:color w:val="0000FF"/>
                <w:w w:val="78"/>
              </w:rPr>
            </w:pPr>
            <w:hyperlink r:id="rId170">
              <w:r>
                <w:rPr>
                  <w:rFonts w:ascii="Times New Roman" w:cs="Times New Roman" w:eastAsia="Times New Roman" w:hAnsi="Times New Roman"/>
                  <w:sz w:val="17"/>
                  <w:szCs w:val="17"/>
                  <w:color w:val="0000FF"/>
                  <w:w w:val="78"/>
                </w:rPr>
                <w:t>2023.</w:t>
              </w:r>
            </w:hyperlink>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10(dd)</w:t>
            </w:r>
          </w:p>
        </w:tc>
        <w:tc>
          <w:tcPr>
            <w:tcW w:w="9960" w:type="dxa"/>
            <w:vAlign w:val="bottom"/>
            <w:tcBorders>
              <w:top w:val="single" w:sz="8" w:color="0000FF"/>
            </w:tcBorders>
            <w:gridSpan w:val="17"/>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Five-Year Credit Agreement, dated April 16, 2024, by and among Campbell Soup Company, the Eligible Subsidiaries party thereto from time to</w:t>
              </w:r>
            </w:hyperlink>
          </w:p>
        </w:tc>
        <w:tc>
          <w:tcPr>
            <w:tcW w:w="140" w:type="dxa"/>
            <w:vAlign w:val="bottom"/>
            <w:gridSpan w:val="4"/>
          </w:tcPr>
          <w:p>
            <w:pPr>
              <w:spacing w:after="0"/>
              <w:rPr>
                <w:sz w:val="22"/>
                <w:szCs w:val="22"/>
                <w:color w:val="auto"/>
              </w:rPr>
            </w:pPr>
          </w:p>
        </w:tc>
      </w:tr>
      <w:tr>
        <w:trPr>
          <w:trHeight w:val="147"/>
        </w:trPr>
        <w:tc>
          <w:tcPr>
            <w:tcW w:w="1100" w:type="dxa"/>
            <w:vAlign w:val="bottom"/>
          </w:tcPr>
          <w:p>
            <w:pPr>
              <w:spacing w:after="0"/>
              <w:rPr>
                <w:sz w:val="12"/>
                <w:szCs w:val="12"/>
                <w:color w:val="auto"/>
              </w:rPr>
            </w:pPr>
          </w:p>
        </w:tc>
        <w:tc>
          <w:tcPr>
            <w:tcW w:w="9920" w:type="dxa"/>
            <w:vAlign w:val="bottom"/>
            <w:tcBorders>
              <w:top w:val="single" w:sz="8" w:color="0000FF"/>
            </w:tcBorders>
            <w:gridSpan w:val="16"/>
          </w:tcPr>
          <w:p>
            <w:pPr>
              <w:spacing w:after="0" w:line="147"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time, JPMorgan Chase Bank, N.A., as administrative agent, and the other lenders named therein, is incorporated by reference to Exhibit 10 to</w:t>
              </w:r>
            </w:hyperlink>
          </w:p>
        </w:tc>
        <w:tc>
          <w:tcPr>
            <w:tcW w:w="180" w:type="dxa"/>
            <w:vAlign w:val="bottom"/>
            <w:gridSpan w:val="5"/>
          </w:tcPr>
          <w:p>
            <w:pPr>
              <w:spacing w:after="0"/>
              <w:rPr>
                <w:sz w:val="12"/>
                <w:szCs w:val="12"/>
                <w:color w:val="auto"/>
              </w:rPr>
            </w:pPr>
          </w:p>
        </w:tc>
      </w:tr>
      <w:tr>
        <w:trPr>
          <w:trHeight w:val="147"/>
        </w:trPr>
        <w:tc>
          <w:tcPr>
            <w:tcW w:w="1100" w:type="dxa"/>
            <w:vAlign w:val="bottom"/>
          </w:tcPr>
          <w:p>
            <w:pPr>
              <w:spacing w:after="0"/>
              <w:rPr>
                <w:sz w:val="12"/>
                <w:szCs w:val="12"/>
                <w:color w:val="auto"/>
              </w:rPr>
            </w:pPr>
          </w:p>
        </w:tc>
        <w:tc>
          <w:tcPr>
            <w:tcW w:w="9720" w:type="dxa"/>
            <w:vAlign w:val="bottom"/>
            <w:tcBorders>
              <w:top w:val="single" w:sz="8" w:color="0000FF"/>
            </w:tcBorders>
            <w:gridSpan w:val="12"/>
          </w:tcPr>
          <w:p>
            <w:pPr>
              <w:spacing w:after="0" w:line="147"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Campbell’s Current Report on Form 8-K (SEC file number 1-3822) filed with the SEC on April 16, 2024.</w:t>
              </w:r>
            </w:hyperlink>
          </w:p>
        </w:tc>
        <w:tc>
          <w:tcPr>
            <w:tcW w:w="380" w:type="dxa"/>
            <w:vAlign w:val="bottom"/>
            <w:gridSpan w:val="9"/>
          </w:tcPr>
          <w:p>
            <w:pPr>
              <w:spacing w:after="0"/>
              <w:rPr>
                <w:sz w:val="12"/>
                <w:szCs w:val="12"/>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10(ee)+</w:t>
            </w:r>
          </w:p>
        </w:tc>
        <w:tc>
          <w:tcPr>
            <w:tcW w:w="72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Form of Amended and Restated Change in Control Severance Protection Agreement</w:t>
            </w:r>
            <w:r>
              <w:rPr>
                <w:rFonts w:ascii="Times New Roman" w:cs="Times New Roman" w:eastAsia="Times New Roman" w:hAnsi="Times New Roman"/>
                <w:sz w:val="17"/>
                <w:szCs w:val="17"/>
                <w:color w:val="000000"/>
              </w:rPr>
              <w:t>.</w:t>
            </w:r>
          </w:p>
        </w:tc>
        <w:tc>
          <w:tcPr>
            <w:tcW w:w="2840" w:type="dxa"/>
            <w:vAlign w:val="bottom"/>
            <w:gridSpan w:val="17"/>
          </w:tcPr>
          <w:p>
            <w:pPr>
              <w:spacing w:after="0"/>
              <w:rPr>
                <w:sz w:val="22"/>
                <w:szCs w:val="22"/>
                <w:color w:val="auto"/>
              </w:rPr>
            </w:pPr>
          </w:p>
        </w:tc>
      </w:tr>
      <w:tr>
        <w:trPr>
          <w:trHeight w:val="20"/>
        </w:trPr>
        <w:tc>
          <w:tcPr>
            <w:tcW w:w="110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4" w:lineRule="exact"/>
        <w:rPr>
          <w:sz w:val="20"/>
          <w:szCs w:val="20"/>
          <w:color w:val="auto"/>
        </w:rPr>
      </w:pPr>
    </w:p>
    <w:p>
      <w:pPr>
        <w:ind w:left="1107" w:hanging="1107"/>
        <w:spacing w:after="0"/>
        <w:tabs>
          <w:tab w:leader="none" w:pos="1107"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Insider Trading Policy.</w:t>
      </w:r>
    </w:p>
    <w:p>
      <w:pPr>
        <w:spacing w:after="0" w:line="75" w:lineRule="exact"/>
        <w:rPr>
          <w:sz w:val="20"/>
          <w:szCs w:val="20"/>
          <w:color w:val="auto"/>
        </w:rPr>
      </w:pPr>
    </w:p>
    <w:p>
      <w:pPr>
        <w:ind w:left="1107" w:hanging="1107"/>
        <w:spacing w:after="0"/>
        <w:tabs>
          <w:tab w:leader="none" w:pos="110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Subsidiary List.</w:t>
      </w:r>
    </w:p>
    <w:p>
      <w:pPr>
        <w:spacing w:after="0" w:line="75" w:lineRule="exact"/>
        <w:rPr>
          <w:sz w:val="20"/>
          <w:szCs w:val="20"/>
          <w:color w:val="auto"/>
        </w:rPr>
      </w:pPr>
    </w:p>
    <w:p>
      <w:pPr>
        <w:ind w:left="1107" w:hanging="1107"/>
        <w:spacing w:after="0"/>
        <w:tabs>
          <w:tab w:leader="none" w:pos="110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Consent of Independent Registered Public Accounting Firm.</w:t>
      </w:r>
    </w:p>
    <w:p>
      <w:pPr>
        <w:spacing w:after="0" w:line="74" w:lineRule="exact"/>
        <w:rPr>
          <w:rFonts w:ascii="Times New Roman" w:cs="Times New Roman" w:eastAsia="Times New Roman" w:hAnsi="Times New Roman"/>
          <w:sz w:val="17"/>
          <w:szCs w:val="17"/>
          <w:color w:val="auto"/>
        </w:rPr>
      </w:pPr>
    </w:p>
    <w:p>
      <w:pPr>
        <w:ind w:left="1107" w:hanging="1107"/>
        <w:spacing w:after="0"/>
        <w:tabs>
          <w:tab w:leader="none" w:pos="110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Powers of Attorney.</w:t>
      </w:r>
    </w:p>
    <w:p>
      <w:pPr>
        <w:spacing w:after="0" w:line="63" w:lineRule="exact"/>
        <w:rPr>
          <w:sz w:val="20"/>
          <w:szCs w:val="20"/>
          <w:color w:val="auto"/>
        </w:rPr>
      </w:pPr>
    </w:p>
    <w:tbl>
      <w:tblPr>
        <w:tblLayout w:type="fixed"/>
        <w:tblInd w:w="7"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31(a)</w:t>
            </w:r>
          </w:p>
        </w:tc>
        <w:tc>
          <w:tcPr>
            <w:tcW w:w="49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Certification of Mark A. Clouse pursuant to Rule 13a-14(a).</w:t>
            </w:r>
          </w:p>
        </w:tc>
      </w:tr>
      <w:tr>
        <w:trPr>
          <w:trHeight w:val="20"/>
        </w:trPr>
        <w:tc>
          <w:tcPr>
            <w:tcW w:w="110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31(b)</w:t>
            </w:r>
          </w:p>
        </w:tc>
        <w:tc>
          <w:tcPr>
            <w:tcW w:w="4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Certification of Carrie L. Anderson pursuant to Rule 13a-14(a).</w:t>
            </w:r>
          </w:p>
        </w:tc>
        <w:tc>
          <w:tcPr>
            <w:tcW w:w="580" w:type="dxa"/>
            <w:vAlign w:val="bottom"/>
            <w:gridSpan w:val="2"/>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32(a)</w:t>
            </w:r>
          </w:p>
        </w:tc>
        <w:tc>
          <w:tcPr>
            <w:tcW w:w="4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Mark A. Clouse pursuant to 18 U.S.C. Section 1350.</w:t>
            </w:r>
          </w:p>
        </w:tc>
        <w:tc>
          <w:tcPr>
            <w:tcW w:w="2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32(b)</w:t>
            </w:r>
          </w:p>
        </w:tc>
        <w:tc>
          <w:tcPr>
            <w:tcW w:w="49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Certification of Carrie L. Anderson pursuant to 18 U.S.C. Section 1350.</w:t>
            </w:r>
          </w:p>
        </w:tc>
      </w:tr>
    </w:tbl>
    <w:p>
      <w:pPr>
        <w:spacing w:after="0" w:line="74" w:lineRule="exact"/>
        <w:rPr>
          <w:sz w:val="20"/>
          <w:szCs w:val="20"/>
          <w:color w:val="auto"/>
        </w:rPr>
      </w:pPr>
    </w:p>
    <w:p>
      <w:pPr>
        <w:ind w:left="1107" w:hanging="1107"/>
        <w:spacing w:after="0"/>
        <w:tabs>
          <w:tab w:leader="none" w:pos="110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Amended and Restated Incentive Compensation Clawback Policy.</w:t>
      </w:r>
    </w:p>
    <w:p>
      <w:pPr>
        <w:spacing w:after="0" w:line="101"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Schema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Calculation Linkbase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Definition Linkbase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Label Linkbase Document</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3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Inline XBRL Presentation Linkbase Document</w:t>
            </w:r>
          </w:p>
        </w:tc>
      </w:tr>
    </w:tbl>
    <w:p>
      <w:pPr>
        <w:spacing w:after="0" w:line="47" w:lineRule="exact"/>
        <w:rPr>
          <w:sz w:val="20"/>
          <w:szCs w:val="20"/>
          <w:color w:val="auto"/>
        </w:rPr>
      </w:pPr>
    </w:p>
    <w:p>
      <w:pPr>
        <w:ind w:left="7" w:right="3100" w:hanging="7"/>
        <w:spacing w:after="0" w:line="365" w:lineRule="auto"/>
        <w:tabs>
          <w:tab w:leader="none" w:pos="111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this Annual Report on Form 10-K, formulated in Inline XBRL (see exhibit 101) +This exhibit is a management contract or compensatory plan or arrangement.</w:t>
      </w: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118745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7"/>
          </w:cols>
          <w:pgMar w:left="353" w:top="986" w:right="379" w:bottom="1440" w:gutter="0" w:footer="0" w:header="0"/>
        </w:sectPr>
      </w:pPr>
    </w:p>
    <w:bookmarkStart w:id="88" w:name="page89"/>
    <w:bookmarkEnd w:id="88"/>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right="80" w:firstLine="309"/>
        <w:spacing w:after="0" w:line="28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Campbell has duly caused this Report to be signed on its behalf by the undersigned, thereunto duly authorized.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19, 2024</w:t>
      </w:r>
    </w:p>
    <w:p>
      <w:pPr>
        <w:spacing w:after="0" w:line="45" w:lineRule="exact"/>
        <w:rPr>
          <w:sz w:val="20"/>
          <w:szCs w:val="20"/>
          <w:color w:val="auto"/>
        </w:rPr>
      </w:pPr>
    </w:p>
    <w:tbl>
      <w:tblPr>
        <w:tblLayout w:type="fixed"/>
        <w:tblInd w:w="542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CAMPBELL SOUP COMPANY</w:t>
            </w:r>
          </w:p>
        </w:tc>
      </w:tr>
      <w:tr>
        <w:trPr>
          <w:trHeight w:val="424"/>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Carrie L. Anderson</w:t>
            </w:r>
          </w:p>
        </w:tc>
      </w:tr>
      <w:tr>
        <w:trPr>
          <w:trHeight w:val="208"/>
        </w:trPr>
        <w:tc>
          <w:tcPr>
            <w:tcW w:w="2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Carrie L. Anderson</w:t>
            </w:r>
          </w:p>
        </w:tc>
      </w:tr>
      <w:tr>
        <w:trPr>
          <w:trHeight w:val="171"/>
        </w:trPr>
        <w:tc>
          <w:tcPr>
            <w:tcW w:w="280" w:type="dxa"/>
            <w:vAlign w:val="bottom"/>
          </w:tcPr>
          <w:p>
            <w:pPr>
              <w:spacing w:after="0"/>
              <w:rPr>
                <w:sz w:val="14"/>
                <w:szCs w:val="14"/>
                <w:color w:val="auto"/>
              </w:rPr>
            </w:pPr>
          </w:p>
        </w:tc>
        <w:tc>
          <w:tcPr>
            <w:tcW w:w="50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color w:val="auto"/>
              </w:rPr>
              <w:t>Executive Vice President and Chief Financial Officer (Principal</w:t>
            </w:r>
          </w:p>
        </w:tc>
      </w:tr>
      <w:tr>
        <w:trPr>
          <w:trHeight w:val="223"/>
        </w:trPr>
        <w:tc>
          <w:tcPr>
            <w:tcW w:w="280" w:type="dxa"/>
            <w:vAlign w:val="bottom"/>
          </w:tcPr>
          <w:p>
            <w:pPr>
              <w:spacing w:after="0"/>
              <w:rPr>
                <w:sz w:val="19"/>
                <w:szCs w:val="19"/>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Financial Officer)</w:t>
            </w:r>
          </w:p>
        </w:tc>
      </w:tr>
    </w:tbl>
    <w:p>
      <w:pPr>
        <w:spacing w:after="0" w:line="186" w:lineRule="exact"/>
        <w:rPr>
          <w:sz w:val="20"/>
          <w:szCs w:val="20"/>
          <w:color w:val="auto"/>
        </w:rPr>
      </w:pPr>
    </w:p>
    <w:p>
      <w:pPr>
        <w:ind w:right="360" w:firstLine="309"/>
        <w:spacing w:after="0" w:line="28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Campbell and in the capacities indicated on September 19, 2024.</w:t>
      </w:r>
    </w:p>
    <w:p>
      <w:pPr>
        <w:spacing w:after="0" w:line="3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64141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6414135" cy="8255"/>
                    </a:xfrm>
                    <a:prstGeom prst="rect">
                      <a:avLst/>
                    </a:prstGeom>
                    <a:noFill/>
                  </pic:spPr>
                </pic:pic>
              </a:graphicData>
            </a:graphic>
          </wp:anchor>
        </w:drawing>
      </w:r>
    </w:p>
    <w:p>
      <w:pPr>
        <w:sectPr>
          <w:pgSz w:w="11900" w:h="16838" w:orient="portrait"/>
          <w:cols w:equalWidth="0" w:num="1">
            <w:col w:w="11320"/>
          </w:cols>
          <w:pgMar w:left="320" w:top="943" w:right="259" w:bottom="1440" w:gutter="0" w:footer="0" w:header="0"/>
        </w:sectPr>
      </w:pP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Mark A. Clouse</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President and Chief Executive Officer and Director</w:t>
      </w:r>
    </w:p>
    <w:p>
      <w:pPr>
        <w:spacing w:after="0" w:line="2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7"/>
          <w:szCs w:val="17"/>
          <w:color w:val="auto"/>
        </w:rPr>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Carrie L. Anderson</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Stanley Polomski</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Senior Vice President and Controller</w:t>
      </w:r>
    </w:p>
    <w:p>
      <w:pPr>
        <w:spacing w:after="0" w:line="23"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Keith R. McLoughlin</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Chair and 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auto"/>
        </w:rPr>
        <w:t>Fabiola R. Arredondo</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Howard M. Averill</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17145</wp:posOffset>
            </wp:positionV>
            <wp:extent cx="31070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color w:val="auto"/>
        </w:rPr>
        <w:t>Bennett Dorrance, Jr.</w:t>
      </w:r>
    </w:p>
    <w:p>
      <w:pPr>
        <w:spacing w:after="0" w:line="2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Maria Teresa Hilado</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Grant H. Hill</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Sarah Hofstetter</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Marc B. Lautenbach</w:t>
      </w:r>
    </w:p>
    <w:p>
      <w:pPr>
        <w:spacing w:after="0" w:line="2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Mary Alice D. Malone</w:t>
      </w:r>
    </w:p>
    <w:p>
      <w:pPr>
        <w:spacing w:after="0" w:line="2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Kurt T. Schmidt</w:t>
      </w:r>
    </w:p>
    <w:p>
      <w:pPr>
        <w:spacing w:after="0" w:line="27" w:lineRule="exact"/>
        <w:rPr>
          <w:sz w:val="20"/>
          <w:szCs w:val="20"/>
          <w:color w:val="auto"/>
        </w:rPr>
      </w:pPr>
    </w:p>
    <w:p>
      <w:pPr>
        <w:jc w:val="center"/>
        <w:ind w:left="-259"/>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854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Archbold D. van Beuren</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Director</w:t>
      </w:r>
    </w:p>
    <w:p>
      <w:pPr>
        <w:spacing w:after="0" w:line="225" w:lineRule="exact"/>
        <w:rPr>
          <w:sz w:val="20"/>
          <w:szCs w:val="20"/>
          <w:color w:val="auto"/>
        </w:rPr>
      </w:pPr>
    </w:p>
    <w:p>
      <w:pPr>
        <w:ind w:left="1380" w:hanging="134"/>
        <w:spacing w:after="0"/>
        <w:tabs>
          <w:tab w:leader="none" w:pos="13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 Charles A. Brawley, III</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Charles A. Brawley,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26854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Title: Executive Vice President, General Counsel and Corpor Secretary,</w:t>
      </w:r>
    </w:p>
    <w:p>
      <w:pPr>
        <w:spacing w:after="0"/>
        <w:rPr>
          <w:sz w:val="20"/>
          <w:szCs w:val="20"/>
          <w:color w:val="auto"/>
        </w:rPr>
      </w:pPr>
      <w:r>
        <w:rPr>
          <w:rFonts w:ascii="Times New Roman" w:cs="Times New Roman" w:eastAsia="Times New Roman" w:hAnsi="Times New Roman"/>
          <w:sz w:val="17"/>
          <w:szCs w:val="17"/>
          <w:color w:val="auto"/>
        </w:rPr>
        <w:t>as Attorney-in-fact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powers of attorney)</w:t>
      </w:r>
    </w:p>
    <w:p>
      <w:pPr>
        <w:spacing w:after="0" w:line="200" w:lineRule="exact"/>
        <w:rPr>
          <w:sz w:val="20"/>
          <w:szCs w:val="20"/>
          <w:color w:val="auto"/>
        </w:rPr>
      </w:pPr>
    </w:p>
    <w:p>
      <w:pPr>
        <w:sectPr>
          <w:pgSz w:w="11900" w:h="16838" w:orient="portrait"/>
          <w:cols w:equalWidth="0" w:num="2">
            <w:col w:w="6400" w:space="720"/>
            <w:col w:w="4200"/>
          </w:cols>
          <w:pgMar w:left="320" w:top="943" w:right="25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20" w:top="943" w:right="259" w:bottom="1440" w:gutter="0" w:footer="0" w:header="0"/>
          <w:type w:val="continuous"/>
        </w:sectPr>
      </w:pPr>
    </w:p>
    <w:bookmarkStart w:id="89" w:name="page90"/>
    <w:bookmarkEnd w:id="89"/>
    <w:p>
      <w:pPr>
        <w:jc w:val="right"/>
        <w:spacing w:after="0"/>
        <w:rPr>
          <w:sz w:val="20"/>
          <w:szCs w:val="20"/>
          <w:color w:val="auto"/>
        </w:rPr>
      </w:pPr>
      <w:r>
        <w:rPr>
          <w:rFonts w:ascii="Times New Roman" w:cs="Times New Roman" w:eastAsia="Times New Roman" w:hAnsi="Times New Roman"/>
          <w:sz w:val="17"/>
          <w:szCs w:val="17"/>
          <w:b w:val="1"/>
          <w:bCs w:val="1"/>
          <w:color w:val="auto"/>
        </w:rPr>
        <w:t>Schedule II</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CAMPBELL SOUP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Years ended July 28, 2024, July 30, 2023, and July 31, 2022</w:t>
      </w:r>
    </w:p>
    <w:p>
      <w:pPr>
        <w:sectPr>
          <w:pgSz w:w="11900" w:h="16838" w:orient="portrait"/>
          <w:cols w:equalWidth="0" w:num="1">
            <w:col w:w="11240"/>
          </w:cols>
          <w:pgMar w:left="320" w:top="943" w:right="339" w:bottom="1440" w:gutter="0" w:footer="0" w:header="0"/>
        </w:sect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Charged to/</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30" w:lineRule="exact"/>
              <w:rPr>
                <w:sz w:val="20"/>
                <w:szCs w:val="20"/>
                <w:color w:val="auto"/>
              </w:rPr>
            </w:pPr>
            <w:r>
              <w:rPr>
                <w:rFonts w:ascii="Times New Roman" w:cs="Times New Roman" w:eastAsia="Times New Roman" w:hAnsi="Times New Roman"/>
                <w:sz w:val="14"/>
                <w:szCs w:val="14"/>
                <w:b w:val="1"/>
                <w:bCs w:val="1"/>
                <w:color w:val="auto"/>
                <w:w w:val="98"/>
              </w:rPr>
              <w:t>(Reduction in) Costs</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7"/>
              </w:rPr>
              <w:t>Balance at Beginning</w:t>
            </w:r>
          </w:p>
        </w:tc>
        <w:tc>
          <w:tcPr>
            <w:tcW w:w="20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3"/>
                <w:szCs w:val="13"/>
                <w:color w:val="auto"/>
              </w:rPr>
            </w:pPr>
          </w:p>
        </w:tc>
        <w:tc>
          <w:tcPr>
            <w:tcW w:w="11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of Period</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Expenses</w:t>
            </w: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Fiscal year ended July 28, 2024</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115</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Cash discount</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Bad debt reserve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line="227" w:lineRule="exact"/>
              <w:rPr>
                <w:sz w:val="20"/>
                <w:szCs w:val="20"/>
                <w:color w:val="auto"/>
              </w:rPr>
            </w:pPr>
            <w:r>
              <w:rPr>
                <w:rFonts w:ascii="Times New Roman" w:cs="Times New Roman" w:eastAsia="Times New Roman" w:hAnsi="Times New Roman"/>
                <w:sz w:val="17"/>
                <w:szCs w:val="17"/>
                <w:color w:val="auto"/>
              </w:rPr>
              <w:t>Returns reserve</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Fiscal year ended July 30, 2023</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Cash discount</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Bad debt reserve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line="227" w:lineRule="exact"/>
              <w:rPr>
                <w:sz w:val="20"/>
                <w:szCs w:val="20"/>
                <w:color w:val="auto"/>
              </w:rPr>
            </w:pPr>
            <w:r>
              <w:rPr>
                <w:rFonts w:ascii="Times New Roman" w:cs="Times New Roman" w:eastAsia="Times New Roman" w:hAnsi="Times New Roman"/>
                <w:sz w:val="17"/>
                <w:szCs w:val="17"/>
                <w:color w:val="auto"/>
              </w:rPr>
              <w:t>Returns reserve</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Fiscal year ended July 31, 2022</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Cash discount</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Bad debt reserve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20" w:type="dxa"/>
            <w:vAlign w:val="bottom"/>
          </w:tcPr>
          <w:p>
            <w:pPr>
              <w:spacing w:after="0" w:line="227" w:lineRule="exact"/>
              <w:rPr>
                <w:sz w:val="20"/>
                <w:szCs w:val="20"/>
                <w:color w:val="auto"/>
              </w:rPr>
            </w:pPr>
            <w:r>
              <w:rPr>
                <w:rFonts w:ascii="Times New Roman" w:cs="Times New Roman" w:eastAsia="Times New Roman" w:hAnsi="Times New Roman"/>
                <w:sz w:val="17"/>
                <w:szCs w:val="17"/>
                <w:color w:val="auto"/>
              </w:rPr>
              <w:t>Returns reserve</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Total Accounts receivable allowances</w:t>
            </w: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-2207260</wp:posOffset>
            </wp:positionV>
            <wp:extent cx="7138670" cy="1390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-1610360</wp:posOffset>
            </wp:positionV>
            <wp:extent cx="7138670" cy="139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-1332230</wp:posOffset>
            </wp:positionV>
            <wp:extent cx="7138670" cy="1390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-735330</wp:posOffset>
            </wp:positionV>
            <wp:extent cx="7138670" cy="1390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-457200</wp:posOffset>
            </wp:positionV>
            <wp:extent cx="7138670" cy="139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-179070</wp:posOffset>
            </wp:positionV>
            <wp:extent cx="7138670" cy="163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-1054100</wp:posOffset>
            </wp:positionV>
            <wp:extent cx="7138670" cy="163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-1929130</wp:posOffset>
            </wp:positionV>
            <wp:extent cx="7138670" cy="163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-2485390</wp:posOffset>
            </wp:positionV>
            <wp:extent cx="7138670" cy="1390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Balance at</w:t>
      </w:r>
    </w:p>
    <w:p>
      <w:pPr>
        <w:spacing w:after="0" w:line="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 of</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8</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44450</wp:posOffset>
            </wp:positionV>
            <wp:extent cx="8420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6</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41910</wp:posOffset>
            </wp:positionV>
            <wp:extent cx="8420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5</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4</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3</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41910</wp:posOffset>
            </wp:positionV>
            <wp:extent cx="8420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2">
            <w:col w:w="10020" w:space="260"/>
            <w:col w:w="960"/>
          </w:cols>
          <w:pgMar w:left="320" w:top="943" w:right="339" w:bottom="1440" w:gutter="0" w:footer="0" w:header="0"/>
          <w:type w:val="continuous"/>
        </w:sectPr>
      </w:pPr>
    </w:p>
    <w:p>
      <w:pPr>
        <w:ind w:left="320" w:hanging="317"/>
        <w:spacing w:after="0" w:line="229" w:lineRule="auto"/>
        <w:tabs>
          <w:tab w:leader="none" w:pos="308" w:val="left"/>
        </w:tabs>
        <w:numPr>
          <w:ilvl w:val="0"/>
          <w:numId w:val="7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returns reserve is evaluated quarterly and adjusted accordingly. During each period, returns are charged to Net sales in the Consolidated Statements of Earnings as incurred. Actual returns were approximately $109 million in 2024, $105 million in 2023, and $110 million in 2022, or less than 2% of Net sales.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1240"/>
          </w:cols>
          <w:pgMar w:left="320" w:top="943" w:right="339" w:bottom="1440" w:gutter="0" w:footer="0" w:header="0"/>
          <w:type w:val="continuous"/>
        </w:sectPr>
      </w:pPr>
    </w:p>
    <w:bookmarkStart w:id="90" w:name="page91"/>
    <w:bookmarkEnd w:id="90"/>
    <w:p>
      <w:pPr>
        <w:jc w:val="right"/>
        <w:spacing w:after="0"/>
        <w:rPr>
          <w:sz w:val="20"/>
          <w:szCs w:val="20"/>
          <w:color w:val="auto"/>
        </w:rPr>
      </w:pPr>
      <w:r>
        <w:rPr>
          <w:rFonts w:ascii="Times New Roman" w:cs="Times New Roman" w:eastAsia="Times New Roman" w:hAnsi="Times New Roman"/>
          <w:sz w:val="21"/>
          <w:szCs w:val="21"/>
          <w:b w:val="1"/>
          <w:bCs w:val="1"/>
          <w:color w:val="auto"/>
        </w:rPr>
        <w:t>Exhibit 10(ee)</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Form for U.S. Executives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AMENDED AND RESTATED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CHANGE IN CONTROL</w:t>
      </w:r>
    </w:p>
    <w:p>
      <w:pPr>
        <w:jc w:val="center"/>
        <w:spacing w:after="0"/>
        <w:rPr>
          <w:sz w:val="20"/>
          <w:szCs w:val="20"/>
          <w:color w:val="auto"/>
        </w:rPr>
      </w:pPr>
      <w:r>
        <w:rPr>
          <w:rFonts w:ascii="Times New Roman" w:cs="Times New Roman" w:eastAsia="Times New Roman" w:hAnsi="Times New Roman"/>
          <w:sz w:val="21"/>
          <w:szCs w:val="21"/>
          <w:color w:val="auto"/>
        </w:rPr>
        <w:t>SEVERANCE PROTECTION AGREEMENT</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THIS AMENDED AND RESTATED AGREEMENT (this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is made as of ________________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 by and between Campbell Soup Company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and _________________ (the “</w:t>
      </w:r>
      <w:r>
        <w:rPr>
          <w:rFonts w:ascii="Times New Roman" w:cs="Times New Roman" w:eastAsia="Times New Roman" w:hAnsi="Times New Roman"/>
          <w:sz w:val="21"/>
          <w:szCs w:val="21"/>
          <w:i w:val="1"/>
          <w:iCs w:val="1"/>
          <w:color w:val="auto"/>
        </w:rPr>
        <w:t>Executive”</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firstLine="1236"/>
        <w:spacing w:after="0" w:line="245" w:lineRule="auto"/>
        <w:rPr>
          <w:sz w:val="20"/>
          <w:szCs w:val="20"/>
          <w:color w:val="auto"/>
        </w:rPr>
      </w:pPr>
      <w:r>
        <w:rPr>
          <w:rFonts w:ascii="Times New Roman" w:cs="Times New Roman" w:eastAsia="Times New Roman" w:hAnsi="Times New Roman"/>
          <w:sz w:val="21"/>
          <w:szCs w:val="21"/>
          <w:color w:val="auto"/>
        </w:rPr>
        <w:t>WHEREAS, the Board of Directors of the Company (the “</w:t>
      </w:r>
      <w:r>
        <w:rPr>
          <w:rFonts w:ascii="Times New Roman" w:cs="Times New Roman" w:eastAsia="Times New Roman" w:hAnsi="Times New Roman"/>
          <w:sz w:val="21"/>
          <w:szCs w:val="21"/>
          <w:i w:val="1"/>
          <w:iCs w:val="1"/>
          <w:color w:val="auto"/>
        </w:rPr>
        <w:t>Board”</w:t>
      </w:r>
      <w:r>
        <w:rPr>
          <w:rFonts w:ascii="Times New Roman" w:cs="Times New Roman" w:eastAsia="Times New Roman" w:hAnsi="Times New Roman"/>
          <w:sz w:val="21"/>
          <w:szCs w:val="21"/>
          <w:color w:val="auto"/>
        </w:rPr>
        <w:t>) recognizes that the possibility of a Change in Control (as hereinafter defined) exists and that the threat of, or the occurrence of, a Change in Control may result in the departure or in significant distractions of its key management personnel because of the uncertainties inherent in such a situation;</w:t>
      </w:r>
    </w:p>
    <w:p>
      <w:pPr>
        <w:spacing w:after="0" w:line="192" w:lineRule="exact"/>
        <w:rPr>
          <w:sz w:val="20"/>
          <w:szCs w:val="20"/>
          <w:color w:val="auto"/>
        </w:rPr>
      </w:pPr>
    </w:p>
    <w:p>
      <w:pPr>
        <w:jc w:val="both"/>
        <w:ind w:firstLine="1236"/>
        <w:spacing w:after="0" w:line="239" w:lineRule="auto"/>
        <w:rPr>
          <w:sz w:val="20"/>
          <w:szCs w:val="20"/>
          <w:color w:val="auto"/>
        </w:rPr>
      </w:pPr>
      <w:r>
        <w:rPr>
          <w:rFonts w:ascii="Times New Roman" w:cs="Times New Roman" w:eastAsia="Times New Roman" w:hAnsi="Times New Roman"/>
          <w:sz w:val="21"/>
          <w:szCs w:val="21"/>
          <w:color w:val="auto"/>
        </w:rPr>
        <w:t>WHEREAS, the Board has, as recommended and approved by the Compensation and Organization Committee (the “</w:t>
      </w:r>
      <w:r>
        <w:rPr>
          <w:rFonts w:ascii="Times New Roman" w:cs="Times New Roman" w:eastAsia="Times New Roman" w:hAnsi="Times New Roman"/>
          <w:sz w:val="21"/>
          <w:szCs w:val="21"/>
          <w:i w:val="1"/>
          <w:iCs w:val="1"/>
          <w:color w:val="auto"/>
        </w:rPr>
        <w:t>Committee</w:t>
      </w:r>
      <w:r>
        <w:rPr>
          <w:rFonts w:ascii="Times New Roman" w:cs="Times New Roman" w:eastAsia="Times New Roman" w:hAnsi="Times New Roman"/>
          <w:sz w:val="21"/>
          <w:szCs w:val="21"/>
          <w:color w:val="auto"/>
        </w:rPr>
        <w:t>”), determined that it is essential and in the best interest of the Company and its stockholders to retain the services of the Executive in the event of a threat or occurrence of a Change in Control and to ensure the Executive’s continued dedication and efforts in such event without undue concern for the Executive’s personal financial and employment security; and</w:t>
      </w:r>
    </w:p>
    <w:p>
      <w:pPr>
        <w:spacing w:after="0" w:line="197" w:lineRule="exact"/>
        <w:rPr>
          <w:sz w:val="20"/>
          <w:szCs w:val="20"/>
          <w:color w:val="auto"/>
        </w:rPr>
      </w:pPr>
    </w:p>
    <w:p>
      <w:pPr>
        <w:jc w:val="both"/>
        <w:ind w:firstLine="1236"/>
        <w:spacing w:after="0" w:line="236" w:lineRule="auto"/>
        <w:rPr>
          <w:sz w:val="20"/>
          <w:szCs w:val="20"/>
          <w:color w:val="auto"/>
        </w:rPr>
      </w:pPr>
      <w:r>
        <w:rPr>
          <w:rFonts w:ascii="Times New Roman" w:cs="Times New Roman" w:eastAsia="Times New Roman" w:hAnsi="Times New Roman"/>
          <w:sz w:val="21"/>
          <w:szCs w:val="21"/>
          <w:color w:val="auto"/>
        </w:rPr>
        <w:t>WHEREAS, in order to induce the Executive to remain in the employ of the Company and to encourage the continued attention and dedication of the Executive, particularly in the event of a threat or the occurrence of a Change in Control, the Company desires to enter into this Agreement with the Executive to provide the Executive with certain benefits in the event the Executive’s employment is terminated as a result of, or in connection with, a Change in Control.</w:t>
      </w:r>
    </w:p>
    <w:p>
      <w:pPr>
        <w:spacing w:after="0" w:line="19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NOW, THEREFORE, in consideration of the respective agreements of the parties contained herein, it is agreed as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follows:</w:t>
      </w:r>
    </w:p>
    <w:p>
      <w:pPr>
        <w:spacing w:after="0" w:line="196" w:lineRule="exact"/>
        <w:rPr>
          <w:sz w:val="20"/>
          <w:szCs w:val="20"/>
          <w:color w:val="auto"/>
        </w:rPr>
      </w:pPr>
    </w:p>
    <w:p>
      <w:pPr>
        <w:jc w:val="both"/>
        <w:ind w:left="620" w:hanging="308"/>
        <w:spacing w:after="0" w:line="236" w:lineRule="auto"/>
        <w:tabs>
          <w:tab w:leader="none" w:pos="6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w:t>
      </w:r>
      <w:r>
        <w:rPr>
          <w:rFonts w:ascii="Times New Roman" w:cs="Times New Roman" w:eastAsia="Times New Roman" w:hAnsi="Times New Roman"/>
          <w:sz w:val="21"/>
          <w:szCs w:val="21"/>
          <w:color w:val="auto"/>
        </w:rPr>
        <w:t>. The term of this Agreement (the “</w:t>
      </w:r>
      <w:r>
        <w:rPr>
          <w:rFonts w:ascii="Times New Roman" w:cs="Times New Roman" w:eastAsia="Times New Roman" w:hAnsi="Times New Roman"/>
          <w:sz w:val="21"/>
          <w:szCs w:val="21"/>
          <w:i w:val="1"/>
          <w:iCs w:val="1"/>
          <w:color w:val="auto"/>
        </w:rPr>
        <w:t>Term</w:t>
      </w:r>
      <w:r>
        <w:rPr>
          <w:rFonts w:ascii="Times New Roman" w:cs="Times New Roman" w:eastAsia="Times New Roman" w:hAnsi="Times New Roman"/>
          <w:sz w:val="21"/>
          <w:szCs w:val="21"/>
          <w:color w:val="auto"/>
        </w:rPr>
        <w:t>”) shall commence on the Effective Date and shall continue in effect until the third anniversary of the Effective Date; provided, however, that commencing on the second anniversary of the Effective Date and on each anniversary thereafter, the Term of this Agreement shall automatically be extended for one (1) year unless either the Company or the Executive shall have given written notice to the other at least ninety (90) days prior thereto that the Term of this Agreement shall not be so extended; and provided, further, however, that notwithstanding any such notice by the Company not to extend, the Term shall not expire prior to the second anniversary of a Change in Control that occurs prior to the end of the Term.</w:t>
      </w:r>
    </w:p>
    <w:p>
      <w:pPr>
        <w:spacing w:after="0" w:line="183" w:lineRule="exact"/>
        <w:rPr>
          <w:rFonts w:ascii="Times New Roman" w:cs="Times New Roman" w:eastAsia="Times New Roman" w:hAnsi="Times New Roman"/>
          <w:sz w:val="21"/>
          <w:szCs w:val="21"/>
          <w:color w:val="auto"/>
        </w:rPr>
      </w:pPr>
    </w:p>
    <w:p>
      <w:pPr>
        <w:ind w:left="620" w:hanging="308"/>
        <w:spacing w:after="0"/>
        <w:tabs>
          <w:tab w:leader="none" w:pos="6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ind w:left="1240" w:hanging="309"/>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xml:space="preserve"> means a termination evidenced by a resolution adopted in good faith by no less than two-thirds of the Board that the Executive (i) intentionally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3"/>
          <w:szCs w:val="13"/>
          <w:color w:val="auto"/>
        </w:rPr>
        <w:t>Page 1 of 15</w:t>
      </w:r>
    </w:p>
    <w:p>
      <w:pPr>
        <w:sectPr>
          <w:pgSz w:w="11900" w:h="16838" w:orient="portrait"/>
          <w:cols w:equalWidth="0" w:num="1">
            <w:col w:w="11240"/>
          </w:cols>
          <w:pgMar w:left="320" w:top="1346" w:right="339" w:bottom="1440" w:gutter="0" w:footer="0" w:header="0"/>
        </w:sectPr>
      </w:pPr>
    </w:p>
    <w:bookmarkStart w:id="91" w:name="page92"/>
    <w:bookmarkEnd w:id="91"/>
    <w:p>
      <w:pPr>
        <w:jc w:val="both"/>
        <w:ind w:left="310"/>
        <w:spacing w:after="0" w:line="232" w:lineRule="auto"/>
        <w:rPr>
          <w:sz w:val="20"/>
          <w:szCs w:val="20"/>
          <w:color w:val="auto"/>
        </w:rPr>
      </w:pPr>
      <w:r>
        <w:rPr>
          <w:rFonts w:ascii="Times New Roman" w:cs="Times New Roman" w:eastAsia="Times New Roman" w:hAnsi="Times New Roman"/>
          <w:sz w:val="21"/>
          <w:szCs w:val="21"/>
          <w:color w:val="auto"/>
        </w:rPr>
        <w:t xml:space="preserve">continually failed to substantially perform the Executive’s duties to the Company (other than a failure resulting from the Executive's incapacity due to physical or mental illness) which failure continued for a period of at least thirty (30) days after written notice having been delivered to the Executive by the Company specifying the manner in which the Executive has failed to substantially perform, or (ii) intentionally engaged in conduct which is demonstrably and materially injurious to the Company, monetarily, or otherwise;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termination of the Executive's employment shall be for Cause under this clause (ii) until (x) the Company delivers written notice to the Executive stating that the Executive was guilty of the conduct set forth in clause (ii) and specifying the particulars thereof in detail, and (y) the Executive shall have been provided an opportunity to be heard by the Board (with the assistance of the Executive's counsel if the Executive so desires). No act, nor failure to act, on the Executive's part, shall be considered “intentional” unless the Executive has acted, or failed to act, with an absence of good faith and without a reasonable belief that the Executive’s action or failure to act was in the best interest of the Company. Notwithstanding anything in this Agreement to the contrary, the Executive’s failure to perform after a Notice of Termination is given by the Executive shall not constitute Cause for purposes of this Agreement.</w:t>
      </w:r>
    </w:p>
    <w:p>
      <w:pPr>
        <w:spacing w:after="0" w:line="194" w:lineRule="exact"/>
        <w:rPr>
          <w:sz w:val="20"/>
          <w:szCs w:val="20"/>
          <w:color w:val="auto"/>
        </w:rPr>
      </w:pPr>
    </w:p>
    <w:p>
      <w:pPr>
        <w:ind w:left="310" w:hanging="310"/>
        <w:spacing w:after="0" w:line="285" w:lineRule="auto"/>
        <w:tabs>
          <w:tab w:leader="none" w:pos="31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xml:space="preserve"> shall have the meaning ascribed to such term in the Campbell Soup Company 2022 Long-Term Incentive Plan (the “</w:t>
      </w:r>
      <w:r>
        <w:rPr>
          <w:rFonts w:ascii="Times New Roman" w:cs="Times New Roman" w:eastAsia="Times New Roman" w:hAnsi="Times New Roman"/>
          <w:sz w:val="20"/>
          <w:szCs w:val="20"/>
          <w:i w:val="1"/>
          <w:iCs w:val="1"/>
          <w:color w:val="auto"/>
        </w:rPr>
        <w:t>Equity Plan</w:t>
      </w:r>
      <w:r>
        <w:rPr>
          <w:rFonts w:ascii="Times New Roman" w:cs="Times New Roman" w:eastAsia="Times New Roman" w:hAnsi="Times New Roman"/>
          <w:sz w:val="20"/>
          <w:szCs w:val="20"/>
          <w:color w:val="auto"/>
        </w:rPr>
        <w:t>”) as of the date hereof as interpreted by the Committee (as defined in the Equity Plan).</w:t>
      </w:r>
    </w:p>
    <w:p>
      <w:pPr>
        <w:spacing w:after="0" w:line="149" w:lineRule="exact"/>
        <w:rPr>
          <w:rFonts w:ascii="Times New Roman" w:cs="Times New Roman" w:eastAsia="Times New Roman" w:hAnsi="Times New Roman"/>
          <w:sz w:val="20"/>
          <w:szCs w:val="20"/>
          <w:color w:val="auto"/>
        </w:rPr>
      </w:pPr>
    </w:p>
    <w:p>
      <w:pPr>
        <w:jc w:val="both"/>
        <w:ind w:left="310" w:hanging="310"/>
        <w:spacing w:after="0" w:line="234" w:lineRule="auto"/>
        <w:tabs>
          <w:tab w:leader="none" w:pos="29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Disability”</w:t>
      </w:r>
      <w:r>
        <w:rPr>
          <w:rFonts w:ascii="Times New Roman" w:cs="Times New Roman" w:eastAsia="Times New Roman" w:hAnsi="Times New Roman"/>
          <w:sz w:val="21"/>
          <w:szCs w:val="21"/>
          <w:color w:val="auto"/>
        </w:rPr>
        <w:t xml:space="preserve"> means a physical or mental infirmity that (notwithstanding accommodation) impairs the Executive's ability to substantially perform the Executive’s duties under this Agreement for a continuous period of one hundred eighty (180) days. Any question as to the existence of a Disability upon which the Executive and the Company cannot agree will be determined by a qualified independent physician selected by the Executive and the Company. If the Company and the Executive cannot agree on a physician, the Chief of Staff of Thomas Jefferson Hospital in Philadelphia, Pennsylvania shall select a physician. The determination of such physician made in writing to the Company and to the Executive shall be final and conclusive for all purposes of this Agreement.</w:t>
      </w:r>
    </w:p>
    <w:p>
      <w:pPr>
        <w:spacing w:after="0" w:line="193" w:lineRule="exact"/>
        <w:rPr>
          <w:rFonts w:ascii="Times New Roman" w:cs="Times New Roman" w:eastAsia="Times New Roman" w:hAnsi="Times New Roman"/>
          <w:sz w:val="21"/>
          <w:szCs w:val="21"/>
          <w:color w:val="auto"/>
        </w:rPr>
      </w:pPr>
    </w:p>
    <w:p>
      <w:pPr>
        <w:ind w:left="310" w:hanging="310"/>
        <w:spacing w:after="0" w:line="260" w:lineRule="auto"/>
        <w:tabs>
          <w:tab w:leader="none" w:pos="31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Good Reason</w:t>
      </w:r>
      <w:r>
        <w:rPr>
          <w:rFonts w:ascii="Times New Roman" w:cs="Times New Roman" w:eastAsia="Times New Roman" w:hAnsi="Times New Roman"/>
          <w:sz w:val="21"/>
          <w:szCs w:val="21"/>
          <w:color w:val="auto"/>
        </w:rPr>
        <w:t>” means the occurrence during the Protection Period (as defined below) of any of the following events or conditions (as applicable):</w:t>
      </w:r>
    </w:p>
    <w:p>
      <w:pPr>
        <w:spacing w:after="0" w:line="176" w:lineRule="exact"/>
        <w:rPr>
          <w:rFonts w:ascii="Times New Roman" w:cs="Times New Roman" w:eastAsia="Times New Roman" w:hAnsi="Times New Roman"/>
          <w:sz w:val="21"/>
          <w:szCs w:val="21"/>
          <w:color w:val="auto"/>
        </w:rPr>
      </w:pPr>
    </w:p>
    <w:p>
      <w:pPr>
        <w:jc w:val="both"/>
        <w:ind w:left="930" w:hanging="420"/>
        <w:spacing w:after="0" w:line="234" w:lineRule="auto"/>
        <w:tabs>
          <w:tab w:leader="none" w:pos="93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adverse change in the Executive’s position or responsibilities (including reporting responsibilities); the assignment to the Executive of any duties or responsibilities which, in the Executive’s reasonable judgment, are inconsistent with the Executive’s status, position or responsibilities; or any removal of the Executive from or failure to reappoint or reelect the Executive to any of such offices or positions, except in connection with the termination of the Executive’s employment for Disability, Cause, death or by the Executive other than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2 of 15</w:t>
      </w:r>
    </w:p>
    <w:p>
      <w:pPr>
        <w:sectPr>
          <w:pgSz w:w="11900" w:h="16838" w:orient="portrait"/>
          <w:cols w:equalWidth="0" w:num="1">
            <w:col w:w="10310"/>
          </w:cols>
          <w:pgMar w:left="1250" w:top="1350" w:right="339" w:bottom="1440" w:gutter="0" w:footer="0" w:header="0"/>
        </w:sectPr>
      </w:pPr>
    </w:p>
    <w:bookmarkStart w:id="92" w:name="page93"/>
    <w:bookmarkEnd w:id="92"/>
    <w:p>
      <w:pPr>
        <w:ind w:left="1860" w:hanging="477"/>
        <w:spacing w:after="0" w:line="256" w:lineRule="auto"/>
        <w:tabs>
          <w:tab w:leader="none" w:pos="186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the Executive’s base salary or any failure to pay the Executive any compensation or benefits to which the Executive is entitled within thirty (30) days of the date due;</w:t>
      </w:r>
    </w:p>
    <w:p>
      <w:pPr>
        <w:spacing w:after="0" w:line="180" w:lineRule="exact"/>
        <w:rPr>
          <w:rFonts w:ascii="Times New Roman" w:cs="Times New Roman" w:eastAsia="Times New Roman" w:hAnsi="Times New Roman"/>
          <w:sz w:val="21"/>
          <w:szCs w:val="21"/>
          <w:color w:val="auto"/>
        </w:rPr>
      </w:pPr>
    </w:p>
    <w:p>
      <w:pPr>
        <w:ind w:left="1860" w:hanging="535"/>
        <w:spacing w:after="0" w:line="256" w:lineRule="auto"/>
        <w:tabs>
          <w:tab w:leader="none" w:pos="186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the Executive to move to any place outside a 50-mile radius from the Executive’s principal place of employment, except for reasonably required travel on the Company’s business;</w:t>
      </w:r>
    </w:p>
    <w:p>
      <w:pPr>
        <w:spacing w:after="0" w:line="180" w:lineRule="exact"/>
        <w:rPr>
          <w:rFonts w:ascii="Times New Roman" w:cs="Times New Roman" w:eastAsia="Times New Roman" w:hAnsi="Times New Roman"/>
          <w:sz w:val="21"/>
          <w:szCs w:val="21"/>
          <w:color w:val="auto"/>
        </w:rPr>
      </w:pPr>
    </w:p>
    <w:p>
      <w:pPr>
        <w:jc w:val="both"/>
        <w:ind w:left="1860" w:hanging="523"/>
        <w:spacing w:after="0" w:line="233" w:lineRule="auto"/>
        <w:tabs>
          <w:tab w:leader="none" w:pos="1847"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Company to either (A) continue in effect (without reduction in benefit level, and/or reward opportunities) any compensation or employee benefit plan in which the Executive was participating, unless a substitute or replacement plan has been implemented which provides substantially identical compensation or benefits (including target value of equity awards) to the Executive or (B) provide the Executive with compensation and benefits, in the aggregate, at least equal (in terms of benefit levels and/or reward opportunities) to those provided for under each other compensation or employee benefit plan, program and practice as in effect immediately prior to (I) the Change in Control (or as in effect following the Change in Control, if greater) or (II) Termination Date for a Pre CIC Termination (as defined below), as applicable;</w:t>
      </w:r>
    </w:p>
    <w:p>
      <w:pPr>
        <w:spacing w:after="0" w:line="197" w:lineRule="exact"/>
        <w:rPr>
          <w:rFonts w:ascii="Times New Roman" w:cs="Times New Roman" w:eastAsia="Times New Roman" w:hAnsi="Times New Roman"/>
          <w:sz w:val="21"/>
          <w:szCs w:val="21"/>
          <w:color w:val="auto"/>
        </w:rPr>
      </w:pPr>
    </w:p>
    <w:p>
      <w:pPr>
        <w:ind w:left="1840" w:hanging="446"/>
        <w:spacing w:after="0"/>
        <w:tabs>
          <w:tab w:leader="none" w:pos="184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breach by the Company of any provision of this Agreement;</w:t>
      </w:r>
    </w:p>
    <w:p>
      <w:pPr>
        <w:spacing w:after="0" w:line="222" w:lineRule="exact"/>
        <w:rPr>
          <w:rFonts w:ascii="Times New Roman" w:cs="Times New Roman" w:eastAsia="Times New Roman" w:hAnsi="Times New Roman"/>
          <w:sz w:val="21"/>
          <w:szCs w:val="21"/>
          <w:color w:val="auto"/>
        </w:rPr>
      </w:pPr>
    </w:p>
    <w:p>
      <w:pPr>
        <w:ind w:left="1860" w:hanging="523"/>
        <w:spacing w:after="0" w:line="256" w:lineRule="auto"/>
        <w:tabs>
          <w:tab w:leader="none" w:pos="186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purported termination of the Executive’s employment for Cause by the Company which does not comply with the terms of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or</w:t>
      </w:r>
    </w:p>
    <w:p>
      <w:pPr>
        <w:spacing w:after="0" w:line="180" w:lineRule="exact"/>
        <w:rPr>
          <w:rFonts w:ascii="Times New Roman" w:cs="Times New Roman" w:eastAsia="Times New Roman" w:hAnsi="Times New Roman"/>
          <w:sz w:val="21"/>
          <w:szCs w:val="21"/>
          <w:color w:val="auto"/>
        </w:rPr>
      </w:pPr>
    </w:p>
    <w:p>
      <w:pPr>
        <w:ind w:left="1860" w:hanging="581"/>
        <w:spacing w:after="0" w:line="256" w:lineRule="auto"/>
        <w:tabs>
          <w:tab w:leader="none" w:pos="186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failure of the Company to obtain an agreement, satisfactory to the Executive, from any successor or assign of the Company to assume and agree to perform this Agreement, as contemplated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hereof.</w:t>
      </w:r>
    </w:p>
    <w:p>
      <w:pPr>
        <w:spacing w:after="0" w:line="16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A Good Reason termination shall not occur unless the Executive gives notice to the Company that an event or condition described in </w:t>
      </w:r>
      <w:r>
        <w:rPr>
          <w:rFonts w:ascii="Times New Roman" w:cs="Times New Roman" w:eastAsia="Times New Roman" w:hAnsi="Times New Roman"/>
          <w:sz w:val="21"/>
          <w:szCs w:val="21"/>
          <w:u w:val="single" w:color="auto"/>
          <w:color w:val="auto"/>
        </w:rPr>
        <w:t>Sections 2(d)(i) through (vii)</w:t>
      </w:r>
      <w:r>
        <w:rPr>
          <w:rFonts w:ascii="Times New Roman" w:cs="Times New Roman" w:eastAsia="Times New Roman" w:hAnsi="Times New Roman"/>
          <w:sz w:val="21"/>
          <w:szCs w:val="21"/>
          <w:color w:val="auto"/>
        </w:rPr>
        <w:t xml:space="preserve"> has occurred within a time period not to exceed ninety (90) days from the date of first occurrence of one of these events or conditions, and the Company shall have at least thirty (30) days from the time of that notice in which to remedy the event or condition described in </w:t>
      </w:r>
      <w:r>
        <w:rPr>
          <w:rFonts w:ascii="Times New Roman" w:cs="Times New Roman" w:eastAsia="Times New Roman" w:hAnsi="Times New Roman"/>
          <w:sz w:val="21"/>
          <w:szCs w:val="21"/>
          <w:u w:val="single" w:color="auto"/>
          <w:color w:val="auto"/>
        </w:rPr>
        <w:t>Sections 2(d)(i) through (vii)</w:t>
      </w:r>
      <w:r>
        <w:rPr>
          <w:rFonts w:ascii="Times New Roman" w:cs="Times New Roman" w:eastAsia="Times New Roman" w:hAnsi="Times New Roman"/>
          <w:sz w:val="21"/>
          <w:szCs w:val="21"/>
          <w:color w:val="auto"/>
        </w:rPr>
        <w:t xml:space="preserve">. The Executive’s right to terminate Executive’s employment pursuant to this </w:t>
      </w:r>
      <w:r>
        <w:rPr>
          <w:rFonts w:ascii="Times New Roman" w:cs="Times New Roman" w:eastAsia="Times New Roman" w:hAnsi="Times New Roman"/>
          <w:sz w:val="21"/>
          <w:szCs w:val="21"/>
          <w:u w:val="single" w:color="auto"/>
          <w:color w:val="auto"/>
        </w:rPr>
        <w:t>Section 2(d)</w:t>
      </w:r>
      <w:r>
        <w:rPr>
          <w:rFonts w:ascii="Times New Roman" w:cs="Times New Roman" w:eastAsia="Times New Roman" w:hAnsi="Times New Roman"/>
          <w:sz w:val="21"/>
          <w:szCs w:val="21"/>
          <w:color w:val="auto"/>
        </w:rPr>
        <w:t xml:space="preserve"> shall not be affected by Executive’s incapacity due to physical or mental illness.</w:t>
      </w:r>
    </w:p>
    <w:p>
      <w:pPr>
        <w:spacing w:after="0" w:line="194" w:lineRule="exact"/>
        <w:rPr>
          <w:sz w:val="20"/>
          <w:szCs w:val="20"/>
          <w:color w:val="auto"/>
        </w:rPr>
      </w:pPr>
    </w:p>
    <w:p>
      <w:pPr>
        <w:jc w:val="both"/>
        <w:ind w:left="1240" w:hanging="310"/>
        <w:spacing w:after="0" w:line="234" w:lineRule="auto"/>
        <w:tabs>
          <w:tab w:leader="none" w:pos="122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Protection Period</w:t>
      </w:r>
      <w:r>
        <w:rPr>
          <w:rFonts w:ascii="Times New Roman" w:cs="Times New Roman" w:eastAsia="Times New Roman" w:hAnsi="Times New Roman"/>
          <w:sz w:val="21"/>
          <w:szCs w:val="21"/>
          <w:color w:val="auto"/>
        </w:rPr>
        <w:t>” means (i) the period commencing on the earlier to occur of (1) a public announcement by the Company of a transaction that results in a Change in Control; and (2) the entry by the Company into a definitive agreement that results in a Change in Control, and ending upon the occurrence of a Change in Control (such period, the “</w:t>
      </w:r>
      <w:r>
        <w:rPr>
          <w:rFonts w:ascii="Times New Roman" w:cs="Times New Roman" w:eastAsia="Times New Roman" w:hAnsi="Times New Roman"/>
          <w:sz w:val="21"/>
          <w:szCs w:val="21"/>
          <w:i w:val="1"/>
          <w:iCs w:val="1"/>
          <w:color w:val="auto"/>
        </w:rPr>
        <w:t>Pre CIC Protection Period</w:t>
      </w:r>
      <w:r>
        <w:rPr>
          <w:rFonts w:ascii="Times New Roman" w:cs="Times New Roman" w:eastAsia="Times New Roman" w:hAnsi="Times New Roman"/>
          <w:sz w:val="21"/>
          <w:szCs w:val="21"/>
          <w:color w:val="auto"/>
        </w:rPr>
        <w:t>” and a termination that occurs during such period is hereinafter referred to as a “</w:t>
      </w:r>
      <w:r>
        <w:rPr>
          <w:rFonts w:ascii="Times New Roman" w:cs="Times New Roman" w:eastAsia="Times New Roman" w:hAnsi="Times New Roman"/>
          <w:sz w:val="21"/>
          <w:szCs w:val="21"/>
          <w:i w:val="1"/>
          <w:iCs w:val="1"/>
          <w:color w:val="auto"/>
        </w:rPr>
        <w:t>Pre CIC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Termination</w:t>
      </w:r>
      <w:r>
        <w:rPr>
          <w:rFonts w:ascii="Times New Roman" w:cs="Times New Roman" w:eastAsia="Times New Roman" w:hAnsi="Times New Roman"/>
          <w:sz w:val="21"/>
          <w:szCs w:val="21"/>
          <w:color w:val="auto"/>
        </w:rPr>
        <w:t>”); and (ii) the twenty-four (24) month period immediately following a Change in Control (a termination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occurs during such period is hereinafter referred to as a “</w:t>
      </w:r>
      <w:r>
        <w:rPr>
          <w:rFonts w:ascii="Times New Roman" w:cs="Times New Roman" w:eastAsia="Times New Roman" w:hAnsi="Times New Roman"/>
          <w:sz w:val="21"/>
          <w:szCs w:val="21"/>
          <w:i w:val="1"/>
          <w:iCs w:val="1"/>
          <w:color w:val="auto"/>
        </w:rPr>
        <w:t>Post CIC Termination</w:t>
      </w:r>
      <w:r>
        <w:rPr>
          <w:rFonts w:ascii="Times New Roman" w:cs="Times New Roman" w:eastAsia="Times New Roman" w:hAnsi="Times New Roman"/>
          <w:sz w:val="21"/>
          <w:szCs w:val="21"/>
          <w:color w:val="auto"/>
        </w:rPr>
        <w:t>”); provided that, if prior to the commencement of the Pre CIC Protection Period, the Board, a committee of the Board, or an officer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3 of 15</w:t>
      </w:r>
    </w:p>
    <w:p>
      <w:pPr>
        <w:sectPr>
          <w:pgSz w:w="11900" w:h="16838" w:orient="portrait"/>
          <w:cols w:equalWidth="0" w:num="1">
            <w:col w:w="11240"/>
          </w:cols>
          <w:pgMar w:left="320" w:top="1350" w:right="339" w:bottom="1440" w:gutter="0" w:footer="0" w:header="0"/>
        </w:sectPr>
      </w:pPr>
    </w:p>
    <w:bookmarkStart w:id="93" w:name="page94"/>
    <w:bookmarkEnd w:id="93"/>
    <w:p>
      <w:pPr>
        <w:jc w:val="both"/>
        <w:ind w:left="928"/>
        <w:spacing w:after="0" w:line="237" w:lineRule="auto"/>
        <w:rPr>
          <w:sz w:val="20"/>
          <w:szCs w:val="20"/>
          <w:color w:val="auto"/>
        </w:rPr>
      </w:pPr>
      <w:r>
        <w:rPr>
          <w:rFonts w:ascii="Times New Roman" w:cs="Times New Roman" w:eastAsia="Times New Roman" w:hAnsi="Times New Roman"/>
          <w:sz w:val="21"/>
          <w:szCs w:val="21"/>
          <w:color w:val="auto"/>
        </w:rPr>
        <w:t>officers) of the Company authorized to take such action (if Board action is not required) approves a restructuring or internal reorganization of the Company that results in the termination of the Executive’s employment during the Pre CIC Protection Period, then the Executive’s termination of employment shall be deemed to be unrelated to the Change in Control, shall be deemed to have occurred outside of the “Protection Period” for purposes of this Agreement and, as a result, the Executive shall not be entitled to the compensation and benefits under this Agreement.</w:t>
      </w:r>
    </w:p>
    <w:p>
      <w:pPr>
        <w:spacing w:after="0" w:line="198" w:lineRule="exact"/>
        <w:rPr>
          <w:sz w:val="20"/>
          <w:szCs w:val="20"/>
          <w:color w:val="auto"/>
        </w:rPr>
      </w:pPr>
    </w:p>
    <w:p>
      <w:pPr>
        <w:ind w:left="308" w:hanging="308"/>
        <w:spacing w:after="0" w:line="243" w:lineRule="auto"/>
        <w:tabs>
          <w:tab w:leader="none" w:pos="30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and Benefits</w:t>
      </w:r>
      <w:r>
        <w:rPr>
          <w:rFonts w:ascii="Times New Roman" w:cs="Times New Roman" w:eastAsia="Times New Roman" w:hAnsi="Times New Roman"/>
          <w:sz w:val="21"/>
          <w:szCs w:val="21"/>
          <w:color w:val="auto"/>
        </w:rPr>
        <w:t>. If, during the Term, the Executive’s employment with the Company is terminated during the Protection Period, the Executive shall be entitled to the following compensation and benefits:</w:t>
      </w:r>
    </w:p>
    <w:p>
      <w:pPr>
        <w:spacing w:after="0" w:line="193" w:lineRule="exact"/>
        <w:rPr>
          <w:rFonts w:ascii="Times New Roman" w:cs="Times New Roman" w:eastAsia="Times New Roman" w:hAnsi="Times New Roman"/>
          <w:sz w:val="21"/>
          <w:szCs w:val="21"/>
          <w:color w:val="auto"/>
        </w:rPr>
      </w:pPr>
    </w:p>
    <w:p>
      <w:pPr>
        <w:jc w:val="both"/>
        <w:ind w:left="928" w:hanging="310"/>
        <w:spacing w:after="0" w:line="243" w:lineRule="auto"/>
        <w:tabs>
          <w:tab w:leader="none" w:pos="916"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Executive’s employment with the Company is terminated during the Protection Period (1) by the Company for Cause or Disability, (2) by reason of the Executive's death, or (3) by the Executive for any reason other than for Good Reason, the Company shall pay the Executive all amounts earned or accrued but not paid as of the Termination Date (as hereinafter defined), including (i) base salary, (ii) reimbursement for reasonable and necessary expenses incurred by the Executive on behalf of the Company prior to the Termination Date, and (iii) vacation pay (collectively, “</w:t>
      </w:r>
      <w:r>
        <w:rPr>
          <w:rFonts w:ascii="Times New Roman" w:cs="Times New Roman" w:eastAsia="Times New Roman" w:hAnsi="Times New Roman"/>
          <w:sz w:val="20"/>
          <w:szCs w:val="20"/>
          <w:i w:val="1"/>
          <w:iCs w:val="1"/>
          <w:color w:val="auto"/>
        </w:rPr>
        <w:t>Accrued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In addition to the foregoing, if the Executive’s employment is terminated during the Protection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by the Company for Disability or by reason of the Executive’s death, the Company shall pay to the Executive or Executive’s beneficiaries (as applicable) an amount equal to the Pro Rata Bonus (as hereinafter defined).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Bonus” </w:t>
      </w:r>
      <w:r>
        <w:rPr>
          <w:rFonts w:ascii="Times New Roman" w:cs="Times New Roman" w:eastAsia="Times New Roman" w:hAnsi="Times New Roman"/>
          <w:sz w:val="20"/>
          <w:szCs w:val="20"/>
          <w:color w:val="auto"/>
        </w:rPr>
        <w:t>is an amount equal to the Bonus Amount (as hereinafter defined) multiplied by a fraction the numerator of which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the number of days in such fiscal year through the Termination Date and the denominator of which is 365. The term “</w:t>
      </w:r>
      <w:r>
        <w:rPr>
          <w:rFonts w:ascii="Times New Roman" w:cs="Times New Roman" w:eastAsia="Times New Roman" w:hAnsi="Times New Roman"/>
          <w:sz w:val="20"/>
          <w:szCs w:val="20"/>
          <w:i w:val="1"/>
          <w:iCs w:val="1"/>
          <w:color w:val="auto"/>
        </w:rPr>
        <w:t>Bonus Amount”</w:t>
      </w:r>
      <w:r>
        <w:rPr>
          <w:rFonts w:ascii="Times New Roman" w:cs="Times New Roman" w:eastAsia="Times New Roman" w:hAnsi="Times New Roman"/>
          <w:sz w:val="20"/>
          <w:szCs w:val="20"/>
          <w:color w:val="auto"/>
        </w:rPr>
        <w:t xml:space="preserve"> shall mean the greater of the (x) Executive's target bonus (or if expressed as a range, the average of the low and high incentive targets of the range for each level) under the Campbell Soup Company Annual Incentive Plan (or any substitute or successor annual incentive plan) for the fiscal year in which the Termination Date occurs and (y) average of the annual bonuses paid or payable to the Executive during the two full fiscal years immediately prior to the Termination Date. Executive’s entitlement to any other compensation or benefits shall be determined in accordance with the Company’s employee benefit plans and other applicable programs and practices then in effect.</w:t>
      </w:r>
    </w:p>
    <w:p>
      <w:pPr>
        <w:spacing w:after="0" w:line="201" w:lineRule="exact"/>
        <w:rPr>
          <w:rFonts w:ascii="Times New Roman" w:cs="Times New Roman" w:eastAsia="Times New Roman" w:hAnsi="Times New Roman"/>
          <w:sz w:val="20"/>
          <w:szCs w:val="20"/>
          <w:color w:val="auto"/>
        </w:rPr>
      </w:pPr>
    </w:p>
    <w:p>
      <w:pPr>
        <w:jc w:val="both"/>
        <w:ind w:left="928" w:hanging="310"/>
        <w:spacing w:after="0" w:line="243" w:lineRule="auto"/>
        <w:tabs>
          <w:tab w:leader="none" w:pos="928"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with the Company is terminated during the Protection Period (1) by the Company without Cause (excluding by reason of Executive’s death or Disability) or (2) by the Executive for Good Reason, the Executive shall be entitled to the following benefits:</w:t>
      </w:r>
    </w:p>
    <w:p>
      <w:pPr>
        <w:spacing w:after="0" w:line="193" w:lineRule="exact"/>
        <w:rPr>
          <w:rFonts w:ascii="Times New Roman" w:cs="Times New Roman" w:eastAsia="Times New Roman" w:hAnsi="Times New Roman"/>
          <w:sz w:val="21"/>
          <w:szCs w:val="21"/>
          <w:color w:val="auto"/>
        </w:rPr>
      </w:pPr>
    </w:p>
    <w:p>
      <w:pPr>
        <w:ind w:left="1548" w:hanging="420"/>
        <w:spacing w:after="0"/>
        <w:tabs>
          <w:tab w:leader="none" w:pos="1548"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Accrued Compensation and the Pro-Rata Bonus (each as defined in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w:t>
      </w:r>
    </w:p>
    <w:p>
      <w:pPr>
        <w:spacing w:after="0" w:line="209" w:lineRule="exact"/>
        <w:rPr>
          <w:rFonts w:ascii="Times New Roman" w:cs="Times New Roman" w:eastAsia="Times New Roman" w:hAnsi="Times New Roman"/>
          <w:sz w:val="21"/>
          <w:szCs w:val="21"/>
          <w:color w:val="auto"/>
        </w:rPr>
      </w:pPr>
    </w:p>
    <w:p>
      <w:pPr>
        <w:ind w:left="1548" w:hanging="477"/>
        <w:spacing w:after="0" w:line="256" w:lineRule="auto"/>
        <w:tabs>
          <w:tab w:leader="none" w:pos="1548" w:val="left"/>
        </w:tabs>
        <w:numPr>
          <w:ilvl w:val="2"/>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severance pay, and in lieu of any other compensation for periods subsequent to the Termination Date, a single lump sum cash payment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248"/>
        <w:spacing w:after="0"/>
        <w:rPr>
          <w:sz w:val="20"/>
          <w:szCs w:val="20"/>
          <w:color w:val="auto"/>
        </w:rPr>
      </w:pPr>
      <w:r>
        <w:rPr>
          <w:rFonts w:ascii="Times New Roman" w:cs="Times New Roman" w:eastAsia="Times New Roman" w:hAnsi="Times New Roman"/>
          <w:sz w:val="13"/>
          <w:szCs w:val="13"/>
          <w:color w:val="auto"/>
        </w:rPr>
        <w:t>Page 4 of 15</w:t>
      </w:r>
    </w:p>
    <w:p>
      <w:pPr>
        <w:sectPr>
          <w:pgSz w:w="11900" w:h="16838" w:orient="portrait"/>
          <w:cols w:equalWidth="0" w:num="1">
            <w:col w:w="10928"/>
          </w:cols>
          <w:pgMar w:left="632" w:top="1350" w:right="339" w:bottom="1440" w:gutter="0" w:footer="0" w:header="0"/>
        </w:sectPr>
      </w:pPr>
    </w:p>
    <w:bookmarkStart w:id="94" w:name="page95"/>
    <w:bookmarkEnd w:id="94"/>
    <w:p>
      <w:pPr>
        <w:ind w:left="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Severance Amount</w:t>
      </w:r>
      <w:r>
        <w:rPr>
          <w:rFonts w:ascii="Times New Roman" w:cs="Times New Roman" w:eastAsia="Times New Roman" w:hAnsi="Times New Roman"/>
          <w:sz w:val="21"/>
          <w:szCs w:val="21"/>
          <w:color w:val="auto"/>
        </w:rPr>
        <w:t>”) equal to the amount set forth in paragraph (1) on Schedule A.</w:t>
      </w:r>
    </w:p>
    <w:p>
      <w:pPr>
        <w:spacing w:after="0" w:line="226" w:lineRule="exact"/>
        <w:rPr>
          <w:sz w:val="20"/>
          <w:szCs w:val="20"/>
          <w:color w:val="auto"/>
        </w:rPr>
      </w:pPr>
    </w:p>
    <w:p>
      <w:pPr>
        <w:jc w:val="both"/>
        <w:ind w:left="740" w:hanging="535"/>
        <w:spacing w:after="0" w:line="242" w:lineRule="auto"/>
        <w:tabs>
          <w:tab w:leader="none" w:pos="7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number of months equal to the number of months set forth in paragraph (2) on Schedule A (the “</w:t>
      </w:r>
      <w:r>
        <w:rPr>
          <w:rFonts w:ascii="Times New Roman" w:cs="Times New Roman" w:eastAsia="Times New Roman" w:hAnsi="Times New Roman"/>
          <w:sz w:val="20"/>
          <w:szCs w:val="20"/>
          <w:i w:val="1"/>
          <w:iCs w:val="1"/>
          <w:color w:val="auto"/>
        </w:rPr>
        <w:t>Continuation Period</w:t>
      </w:r>
      <w:r>
        <w:rPr>
          <w:rFonts w:ascii="Times New Roman" w:cs="Times New Roman" w:eastAsia="Times New Roman" w:hAnsi="Times New Roman"/>
          <w:sz w:val="20"/>
          <w:szCs w:val="20"/>
          <w:color w:val="auto"/>
        </w:rPr>
        <w:t xml:space="preserve">”), the Company shall at its expense continue to provide the Executive and the Executive’s dependents and beneficiaries with life insurance and medical benefits in an amount equal to the greater of: (x) the greater of (as applicable) (1) such benefits provided to the Executive at any time during the 90-day period immediately prior to the Change in Control (or Termination Date for a Pre CIC Termination) or (2) the benefits provided to the Executive at any time following the Change in Control and (y) the benefits provided to other similarly situated executives who continue in the employ of the Company during the Continuation Period. The coverage and benefits (including deductibles and costs) provided in this </w:t>
      </w:r>
      <w:r>
        <w:rPr>
          <w:rFonts w:ascii="Times New Roman" w:cs="Times New Roman" w:eastAsia="Times New Roman" w:hAnsi="Times New Roman"/>
          <w:sz w:val="20"/>
          <w:szCs w:val="20"/>
          <w:u w:val="single" w:color="auto"/>
          <w:color w:val="auto"/>
        </w:rPr>
        <w:t>Section 3(b)(iii)</w:t>
      </w:r>
      <w:r>
        <w:rPr>
          <w:rFonts w:ascii="Times New Roman" w:cs="Times New Roman" w:eastAsia="Times New Roman" w:hAnsi="Times New Roman"/>
          <w:sz w:val="20"/>
          <w:szCs w:val="20"/>
          <w:color w:val="auto"/>
        </w:rPr>
        <w:t xml:space="preserve"> during the Continuation Period shall be no less favorable to the Executive and the Executive’s dependents and beneficiaries, than the most favorable of such coverages and benefits provided during any of the periods referred to in clauses (x) and (y) above. The Company’s obligation hereunder with respect to the foregoing benefits shall be limited to the extent that the Executive obtains any such benefits pursuant to a subsequent employer's benefit plans, in which case the Company may reduce the coverage of any benefits it is required to provide the Executive hereunder as long as the aggregate coverages and benefits of the combined benefit plans is no less favorable to the Executive than the coverages and benefits required to be provided hereunder. This </w:t>
      </w:r>
      <w:r>
        <w:rPr>
          <w:rFonts w:ascii="Times New Roman" w:cs="Times New Roman" w:eastAsia="Times New Roman" w:hAnsi="Times New Roman"/>
          <w:sz w:val="20"/>
          <w:szCs w:val="20"/>
          <w:u w:val="single" w:color="auto"/>
          <w:color w:val="auto"/>
        </w:rPr>
        <w:t>subsection (iii)</w:t>
      </w:r>
      <w:r>
        <w:rPr>
          <w:rFonts w:ascii="Times New Roman" w:cs="Times New Roman" w:eastAsia="Times New Roman" w:hAnsi="Times New Roman"/>
          <w:sz w:val="20"/>
          <w:szCs w:val="20"/>
          <w:color w:val="auto"/>
        </w:rPr>
        <w:t xml:space="preserve"> shall not be interpreted so as to limit any benefits to which the Executive or the Executive’s dependents or beneficiaries may be entitled under any of the Company's employee benefit plans, programs or practices following the Executive's termination of employment, including without limitation, life insurance benefits.</w:t>
      </w:r>
    </w:p>
    <w:p>
      <w:pPr>
        <w:spacing w:after="0" w:line="204" w:lineRule="exact"/>
        <w:rPr>
          <w:sz w:val="20"/>
          <w:szCs w:val="20"/>
          <w:color w:val="auto"/>
        </w:rPr>
      </w:pPr>
    </w:p>
    <w:p>
      <w:pPr>
        <w:jc w:val="both"/>
        <w:ind w:left="740" w:hanging="523"/>
        <w:spacing w:after="0" w:line="232" w:lineRule="auto"/>
        <w:tabs>
          <w:tab w:leader="none" w:pos="727"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single lump sum cash payment equal to the actuarial equivalent of the excess of (A) the Supplemental Retirement Benefit (determined as a straight life annuity commencing at age 65) over (B) the lump sum actuarial equivalent of the aggregate retirement benefit the Executive has actually accrued under such retirement plans as of the Termination Date (determined as a straight life annuity commencing at age 65). For purposes of this </w:t>
      </w:r>
      <w:r>
        <w:rPr>
          <w:rFonts w:ascii="Times New Roman" w:cs="Times New Roman" w:eastAsia="Times New Roman" w:hAnsi="Times New Roman"/>
          <w:sz w:val="21"/>
          <w:szCs w:val="21"/>
          <w:u w:val="single" w:color="auto"/>
          <w:color w:val="auto"/>
        </w:rPr>
        <w:t>subsection (iv)</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i w:val="1"/>
          <w:iCs w:val="1"/>
          <w:color w:val="auto"/>
        </w:rPr>
        <w:t>Supplemental Retirement Benefit</w:t>
      </w:r>
      <w:r>
        <w:rPr>
          <w:rFonts w:ascii="Times New Roman" w:cs="Times New Roman" w:eastAsia="Times New Roman" w:hAnsi="Times New Roman"/>
          <w:sz w:val="21"/>
          <w:szCs w:val="21"/>
          <w:color w:val="auto"/>
        </w:rPr>
        <w:t>” shall mean the lump sum actuarial equivalent of the aggregate retirement benefit the Executive would have been entitled to receive under the Company's supplemental and other retirement plans (as applicable) including, but not limited to, the Campbell Soup Company 401(k) Retirement Plan and the Campbell Soup Company Supplemental Retirement Plan (as applicable) determined as if (w) the Executive remained employed by the Company and accumulated additional months of credited service as set forth in paragraph (3) on Schedule A (but in no event shall the Executive be deemed to have accumulated additional credited service after attaining age 65), (x) Executive’s annual compensation during such period had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5 of 15</w:t>
      </w:r>
    </w:p>
    <w:p>
      <w:pPr>
        <w:sectPr>
          <w:pgSz w:w="11900" w:h="16838" w:orient="portrait"/>
          <w:cols w:equalWidth="0" w:num="1">
            <w:col w:w="10120"/>
          </w:cols>
          <w:pgMar w:left="1440" w:top="1346" w:right="339" w:bottom="1440" w:gutter="0" w:footer="0" w:header="0"/>
        </w:sectPr>
      </w:pPr>
    </w:p>
    <w:bookmarkStart w:id="95" w:name="page96"/>
    <w:bookmarkEnd w:id="95"/>
    <w:p>
      <w:pPr>
        <w:jc w:val="both"/>
        <w:ind w:left="930"/>
        <w:spacing w:after="0" w:line="244" w:lineRule="auto"/>
        <w:rPr>
          <w:sz w:val="20"/>
          <w:szCs w:val="20"/>
          <w:color w:val="auto"/>
        </w:rPr>
      </w:pPr>
      <w:r>
        <w:rPr>
          <w:rFonts w:ascii="Times New Roman" w:cs="Times New Roman" w:eastAsia="Times New Roman" w:hAnsi="Times New Roman"/>
          <w:sz w:val="20"/>
          <w:szCs w:val="20"/>
          <w:color w:val="auto"/>
        </w:rPr>
        <w:t xml:space="preserve">equal to the sum of (A) the greater of (as applicable) (1) the Executive’s annual base salary in effect at any time during the 90-day period immediately prior to the Change in Control (or the delivery of a Notice of Termination in the event of a Pre CIC Termination) and (2) the Executive’s annual base salary in effect at any time following the Change in Control and (B) the Bonus Amount, (y) the Company and/or the Subsidiary or division made employer contributions to each defined contribution plan (including the Campbell Soup Company Supplemental Retirement Plan) in which the Executive was a participant at the Termination Date (in an amount equal to the amount of such contribution for the applicable plan year immediately preceding the Termination Date) and (z) the Executive had been fully (100%) vested in the Executive’s benefit under each retirement plan in which the Executive was a participant. For purposes of this </w:t>
      </w:r>
      <w:r>
        <w:rPr>
          <w:rFonts w:ascii="Times New Roman" w:cs="Times New Roman" w:eastAsia="Times New Roman" w:hAnsi="Times New Roman"/>
          <w:sz w:val="20"/>
          <w:szCs w:val="20"/>
          <w:u w:val="single" w:color="auto"/>
          <w:color w:val="auto"/>
        </w:rPr>
        <w:t>subsection (iv)</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i w:val="1"/>
          <w:iCs w:val="1"/>
          <w:color w:val="auto"/>
        </w:rPr>
        <w:t>actuarial equivalent</w:t>
      </w:r>
      <w:r>
        <w:rPr>
          <w:rFonts w:ascii="Times New Roman" w:cs="Times New Roman" w:eastAsia="Times New Roman" w:hAnsi="Times New Roman"/>
          <w:sz w:val="20"/>
          <w:szCs w:val="20"/>
          <w:color w:val="auto"/>
        </w:rPr>
        <w:t>” shall be determined in accordance with the actuarial assumptions used for the calculation of benefits under the Company Retirement and Pension Plan as applied in accordance with such plan's past practices.</w:t>
      </w:r>
    </w:p>
    <w:p>
      <w:pPr>
        <w:spacing w:after="0" w:line="197" w:lineRule="exact"/>
        <w:rPr>
          <w:sz w:val="20"/>
          <w:szCs w:val="20"/>
          <w:color w:val="auto"/>
        </w:rPr>
      </w:pPr>
    </w:p>
    <w:p>
      <w:pPr>
        <w:jc w:val="both"/>
        <w:ind w:left="930" w:hanging="466"/>
        <w:spacing w:after="0" w:line="237" w:lineRule="auto"/>
        <w:tabs>
          <w:tab w:leader="none" w:pos="91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a Change in Control, the Company shall repurchase one-hundred percent (100%) of the Executive’s unrestricted shares of Company common stock received in connection with the settlement or exercise of Equity Awards (as defined below) for Fair Market Value (as defined in the Equity Plan) of such shares on (A) the date of the Change in Control if the termination is a Pre CIC Termination or (B) the date of termination if the termination is a Post CIC Termination. The repurchase price shall be payable in cash or cash equivalent.</w:t>
      </w:r>
    </w:p>
    <w:p>
      <w:pPr>
        <w:spacing w:after="0" w:line="198" w:lineRule="exact"/>
        <w:rPr>
          <w:sz w:val="20"/>
          <w:szCs w:val="20"/>
          <w:color w:val="auto"/>
        </w:rPr>
      </w:pPr>
    </w:p>
    <w:p>
      <w:pPr>
        <w:jc w:val="both"/>
        <w:ind w:left="930" w:hanging="523"/>
        <w:spacing w:after="0" w:line="237" w:lineRule="auto"/>
        <w:tabs>
          <w:tab w:leader="none" w:pos="93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cash amounts provided for in this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shall be paid (i) within thirty (30) days after the Executive’s Termination Date if the termination is a Post CIC Termination; or (ii) within thirty (30) days following a Change in Control if the termination is a Pre CIC Termination.</w:t>
      </w:r>
    </w:p>
    <w:p>
      <w:pPr>
        <w:spacing w:after="0" w:line="198" w:lineRule="exact"/>
        <w:rPr>
          <w:rFonts w:ascii="Times New Roman" w:cs="Times New Roman" w:eastAsia="Times New Roman" w:hAnsi="Times New Roman"/>
          <w:sz w:val="21"/>
          <w:szCs w:val="21"/>
          <w:color w:val="auto"/>
        </w:rPr>
      </w:pPr>
    </w:p>
    <w:p>
      <w:pPr>
        <w:jc w:val="both"/>
        <w:ind w:left="310" w:hanging="310"/>
        <w:spacing w:after="0" w:line="243" w:lineRule="auto"/>
        <w:tabs>
          <w:tab w:leader="none" w:pos="29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except as provided in </w:t>
      </w:r>
      <w:r>
        <w:rPr>
          <w:rFonts w:ascii="Times New Roman" w:cs="Times New Roman" w:eastAsia="Times New Roman" w:hAnsi="Times New Roman"/>
          <w:sz w:val="21"/>
          <w:szCs w:val="21"/>
          <w:u w:val="single" w:color="auto"/>
          <w:color w:val="auto"/>
        </w:rPr>
        <w:t>Section 3(b)(iii)</w:t>
      </w:r>
      <w:r>
        <w:rPr>
          <w:rFonts w:ascii="Times New Roman" w:cs="Times New Roman" w:eastAsia="Times New Roman" w:hAnsi="Times New Roman"/>
          <w:sz w:val="21"/>
          <w:szCs w:val="21"/>
          <w:color w:val="auto"/>
        </w:rPr>
        <w:t>.</w:t>
      </w:r>
    </w:p>
    <w:p>
      <w:pPr>
        <w:spacing w:after="0" w:line="193" w:lineRule="exact"/>
        <w:rPr>
          <w:rFonts w:ascii="Times New Roman" w:cs="Times New Roman" w:eastAsia="Times New Roman" w:hAnsi="Times New Roman"/>
          <w:sz w:val="21"/>
          <w:szCs w:val="21"/>
          <w:color w:val="auto"/>
        </w:rPr>
      </w:pPr>
    </w:p>
    <w:p>
      <w:pPr>
        <w:jc w:val="both"/>
        <w:ind w:left="310" w:hanging="310"/>
        <w:spacing w:after="0" w:line="233" w:lineRule="auto"/>
        <w:tabs>
          <w:tab w:leader="none" w:pos="31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severance pay and benefits provided for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shall be in lieu of any other severance pay to which the Executive may be entitled under any Company severance plan, program or arrangement. If in connection with a Pre CIC Termination (during the Protection Period) the Executive receives any severance payments or benefits under any Company severance plan, program or arrangement (including the Campbell Soup Company Executive Severance Pay Plan or the Campbell Soup Company Severance Pay Plan for Salaried Employees, as applicable), such payments or benefits, and the Executive’s participation in such plan, program or arrangement shall cease upon the occurrence of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6 of 15</w:t>
      </w:r>
    </w:p>
    <w:p>
      <w:pPr>
        <w:sectPr>
          <w:pgSz w:w="11900" w:h="16838" w:orient="portrait"/>
          <w:cols w:equalWidth="0" w:num="1">
            <w:col w:w="10310"/>
          </w:cols>
          <w:pgMar w:left="1250" w:top="1350" w:right="339" w:bottom="1440" w:gutter="0" w:footer="0" w:header="0"/>
        </w:sectPr>
      </w:pPr>
    </w:p>
    <w:bookmarkStart w:id="96" w:name="page97"/>
    <w:bookmarkEnd w:id="96"/>
    <w:p>
      <w:pPr>
        <w:jc w:val="both"/>
        <w:ind w:left="928"/>
        <w:spacing w:after="0" w:line="233" w:lineRule="auto"/>
        <w:rPr>
          <w:sz w:val="20"/>
          <w:szCs w:val="20"/>
          <w:color w:val="auto"/>
        </w:rPr>
      </w:pPr>
      <w:r>
        <w:rPr>
          <w:rFonts w:ascii="Times New Roman" w:cs="Times New Roman" w:eastAsia="Times New Roman" w:hAnsi="Times New Roman"/>
          <w:sz w:val="21"/>
          <w:szCs w:val="21"/>
          <w:color w:val="auto"/>
        </w:rPr>
        <w:t xml:space="preserve">in Control and any further severance payments or benefits shall be provided in accordance with this Agreement; provided, however, (1) that any amounts payable under </w:t>
      </w:r>
      <w:r>
        <w:rPr>
          <w:rFonts w:ascii="Times New Roman" w:cs="Times New Roman" w:eastAsia="Times New Roman" w:hAnsi="Times New Roman"/>
          <w:sz w:val="21"/>
          <w:szCs w:val="21"/>
          <w:u w:val="single" w:color="auto"/>
          <w:color w:val="auto"/>
        </w:rPr>
        <w:t>Section 3(b)(ii)</w:t>
      </w:r>
      <w:r>
        <w:rPr>
          <w:rFonts w:ascii="Times New Roman" w:cs="Times New Roman" w:eastAsia="Times New Roman" w:hAnsi="Times New Roman"/>
          <w:sz w:val="21"/>
          <w:szCs w:val="21"/>
          <w:color w:val="auto"/>
        </w:rPr>
        <w:t xml:space="preserve"> of this Agreement shall be reduced (on a dollar for dollar basis) by the amount of cash severance that the Executive has received prior to the Change in Control under any other Company severance plan, program or arrangement; and (2) the Continuation Period shall be reduced (on a month for month basis) by the number of months during which the Executive received life insurance and medical benefits, as applicable, prior to the Change in Control under any other Company severance plan, program or arrangement.</w:t>
      </w:r>
    </w:p>
    <w:p>
      <w:pPr>
        <w:spacing w:after="0" w:line="200" w:lineRule="exact"/>
        <w:rPr>
          <w:sz w:val="20"/>
          <w:szCs w:val="20"/>
          <w:color w:val="auto"/>
        </w:rPr>
      </w:pPr>
    </w:p>
    <w:p>
      <w:pPr>
        <w:ind w:left="308" w:hanging="308"/>
        <w:spacing w:after="0"/>
        <w:tabs>
          <w:tab w:leader="none" w:pos="30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Equity Awards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928" w:hanging="310"/>
        <w:spacing w:after="0" w:line="249" w:lineRule="auto"/>
        <w:tabs>
          <w:tab w:leader="none" w:pos="916"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and following a Change in Control (including upon the occurrence of a Post CIC Termination, if applicable), the Executive’s equity incentive awards granted under the Equity Plan or the Campbell Soup Company 2015 Long-Term Incentive Plan (the “</w:t>
      </w:r>
      <w:r>
        <w:rPr>
          <w:rFonts w:ascii="Times New Roman" w:cs="Times New Roman" w:eastAsia="Times New Roman" w:hAnsi="Times New Roman"/>
          <w:sz w:val="20"/>
          <w:szCs w:val="20"/>
          <w:i w:val="1"/>
          <w:iCs w:val="1"/>
          <w:color w:val="auto"/>
        </w:rPr>
        <w:t>Equity Awards</w:t>
      </w:r>
      <w:r>
        <w:rPr>
          <w:rFonts w:ascii="Times New Roman" w:cs="Times New Roman" w:eastAsia="Times New Roman" w:hAnsi="Times New Roman"/>
          <w:sz w:val="20"/>
          <w:szCs w:val="20"/>
          <w:color w:val="auto"/>
        </w:rPr>
        <w:t>”) shall be governed by the terms of Section 12.3 of the Equity Plan as in effect from time to time (subject to the amendment limitations set forth in Section 12.4 of the Equity Plan). For the avoidance of doubt, the terms of Section 12.3 of the Equity Plan shall apply to Equity Awards granted under the Campbell Soup Company 2015 Long-Term Incentive Plan as if such Equity Awards had been granted under the Equity Plan.</w:t>
      </w:r>
    </w:p>
    <w:p>
      <w:pPr>
        <w:spacing w:after="0" w:line="190" w:lineRule="exact"/>
        <w:rPr>
          <w:rFonts w:ascii="Times New Roman" w:cs="Times New Roman" w:eastAsia="Times New Roman" w:hAnsi="Times New Roman"/>
          <w:sz w:val="20"/>
          <w:szCs w:val="20"/>
          <w:color w:val="auto"/>
        </w:rPr>
      </w:pPr>
    </w:p>
    <w:p>
      <w:pPr>
        <w:jc w:val="both"/>
        <w:ind w:left="928" w:hanging="310"/>
        <w:spacing w:after="0" w:line="243" w:lineRule="auto"/>
        <w:tabs>
          <w:tab w:leader="none" w:pos="928"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of a Pre CIC Termination (1) by the Company without Cause (excluding by reason of Executive’s death or Disability) or (2) by the Executive for Good Reason, the provisions set forth on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shall apply to the Equity Awards.</w:t>
      </w:r>
    </w:p>
    <w:p>
      <w:pPr>
        <w:spacing w:after="0" w:line="180" w:lineRule="exact"/>
        <w:rPr>
          <w:rFonts w:ascii="Times New Roman" w:cs="Times New Roman" w:eastAsia="Times New Roman" w:hAnsi="Times New Roman"/>
          <w:sz w:val="21"/>
          <w:szCs w:val="21"/>
          <w:color w:val="auto"/>
        </w:rPr>
      </w:pPr>
    </w:p>
    <w:p>
      <w:pPr>
        <w:jc w:val="both"/>
        <w:ind w:left="928" w:hanging="310"/>
        <w:spacing w:after="0" w:line="243" w:lineRule="auto"/>
        <w:tabs>
          <w:tab w:leader="none" w:pos="91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shall not prohibit the Company from making a payment to the Executive in respect of the Equity Award on an earlier date, upon or within thirty days following a Change in Control, to the extent such payment would not result in additional taxes under Section 409A.</w:t>
      </w:r>
    </w:p>
    <w:p>
      <w:pPr>
        <w:spacing w:after="0" w:line="193" w:lineRule="exact"/>
        <w:rPr>
          <w:rFonts w:ascii="Times New Roman" w:cs="Times New Roman" w:eastAsia="Times New Roman" w:hAnsi="Times New Roman"/>
          <w:sz w:val="21"/>
          <w:szCs w:val="21"/>
          <w:color w:val="auto"/>
        </w:rPr>
      </w:pPr>
    </w:p>
    <w:p>
      <w:pPr>
        <w:jc w:val="both"/>
        <w:ind w:left="308" w:hanging="308"/>
        <w:spacing w:after="0" w:line="235" w:lineRule="auto"/>
        <w:tabs>
          <w:tab w:leader="none" w:pos="30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Any purported termination of the Executive's employment by the Company or by the Executive (other than a termination due to the Executive’s death) shall be communicated by a written Notice of Termination to the other party in accordance with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For purposes of this Agreement, a “Notice of Termination” shall mean a notice which indicates the specific termination provision in this Agreement relied upon and shall set forth in reasonable detail the facts and circumstances that provide a basis for a termination of the Executive’s employment under the provision so indicated. For purposes of this Agreement, no such purported termination (other than a termination due to the Executive’s death) shall be effective without such Notice of Termination.</w:t>
      </w:r>
    </w:p>
    <w:p>
      <w:pPr>
        <w:spacing w:after="0" w:line="186" w:lineRule="exact"/>
        <w:rPr>
          <w:rFonts w:ascii="Times New Roman" w:cs="Times New Roman" w:eastAsia="Times New Roman" w:hAnsi="Times New Roman"/>
          <w:sz w:val="21"/>
          <w:szCs w:val="21"/>
          <w:color w:val="auto"/>
        </w:rPr>
      </w:pPr>
    </w:p>
    <w:p>
      <w:pPr>
        <w:ind w:left="308" w:hanging="308"/>
        <w:spacing w:after="0" w:line="256" w:lineRule="auto"/>
        <w:tabs>
          <w:tab w:leader="none" w:pos="30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For purposes of this Agreement, “Termination Date” means, in the case of the Executive’s death, the date of the Executive’s death, and in all other cases, the date specified in the Notice of Termination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7 of 15</w:t>
      </w:r>
    </w:p>
    <w:p>
      <w:pPr>
        <w:sectPr>
          <w:pgSz w:w="11900" w:h="16838" w:orient="portrait"/>
          <w:cols w:equalWidth="0" w:num="1">
            <w:col w:w="10928"/>
          </w:cols>
          <w:pgMar w:left="632" w:top="1351" w:right="339" w:bottom="1440" w:gutter="0" w:footer="0" w:header="0"/>
        </w:sectPr>
      </w:pPr>
    </w:p>
    <w:bookmarkStart w:id="97" w:name="page98"/>
    <w:bookmarkEnd w:id="97"/>
    <w:p>
      <w:pPr>
        <w:jc w:val="both"/>
        <w:ind w:left="928" w:hanging="310"/>
        <w:spacing w:after="0" w:line="239" w:lineRule="auto"/>
        <w:tabs>
          <w:tab w:leader="none" w:pos="91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Executive’s employment is terminated by the Company for Cause or due to Disability, the date specified in the Notice of Termination shall be at least thirty (30) days from the date the Notice of Termination is given to the Executive,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in the case of Disability the Executive shall not have returned to the full-time performance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Executive’s duties during such period; and</w:t>
      </w:r>
    </w:p>
    <w:p>
      <w:pPr>
        <w:spacing w:after="0" w:line="197" w:lineRule="exact"/>
        <w:rPr>
          <w:rFonts w:ascii="Times New Roman" w:cs="Times New Roman" w:eastAsia="Times New Roman" w:hAnsi="Times New Roman"/>
          <w:sz w:val="21"/>
          <w:szCs w:val="21"/>
          <w:color w:val="auto"/>
        </w:rPr>
      </w:pPr>
    </w:p>
    <w:p>
      <w:pPr>
        <w:ind w:left="928" w:hanging="310"/>
        <w:spacing w:after="0" w:line="256" w:lineRule="auto"/>
        <w:tabs>
          <w:tab w:leader="none" w:pos="928"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resigns for Good Reason, the date specified in the Notice of Termination shall not be more than sixty (60) days from the date the Notice of Termination is given to the Company.</w:t>
      </w:r>
    </w:p>
    <w:p>
      <w:pPr>
        <w:spacing w:after="0" w:line="167" w:lineRule="exact"/>
        <w:rPr>
          <w:rFonts w:ascii="Times New Roman" w:cs="Times New Roman" w:eastAsia="Times New Roman" w:hAnsi="Times New Roman"/>
          <w:sz w:val="21"/>
          <w:szCs w:val="21"/>
          <w:color w:val="auto"/>
        </w:rPr>
      </w:pPr>
    </w:p>
    <w:p>
      <w:pPr>
        <w:jc w:val="both"/>
        <w:ind w:left="928" w:hanging="310"/>
        <w:spacing w:after="0" w:line="245" w:lineRule="auto"/>
        <w:tabs>
          <w:tab w:leader="none" w:pos="916"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in this Agreement to the contrary, the termination of the Executive's employment in connection with a Change in Control that results in the sale, divestiture or other disposition of a division, group or business unit of the Company (or part thereof) at which the Executive was employed at the time of such sale, divestiture or other disposition, shall not be deemed to be a termination of employment of the Executive for purposes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 the Executive is offered employment by the purchaser or acquiror of such division, group or business unit of the Company on terms (including, without limitation, those relating to position, compensation, employee benefits and principal place of employment) that are substantially similar to those provided by the Company to the Executive immediately prior to such sale, divestiture or other disposition and (ii) the Company obtains an agreement from such purchaser or acquiror as contemplated in </w:t>
      </w:r>
      <w:r>
        <w:rPr>
          <w:rFonts w:ascii="Times New Roman" w:cs="Times New Roman" w:eastAsia="Times New Roman" w:hAnsi="Times New Roman"/>
          <w:sz w:val="20"/>
          <w:szCs w:val="20"/>
          <w:u w:val="single" w:color="auto"/>
          <w:color w:val="auto"/>
        </w:rPr>
        <w:t>Section 7(c)</w:t>
      </w:r>
      <w:r>
        <w:rPr>
          <w:rFonts w:ascii="Times New Roman" w:cs="Times New Roman" w:eastAsia="Times New Roman" w:hAnsi="Times New Roman"/>
          <w:sz w:val="20"/>
          <w:szCs w:val="20"/>
          <w:color w:val="auto"/>
        </w:rPr>
        <w:t xml:space="preserve">. If the requirements of this </w:t>
      </w:r>
      <w:r>
        <w:rPr>
          <w:rFonts w:ascii="Times New Roman" w:cs="Times New Roman" w:eastAsia="Times New Roman" w:hAnsi="Times New Roman"/>
          <w:sz w:val="20"/>
          <w:szCs w:val="20"/>
          <w:u w:val="single" w:color="auto"/>
          <w:color w:val="auto"/>
        </w:rPr>
        <w:t>Section 6(c)(i)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(c)(ii)</w:t>
      </w:r>
      <w:r>
        <w:rPr>
          <w:rFonts w:ascii="Times New Roman" w:cs="Times New Roman" w:eastAsia="Times New Roman" w:hAnsi="Times New Roman"/>
          <w:sz w:val="20"/>
          <w:szCs w:val="20"/>
          <w:color w:val="auto"/>
        </w:rPr>
        <w:t xml:space="preserve"> are satisfied, the Executive shall not be entitled to any benefits from the Company under this Agreement as a result of such sale, divestiture, or other disposition, or as a result of any subsequent termination of employment.</w:t>
      </w:r>
    </w:p>
    <w:p>
      <w:pPr>
        <w:spacing w:after="0" w:line="186"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Binding Agreement</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928" w:hanging="310"/>
        <w:spacing w:after="0" w:line="236" w:lineRule="auto"/>
        <w:tabs>
          <w:tab w:leader="none" w:pos="91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shall be binding upon and shall inure to the benefit of the Company, its successors and assigns and the Company shall require any successor or assign to expressly assume and agree to perform this Agreement in the same manner and to the same extent that the Company would be required to perform it if no such succession or assignment had taken place. In such event, the term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xml:space="preserve"> as used herein shall include such successors and assigns. The term “</w:t>
      </w:r>
      <w:r>
        <w:rPr>
          <w:rFonts w:ascii="Times New Roman" w:cs="Times New Roman" w:eastAsia="Times New Roman" w:hAnsi="Times New Roman"/>
          <w:sz w:val="21"/>
          <w:szCs w:val="21"/>
          <w:i w:val="1"/>
          <w:iCs w:val="1"/>
          <w:color w:val="auto"/>
        </w:rPr>
        <w:t>successors and assigns”</w:t>
      </w:r>
      <w:r>
        <w:rPr>
          <w:rFonts w:ascii="Times New Roman" w:cs="Times New Roman" w:eastAsia="Times New Roman" w:hAnsi="Times New Roman"/>
          <w:sz w:val="21"/>
          <w:szCs w:val="21"/>
          <w:color w:val="auto"/>
        </w:rPr>
        <w:t xml:space="preserve"> as used herein shall mean a corporation or other entity acquiring all or substantially all the assets and business of the Company (including this Agreement) whether by operation of law or otherwise.</w:t>
      </w:r>
    </w:p>
    <w:p>
      <w:pPr>
        <w:spacing w:after="0" w:line="197" w:lineRule="exact"/>
        <w:rPr>
          <w:rFonts w:ascii="Times New Roman" w:cs="Times New Roman" w:eastAsia="Times New Roman" w:hAnsi="Times New Roman"/>
          <w:sz w:val="21"/>
          <w:szCs w:val="21"/>
          <w:color w:val="auto"/>
        </w:rPr>
      </w:pPr>
    </w:p>
    <w:p>
      <w:pPr>
        <w:jc w:val="both"/>
        <w:ind w:left="928" w:hanging="310"/>
        <w:spacing w:after="0" w:line="243" w:lineRule="auto"/>
        <w:tabs>
          <w:tab w:leader="none" w:pos="92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this Agreement nor any right or interest hereunder shall be assignable or transferable by the Executive, his beneficiaries or legal representatives, except by will or by the laws of descent and distribution. This Agreement shall inure to the benefit of and be enforceable by the Executive's legal personal representative.</w:t>
      </w:r>
    </w:p>
    <w:p>
      <w:pPr>
        <w:spacing w:after="0" w:line="180" w:lineRule="exact"/>
        <w:rPr>
          <w:rFonts w:ascii="Times New Roman" w:cs="Times New Roman" w:eastAsia="Times New Roman" w:hAnsi="Times New Roman"/>
          <w:sz w:val="21"/>
          <w:szCs w:val="21"/>
          <w:color w:val="auto"/>
        </w:rPr>
      </w:pPr>
    </w:p>
    <w:p>
      <w:pPr>
        <w:jc w:val="both"/>
        <w:ind w:left="928" w:hanging="310"/>
        <w:spacing w:after="0" w:line="243" w:lineRule="auto"/>
        <w:tabs>
          <w:tab w:leader="none" w:pos="91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one or more divisions, groups and business units of the Company (or parts thereof) that the Executive is primarily associated with (or part thereof) are sold, divested, or otherwise disposed of by the Company in connection 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8 of 15</w:t>
      </w:r>
    </w:p>
    <w:p>
      <w:pPr>
        <w:sectPr>
          <w:pgSz w:w="11900" w:h="16838" w:orient="portrait"/>
          <w:cols w:equalWidth="0" w:num="1">
            <w:col w:w="10928"/>
          </w:cols>
          <w:pgMar w:left="632" w:top="1351" w:right="339" w:bottom="1440" w:gutter="0" w:footer="0" w:header="0"/>
        </w:sectPr>
      </w:pPr>
    </w:p>
    <w:bookmarkStart w:id="98" w:name="page99"/>
    <w:bookmarkEnd w:id="98"/>
    <w:p>
      <w:pPr>
        <w:jc w:val="both"/>
        <w:ind w:left="928"/>
        <w:spacing w:after="0" w:line="237" w:lineRule="auto"/>
        <w:rPr>
          <w:sz w:val="20"/>
          <w:szCs w:val="20"/>
          <w:color w:val="auto"/>
        </w:rPr>
      </w:pPr>
      <w:r>
        <w:rPr>
          <w:rFonts w:ascii="Times New Roman" w:cs="Times New Roman" w:eastAsia="Times New Roman" w:hAnsi="Times New Roman"/>
          <w:sz w:val="21"/>
          <w:szCs w:val="21"/>
          <w:color w:val="auto"/>
        </w:rPr>
        <w:t>subsequent to a Change in Control, the Company shall require such purchaser or acquiror, as a condition precedent to such purchase or acquisition, to assume, and agree to perform the Company's obligations under this Agreement, in the same manner, and to the same extent that the Company would be required to perform if no such acquisition or purchase had taken place. In such circumstances, the purchaser or acquiror shall be solely responsible for providing any payments or benefits payable under this Agreement to the Executive.</w:t>
      </w:r>
    </w:p>
    <w:p>
      <w:pPr>
        <w:spacing w:after="0" w:line="198" w:lineRule="exact"/>
        <w:rPr>
          <w:sz w:val="20"/>
          <w:szCs w:val="20"/>
          <w:color w:val="auto"/>
        </w:rPr>
      </w:pPr>
    </w:p>
    <w:p>
      <w:pPr>
        <w:jc w:val="both"/>
        <w:ind w:left="308" w:hanging="308"/>
        <w:spacing w:after="0" w:line="233" w:lineRule="auto"/>
        <w:tabs>
          <w:tab w:leader="none" w:pos="308"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Expense</w:t>
      </w:r>
      <w:r>
        <w:rPr>
          <w:rFonts w:ascii="Times New Roman" w:cs="Times New Roman" w:eastAsia="Times New Roman" w:hAnsi="Times New Roman"/>
          <w:sz w:val="21"/>
          <w:szCs w:val="21"/>
          <w:color w:val="auto"/>
        </w:rPr>
        <w:t xml:space="preserve">. The Company shall pay all reasonable legal fees and related expenses (including the costs of experts, evidence and counsel) incurred by the Executive as they become due as a result of (a) the Executive's termination of employment (including all such fees and expenses, if any, incurred in contesting or disputing any such termination of employment), (b) the Executive seeking to obtain or enforce any right or benefit provided by this Agreement or by any other plan or arrangement maintained by the Company under which the Executive is or may be entitled to receive benefits, or (c) the Executive’s hearing before the Board as contemplated in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of this Agreement; provided, however, that the circumstances set forth in clauses (a) and (b) occurred during or after the Protection Period.</w:t>
      </w:r>
    </w:p>
    <w:p>
      <w:pPr>
        <w:spacing w:after="0" w:line="200" w:lineRule="exact"/>
        <w:rPr>
          <w:rFonts w:ascii="Times New Roman" w:cs="Times New Roman" w:eastAsia="Times New Roman" w:hAnsi="Times New Roman"/>
          <w:sz w:val="21"/>
          <w:szCs w:val="21"/>
          <w:color w:val="auto"/>
        </w:rPr>
      </w:pPr>
    </w:p>
    <w:p>
      <w:pPr>
        <w:ind w:left="308" w:hanging="308"/>
        <w:spacing w:after="0"/>
        <w:tabs>
          <w:tab w:leader="none" w:pos="30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Order of Payment</w:t>
      </w:r>
      <w:r>
        <w:rPr>
          <w:rFonts w:ascii="Times New Roman" w:cs="Times New Roman" w:eastAsia="Times New Roman" w:hAnsi="Times New Roman"/>
          <w:sz w:val="20"/>
          <w:szCs w:val="20"/>
          <w:color w:val="auto"/>
        </w:rPr>
        <w:t>. In the event that the severance and other benefits provided for in this Agreement or otherwise payable to you</w:t>
      </w:r>
    </w:p>
    <w:p>
      <w:pPr>
        <w:spacing w:after="0" w:line="23" w:lineRule="exact"/>
        <w:rPr>
          <w:rFonts w:ascii="Times New Roman" w:cs="Times New Roman" w:eastAsia="Times New Roman" w:hAnsi="Times New Roman"/>
          <w:sz w:val="20"/>
          <w:szCs w:val="20"/>
          <w:color w:val="auto"/>
        </w:rPr>
      </w:pPr>
    </w:p>
    <w:p>
      <w:pPr>
        <w:jc w:val="both"/>
        <w:ind w:left="308"/>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constitute “parachute payments” within the meaning of Section 280G of the Internal Revenue Code of 1986, as amended (the “</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and (b) but for this provision, would be subject to the excise tax imposed by Section 4999 of the Code, then Executive’s severance, vesting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under this Agreement notwithstanding that all or some portion of such severance benefits may be taxable under Section 4999 of the Code. Any reduction shall be made in the following manner: first a pro rata reduction of (i) cash payments subject to Section 409A and the regulations and authoritative guidance promulgated thereunder to the extent applicable (collectively, “</w:t>
      </w:r>
      <w:r>
        <w:rPr>
          <w:rFonts w:ascii="Times New Roman" w:cs="Times New Roman" w:eastAsia="Times New Roman" w:hAnsi="Times New Roman"/>
          <w:sz w:val="20"/>
          <w:szCs w:val="20"/>
          <w:i w:val="1"/>
          <w:iCs w:val="1"/>
          <w:color w:val="auto"/>
        </w:rPr>
        <w:t>Section 409A</w:t>
      </w:r>
      <w:r>
        <w:rPr>
          <w:rFonts w:ascii="Times New Roman" w:cs="Times New Roman" w:eastAsia="Times New Roman" w:hAnsi="Times New Roman"/>
          <w:sz w:val="20"/>
          <w:szCs w:val="20"/>
          <w:color w:val="auto"/>
        </w:rPr>
        <w:t>”) as deferred compensation and (ii) cash payments not subject to Section 409A, and second a pro rata cancellation of (i) equity-based compensation subject to Section 409A as deferred compensation and (ii) equity-based compensation not subject to Section 409A. Reduction in either cash payments or equity compensation benefits shall be made pro-rata between and among benefits which are subject to Section 409A and benefits which are exempt from Section 409A. The Accountants (as defined below) shall take into account the value of, services provided or to be provided by the Executive (including, without limitation, the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9 of 15</w:t>
      </w:r>
    </w:p>
    <w:p>
      <w:pPr>
        <w:sectPr>
          <w:pgSz w:w="11900" w:h="16838" w:orient="portrait"/>
          <w:cols w:equalWidth="0" w:num="1">
            <w:col w:w="10928"/>
          </w:cols>
          <w:pgMar w:left="632" w:top="1351" w:right="339" w:bottom="1440" w:gutter="0" w:footer="0" w:header="0"/>
        </w:sectPr>
      </w:pPr>
    </w:p>
    <w:bookmarkStart w:id="99" w:name="page100"/>
    <w:bookmarkEnd w:id="99"/>
    <w:p>
      <w:pPr>
        <w:jc w:val="both"/>
        <w:ind w:left="308"/>
        <w:spacing w:after="0" w:line="232" w:lineRule="auto"/>
        <w:rPr>
          <w:sz w:val="20"/>
          <w:szCs w:val="20"/>
          <w:color w:val="auto"/>
        </w:rPr>
      </w:pPr>
      <w:r>
        <w:rPr>
          <w:rFonts w:ascii="Times New Roman" w:cs="Times New Roman" w:eastAsia="Times New Roman" w:hAnsi="Times New Roman"/>
          <w:sz w:val="21"/>
          <w:szCs w:val="21"/>
          <w:color w:val="auto"/>
        </w:rPr>
        <w:t>Q&amp;A-2(a) of the final regulations under Section 280G of the Code in accordance with Q&amp;A-5(a) of the final regulations under Section 280G of the Code. Unless the Company and you otherwise agree in writing, any determination required under this provision shall be made in writing by the Company’s independent public accountants (the “Accountants”), whose determination shall be conclusive and binding upon you and the Company for all purposes. For purposes of making the calculations required by this provision, the Accountants may make reasonable assumptions and approximations concerning applicable taxes and may rely on reasonable, good faith interpretations concerning the application of Sections 280G and 4999 of the Code. The Company and you shall furnish to the Accountants such information and documents as the Accountants may reasonably request in order to make a determination under this provision. The Company shall bear all costs the Accountants may reasonably incur in connection with any calculations contemplated by this provision.</w:t>
      </w:r>
    </w:p>
    <w:p>
      <w:pPr>
        <w:spacing w:after="0" w:line="204" w:lineRule="exact"/>
        <w:rPr>
          <w:sz w:val="20"/>
          <w:szCs w:val="20"/>
          <w:color w:val="auto"/>
        </w:rPr>
      </w:pPr>
    </w:p>
    <w:p>
      <w:pPr>
        <w:jc w:val="both"/>
        <w:ind w:left="308" w:hanging="308"/>
        <w:spacing w:after="0" w:line="236" w:lineRule="auto"/>
        <w:tabs>
          <w:tab w:leader="none" w:pos="30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provided that all notices to the Company shall be directed to the attention of the Board with a copy to the Secretary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197" w:lineRule="exact"/>
        <w:rPr>
          <w:rFonts w:ascii="Times New Roman" w:cs="Times New Roman" w:eastAsia="Times New Roman" w:hAnsi="Times New Roman"/>
          <w:sz w:val="21"/>
          <w:szCs w:val="21"/>
          <w:color w:val="auto"/>
        </w:rPr>
      </w:pPr>
    </w:p>
    <w:p>
      <w:pPr>
        <w:jc w:val="both"/>
        <w:ind w:left="308" w:hanging="308"/>
        <w:spacing w:after="0" w:line="232" w:lineRule="auto"/>
        <w:tabs>
          <w:tab w:leader="none" w:pos="3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Non-exclusivity of Rights</w:t>
      </w:r>
      <w:r>
        <w:rPr>
          <w:rFonts w:ascii="Times New Roman" w:cs="Times New Roman" w:eastAsia="Times New Roman" w:hAnsi="Times New Roman"/>
          <w:sz w:val="21"/>
          <w:szCs w:val="21"/>
          <w:color w:val="auto"/>
        </w:rPr>
        <w:t>. Nothing in this Agreement shall prevent or limit the Executive’s continuing or future participation in any benefit, bonus, incentive or other plan or program provided by the Company or any of its subsidiaries and for which the Executive may qualify, nor shall anything herein limit or reduce such rights as the Executive may have under any other agreements with the Company or any of its subsidiaries; provided, however, to the extent that the Executive receives benefits under this Agreement, the Executive will not be entitled to severance pay or benefits under any other severance plan, program, policy or arrangement of the Company (including, without limitation, the Campbell Soup Company Executive Severance Pay Plan and the Campbell Soup Company Severance Pay Plan for Salaried Employees). Amounts which are vested benefits or which the Executive is otherwise entitled to receive under any plan, program or arrangement of the Company or any of its subsidiaries shall be payable in accordance with such plan, program or arrangement except as expressly modified by this Agreement.</w:t>
      </w:r>
    </w:p>
    <w:p>
      <w:pPr>
        <w:spacing w:after="0" w:line="202" w:lineRule="exact"/>
        <w:rPr>
          <w:rFonts w:ascii="Times New Roman" w:cs="Times New Roman" w:eastAsia="Times New Roman" w:hAnsi="Times New Roman"/>
          <w:sz w:val="21"/>
          <w:szCs w:val="21"/>
          <w:color w:val="auto"/>
        </w:rPr>
      </w:pPr>
    </w:p>
    <w:p>
      <w:pPr>
        <w:jc w:val="both"/>
        <w:ind w:left="308" w:hanging="308"/>
        <w:spacing w:after="0" w:line="237" w:lineRule="auto"/>
        <w:tabs>
          <w:tab w:leader="none" w:pos="30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Claims</w:t>
      </w:r>
      <w:r>
        <w:rPr>
          <w:rFonts w:ascii="Times New Roman" w:cs="Times New Roman" w:eastAsia="Times New Roman" w:hAnsi="Times New Roman"/>
          <w:sz w:val="21"/>
          <w:szCs w:val="21"/>
          <w:color w:val="auto"/>
        </w:rPr>
        <w: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w:t>
      </w:r>
    </w:p>
    <w:p>
      <w:pPr>
        <w:spacing w:after="0" w:line="198" w:lineRule="exact"/>
        <w:rPr>
          <w:rFonts w:ascii="Times New Roman" w:cs="Times New Roman" w:eastAsia="Times New Roman" w:hAnsi="Times New Roman"/>
          <w:sz w:val="21"/>
          <w:szCs w:val="21"/>
          <w:color w:val="auto"/>
        </w:rPr>
      </w:pPr>
    </w:p>
    <w:p>
      <w:pPr>
        <w:jc w:val="both"/>
        <w:ind w:left="308" w:hanging="308"/>
        <w:spacing w:after="0" w:line="243" w:lineRule="auto"/>
        <w:tabs>
          <w:tab w:leader="none" w:pos="30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No provision of this Agreement may be modified, waived, amended or discharged unless such waiver, modification, amendment or discharge is agreed to in writing and signed by the Executive and the Company. No waiver by either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10 of 15</w:t>
      </w:r>
    </w:p>
    <w:p>
      <w:pPr>
        <w:sectPr>
          <w:pgSz w:w="11900" w:h="16838" w:orient="portrait"/>
          <w:cols w:equalWidth="0" w:num="1">
            <w:col w:w="10928"/>
          </w:cols>
          <w:pgMar w:left="632" w:top="1351" w:right="339" w:bottom="1440" w:gutter="0" w:footer="0" w:header="0"/>
        </w:sectPr>
      </w:pPr>
    </w:p>
    <w:bookmarkStart w:id="100" w:name="page101"/>
    <w:bookmarkEnd w:id="100"/>
    <w:p>
      <w:pPr>
        <w:jc w:val="both"/>
        <w:ind w:left="308"/>
        <w:spacing w:after="0" w:line="239" w:lineRule="auto"/>
        <w:rPr>
          <w:sz w:val="20"/>
          <w:szCs w:val="20"/>
          <w:color w:val="auto"/>
        </w:rPr>
      </w:pPr>
      <w:r>
        <w:rPr>
          <w:rFonts w:ascii="Times New Roman" w:cs="Times New Roman" w:eastAsia="Times New Roman" w:hAnsi="Times New Roman"/>
          <w:sz w:val="21"/>
          <w:szCs w:val="21"/>
          <w:color w:val="auto"/>
        </w:rPr>
        <w:t>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97" w:lineRule="exact"/>
        <w:rPr>
          <w:sz w:val="20"/>
          <w:szCs w:val="20"/>
          <w:color w:val="auto"/>
        </w:rPr>
      </w:pPr>
    </w:p>
    <w:p>
      <w:pPr>
        <w:ind w:left="308" w:hanging="308"/>
        <w:spacing w:after="0" w:line="256" w:lineRule="auto"/>
        <w:tabs>
          <w:tab w:leader="none" w:pos="30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Status</w:t>
      </w:r>
      <w:r>
        <w:rPr>
          <w:rFonts w:ascii="Times New Roman" w:cs="Times New Roman" w:eastAsia="Times New Roman" w:hAnsi="Times New Roman"/>
          <w:sz w:val="21"/>
          <w:szCs w:val="21"/>
          <w:color w:val="auto"/>
        </w:rPr>
        <w:t>. This Agreement does not constitute a contract of employment or impose on the Company any obligation to retain the Executive, or any obligation on the Executive to remain in the employment of the Company.</w:t>
      </w:r>
    </w:p>
    <w:p>
      <w:pPr>
        <w:spacing w:after="0" w:line="167" w:lineRule="exact"/>
        <w:rPr>
          <w:rFonts w:ascii="Times New Roman" w:cs="Times New Roman" w:eastAsia="Times New Roman" w:hAnsi="Times New Roman"/>
          <w:sz w:val="21"/>
          <w:szCs w:val="21"/>
          <w:color w:val="auto"/>
        </w:rPr>
      </w:pPr>
    </w:p>
    <w:p>
      <w:pPr>
        <w:ind w:left="308" w:hanging="308"/>
        <w:spacing w:after="0"/>
        <w:tabs>
          <w:tab w:leader="none" w:pos="30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928" w:hanging="310"/>
        <w:spacing w:after="0" w:line="235" w:lineRule="auto"/>
        <w:tabs>
          <w:tab w:leader="none" w:pos="916"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this Agreement shall be interpreted to comply with or be exempt from Section 409A, and all provisions of this Agreement shall be construed in a manner consistent with the requirements for avoiding taxes or penalties under Section 409A. In no event whatsoever will the Company, any of its affiliates or any of their respective directors, officers, agents, attorneys, employees, executives, shareholders, investors, members, managers, trustees, fiduciaries, representatives, principals, accountants, insurers, successors or assigns be liable for any additional tax, interest or penalties that may be imposed on the Executive under Section 409A or any damages for failing to comply with Section 409A.</w:t>
      </w:r>
    </w:p>
    <w:p>
      <w:pPr>
        <w:spacing w:after="0" w:line="199" w:lineRule="exact"/>
        <w:rPr>
          <w:rFonts w:ascii="Times New Roman" w:cs="Times New Roman" w:eastAsia="Times New Roman" w:hAnsi="Times New Roman"/>
          <w:sz w:val="21"/>
          <w:szCs w:val="21"/>
          <w:color w:val="auto"/>
        </w:rPr>
      </w:pPr>
    </w:p>
    <w:p>
      <w:pPr>
        <w:jc w:val="both"/>
        <w:ind w:left="928" w:hanging="310"/>
        <w:spacing w:after="0" w:line="232" w:lineRule="auto"/>
        <w:tabs>
          <w:tab w:leader="none" w:pos="928"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Six-Month Delay for Specified Employees</w:t>
      </w:r>
      <w:r>
        <w:rPr>
          <w:rFonts w:ascii="Times New Roman" w:cs="Times New Roman" w:eastAsia="Times New Roman" w:hAnsi="Times New Roman"/>
          <w:sz w:val="21"/>
          <w:szCs w:val="21"/>
          <w:color w:val="auto"/>
        </w:rPr>
        <w:t>. If any payment, compensation or other benefit provided to the Executive in connection with the termination of the Executive’s employment is determined, in whole or in part, to constitute “nonqualified deferred compensation” within the meaning of Section 409A and the Executive is a specified employee as defined in Section 409A(2)(B)(i) of the Code, no part of such payments shall be paid before the day that is six (6) months plus one (1) day after the date of termination or, if earlier, ten business days following the Executive’s death (the “</w:t>
      </w:r>
      <w:r>
        <w:rPr>
          <w:rFonts w:ascii="Times New Roman" w:cs="Times New Roman" w:eastAsia="Times New Roman" w:hAnsi="Times New Roman"/>
          <w:sz w:val="21"/>
          <w:szCs w:val="21"/>
          <w:i w:val="1"/>
          <w:iCs w:val="1"/>
          <w:color w:val="auto"/>
        </w:rPr>
        <w:t>New Payment Date</w:t>
      </w:r>
      <w:r>
        <w:rPr>
          <w:rFonts w:ascii="Times New Roman" w:cs="Times New Roman" w:eastAsia="Times New Roman" w:hAnsi="Times New Roman"/>
          <w:sz w:val="21"/>
          <w:szCs w:val="21"/>
          <w:color w:val="auto"/>
        </w:rPr>
        <w:t>”). The aggregate of any payments that otherwise would have been paid to the Executive during the period between the date of termination and the New Payment Date shall be paid to the Executive in a lump sum on such New Payment Date. Thereafter, any payments that remain outstanding as of the day immediately following the New Payment Date shall be paid without delay over the time period originally scheduled, in accordance with the terms of this Agreement.</w:t>
      </w:r>
    </w:p>
    <w:p>
      <w:pPr>
        <w:spacing w:after="0" w:line="202" w:lineRule="exact"/>
        <w:rPr>
          <w:rFonts w:ascii="Times New Roman" w:cs="Times New Roman" w:eastAsia="Times New Roman" w:hAnsi="Times New Roman"/>
          <w:sz w:val="21"/>
          <w:szCs w:val="21"/>
          <w:color w:val="auto"/>
        </w:rPr>
      </w:pPr>
    </w:p>
    <w:p>
      <w:pPr>
        <w:jc w:val="both"/>
        <w:ind w:left="928" w:hanging="310"/>
        <w:spacing w:after="0" w:line="248" w:lineRule="auto"/>
        <w:tabs>
          <w:tab w:leader="none" w:pos="916"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as Separation from Service</w:t>
      </w:r>
      <w:r>
        <w:rPr>
          <w:rFonts w:ascii="Times New Roman" w:cs="Times New Roman" w:eastAsia="Times New Roman" w:hAnsi="Times New Roman"/>
          <w:sz w:val="20"/>
          <w:szCs w:val="20"/>
          <w:color w:val="auto"/>
        </w:rPr>
        <w:t>. 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within the meaning of Section 409A, and for purposes of any such provision of this Agreement, references to a “resignation,” “termination,” “terminate,” “termination of employment” or like terms shall mean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11 of 15</w:t>
      </w:r>
    </w:p>
    <w:p>
      <w:pPr>
        <w:sectPr>
          <w:pgSz w:w="11900" w:h="16838" w:orient="portrait"/>
          <w:cols w:equalWidth="0" w:num="1">
            <w:col w:w="10928"/>
          </w:cols>
          <w:pgMar w:left="632" w:top="1350" w:right="339" w:bottom="1440" w:gutter="0" w:footer="0" w:header="0"/>
        </w:sectPr>
      </w:pPr>
    </w:p>
    <w:bookmarkStart w:id="101" w:name="page102"/>
    <w:bookmarkEnd w:id="101"/>
    <w:p>
      <w:pPr>
        <w:jc w:val="both"/>
        <w:ind w:left="928" w:hanging="310"/>
        <w:spacing w:after="0" w:line="234" w:lineRule="auto"/>
        <w:tabs>
          <w:tab w:leader="none" w:pos="928"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for Reimbursements, and In-Kind Benefits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All reimbursements for costs and expenses under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w:t>
      </w:r>
    </w:p>
    <w:p>
      <w:pPr>
        <w:spacing w:after="0" w:line="197" w:lineRule="exact"/>
        <w:rPr>
          <w:rFonts w:ascii="Times New Roman" w:cs="Times New Roman" w:eastAsia="Times New Roman" w:hAnsi="Times New Roman"/>
          <w:sz w:val="21"/>
          <w:szCs w:val="21"/>
          <w:color w:val="auto"/>
        </w:rPr>
      </w:pPr>
    </w:p>
    <w:p>
      <w:pPr>
        <w:jc w:val="both"/>
        <w:ind w:left="928" w:hanging="310"/>
        <w:spacing w:after="0" w:line="261" w:lineRule="auto"/>
        <w:tabs>
          <w:tab w:leader="none" w:pos="916"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Within Specified Number of Days</w:t>
      </w:r>
      <w:r>
        <w:rPr>
          <w:rFonts w:ascii="Times New Roman" w:cs="Times New Roman" w:eastAsia="Times New Roman" w:hAnsi="Times New Roman"/>
          <w:sz w:val="20"/>
          <w:szCs w:val="20"/>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76" w:lineRule="exact"/>
        <w:rPr>
          <w:rFonts w:ascii="Times New Roman" w:cs="Times New Roman" w:eastAsia="Times New Roman" w:hAnsi="Times New Roman"/>
          <w:sz w:val="20"/>
          <w:szCs w:val="20"/>
          <w:color w:val="auto"/>
        </w:rPr>
      </w:pPr>
    </w:p>
    <w:p>
      <w:pPr>
        <w:ind w:left="928" w:hanging="310"/>
        <w:spacing w:after="0" w:line="256" w:lineRule="auto"/>
        <w:tabs>
          <w:tab w:leader="none" w:pos="919"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Installments as Separate Payment</w:t>
      </w:r>
      <w:r>
        <w:rPr>
          <w:rFonts w:ascii="Times New Roman" w:cs="Times New Roman" w:eastAsia="Times New Roman" w:hAnsi="Times New Roman"/>
          <w:sz w:val="21"/>
          <w:szCs w:val="21"/>
          <w:color w:val="auto"/>
        </w:rPr>
        <w:t>. For purposes of Section 409A, the Executive’s right to receive any installment payments pursuant to this Agreement shall be treated as a right to receive a series of separate and distinct payments.</w:t>
      </w:r>
    </w:p>
    <w:p>
      <w:pPr>
        <w:spacing w:after="0" w:line="180" w:lineRule="exact"/>
        <w:rPr>
          <w:rFonts w:ascii="Times New Roman" w:cs="Times New Roman" w:eastAsia="Times New Roman" w:hAnsi="Times New Roman"/>
          <w:sz w:val="21"/>
          <w:szCs w:val="21"/>
          <w:color w:val="auto"/>
        </w:rPr>
      </w:pPr>
    </w:p>
    <w:p>
      <w:pPr>
        <w:jc w:val="both"/>
        <w:ind w:left="308" w:hanging="308"/>
        <w:spacing w:after="0" w:line="237" w:lineRule="auto"/>
        <w:tabs>
          <w:tab w:leader="none" w:pos="30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and enforced in accordance with the laws of the State of New Jersey, without reference to the principles of conflicts of laws. Each party hereto consents to in personam jurisdiction and venue in the United States District Court of New Jersey. In the event that the United States District Court of New Jersey should lack subject matter jurisdiction, the parties consent to jurisdiction and venue in a court of competent jurisdiction in Camden County in the State of New Jersey.</w:t>
      </w:r>
    </w:p>
    <w:p>
      <w:pPr>
        <w:spacing w:after="0" w:line="185" w:lineRule="exact"/>
        <w:rPr>
          <w:rFonts w:ascii="Times New Roman" w:cs="Times New Roman" w:eastAsia="Times New Roman" w:hAnsi="Times New Roman"/>
          <w:sz w:val="21"/>
          <w:szCs w:val="21"/>
          <w:color w:val="auto"/>
        </w:rPr>
      </w:pPr>
    </w:p>
    <w:p>
      <w:pPr>
        <w:ind w:left="308" w:hanging="308"/>
        <w:spacing w:after="0" w:line="256" w:lineRule="auto"/>
        <w:tabs>
          <w:tab w:leader="none" w:pos="30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may withhold from all payments due to Executive (or the Executive’s beneficiary or estate) under this Agreement all applicable federal, state, local and foreign income and employment taxes.</w:t>
      </w:r>
    </w:p>
    <w:p>
      <w:pPr>
        <w:spacing w:after="0" w:line="180" w:lineRule="exact"/>
        <w:rPr>
          <w:rFonts w:ascii="Times New Roman" w:cs="Times New Roman" w:eastAsia="Times New Roman" w:hAnsi="Times New Roman"/>
          <w:sz w:val="21"/>
          <w:szCs w:val="21"/>
          <w:color w:val="auto"/>
        </w:rPr>
      </w:pPr>
    </w:p>
    <w:p>
      <w:pPr>
        <w:ind w:left="308" w:hanging="308"/>
        <w:spacing w:after="0" w:line="256" w:lineRule="auto"/>
        <w:tabs>
          <w:tab w:leader="none" w:pos="30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shall be deemed severable and the invalidity or unenforceability of any provision shall not affect the validity or enforceability of the other provisions hereof.</w:t>
      </w:r>
    </w:p>
    <w:p>
      <w:pPr>
        <w:spacing w:after="0" w:line="180" w:lineRule="exact"/>
        <w:rPr>
          <w:rFonts w:ascii="Times New Roman" w:cs="Times New Roman" w:eastAsia="Times New Roman" w:hAnsi="Times New Roman"/>
          <w:sz w:val="21"/>
          <w:szCs w:val="21"/>
          <w:color w:val="auto"/>
        </w:rPr>
      </w:pPr>
    </w:p>
    <w:p>
      <w:pPr>
        <w:ind w:left="308" w:hanging="308"/>
        <w:spacing w:after="0" w:line="256" w:lineRule="auto"/>
        <w:tabs>
          <w:tab w:leader="none" w:pos="30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several counterparts, each of which shall be deemed to be an original but all of which together will constitute one and the same instrument.</w:t>
      </w:r>
    </w:p>
    <w:p>
      <w:pPr>
        <w:spacing w:after="0" w:line="180" w:lineRule="exact"/>
        <w:rPr>
          <w:rFonts w:ascii="Times New Roman" w:cs="Times New Roman" w:eastAsia="Times New Roman" w:hAnsi="Times New Roman"/>
          <w:sz w:val="21"/>
          <w:szCs w:val="21"/>
          <w:color w:val="auto"/>
        </w:rPr>
      </w:pPr>
    </w:p>
    <w:p>
      <w:pPr>
        <w:ind w:left="308" w:hanging="308"/>
        <w:spacing w:after="0" w:line="256" w:lineRule="auto"/>
        <w:tabs>
          <w:tab w:leader="none" w:pos="30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contained in this Agreement are intended solely for convenience and shall not control or affect the meaning or construction of the provisions of this Agreement.</w:t>
      </w:r>
    </w:p>
    <w:p>
      <w:pPr>
        <w:spacing w:after="0" w:line="180" w:lineRule="exact"/>
        <w:rPr>
          <w:rFonts w:ascii="Times New Roman" w:cs="Times New Roman" w:eastAsia="Times New Roman" w:hAnsi="Times New Roman"/>
          <w:sz w:val="21"/>
          <w:szCs w:val="21"/>
          <w:color w:val="auto"/>
        </w:rPr>
      </w:pPr>
    </w:p>
    <w:p>
      <w:pPr>
        <w:jc w:val="both"/>
        <w:ind w:left="308" w:hanging="308"/>
        <w:spacing w:after="0" w:line="237" w:lineRule="auto"/>
        <w:tabs>
          <w:tab w:leader="none" w:pos="308"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between the parties hereto with respect to the subject matter hereof and supersedes all understandings and arrangements, whether oral or written, between the parties hereto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12 of 15</w:t>
      </w:r>
    </w:p>
    <w:p>
      <w:pPr>
        <w:sectPr>
          <w:pgSz w:w="11900" w:h="16838" w:orient="portrait"/>
          <w:cols w:equalWidth="0" w:num="1">
            <w:col w:w="10928"/>
          </w:cols>
          <w:pgMar w:left="632" w:top="1346" w:right="339" w:bottom="1440" w:gutter="0" w:footer="0" w:header="0"/>
        </w:sectPr>
      </w:pPr>
    </w:p>
    <w:bookmarkStart w:id="102" w:name="page103"/>
    <w:bookmarkEnd w:id="102"/>
    <w:p>
      <w:pPr>
        <w:ind w:left="620"/>
        <w:spacing w:after="0" w:line="256" w:lineRule="auto"/>
        <w:rPr>
          <w:sz w:val="20"/>
          <w:szCs w:val="20"/>
          <w:color w:val="auto"/>
        </w:rPr>
      </w:pPr>
      <w:r>
        <w:rPr>
          <w:rFonts w:ascii="Times New Roman" w:cs="Times New Roman" w:eastAsia="Times New Roman" w:hAnsi="Times New Roman"/>
          <w:sz w:val="21"/>
          <w:szCs w:val="21"/>
          <w:color w:val="auto"/>
        </w:rPr>
        <w:t>subject matter, including the Change in Control Severance Protection Agreement by and between the Company and the Executive dated as of [______].</w:t>
      </w:r>
    </w:p>
    <w:p>
      <w:pPr>
        <w:spacing w:after="0" w:line="180" w:lineRule="exact"/>
        <w:rPr>
          <w:sz w:val="20"/>
          <w:szCs w:val="20"/>
          <w:color w:val="auto"/>
        </w:rPr>
      </w:pPr>
    </w:p>
    <w:p>
      <w:pPr>
        <w:ind w:right="20" w:firstLine="1236"/>
        <w:spacing w:after="0" w:line="256" w:lineRule="auto"/>
        <w:rPr>
          <w:sz w:val="20"/>
          <w:szCs w:val="20"/>
          <w:color w:val="auto"/>
        </w:rPr>
      </w:pPr>
      <w:r>
        <w:rPr>
          <w:rFonts w:ascii="Times New Roman" w:cs="Times New Roman" w:eastAsia="Times New Roman" w:hAnsi="Times New Roman"/>
          <w:sz w:val="21"/>
          <w:szCs w:val="21"/>
          <w:color w:val="auto"/>
        </w:rPr>
        <w:t>IN WITNESS WHEREOF, the Company has caused this Agreement to be executed by its duly authorized officer and the Executive has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CAMPBELL SOUP COMPANY</w:t>
      </w:r>
    </w:p>
    <w:p>
      <w:pPr>
        <w:ind w:left="1240"/>
        <w:spacing w:after="0" w:line="233" w:lineRule="auto"/>
        <w:rPr>
          <w:sz w:val="20"/>
          <w:szCs w:val="20"/>
          <w:color w:val="auto"/>
        </w:rPr>
      </w:pPr>
      <w:r>
        <w:rPr>
          <w:rFonts w:ascii="Times New Roman" w:cs="Times New Roman" w:eastAsia="Times New Roman" w:hAnsi="Times New Roman"/>
          <w:sz w:val="21"/>
          <w:szCs w:val="21"/>
          <w:color w:val="auto"/>
        </w:rPr>
        <w:t>______________________</w:t>
      </w:r>
    </w:p>
    <w:p>
      <w:pPr>
        <w:ind w:left="1240"/>
        <w:spacing w:after="0" w:line="231" w:lineRule="auto"/>
        <w:rPr>
          <w:sz w:val="20"/>
          <w:szCs w:val="20"/>
          <w:color w:val="auto"/>
        </w:rPr>
      </w:pPr>
      <w:r>
        <w:rPr>
          <w:rFonts w:ascii="Times New Roman" w:cs="Times New Roman" w:eastAsia="Times New Roman" w:hAnsi="Times New Roman"/>
          <w:sz w:val="21"/>
          <w:szCs w:val="21"/>
          <w:color w:val="auto"/>
        </w:rPr>
        <w:t>By:</w:t>
      </w:r>
    </w:p>
    <w:p>
      <w:pPr>
        <w:ind w:left="124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_________________________</w:t>
      </w:r>
    </w:p>
    <w:p>
      <w:pPr>
        <w:ind w:left="1240"/>
        <w:spacing w:after="0"/>
        <w:rPr>
          <w:sz w:val="20"/>
          <w:szCs w:val="20"/>
          <w:color w:val="auto"/>
        </w:rPr>
      </w:pPr>
      <w:r>
        <w:rPr>
          <w:rFonts w:ascii="Times New Roman" w:cs="Times New Roman" w:eastAsia="Times New Roman" w:hAnsi="Times New Roman"/>
          <w:sz w:val="21"/>
          <w:szCs w:val="2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13 of 15</w:t>
      </w:r>
    </w:p>
    <w:p>
      <w:pPr>
        <w:sectPr>
          <w:pgSz w:w="11900" w:h="16838" w:orient="portrait"/>
          <w:cols w:equalWidth="0" w:num="1">
            <w:col w:w="11240"/>
          </w:cols>
          <w:pgMar w:left="320" w:top="1350" w:right="339" w:bottom="1440" w:gutter="0" w:footer="0" w:header="0"/>
        </w:sectPr>
      </w:pPr>
    </w:p>
    <w:bookmarkStart w:id="103" w:name="page104"/>
    <w:bookmarkEnd w:id="103"/>
    <w:p>
      <w:pPr>
        <w:jc w:val="center"/>
        <w:ind w:right="-307"/>
        <w:spacing w:after="0"/>
        <w:rPr>
          <w:sz w:val="20"/>
          <w:szCs w:val="20"/>
          <w:color w:val="auto"/>
        </w:rPr>
      </w:pPr>
      <w:r>
        <w:rPr>
          <w:rFonts w:ascii="Times New Roman" w:cs="Times New Roman" w:eastAsia="Times New Roman" w:hAnsi="Times New Roman"/>
          <w:sz w:val="21"/>
          <w:szCs w:val="21"/>
          <w:u w:val="single" w:color="auto"/>
          <w:color w:val="auto"/>
        </w:rPr>
        <w:t>Schedule A to Severance Protection Agreement</w:t>
      </w:r>
    </w:p>
    <w:p>
      <w:pPr>
        <w:spacing w:after="0" w:line="222" w:lineRule="exact"/>
        <w:rPr>
          <w:sz w:val="20"/>
          <w:szCs w:val="20"/>
          <w:color w:val="auto"/>
        </w:rPr>
      </w:pPr>
    </w:p>
    <w:p>
      <w:pPr>
        <w:jc w:val="both"/>
        <w:ind w:left="308" w:hanging="308"/>
        <w:spacing w:after="0" w:line="237" w:lineRule="auto"/>
        <w:tabs>
          <w:tab w:leader="none" w:pos="308"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Executive’s Severance Amount provided for in </w:t>
      </w:r>
      <w:r>
        <w:rPr>
          <w:rFonts w:ascii="Times New Roman" w:cs="Times New Roman" w:eastAsia="Times New Roman" w:hAnsi="Times New Roman"/>
          <w:sz w:val="21"/>
          <w:szCs w:val="21"/>
          <w:u w:val="single" w:color="auto"/>
          <w:color w:val="auto"/>
        </w:rPr>
        <w:t>Section 3(b)(ii)</w:t>
      </w:r>
      <w:r>
        <w:rPr>
          <w:rFonts w:ascii="Times New Roman" w:cs="Times New Roman" w:eastAsia="Times New Roman" w:hAnsi="Times New Roman"/>
          <w:sz w:val="21"/>
          <w:szCs w:val="21"/>
          <w:color w:val="auto"/>
        </w:rPr>
        <w:t xml:space="preserve"> shall equal the severance pay multiple set forth below next to the Executive’s salary level at the Termination Date multiplied by the sum of: (A) the greater of (as applicable) (1) the Executive’s annual base salary in effect at any time during the 90-day period immediately prior to the Change in Control (or Termination Date for a Pre CIC Termination) or (2) the Executive’s annual base salary in effect at any time following the Change in Control, and (B) the Bonus Amount.</w:t>
      </w:r>
    </w:p>
    <w:p>
      <w:pPr>
        <w:spacing w:after="0" w:line="214" w:lineRule="exact"/>
        <w:rPr>
          <w:sz w:val="20"/>
          <w:szCs w:val="20"/>
          <w:color w:val="auto"/>
        </w:rPr>
      </w:pPr>
    </w:p>
    <w:tbl>
      <w:tblPr>
        <w:tblLayout w:type="fixed"/>
        <w:tblInd w:w="1128" w:type="dxa"/>
        <w:tblCellMar>
          <w:top w:w="0" w:type="dxa"/>
          <w:left w:w="0" w:type="dxa"/>
          <w:bottom w:w="0" w:type="dxa"/>
          <w:right w:w="0" w:type="dxa"/>
        </w:tblCellMar>
      </w:tblPr>
      <w:tr>
        <w:trPr>
          <w:trHeight w:val="241"/>
        </w:trPr>
        <w:tc>
          <w:tcPr>
            <w:tcW w:w="6020" w:type="dxa"/>
            <w:vAlign w:val="bottom"/>
            <w:gridSpan w:val="2"/>
          </w:tcPr>
          <w:p>
            <w:pPr>
              <w:jc w:val="center"/>
              <w:ind w:right="3280"/>
              <w:spacing w:after="0"/>
              <w:rPr>
                <w:sz w:val="20"/>
                <w:szCs w:val="20"/>
                <w:color w:val="auto"/>
              </w:rPr>
            </w:pPr>
            <w:r>
              <w:rPr>
                <w:rFonts w:ascii="Times New Roman" w:cs="Times New Roman" w:eastAsia="Times New Roman" w:hAnsi="Times New Roman"/>
                <w:sz w:val="21"/>
                <w:szCs w:val="21"/>
                <w:color w:val="auto"/>
                <w:w w:val="97"/>
              </w:rPr>
              <w:t>Salary Level at Termination Date</w:t>
            </w:r>
          </w:p>
        </w:tc>
        <w:tc>
          <w:tcPr>
            <w:tcW w:w="1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Severance Pay Multiple</w:t>
            </w:r>
          </w:p>
        </w:tc>
      </w:tr>
      <w:tr>
        <w:trPr>
          <w:trHeight w:val="312"/>
        </w:trPr>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B</w:t>
            </w:r>
          </w:p>
        </w:tc>
        <w:tc>
          <w:tcPr>
            <w:tcW w:w="3280" w:type="dxa"/>
            <w:vAlign w:val="bottom"/>
          </w:tcPr>
          <w:p>
            <w:pPr>
              <w:spacing w:after="0"/>
              <w:rPr>
                <w:sz w:val="24"/>
                <w:szCs w:val="24"/>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2.0</w:t>
            </w:r>
          </w:p>
        </w:tc>
      </w:tr>
      <w:tr>
        <w:trPr>
          <w:trHeight w:val="283"/>
        </w:trPr>
        <w:tc>
          <w:tcPr>
            <w:tcW w:w="6020" w:type="dxa"/>
            <w:vAlign w:val="bottom"/>
            <w:gridSpan w:val="2"/>
          </w:tcPr>
          <w:p>
            <w:pPr>
              <w:jc w:val="center"/>
              <w:ind w:right="3260"/>
              <w:spacing w:after="0"/>
              <w:rPr>
                <w:sz w:val="20"/>
                <w:szCs w:val="20"/>
                <w:color w:val="auto"/>
              </w:rPr>
            </w:pPr>
            <w:r>
              <w:rPr>
                <w:rFonts w:ascii="Times New Roman" w:cs="Times New Roman" w:eastAsia="Times New Roman" w:hAnsi="Times New Roman"/>
                <w:sz w:val="21"/>
                <w:szCs w:val="21"/>
                <w:color w:val="auto"/>
              </w:rPr>
              <w:t>A</w:t>
            </w:r>
          </w:p>
        </w:tc>
        <w:tc>
          <w:tcPr>
            <w:tcW w:w="19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2.5</w:t>
            </w:r>
          </w:p>
        </w:tc>
      </w:tr>
    </w:tbl>
    <w:p>
      <w:pPr>
        <w:spacing w:after="0" w:line="312" w:lineRule="exact"/>
        <w:rPr>
          <w:sz w:val="20"/>
          <w:szCs w:val="20"/>
          <w:color w:val="auto"/>
        </w:rPr>
      </w:pPr>
    </w:p>
    <w:p>
      <w:pPr>
        <w:ind w:left="308" w:hanging="308"/>
        <w:spacing w:after="0" w:line="256" w:lineRule="auto"/>
        <w:tabs>
          <w:tab w:leader="none" w:pos="308"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Benefits Continuation Period provided for in </w:t>
      </w:r>
      <w:r>
        <w:rPr>
          <w:rFonts w:ascii="Times New Roman" w:cs="Times New Roman" w:eastAsia="Times New Roman" w:hAnsi="Times New Roman"/>
          <w:sz w:val="21"/>
          <w:szCs w:val="21"/>
          <w:u w:val="single" w:color="auto"/>
          <w:color w:val="auto"/>
        </w:rPr>
        <w:t>Section 3(b)(iii)</w:t>
      </w:r>
      <w:r>
        <w:rPr>
          <w:rFonts w:ascii="Times New Roman" w:cs="Times New Roman" w:eastAsia="Times New Roman" w:hAnsi="Times New Roman"/>
          <w:sz w:val="21"/>
          <w:szCs w:val="21"/>
          <w:color w:val="auto"/>
        </w:rPr>
        <w:t xml:space="preserve"> shall be determined using the number of months set forth below next to the Executive’s salary level at the Termination Date.</w:t>
      </w:r>
    </w:p>
    <w:p>
      <w:pPr>
        <w:spacing w:after="0" w:line="209" w:lineRule="exact"/>
        <w:rPr>
          <w:sz w:val="20"/>
          <w:szCs w:val="20"/>
          <w:color w:val="auto"/>
        </w:rPr>
      </w:pPr>
    </w:p>
    <w:tbl>
      <w:tblPr>
        <w:tblLayout w:type="fixed"/>
        <w:tblInd w:w="1128" w:type="dxa"/>
        <w:tblCellMar>
          <w:top w:w="0" w:type="dxa"/>
          <w:left w:w="0" w:type="dxa"/>
          <w:bottom w:w="0" w:type="dxa"/>
          <w:right w:w="0" w:type="dxa"/>
        </w:tblCellMar>
      </w:tblPr>
      <w:tr>
        <w:trPr>
          <w:trHeight w:val="241"/>
        </w:trPr>
        <w:tc>
          <w:tcPr>
            <w:tcW w:w="4280" w:type="dxa"/>
            <w:vAlign w:val="bottom"/>
            <w:gridSpan w:val="2"/>
          </w:tcPr>
          <w:p>
            <w:pPr>
              <w:jc w:val="center"/>
              <w:ind w:right="1540"/>
              <w:spacing w:after="0"/>
              <w:rPr>
                <w:sz w:val="20"/>
                <w:szCs w:val="20"/>
                <w:color w:val="auto"/>
              </w:rPr>
            </w:pPr>
            <w:r>
              <w:rPr>
                <w:rFonts w:ascii="Times New Roman" w:cs="Times New Roman" w:eastAsia="Times New Roman" w:hAnsi="Times New Roman"/>
                <w:sz w:val="21"/>
                <w:szCs w:val="21"/>
                <w:color w:val="auto"/>
                <w:w w:val="97"/>
              </w:rPr>
              <w:t>Salary Level at Termination Date</w:t>
            </w:r>
          </w:p>
        </w:tc>
        <w:tc>
          <w:tcPr>
            <w:tcW w:w="3920" w:type="dxa"/>
            <w:vAlign w:val="bottom"/>
            <w:gridSpan w:val="2"/>
          </w:tcPr>
          <w:p>
            <w:pPr>
              <w:jc w:val="center"/>
              <w:ind w:left="1417"/>
              <w:spacing w:after="0"/>
              <w:rPr>
                <w:sz w:val="20"/>
                <w:szCs w:val="20"/>
                <w:color w:val="auto"/>
              </w:rPr>
            </w:pPr>
            <w:r>
              <w:rPr>
                <w:rFonts w:ascii="Times New Roman" w:cs="Times New Roman" w:eastAsia="Times New Roman" w:hAnsi="Times New Roman"/>
                <w:sz w:val="21"/>
                <w:szCs w:val="21"/>
                <w:color w:val="auto"/>
                <w:w w:val="97"/>
              </w:rPr>
              <w:t>Benefits Continuation Period</w:t>
            </w:r>
          </w:p>
        </w:tc>
      </w:tr>
      <w:tr>
        <w:trPr>
          <w:trHeight w:val="312"/>
        </w:trPr>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B</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24 months</w:t>
            </w:r>
          </w:p>
        </w:tc>
      </w:tr>
      <w:tr>
        <w:trPr>
          <w:trHeight w:val="283"/>
        </w:trPr>
        <w:tc>
          <w:tcPr>
            <w:tcW w:w="4280" w:type="dxa"/>
            <w:vAlign w:val="bottom"/>
            <w:gridSpan w:val="2"/>
          </w:tcPr>
          <w:p>
            <w:pPr>
              <w:jc w:val="center"/>
              <w:ind w:right="1520"/>
              <w:spacing w:after="0"/>
              <w:rPr>
                <w:sz w:val="20"/>
                <w:szCs w:val="20"/>
                <w:color w:val="auto"/>
              </w:rPr>
            </w:pPr>
            <w:r>
              <w:rPr>
                <w:rFonts w:ascii="Times New Roman" w:cs="Times New Roman" w:eastAsia="Times New Roman" w:hAnsi="Times New Roman"/>
                <w:sz w:val="21"/>
                <w:szCs w:val="21"/>
                <w:color w:val="auto"/>
              </w:rPr>
              <w:t>A</w:t>
            </w:r>
          </w:p>
        </w:tc>
        <w:tc>
          <w:tcPr>
            <w:tcW w:w="152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30 months</w:t>
            </w:r>
          </w:p>
        </w:tc>
      </w:tr>
    </w:tbl>
    <w:p>
      <w:pPr>
        <w:spacing w:after="0" w:line="312" w:lineRule="exact"/>
        <w:rPr>
          <w:sz w:val="20"/>
          <w:szCs w:val="20"/>
          <w:color w:val="auto"/>
        </w:rPr>
      </w:pPr>
    </w:p>
    <w:p>
      <w:pPr>
        <w:ind w:left="308" w:hanging="308"/>
        <w:spacing w:after="0" w:line="243" w:lineRule="auto"/>
        <w:tabs>
          <w:tab w:leader="none" w:pos="308"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The additional service credit provided for in </w:t>
      </w:r>
      <w:r>
        <w:rPr>
          <w:rFonts w:ascii="Times New Roman" w:cs="Times New Roman" w:eastAsia="Times New Roman" w:hAnsi="Times New Roman"/>
          <w:sz w:val="21"/>
          <w:szCs w:val="21"/>
          <w:u w:val="single" w:color="auto"/>
          <w:color w:val="auto"/>
        </w:rPr>
        <w:t>Section 3(b)(iv)(w)</w:t>
      </w:r>
      <w:r>
        <w:rPr>
          <w:rFonts w:ascii="Times New Roman" w:cs="Times New Roman" w:eastAsia="Times New Roman" w:hAnsi="Times New Roman"/>
          <w:sz w:val="21"/>
          <w:szCs w:val="21"/>
          <w:color w:val="auto"/>
        </w:rPr>
        <w:t xml:space="preserve"> shall be equal to the number of months set forth below next to the Executive’s salary level at the Termination Date.</w:t>
      </w:r>
    </w:p>
    <w:p>
      <w:pPr>
        <w:spacing w:after="0" w:line="222" w:lineRule="exact"/>
        <w:rPr>
          <w:sz w:val="20"/>
          <w:szCs w:val="20"/>
          <w:color w:val="auto"/>
        </w:rPr>
      </w:pPr>
    </w:p>
    <w:tbl>
      <w:tblPr>
        <w:tblLayout w:type="fixed"/>
        <w:tblInd w:w="1128" w:type="dxa"/>
        <w:tblCellMar>
          <w:top w:w="0" w:type="dxa"/>
          <w:left w:w="0" w:type="dxa"/>
          <w:bottom w:w="0" w:type="dxa"/>
          <w:right w:w="0" w:type="dxa"/>
        </w:tblCellMar>
      </w:tblPr>
      <w:tr>
        <w:trPr>
          <w:trHeight w:val="241"/>
        </w:trPr>
        <w:tc>
          <w:tcPr>
            <w:tcW w:w="5940" w:type="dxa"/>
            <w:vAlign w:val="bottom"/>
            <w:gridSpan w:val="2"/>
          </w:tcPr>
          <w:p>
            <w:pPr>
              <w:jc w:val="center"/>
              <w:ind w:right="3200"/>
              <w:spacing w:after="0"/>
              <w:rPr>
                <w:sz w:val="20"/>
                <w:szCs w:val="20"/>
                <w:color w:val="auto"/>
              </w:rPr>
            </w:pPr>
            <w:r>
              <w:rPr>
                <w:rFonts w:ascii="Times New Roman" w:cs="Times New Roman" w:eastAsia="Times New Roman" w:hAnsi="Times New Roman"/>
                <w:sz w:val="21"/>
                <w:szCs w:val="21"/>
                <w:color w:val="auto"/>
                <w:w w:val="97"/>
              </w:rPr>
              <w:t>Salary Level at Termination Date</w:t>
            </w:r>
          </w:p>
        </w:tc>
        <w:tc>
          <w:tcPr>
            <w:tcW w:w="21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Additional Service Credit</w:t>
            </w:r>
          </w:p>
        </w:tc>
      </w:tr>
      <w:tr>
        <w:trPr>
          <w:trHeight w:val="312"/>
        </w:trPr>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B</w:t>
            </w:r>
          </w:p>
        </w:tc>
        <w:tc>
          <w:tcPr>
            <w:tcW w:w="3200" w:type="dxa"/>
            <w:vAlign w:val="bottom"/>
          </w:tcPr>
          <w:p>
            <w:pPr>
              <w:spacing w:after="0"/>
              <w:rPr>
                <w:sz w:val="24"/>
                <w:szCs w:val="24"/>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24 months</w:t>
            </w:r>
          </w:p>
        </w:tc>
      </w:tr>
      <w:tr>
        <w:trPr>
          <w:trHeight w:val="283"/>
        </w:trPr>
        <w:tc>
          <w:tcPr>
            <w:tcW w:w="5940" w:type="dxa"/>
            <w:vAlign w:val="bottom"/>
            <w:gridSpan w:val="2"/>
          </w:tcPr>
          <w:p>
            <w:pPr>
              <w:jc w:val="center"/>
              <w:ind w:right="3180"/>
              <w:spacing w:after="0"/>
              <w:rPr>
                <w:sz w:val="20"/>
                <w:szCs w:val="20"/>
                <w:color w:val="auto"/>
              </w:rPr>
            </w:pPr>
            <w:r>
              <w:rPr>
                <w:rFonts w:ascii="Times New Roman" w:cs="Times New Roman" w:eastAsia="Times New Roman" w:hAnsi="Times New Roman"/>
                <w:sz w:val="21"/>
                <w:szCs w:val="21"/>
                <w:color w:val="auto"/>
              </w:rPr>
              <w:t>A</w:t>
            </w:r>
          </w:p>
        </w:tc>
        <w:tc>
          <w:tcPr>
            <w:tcW w:w="21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30 months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14 of 15</w:t>
      </w:r>
    </w:p>
    <w:p>
      <w:pPr>
        <w:sectPr>
          <w:pgSz w:w="11900" w:h="16838" w:orient="portrait"/>
          <w:cols w:equalWidth="0" w:num="1">
            <w:col w:w="10928"/>
          </w:cols>
          <w:pgMar w:left="632" w:top="135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1"/>
          <w:szCs w:val="21"/>
          <w:u w:val="single" w:color="auto"/>
          <w:color w:val="auto"/>
        </w:rPr>
        <w:t>Schedule B</w:t>
      </w:r>
    </w:p>
    <w:p>
      <w:pPr>
        <w:jc w:val="center"/>
        <w:spacing w:after="0"/>
        <w:rPr>
          <w:sz w:val="20"/>
          <w:szCs w:val="20"/>
          <w:color w:val="auto"/>
        </w:rPr>
      </w:pPr>
      <w:r>
        <w:rPr>
          <w:rFonts w:ascii="Times New Roman" w:cs="Times New Roman" w:eastAsia="Times New Roman" w:hAnsi="Times New Roman"/>
          <w:sz w:val="21"/>
          <w:szCs w:val="21"/>
          <w:u w:val="single" w:color="auto"/>
          <w:color w:val="auto"/>
        </w:rPr>
        <w:t>Treatment of Equity Awards in Connection with Pre CIC Termination</w:t>
      </w:r>
    </w:p>
    <w:p>
      <w:pPr>
        <w:spacing w:after="0" w:line="18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Upon the occurrence of a Pre CIC Termination (during the Protection Period) (1) by the Company without Cause (excluding by reason of Executive’s death or Disability) or (2) by the Executive for Good Reason, then:</w:t>
      </w:r>
    </w:p>
    <w:p>
      <w:pPr>
        <w:spacing w:after="0" w:line="180" w:lineRule="exact"/>
        <w:rPr>
          <w:sz w:val="20"/>
          <w:szCs w:val="20"/>
          <w:color w:val="auto"/>
        </w:rPr>
      </w:pPr>
    </w:p>
    <w:p>
      <w:pPr>
        <w:jc w:val="both"/>
        <w:ind w:firstLine="3"/>
        <w:spacing w:after="0" w:line="235" w:lineRule="auto"/>
        <w:tabs>
          <w:tab w:leader="none" w:pos="24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Equity Awards are subject to time-based vesting (the “</w:t>
      </w:r>
      <w:r>
        <w:rPr>
          <w:rFonts w:ascii="Times New Roman" w:cs="Times New Roman" w:eastAsia="Times New Roman" w:hAnsi="Times New Roman"/>
          <w:sz w:val="21"/>
          <w:szCs w:val="21"/>
          <w:i w:val="1"/>
          <w:iCs w:val="1"/>
          <w:color w:val="auto"/>
        </w:rPr>
        <w:t>Time Awards</w:t>
      </w:r>
      <w:r>
        <w:rPr>
          <w:rFonts w:ascii="Times New Roman" w:cs="Times New Roman" w:eastAsia="Times New Roman" w:hAnsi="Times New Roman"/>
          <w:sz w:val="21"/>
          <w:szCs w:val="21"/>
          <w:color w:val="auto"/>
        </w:rPr>
        <w:t>”) and remain outstanding and unvested as of immediately prior to the Change in Control, such Time Awards shall vest in full and be settled pursuant to the terms of the Equity Plan and the award agreement governing such Time Awards;</w:t>
      </w:r>
    </w:p>
    <w:p>
      <w:pPr>
        <w:spacing w:after="0" w:line="183" w:lineRule="exact"/>
        <w:rPr>
          <w:rFonts w:ascii="Times New Roman" w:cs="Times New Roman" w:eastAsia="Times New Roman" w:hAnsi="Times New Roman"/>
          <w:sz w:val="21"/>
          <w:szCs w:val="21"/>
          <w:color w:val="auto"/>
        </w:rPr>
      </w:pPr>
    </w:p>
    <w:p>
      <w:pPr>
        <w:jc w:val="both"/>
        <w:ind w:firstLine="3"/>
        <w:spacing w:after="0" w:line="234" w:lineRule="auto"/>
        <w:tabs>
          <w:tab w:leader="none" w:pos="30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Equity Awards are Time Awards that were forfeited upon or following the Executive’s Pre CIC Termination, but prior to the Change in Control, the Executive shall receive a cash payment in respect of such forfeited Time Awards equal to the product of (w) the volume weighted average price per share of the Company’s common stock over the 20 trading days immediately preceding the Executive’s date of termination (“</w:t>
      </w:r>
      <w:r>
        <w:rPr>
          <w:rFonts w:ascii="Times New Roman" w:cs="Times New Roman" w:eastAsia="Times New Roman" w:hAnsi="Times New Roman"/>
          <w:sz w:val="20"/>
          <w:szCs w:val="20"/>
          <w:i w:val="1"/>
          <w:iCs w:val="1"/>
          <w:color w:val="auto"/>
        </w:rPr>
        <w:t>20 Day VWAP</w:t>
      </w:r>
      <w:r>
        <w:rPr>
          <w:rFonts w:ascii="Times New Roman" w:cs="Times New Roman" w:eastAsia="Times New Roman" w:hAnsi="Times New Roman"/>
          <w:sz w:val="20"/>
          <w:szCs w:val="20"/>
          <w:color w:val="auto"/>
        </w:rPr>
        <w:t>”) and (x) the number of restricted stock units subject to the Time Award that were forfeited upon such Pre CIC Termination, payable at the same time that the forfeited Time Awards would have been settled pursuant to the terms of the applicable award agreement if the Executive had not experienced a termination of employment;</w:t>
      </w:r>
    </w:p>
    <w:p>
      <w:pPr>
        <w:spacing w:after="0" w:line="170" w:lineRule="exact"/>
        <w:rPr>
          <w:rFonts w:ascii="Times New Roman" w:cs="Times New Roman" w:eastAsia="Times New Roman" w:hAnsi="Times New Roman"/>
          <w:sz w:val="20"/>
          <w:szCs w:val="20"/>
          <w:color w:val="auto"/>
        </w:rPr>
      </w:pPr>
    </w:p>
    <w:p>
      <w:pPr>
        <w:jc w:val="both"/>
        <w:ind w:firstLine="3"/>
        <w:spacing w:after="0" w:line="242" w:lineRule="auto"/>
        <w:tabs>
          <w:tab w:leader="none" w:pos="3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Equity Awards are subject to performance-based vesting (the “</w:t>
      </w:r>
      <w:r>
        <w:rPr>
          <w:rFonts w:ascii="Times New Roman" w:cs="Times New Roman" w:eastAsia="Times New Roman" w:hAnsi="Times New Roman"/>
          <w:sz w:val="20"/>
          <w:szCs w:val="20"/>
          <w:i w:val="1"/>
          <w:iCs w:val="1"/>
          <w:color w:val="auto"/>
        </w:rPr>
        <w:t>Performance Awards</w:t>
      </w:r>
      <w:r>
        <w:rPr>
          <w:rFonts w:ascii="Times New Roman" w:cs="Times New Roman" w:eastAsia="Times New Roman" w:hAnsi="Times New Roman"/>
          <w:sz w:val="20"/>
          <w:szCs w:val="20"/>
          <w:color w:val="auto"/>
        </w:rPr>
        <w:t>”) and remain outstanding and unvested as of immediately prior to the Change in Control, such Performance Awards shall vest assuming that any performance conditions are deemed achieved at the greater of target and actual performance, as determined by the Committee (as defined in the Equity Plan), and be settled pursuant to the terms of the Equity Plan and the award agreement governing such Performance Awards; and</w:t>
      </w:r>
    </w:p>
    <w:p>
      <w:pPr>
        <w:spacing w:after="0" w:line="183" w:lineRule="exact"/>
        <w:rPr>
          <w:rFonts w:ascii="Times New Roman" w:cs="Times New Roman" w:eastAsia="Times New Roman" w:hAnsi="Times New Roman"/>
          <w:sz w:val="20"/>
          <w:szCs w:val="20"/>
          <w:color w:val="auto"/>
        </w:rPr>
      </w:pPr>
    </w:p>
    <w:p>
      <w:pPr>
        <w:jc w:val="both"/>
        <w:ind w:firstLine="3"/>
        <w:spacing w:after="0" w:line="224" w:lineRule="auto"/>
        <w:tabs>
          <w:tab w:leader="none" w:pos="37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Equity Awards are Performance Awards that were forfeited upon or following the Executive’s Pre CIC Termination, but prior to the Change in Control, the Executive shall receive a cash payment in respect of such forfeited Performance Awards equal to:</w:t>
      </w:r>
    </w:p>
    <w:p>
      <w:pPr>
        <w:spacing w:after="0" w:line="2" w:lineRule="exact"/>
        <w:rPr>
          <w:rFonts w:ascii="Times New Roman" w:cs="Times New Roman" w:eastAsia="Times New Roman" w:hAnsi="Times New Roman"/>
          <w:sz w:val="21"/>
          <w:szCs w:val="21"/>
          <w:color w:val="auto"/>
        </w:rPr>
      </w:pPr>
    </w:p>
    <w:p>
      <w:pPr>
        <w:jc w:val="both"/>
        <w:ind w:firstLine="1703"/>
        <w:spacing w:after="0" w:line="233" w:lineRule="auto"/>
        <w:tabs>
          <w:tab w:leader="none" w:pos="2011"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such Performance Awards for which the performance cycle ended prior to the Change in Control, the amount Executive would have received in respect of such awards assuming that (I) any performance conditions are deemed achieved at actual performance, as determined by the Committee and (II) the value of each unit underlying such Performance Awards is equal to the 20 Day VWAP; and</w:t>
      </w:r>
    </w:p>
    <w:p>
      <w:pPr>
        <w:spacing w:after="0" w:line="199" w:lineRule="exact"/>
        <w:rPr>
          <w:rFonts w:ascii="Times New Roman" w:cs="Times New Roman" w:eastAsia="Times New Roman" w:hAnsi="Times New Roman"/>
          <w:sz w:val="21"/>
          <w:szCs w:val="21"/>
          <w:color w:val="auto"/>
        </w:rPr>
      </w:pPr>
    </w:p>
    <w:p>
      <w:pPr>
        <w:jc w:val="both"/>
        <w:ind w:firstLine="1703"/>
        <w:spacing w:after="0" w:line="244" w:lineRule="auto"/>
        <w:tabs>
          <w:tab w:leader="none" w:pos="201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such Performance Awards for which the performance cycle has not ended prior to the Change in Control, the amount Executive would have received in respect of such awards assuming that (I) any performance conditions are deemed achieved at the greater of target and actual performance as of the Change in Control, as determined by the Committee, and (II) the value of each unit underlying such Performance Awards is equal to the 20 Day VWAP, with such amounts described in clauses</w:t>
      </w:r>
    </w:p>
    <w:p>
      <w:pPr>
        <w:spacing w:after="0" w:line="1" w:lineRule="exact"/>
        <w:rPr>
          <w:rFonts w:ascii="Times New Roman" w:cs="Times New Roman" w:eastAsia="Times New Roman" w:hAnsi="Times New Roman"/>
          <w:sz w:val="20"/>
          <w:szCs w:val="20"/>
          <w:color w:val="auto"/>
        </w:rPr>
      </w:pPr>
    </w:p>
    <w:p>
      <w:pPr>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(y) and (z) payable at the same time that the Performance Awards would have been settled pursuant to the terms of the Equity Plan and the award agreement governing such Performance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Page 15 of 15</w:t>
      </w:r>
    </w:p>
    <w:p>
      <w:pPr>
        <w:sectPr>
          <w:pgSz w:w="11900" w:h="16838" w:orient="portrait"/>
          <w:cols w:equalWidth="0" w:num="1">
            <w:col w:w="11240"/>
          </w:cols>
          <w:pgMar w:left="320" w:top="133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24130</wp:posOffset>
            </wp:positionV>
            <wp:extent cx="1774190" cy="7029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b w:val="1"/>
          <w:bCs w:val="1"/>
          <w:color w:val="auto"/>
        </w:rPr>
        <w:t>Campbell Soup Company</w:t>
      </w:r>
    </w:p>
    <w:p>
      <w:pPr>
        <w:spacing w:after="0" w:line="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color w:val="auto"/>
        </w:rPr>
        <w:t>Amended and Restated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Policy</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9"/>
          <w:szCs w:val="19"/>
          <w:color w:val="auto"/>
        </w:rPr>
        <w:t>Note: All references in this Policy to “Campbell Soup Company” or “Campbell” include its subsidiaries and affiliated entities. All capitalized words are defined in the “Definitions” section below.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STATEMENT</w:t>
      </w:r>
    </w:p>
    <w:p>
      <w:pPr>
        <w:spacing w:after="0" w:line="24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auto"/>
        </w:rPr>
        <w:t>It is the policy and practice of Campbell Soup Company to comply strictly with laws governing the use of Material Non-Public Information, sometimes more commonly referred to as “inside information.” The unlawful use or communication of Material Non-Public Information by Campbell directors, officers, employees and other service providers could have dire consequences for Campbell and such persons. As such, all Campbell personnel are required to be familiar with this Policy and comply with the procedures described below. Anyone with questions as to the application of this Policy should contact Campbell’s Corporate Secretary or another attorney in Campbell’s Corporate Law Practice Group.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23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8"/>
          <w:szCs w:val="18"/>
          <w:color w:val="auto"/>
        </w:rPr>
        <w:t>This Policy sets forth procedures that all Campbell directors, officers, employees and service providers are required to follow. This Policy also applies apply to your Family Members as well as trusts and other entities owned or controlled by you. The purpose of this Policy is not only to address your legal and ethical obligations, but also to avoid any situation that could damage Campbell’s reputation for integrity and ethical conduct.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Under most circumstances, federal law prohibits:</w:t>
      </w:r>
    </w:p>
    <w:p>
      <w:pPr>
        <w:spacing w:after="0" w:line="245" w:lineRule="exact"/>
        <w:rPr>
          <w:sz w:val="20"/>
          <w:szCs w:val="20"/>
          <w:color w:val="auto"/>
        </w:rPr>
      </w:pPr>
    </w:p>
    <w:p>
      <w:pPr>
        <w:ind w:left="220" w:hanging="217"/>
        <w:spacing w:after="0"/>
        <w:tabs>
          <w:tab w:leader="none" w:pos="22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purchase or sale of Securities of any entity while in possession of Material Non-Public Information about such entity;</w:t>
      </w:r>
    </w:p>
    <w:p>
      <w:pPr>
        <w:spacing w:after="0" w:line="232" w:lineRule="exact"/>
        <w:rPr>
          <w:rFonts w:ascii="Times New Roman" w:cs="Times New Roman" w:eastAsia="Times New Roman" w:hAnsi="Times New Roman"/>
          <w:sz w:val="19"/>
          <w:szCs w:val="19"/>
          <w:color w:val="auto"/>
        </w:rPr>
      </w:pPr>
    </w:p>
    <w:p>
      <w:pPr>
        <w:ind w:right="600" w:firstLine="3"/>
        <w:spacing w:after="0" w:line="282" w:lineRule="auto"/>
        <w:tabs>
          <w:tab w:leader="none" w:pos="278"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communication of Material Non-Public Information to another person who trades on the information or who passes the information on to another who trades, which is known as “tipping;” and</w:t>
      </w:r>
    </w:p>
    <w:p>
      <w:pPr>
        <w:spacing w:after="0" w:line="181" w:lineRule="exact"/>
        <w:rPr>
          <w:rFonts w:ascii="Times New Roman" w:cs="Times New Roman" w:eastAsia="Times New Roman" w:hAnsi="Times New Roman"/>
          <w:sz w:val="19"/>
          <w:szCs w:val="19"/>
          <w:color w:val="auto"/>
        </w:rPr>
      </w:pPr>
    </w:p>
    <w:p>
      <w:pPr>
        <w:ind w:left="340" w:hanging="337"/>
        <w:spacing w:after="0"/>
        <w:tabs>
          <w:tab w:leader="none" w:pos="34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misappropriation (i.e., dishonest taking) of Material Non-Public Information from any entity about another entity’s Security.</w:t>
      </w:r>
    </w:p>
    <w:p>
      <w:pPr>
        <w:spacing w:after="0" w:line="23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The Insider Trading and Securities Fraud Enforcement Act of 1988 authorizes the imposition of substantial penalties for violation of the insider trading laws. A person who has violated the insider trading laws, including, a person who shares inside information with another person who trades on the information, i.e. a “tipper,” may be subject to a criminal penalty of up to $5,000,000 and twenty</w:t>
      </w:r>
    </w:p>
    <w:p>
      <w:pPr>
        <w:spacing w:after="0" w:line="1"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9"/>
          <w:szCs w:val="19"/>
          <w:color w:val="auto"/>
        </w:rPr>
        <w:t>years in prison, and a civil penalty of up to the greater of $1,000,000 or three times the profit gained or loss avoided as a result of such unlawful purchase, sale or communication.</w:t>
      </w:r>
    </w:p>
    <w:p>
      <w:pPr>
        <w:sectPr>
          <w:pgSz w:w="11900" w:h="16838" w:orient="portrait"/>
          <w:cols w:equalWidth="0" w:num="1">
            <w:col w:w="11240"/>
          </w:cols>
          <w:pgMar w:left="320" w:top="135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9"/>
          <w:szCs w:val="19"/>
          <w:b w:val="1"/>
          <w:bCs w:val="1"/>
          <w:color w:val="auto"/>
        </w:rPr>
        <w:t>INSIDER TRADING AND OTHER PROHIBITED ACTIVITIES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Trading Campbell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become aware of Material Non-Public Information relating to Campbell, then you cannot commit to any transaction restricted by this Policy.</w:t>
      </w:r>
    </w:p>
    <w:p>
      <w:pPr>
        <w:spacing w:after="0" w:line="25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Transactions restricted by this Policy include all transactions in Campbell Securities, including sales of Campbell Securities acquired through the exercise of stock options, as well as fund transfers involving Campbell stock in an existing investment account in 401(k) plans, Campbell’s deferred compensation plan or any other Campbell benefit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 following transactions are </w:t>
      </w:r>
      <w:r>
        <w:rPr>
          <w:rFonts w:ascii="Times New Roman" w:cs="Times New Roman" w:eastAsia="Times New Roman" w:hAnsi="Times New Roman"/>
          <w:sz w:val="19"/>
          <w:szCs w:val="19"/>
          <w:b w:val="1"/>
          <w:bCs w:val="1"/>
          <w:color w:val="auto"/>
        </w:rPr>
        <w:t>not</w:t>
      </w:r>
      <w:r>
        <w:rPr>
          <w:rFonts w:ascii="Times New Roman" w:cs="Times New Roman" w:eastAsia="Times New Roman" w:hAnsi="Times New Roman"/>
          <w:sz w:val="19"/>
          <w:szCs w:val="19"/>
          <w:color w:val="auto"/>
        </w:rPr>
        <w:t xml:space="preserve"> restricted by this Policy:</w:t>
      </w:r>
    </w:p>
    <w:p>
      <w:pPr>
        <w:spacing w:after="0" w:line="236" w:lineRule="exact"/>
        <w:rPr>
          <w:sz w:val="20"/>
          <w:szCs w:val="20"/>
          <w:color w:val="auto"/>
        </w:rPr>
      </w:pPr>
    </w:p>
    <w:p>
      <w:pPr>
        <w:jc w:val="both"/>
        <w:ind w:left="620" w:right="80" w:hanging="308"/>
        <w:spacing w:after="0" w:line="261" w:lineRule="auto"/>
        <w:tabs>
          <w:tab w:leader="none" w:pos="609"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acquisitions of shares through the exercise of employee stock options: (a) by tendering cash or shares to Campbell to pay the exercise price or related tax withholding; or (b) through a net share settlement method; however, the sale of stock to obtain the cash needed to exercise an option or pay withholding taxes, or the sale of stock acquired upon the exercise of an option, is restricted by this Policy;</w:t>
      </w:r>
    </w:p>
    <w:p>
      <w:pPr>
        <w:spacing w:after="0" w:line="201"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purchases pursuant to Campbell’s 401(k) or other benefit plans or dividend reinvestment plans pursuant to a pre-existing election;</w:t>
      </w:r>
    </w:p>
    <w:p>
      <w:pPr>
        <w:spacing w:after="0" w:line="256" w:lineRule="exact"/>
        <w:rPr>
          <w:rFonts w:ascii="Times New Roman" w:cs="Times New Roman" w:eastAsia="Times New Roman" w:hAnsi="Times New Roman"/>
          <w:sz w:val="18"/>
          <w:szCs w:val="18"/>
          <w:color w:val="auto"/>
        </w:rPr>
      </w:pPr>
    </w:p>
    <w:p>
      <w:pPr>
        <w:ind w:left="600" w:hanging="288"/>
        <w:spacing w:after="0"/>
        <w:tabs>
          <w:tab w:leader="none" w:pos="60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bona fide gifts of Campbell Securities unless you know the recipient intends to sell the Campbell Security promptly upon receipt;</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pursuant to written plans, which comply with this Policy (as described below);</w:t>
      </w:r>
    </w:p>
    <w:p>
      <w:pPr>
        <w:spacing w:after="0" w:line="245"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of stock to pay applicable withholding taxes upon the vesting of restricted stock; and</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approved by Campbell’s General Counsel (or his or her designee) which are otherwise permitted under applicable law.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 Hedging of Campbell Securities</w:t>
      </w:r>
    </w:p>
    <w:p>
      <w:pPr>
        <w:spacing w:after="0" w:line="25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auto"/>
        </w:rPr>
        <w:t>No director, officer or employee may purchase securities or other financial instruments that Hedge, or are designed to Hedge, the value of any Campbell Security. These transactions commonly involve short sales, “puts,” “calls,” options, swaps, collars, forward sales or similar derivative instruments. Directors and Section 16 Officers of Campbell are prohibited by law from making any short sale (i.e., sale of securities not owned at the time of sale) of Campbell’s stock. In addition, in-and-out trading involving holding of securities for brief periods and other speculative transactions in the Campbell Securities are strictly prohibited.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Prohibition on Pledging of Campbell Securities</w:t>
      </w:r>
    </w:p>
    <w:p>
      <w:pPr>
        <w:spacing w:after="0" w:line="2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9"/>
          <w:szCs w:val="19"/>
          <w:color w:val="auto"/>
        </w:rPr>
        <w:t>No director or Executive Officer may enter into any transaction to pledge, or use as collateral, any Campbell Securities to secure personal loans or other obligations, including holding any Campbell Securities in a margin account.</w:t>
      </w:r>
    </w:p>
    <w:p>
      <w:pPr>
        <w:sectPr>
          <w:pgSz w:w="11900" w:h="16838" w:orient="portrait"/>
          <w:cols w:equalWidth="0" w:num="1">
            <w:col w:w="11200"/>
          </w:cols>
          <w:pgMar w:left="320" w:top="1351"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b w:val="1"/>
          <w:bCs w:val="1"/>
          <w:i w:val="1"/>
          <w:iCs w:val="1"/>
          <w:color w:val="auto"/>
        </w:rPr>
        <w:t>Window Periods for Trades of Campbell Securities</w:t>
      </w:r>
    </w:p>
    <w:p>
      <w:pPr>
        <w:spacing w:after="0" w:line="251" w:lineRule="exact"/>
        <w:rPr>
          <w:sz w:val="20"/>
          <w:szCs w:val="20"/>
          <w:color w:val="auto"/>
        </w:rPr>
      </w:pPr>
    </w:p>
    <w:p>
      <w:pPr>
        <w:ind w:right="760"/>
        <w:spacing w:after="0" w:line="268" w:lineRule="auto"/>
        <w:rPr>
          <w:sz w:val="20"/>
          <w:szCs w:val="20"/>
          <w:color w:val="auto"/>
        </w:rPr>
      </w:pPr>
      <w:r>
        <w:rPr>
          <w:rFonts w:ascii="Times New Roman" w:cs="Times New Roman" w:eastAsia="Times New Roman" w:hAnsi="Times New Roman"/>
          <w:sz w:val="19"/>
          <w:szCs w:val="19"/>
          <w:color w:val="auto"/>
        </w:rPr>
        <w:t>No person in the categories described below, or their Family Members, may commit to any transaction restricted by this Policy involving a Campbell Security, except during a Window Period.</w:t>
      </w:r>
    </w:p>
    <w:p>
      <w:pPr>
        <w:spacing w:after="0" w:line="195" w:lineRule="exact"/>
        <w:rPr>
          <w:sz w:val="20"/>
          <w:szCs w:val="20"/>
          <w:color w:val="auto"/>
        </w:rPr>
      </w:pPr>
    </w:p>
    <w:p>
      <w:pPr>
        <w:ind w:left="620" w:hanging="308"/>
        <w:spacing w:after="0"/>
        <w:tabs>
          <w:tab w:leader="none" w:pos="62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of the Board of Directors of Campbell Soup Company;</w:t>
      </w:r>
    </w:p>
    <w:p>
      <w:pPr>
        <w:spacing w:after="0" w:line="232"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Officers and Section 16 Officers; and</w:t>
      </w:r>
    </w:p>
    <w:p>
      <w:pPr>
        <w:spacing w:after="0" w:line="245" w:lineRule="exact"/>
        <w:rPr>
          <w:rFonts w:ascii="Times New Roman" w:cs="Times New Roman" w:eastAsia="Times New Roman" w:hAnsi="Times New Roman"/>
          <w:sz w:val="19"/>
          <w:szCs w:val="19"/>
          <w:color w:val="auto"/>
        </w:rPr>
      </w:pPr>
    </w:p>
    <w:p>
      <w:pPr>
        <w:ind w:left="620" w:right="400" w:hanging="308"/>
        <w:spacing w:after="0" w:line="282" w:lineRule="auto"/>
        <w:tabs>
          <w:tab w:leader="none" w:pos="62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Those persons or groups of persons identified on Exhibit A to this Policy, which may be amended by the Company’s Legal Department from time to time.</w:t>
      </w:r>
    </w:p>
    <w:p>
      <w:pPr>
        <w:spacing w:after="0" w:line="169"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9"/>
          <w:szCs w:val="19"/>
          <w:color w:val="auto"/>
        </w:rPr>
        <w:t>Note, a Window Period is a Campbell compliance requirement and does not constitute a legal right to trade in Campbell Securities. Accordingly, even during Window Periods, if you are in possession of Material Non-Public Information about Campbell, you may not trade in Campbell Securities. In addition, Campbell can impose a trading moratorium that prohibits trading in Campbell Securities during a certain period, including during a Window Period.</w:t>
      </w:r>
    </w:p>
    <w:p>
      <w:pPr>
        <w:spacing w:after="0" w:line="203"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9"/>
          <w:szCs w:val="19"/>
          <w:color w:val="auto"/>
        </w:rPr>
        <w:t>All other persons subject to this Policy which are not listed in the categories above should use their own judgment in determining whether it is appropriate under this Policy to enter into a particular transaction. However, Campbell encourages you to restrict your trading in Campbell Securities to Window Periods.</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9"/>
          <w:szCs w:val="19"/>
          <w:color w:val="auto"/>
        </w:rPr>
        <w:t>If you have any questions regarding transactions in Campbell Securities or this Policy, please consult with Campbell’s Office of the Corporate Secretary.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Pre-Clearance</w:t>
      </w:r>
    </w:p>
    <w:p>
      <w:pPr>
        <w:spacing w:after="0" w:line="2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9"/>
          <w:szCs w:val="19"/>
          <w:color w:val="auto"/>
        </w:rPr>
        <w:t>Members of Campbell’s Board of Directors and Section 16 Officers, and other persons notified by Campbell’s Legal Department must also have any transactions in Campbell Securities pre-approved by Campbell’s General Counsel or an attorney in the Office of the Corporate Secretary.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Confidentiality of Material Non-Public Information</w:t>
      </w:r>
    </w:p>
    <w:p>
      <w:pPr>
        <w:spacing w:after="0" w:line="25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You cannot directly or indirectly disclose Material Non-Public Information to any other person who could use the information to trade in a Campbell Security. No person subject to this Policy may:</w:t>
      </w:r>
    </w:p>
    <w:p>
      <w:pPr>
        <w:spacing w:after="0" w:line="195" w:lineRule="exact"/>
        <w:rPr>
          <w:sz w:val="20"/>
          <w:szCs w:val="20"/>
          <w:color w:val="auto"/>
        </w:rPr>
      </w:pPr>
    </w:p>
    <w:p>
      <w:pPr>
        <w:ind w:left="620" w:right="280" w:hanging="308"/>
        <w:spacing w:after="0" w:line="282" w:lineRule="auto"/>
        <w:tabs>
          <w:tab w:leader="none" w:pos="60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communicate such information to anyone outside of Campbell other than for legitimate corporate purposes, where appropriate steps have been taken to prevent the misuse of such information;</w:t>
      </w:r>
    </w:p>
    <w:p>
      <w:pPr>
        <w:spacing w:after="0" w:line="169" w:lineRule="exact"/>
        <w:rPr>
          <w:rFonts w:ascii="Times New Roman" w:cs="Times New Roman" w:eastAsia="Times New Roman" w:hAnsi="Times New Roman"/>
          <w:sz w:val="19"/>
          <w:szCs w:val="19"/>
          <w:color w:val="auto"/>
        </w:rPr>
      </w:pPr>
    </w:p>
    <w:p>
      <w:pPr>
        <w:ind w:left="620" w:right="380" w:hanging="308"/>
        <w:spacing w:after="0" w:line="282" w:lineRule="auto"/>
        <w:tabs>
          <w:tab w:leader="none" w:pos="60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communicate such information within Campbell, except on a need-to-know basis, in the ordinary course of business, when you have no reason to believe the information will be misused;</w:t>
      </w:r>
    </w:p>
    <w:p>
      <w:pPr>
        <w:spacing w:after="0" w:line="169"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recommend someone to purchase, sell or retain Campbell Securities when you are in possession of Material Non-Public Information; or</w:t>
      </w:r>
    </w:p>
    <w:p>
      <w:pPr>
        <w:spacing w:after="0" w:line="245"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in any other action to take personal advantage of Material Non-Public Information.</w:t>
      </w:r>
    </w:p>
    <w:p>
      <w:pPr>
        <w:sectPr>
          <w:pgSz w:w="11900" w:h="16838" w:orient="portrait"/>
          <w:cols w:equalWidth="0" w:num="1">
            <w:col w:w="11240"/>
          </w:cols>
          <w:pgMar w:left="320" w:top="1349" w:right="339" w:bottom="1440" w:gutter="0" w:footer="0" w:header="0"/>
        </w:sectPr>
      </w:pPr>
    </w:p>
    <w:bookmarkStart w:id="108" w:name="page109"/>
    <w:bookmarkEnd w:id="108"/>
    <w:p>
      <w:pPr>
        <w:ind w:right="640"/>
        <w:spacing w:after="0" w:line="282" w:lineRule="auto"/>
        <w:rPr>
          <w:sz w:val="20"/>
          <w:szCs w:val="20"/>
          <w:color w:val="auto"/>
        </w:rPr>
      </w:pPr>
      <w:r>
        <w:rPr>
          <w:rFonts w:ascii="Times New Roman" w:cs="Times New Roman" w:eastAsia="Times New Roman" w:hAnsi="Times New Roman"/>
          <w:sz w:val="19"/>
          <w:szCs w:val="19"/>
          <w:color w:val="auto"/>
        </w:rPr>
        <w:t>You should consult with Campbell’s Corporate Secretary or another attorney in Campbell’s Corporate Law Practice Group before disclosing Material Non-Public Information to ensure that you do not violate the Policy.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Trading in Campbell Securities pursuant to Written Plans</w:t>
      </w:r>
    </w:p>
    <w:p>
      <w:pPr>
        <w:spacing w:after="0" w:line="2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auto"/>
        </w:rPr>
        <w:t>The sections of this Policy restricting trading in Campbell Securities do not apply to transactions in Campbell Securities made pursuant to a written plan meeting the requirements of this Policy and Rule 10b5-1 of the Exchange Act (“Rule 10b5-1 Plan”). A Rule 10b5-1 Plan may serve as an affirmative defense to liability for insider trading where the individual can demonstrate that any Material Non-Public Information that the individual may have been aware of did not factor into the decision to trade when the trade is made pursuant to a pre-existing plan, contract or instruction that was made in good faith.</w:t>
      </w:r>
    </w:p>
    <w:p>
      <w:pPr>
        <w:spacing w:after="0" w:line="20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 xml:space="preserve">However, trading pursuant to a Rule 10b5-1 Plan only provides an affirmative defense against claims of insider trading under Rule 10b-5 of the Exchange Act. Trading under Rule 10b5-1 Plans </w:t>
      </w:r>
      <w:r>
        <w:rPr>
          <w:rFonts w:ascii="Times New Roman" w:cs="Times New Roman" w:eastAsia="Times New Roman" w:hAnsi="Times New Roman"/>
          <w:sz w:val="19"/>
          <w:szCs w:val="19"/>
          <w:b w:val="1"/>
          <w:bCs w:val="1"/>
          <w:color w:val="auto"/>
        </w:rPr>
        <w:t>does not</w:t>
      </w:r>
      <w:r>
        <w:rPr>
          <w:rFonts w:ascii="Times New Roman" w:cs="Times New Roman" w:eastAsia="Times New Roman" w:hAnsi="Times New Roman"/>
          <w:sz w:val="19"/>
          <w:szCs w:val="19"/>
          <w:color w:val="auto"/>
        </w:rPr>
        <w:t xml:space="preserve"> exempt Section 16 Officers and directors from the short-swing profit liability provisions of Section 16 of the Exchange Act. Therefore, all Rule 10b5-1 Plans for such officers and directors should be drafted to ensure that Section 16 of the Exchange Act will not be violated.</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To comply with this Policy and Rule 10b5-1, you </w:t>
      </w:r>
      <w:r>
        <w:rPr>
          <w:rFonts w:ascii="Times New Roman" w:cs="Times New Roman" w:eastAsia="Times New Roman" w:hAnsi="Times New Roman"/>
          <w:sz w:val="19"/>
          <w:szCs w:val="19"/>
          <w:b w:val="1"/>
          <w:bCs w:val="1"/>
          <w:color w:val="auto"/>
        </w:rPr>
        <w:t>must not</w:t>
      </w:r>
      <w:r>
        <w:rPr>
          <w:rFonts w:ascii="Times New Roman" w:cs="Times New Roman" w:eastAsia="Times New Roman" w:hAnsi="Times New Roman"/>
          <w:sz w:val="19"/>
          <w:szCs w:val="19"/>
          <w:color w:val="auto"/>
        </w:rPr>
        <w:t xml:space="preserve"> be in possession of Material Non- Public Information at the time you enter into the Rule 10b5-1 Plan. Accordingly, Rule 10b5-1 Plans must be entered into during open Window Periods and when a trading moratorium is not in place. The Rule 10b5-1 Plans should be executed by you and the person who will direct the trading before any transactions occur. Further, the Rule 10b5-1 Plan must:</w:t>
      </w:r>
    </w:p>
    <w:p>
      <w:pPr>
        <w:spacing w:after="0" w:line="203" w:lineRule="exact"/>
        <w:rPr>
          <w:sz w:val="20"/>
          <w:szCs w:val="20"/>
          <w:color w:val="auto"/>
        </w:rPr>
      </w:pPr>
    </w:p>
    <w:p>
      <w:pPr>
        <w:ind w:left="620" w:right="100" w:hanging="308"/>
        <w:spacing w:after="0" w:line="268" w:lineRule="auto"/>
        <w:tabs>
          <w:tab w:leader="none" w:pos="609"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specify the amount of Campbell Securities to be purchased or sold, the price or prices at which the Campbell Securities are to be traded and the date and dates on which the Campbell Securities are to be purchased or sold; or</w:t>
      </w:r>
    </w:p>
    <w:p>
      <w:pPr>
        <w:spacing w:after="0" w:line="194"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 a written formula or algorithm, or computer program for determining the amount, price and date; and/or</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 discretion over trading decisions to a third party who is not and does not come into possession of</w:t>
      </w:r>
    </w:p>
    <w:p>
      <w:pPr>
        <w:spacing w:after="0" w:line="24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9"/>
          <w:szCs w:val="19"/>
          <w:color w:val="auto"/>
        </w:rPr>
        <w:t>The actual purchases or sales must be pursuant to the Rule 10b5-1 Plan without altering or deviating from it or entering into or attaining a corresponding or hedging transaction or position. The Rule 10b5-1 Plan must have been entered into in good faith and not as part of a plan or scheme to evade the purposes of this Policy or the securities laws. You must act in good faith with respect to the Rule 10b5-1 Plan (including any adoption, amendment or termination) from adoption through its duration.</w:t>
      </w:r>
    </w:p>
    <w:p>
      <w:pPr>
        <w:spacing w:after="0" w:line="19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9"/>
          <w:szCs w:val="19"/>
          <w:color w:val="auto"/>
        </w:rPr>
        <w:t>Accordingly, all Rule 10b5-1 Plans must include a certification that at the time of the adoption of the Rule 10b5-1 Plan: (1) you are not aware of Material Non-Public Information about Campbell or its securities; and (2) you are adopting the Rule 10b5-1 Plan in good faith and not as part of a plan or scheme to evade the prohibitions of Rule 10b-5. Transactions under a Rule 10b5-1 Plan adopted by any Campbell director or Section 16 Officer shall not commence until the later of: (a) 90 days after the adoption of the Rule 10b5-1 Plan; or (b) two business days following the disclosure of the Campbell’s financial results in a Form 10-Q or 10-K for the fiscal quarter in which the Rule 105b-1 Plan was adopted (“Cooling-Off Period”). Notwithstanding the above, the maximum Cooling-Off Period is 120 days. With respect to other</w:t>
      </w:r>
    </w:p>
    <w:p>
      <w:pPr>
        <w:sectPr>
          <w:pgSz w:w="11900" w:h="16838" w:orient="portrait"/>
          <w:cols w:equalWidth="0" w:num="1">
            <w:col w:w="11240"/>
          </w:cols>
          <w:pgMar w:left="320" w:top="135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9"/>
          <w:szCs w:val="19"/>
          <w:color w:val="auto"/>
        </w:rPr>
        <w:t>officers and employees, a Rule 10b5-1 Plan shall commence no earlier than thirty (30) days following the execution of the Rule 10b5-1 Plan.</w:t>
      </w: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No person subject to this Policy may have more than one outstanding (and may not subsequently enter into any additional) Rule 10b5-1 Plan for purchases or sales of any class of securities of Campbell on the open market during the same period, except for separate Rule 10b5-1 Plans for “sell-to-cover” transactions in which a person instructs their agent to sell securities in order to satisfy tax withholding obligations at the time an equity award vests.</w:t>
      </w:r>
    </w:p>
    <w:p>
      <w:pPr>
        <w:spacing w:after="0" w:line="2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9"/>
          <w:szCs w:val="19"/>
          <w:color w:val="auto"/>
        </w:rPr>
        <w:t>Finally, all Rule 10b5-1 Plans for Campbell personnel subject to the Window Periods, must be submitted in advance to the Office of the Corporate Secretary for review and approval.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Trading Non-Campbell Securities</w:t>
      </w: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Campbell’s reputation with its customers and other business partners depends on the trust and confidence we have established with them. Maintaining the confidentiality of information Campbell receives from them, including their actions and expected plans, is fundamental to that trust and confidence. In order to maintain it, all persons subject to this Policy are prohibited from using Material Non-Public Information of any customer, supplier or other current or prospective business partner to trade in their Securities. Material Non-Public Information obtained by persons subject to this Policy about any business entities with which Campbell works, whether or not in the course of their work for Campbell, should not be communicated to anyone in violation of any law, regulation or other applicable requirement.</w:t>
      </w:r>
    </w:p>
    <w:p>
      <w:pPr>
        <w:spacing w:after="0" w:line="197"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8"/>
          <w:szCs w:val="18"/>
          <w:color w:val="auto"/>
        </w:rPr>
        <w:t>All persons are strictly prohibited from using any Material Non-Public Information obtained at or through their employment or relationship with Campbell for any non-Campbell business purpose. No person may, under any circumstances, use confidential information obtained at or through Campbell, or from any sources, in deciding whether to buy, sell or hold Non-Campbell Securities, or in assisting others in making such a decision.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Post-Termination Transactions</w:t>
      </w:r>
    </w:p>
    <w:p>
      <w:pPr>
        <w:spacing w:after="0" w:line="2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The portions of this Policy relating to trading while in possession of Material Non-Public Information and the use or disclosure of that information continue to apply to transactions in Campbell Securities even after termination of employment or association with Campbell. If you are in possession of Material Non-Public Information when your employment or other business relationship ends, you may not trade in Campbell Securities or disclose the Material Non-Public Information to anyone else until that information is made public or becomes no longer material. In addition, if you are subject to Window Periods and the Campbell’s trading window is closed at the time of your termination of employment, you should not trade in Campbell Securities until the next Campbell Window Period opens.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Repurchases of Campbell Securities by Campbell</w:t>
      </w:r>
    </w:p>
    <w:p>
      <w:pPr>
        <w:spacing w:after="0" w:line="25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color w:val="auto"/>
        </w:rPr>
        <w:t>Campbell open market repurchases of its common stock are subject to the Window Period restrictions of this Policy, unless otherwise approved by the General Counsel.</w:t>
      </w:r>
    </w:p>
    <w:p>
      <w:pPr>
        <w:sectPr>
          <w:pgSz w:w="11900" w:h="16838" w:orient="portrait"/>
          <w:cols w:equalWidth="0" w:num="1">
            <w:col w:w="11220"/>
          </w:cols>
          <w:pgMar w:left="320" w:top="1355"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Campbell Security</w:t>
      </w:r>
    </w:p>
    <w:p>
      <w:pPr>
        <w:spacing w:after="0" w:line="23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9"/>
          <w:szCs w:val="19"/>
          <w:color w:val="auto"/>
        </w:rPr>
        <w:t>Includes any Security issued by Campbell, its subsidiaries or affiliates, including securities issued by any person that derive their value from the value of a security issued by Campbell, its subsidiaries or affiliates, such as phantom stock or stock units you may acquire through Campbell’s benefit plans.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Exchange Act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Exchange Act means the Securities Exchange Act of 1934, as amended.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Executive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officer has such meaning as defined in Section 3b-7 of the Exchange Act.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Family Members</w:t>
      </w:r>
    </w:p>
    <w:p>
      <w:pPr>
        <w:spacing w:after="0" w:line="2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Includes your spouse, children (including adopted children and step-children), grandchildren, siblings, parents, grandparents, and any in-laws with which you share your household or whose transactions are subject to your influence or control. This Policy also covers Campbell Securities held by trusts (of which you are a trustee or beneficiary) as well as partnerships, LLCs or corporations that you directly or indirectly control. Control is presumed to exist if you are a director or executive officer of such an entity or if you beneficially own more than 10% of such entity’s voting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Hedge</w:t>
      </w:r>
    </w:p>
    <w:p>
      <w:pPr>
        <w:spacing w:after="0" w:line="25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auto"/>
        </w:rPr>
        <w:t>Includes any security transaction that reduces the risk on an already existing investment position in a Campbell Security, including the purchase or sale of options, puts, calls, straddles, equity swaps or other derivatives linked to a Campbell 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Material Non-Public Information</w:t>
      </w:r>
    </w:p>
    <w:p>
      <w:pPr>
        <w:spacing w:after="0" w:line="23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Any information (whether fact, development or intended action) that a reasonable investor would consider significant in determining whether to buy, sell, or hold a company’s securities, such as information that could reasonably be expected to affect the market price of such securities. Both positive and negative information may be material. It is impossible to give an exhaustive list of all types of material events, but the following illustrated items are often considered to be material:</w:t>
      </w:r>
    </w:p>
    <w:p>
      <w:pPr>
        <w:spacing w:after="0" w:line="203" w:lineRule="exact"/>
        <w:rPr>
          <w:sz w:val="20"/>
          <w:szCs w:val="20"/>
          <w:color w:val="auto"/>
        </w:rPr>
      </w:pPr>
    </w:p>
    <w:p>
      <w:pPr>
        <w:ind w:left="600" w:hanging="288"/>
        <w:spacing w:after="0"/>
        <w:tabs>
          <w:tab w:leader="none" w:pos="60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originating within Campbell with respect to its earnings and sales;</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earnings guidance;</w:t>
      </w:r>
    </w:p>
    <w:p>
      <w:pPr>
        <w:spacing w:after="0" w:line="245"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balance sheet, capital and ratings issues;</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mergers, acquisitions, divestitures, tender offers, joint ventures, or changes in assets;</w:t>
      </w:r>
    </w:p>
    <w:p>
      <w:pPr>
        <w:spacing w:after="0" w:line="245"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auditors or auditor notification that the issuer may no longer rely on an audit report;</w:t>
      </w:r>
    </w:p>
    <w:p>
      <w:pPr>
        <w:sectPr>
          <w:pgSz w:w="11900" w:h="16838" w:orient="portrait"/>
          <w:cols w:equalWidth="0" w:num="1">
            <w:col w:w="11240"/>
          </w:cols>
          <w:pgMar w:left="320" w:top="1351" w:right="339" w:bottom="1440" w:gutter="0" w:footer="0" w:header="0"/>
        </w:sectPr>
      </w:pPr>
    </w:p>
    <w:bookmarkStart w:id="111" w:name="page112"/>
    <w:bookmarkEnd w:id="111"/>
    <w:p>
      <w:pPr>
        <w:ind w:left="620" w:right="260" w:hanging="308"/>
        <w:spacing w:after="0" w:line="261" w:lineRule="auto"/>
        <w:tabs>
          <w:tab w:leader="none" w:pos="609"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events regarding Campbell Securities (e.g., defaults, calls of securities for redemption, repurchase plans, stock splits or changes in dividends, changes to the rights of securityholders, public or private sales of additional securities or information related to any additional funding);</w:t>
      </w:r>
    </w:p>
    <w:p>
      <w:pPr>
        <w:spacing w:after="0" w:line="201"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key management; and</w:t>
      </w:r>
    </w:p>
    <w:p>
      <w:pPr>
        <w:spacing w:after="0" w:line="232" w:lineRule="exact"/>
        <w:rPr>
          <w:rFonts w:ascii="Times New Roman" w:cs="Times New Roman" w:eastAsia="Times New Roman" w:hAnsi="Times New Roman"/>
          <w:sz w:val="19"/>
          <w:szCs w:val="19"/>
          <w:color w:val="auto"/>
        </w:rPr>
      </w:pPr>
    </w:p>
    <w:p>
      <w:pPr>
        <w:ind w:left="600" w:hanging="288"/>
        <w:spacing w:after="0"/>
        <w:tabs>
          <w:tab w:leader="none" w:pos="60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unusual and other major business developments, such as material cybersecurity breaches.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 may also include information originating outside Campbell such as planned sales or purchases of Campbell Securities by third parties.</w:t>
      </w: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Information is non-public if it has not been disseminated in a manner reasonably designed to provide broad, non-exclusionary distribution of the information to the public such that it has been available for a reasonable period of time to allow the securities markets the opportunity to digest the information. This may be accomplished through the filing of a Form 8-K with the SEC, the dissemination of a press release, or a webcast or call that has been the subject of adequate notice. The period of time necessary for the public to digest the information may vary based upon the facts of each situation, but generally at least one (1) trading day should elapse between the first public disclosure of Material Non-Public Information and any trading.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Non-Campbell Security</w:t>
      </w:r>
    </w:p>
    <w:p>
      <w:pPr>
        <w:spacing w:after="0" w:line="25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Includes any security issued by any entity other than Campbell, its subsidiaries or affiliates, including any securities issued by any person that derive their value from the value of a security issued by such entity, such as phantom stock or stock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Policy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Insider Trading Policy, as may be amended from time to time.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Section 16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16 Officer is any officer of Campbell as defined in Rule 16a-1(f) of the Exchange Act.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Security</w:t>
      </w:r>
    </w:p>
    <w:p>
      <w:pPr>
        <w:spacing w:after="0" w:line="25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9"/>
          <w:szCs w:val="19"/>
          <w:color w:val="auto"/>
        </w:rPr>
        <w:t>Includes any security issued by any entity, including common stock, preferred stock, debt securities, warrants and stock purchase rights as well as option positions on any of these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puts, calls and straddles), whether publicly or privately traded.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Window Periods</w:t>
      </w:r>
    </w:p>
    <w:p>
      <w:pPr>
        <w:spacing w:after="0" w:line="23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9"/>
          <w:szCs w:val="19"/>
          <w:color w:val="auto"/>
        </w:rPr>
        <w:t>The period in which Campbell generally permits certain categories of its personnel (referred to above and on Exhibit A) to trade Campbell Securities. The Window Period typically begins on the second full trading day following the furnishing of quarterly earnings release on Form 8-Kand ends on the first business day immediately preceding three weeks prior to the close of the fiscal quarter. The exact dates for each Window Period will be announced and communicated by the Legal Department.</w:t>
      </w:r>
    </w:p>
    <w:p>
      <w:pPr>
        <w:sectPr>
          <w:pgSz w:w="11900" w:h="16838" w:orient="portrait"/>
          <w:cols w:equalWidth="0" w:num="1">
            <w:col w:w="11220"/>
          </w:cols>
          <w:pgMar w:left="320" w:top="1355"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9"/>
          <w:szCs w:val="19"/>
          <w:b w:val="1"/>
          <w:bCs w:val="1"/>
          <w:color w:val="auto"/>
        </w:rPr>
        <w:t>COMPLIANCE</w:t>
      </w:r>
    </w:p>
    <w:p>
      <w:pPr>
        <w:spacing w:after="0" w:line="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We recognize that even innocent actions can potentially create an appearance of impropriety, and that this appearance alone could damage the reputation of Campbell. The policies and the other procedures set forth herein were designed with this “appearance” issue in mind. It goes without saying that the actual misuse of Material Non-Public Information – whether or not the information is obtained through Campbell and whether or not involving the purchase or sale of a Campbell Security or Non-Campbell Security – is, of course, prohibited.</w:t>
      </w:r>
    </w:p>
    <w:p>
      <w:pPr>
        <w:spacing w:after="0" w:line="21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9"/>
          <w:szCs w:val="19"/>
          <w:color w:val="auto"/>
        </w:rPr>
        <w:t>Campbell expects the strictest compliance with this Policy. Failure to comply with it may result in serious legal consequences for the person involved as well as for Campbell. Failure to comply with the letter and spirit of this Policy would be considered a basis for disciplinary action, including and up to, termination of employment or relationship with Campbell, whether or not your failure to comply with this Policy results in a violation of law. Violation of this Policy may expose the violator to serious civil and criminal penalties.</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This Policy also applies to Family Members of directors, officers, employees and each person who has any fiduciary relationship to Campbell, such as consultants, bankers, accountants, legal counsel and other agents. Such persons are responsible for informing the Family Members sharing their personal household about this Policy and their compliance obligations.</w:t>
      </w:r>
    </w:p>
    <w:p>
      <w:pPr>
        <w:spacing w:after="0" w:line="182" w:lineRule="exact"/>
        <w:rPr>
          <w:sz w:val="20"/>
          <w:szCs w:val="20"/>
          <w:color w:val="auto"/>
        </w:rPr>
      </w:pPr>
    </w:p>
    <w:p>
      <w:pPr>
        <w:ind w:right="40"/>
        <w:spacing w:after="0" w:line="311" w:lineRule="auto"/>
        <w:rPr>
          <w:sz w:val="20"/>
          <w:szCs w:val="20"/>
          <w:color w:val="auto"/>
        </w:rPr>
      </w:pPr>
      <w:r>
        <w:rPr>
          <w:rFonts w:ascii="Times New Roman" w:cs="Times New Roman" w:eastAsia="Times New Roman" w:hAnsi="Times New Roman"/>
          <w:sz w:val="18"/>
          <w:szCs w:val="18"/>
          <w:color w:val="auto"/>
        </w:rPr>
        <w:t>If you have any doubt or uncertainty as to your responsibilities under this Policy, you should seek clarification and guidance from Campbell’s Corporate Secretary or another attorney in Campbell’s Corporate Law Practice Group. You should not try to resolve any uncertainties on your own.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Issued: November 2016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Amended and Restated: February 2019 and March 2023</w:t>
      </w:r>
    </w:p>
    <w:p>
      <w:pPr>
        <w:sectPr>
          <w:pgSz w:w="11900" w:h="16838" w:orient="portrait"/>
          <w:cols w:equalWidth="0" w:num="1">
            <w:col w:w="11180"/>
          </w:cols>
          <w:pgMar w:left="320" w:top="1351" w:right="399" w:bottom="1440" w:gutter="0" w:footer="0" w:header="0"/>
        </w:sectPr>
      </w:pPr>
    </w:p>
    <w:bookmarkStart w:id="113" w:name="page114"/>
    <w:bookmarkEnd w:id="113"/>
    <w:p>
      <w:pPr>
        <w:jc w:val="center"/>
        <w:ind w:right="-239"/>
        <w:spacing w:after="0"/>
        <w:rPr>
          <w:sz w:val="20"/>
          <w:szCs w:val="20"/>
          <w:color w:val="auto"/>
        </w:rPr>
      </w:pPr>
      <w:r>
        <w:rPr>
          <w:rFonts w:ascii="Times New Roman" w:cs="Times New Roman" w:eastAsia="Times New Roman" w:hAnsi="Times New Roman"/>
          <w:sz w:val="19"/>
          <w:szCs w:val="19"/>
          <w:b w:val="1"/>
          <w:bCs w:val="1"/>
          <w:u w:val="single" w:color="auto"/>
          <w:color w:val="auto"/>
        </w:rPr>
        <w:t>Exhibit A to Insider Trading Policy</w:t>
      </w:r>
    </w:p>
    <w:p>
      <w:pPr>
        <w:spacing w:after="0" w:line="2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u w:val="single" w:color="auto"/>
          <w:color w:val="auto"/>
        </w:rPr>
        <w:t>Dated: June 2021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Persons Subject to Window Periods</w:t>
      </w: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addition to members of the Campbell Soup Company Board of Directors and the Executive Officers and Section 16 Officers of Campbell Soup Company, the following persons and groups of people may not commit to any transaction involving a Campbell Security that is restricted by this Policy except during a Window Period:</w:t>
      </w:r>
    </w:p>
    <w:p>
      <w:pPr>
        <w:spacing w:after="0" w:line="202" w:lineRule="exact"/>
        <w:rPr>
          <w:sz w:val="20"/>
          <w:szCs w:val="20"/>
          <w:color w:val="auto"/>
        </w:rPr>
      </w:pPr>
    </w:p>
    <w:p>
      <w:pPr>
        <w:ind w:left="620" w:hanging="308"/>
        <w:spacing w:after="0"/>
        <w:tabs>
          <w:tab w:leader="none" w:pos="62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of the Operating Committee, Campbell Leadership Team and any of their direct reports;</w:t>
      </w:r>
    </w:p>
    <w:p>
      <w:pPr>
        <w:spacing w:after="0" w:line="232"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of the Campbell Enterprise Leadership Team</w:t>
      </w:r>
    </w:p>
    <w:p>
      <w:pPr>
        <w:spacing w:after="0" w:line="245"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Employees in salary bands “A” and “B”; and</w:t>
      </w:r>
    </w:p>
    <w:p>
      <w:pPr>
        <w:spacing w:after="0" w:line="232" w:lineRule="exact"/>
        <w:rPr>
          <w:rFonts w:ascii="Times New Roman" w:cs="Times New Roman" w:eastAsia="Times New Roman" w:hAnsi="Times New Roman"/>
          <w:sz w:val="19"/>
          <w:szCs w:val="19"/>
          <w:color w:val="auto"/>
        </w:rPr>
      </w:pPr>
    </w:p>
    <w:p>
      <w:pPr>
        <w:ind w:left="620" w:hanging="308"/>
        <w:spacing w:after="0"/>
        <w:tabs>
          <w:tab w:leader="none" w:pos="62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employees who shall be notified from time to time by Campbell’s Legal Department.</w:t>
      </w:r>
    </w:p>
    <w:p>
      <w:pPr>
        <w:sectPr>
          <w:pgSz w:w="11900" w:h="16838" w:orient="portrait"/>
          <w:cols w:equalWidth="0" w:num="1">
            <w:col w:w="11020"/>
          </w:cols>
          <w:pgMar w:left="320" w:top="1351" w:right="55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80" w:type="dxa"/>
            <w:vAlign w:val="bottom"/>
          </w:tcPr>
          <w:p>
            <w:pPr>
              <w:spacing w:after="0"/>
              <w:rPr>
                <w:sz w:val="19"/>
                <w:szCs w:val="19"/>
                <w:color w:val="auto"/>
              </w:rPr>
            </w:pPr>
          </w:p>
        </w:tc>
        <w:tc>
          <w:tcPr>
            <w:tcW w:w="67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SUBSIDIARY LIST</w:t>
            </w: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5"/>
        </w:trPr>
        <w:tc>
          <w:tcPr>
            <w:tcW w:w="4380" w:type="dxa"/>
            <w:vAlign w:val="bottom"/>
            <w:shd w:val="clear" w:color="auto" w:fill="E6E6E6"/>
          </w:tcPr>
          <w:p>
            <w:pPr>
              <w:ind w:left="1660"/>
              <w:spacing w:after="0"/>
              <w:rPr>
                <w:sz w:val="20"/>
                <w:szCs w:val="20"/>
                <w:color w:val="auto"/>
              </w:rPr>
            </w:pPr>
            <w:r>
              <w:rPr>
                <w:rFonts w:ascii="Times New Roman" w:cs="Times New Roman" w:eastAsia="Times New Roman" w:hAnsi="Times New Roman"/>
                <w:sz w:val="17"/>
                <w:szCs w:val="17"/>
                <w:b w:val="1"/>
                <w:bCs w:val="1"/>
                <w:color w:val="auto"/>
              </w:rPr>
              <w:t>Name of Subsidiary and Name</w:t>
            </w:r>
          </w:p>
        </w:tc>
        <w:tc>
          <w:tcPr>
            <w:tcW w:w="1240" w:type="dxa"/>
            <w:vAlign w:val="bottom"/>
            <w:tcBorders>
              <w:right w:val="single" w:sz="8" w:color="00000A"/>
            </w:tcBorders>
            <w:shd w:val="clear" w:color="auto" w:fill="E6E6E6"/>
          </w:tcPr>
          <w:p>
            <w:pPr>
              <w:spacing w:after="0"/>
              <w:rPr>
                <w:sz w:val="24"/>
                <w:szCs w:val="24"/>
                <w:color w:val="auto"/>
              </w:rPr>
            </w:pPr>
          </w:p>
        </w:tc>
        <w:tc>
          <w:tcPr>
            <w:tcW w:w="5540" w:type="dxa"/>
            <w:vAlign w:val="bottom"/>
            <w:vMerge w:val="restart"/>
            <w:shd w:val="clear" w:color="auto" w:fill="E6E6E6"/>
          </w:tcPr>
          <w:p>
            <w:pPr>
              <w:ind w:left="17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00000A"/>
            </w:tcBorders>
            <w:shd w:val="clear" w:color="auto" w:fill="E6E6E6"/>
          </w:tcPr>
          <w:p>
            <w:pPr>
              <w:ind w:left="1680"/>
              <w:spacing w:after="0"/>
              <w:rPr>
                <w:sz w:val="20"/>
                <w:szCs w:val="20"/>
                <w:color w:val="auto"/>
              </w:rPr>
            </w:pPr>
            <w:r>
              <w:rPr>
                <w:rFonts w:ascii="Times New Roman" w:cs="Times New Roman" w:eastAsia="Times New Roman" w:hAnsi="Times New Roman"/>
                <w:sz w:val="17"/>
                <w:szCs w:val="17"/>
                <w:b w:val="1"/>
                <w:bCs w:val="1"/>
                <w:color w:val="auto"/>
              </w:rPr>
              <w:t>Under Which It Does Business</w:t>
            </w:r>
          </w:p>
        </w:tc>
        <w:tc>
          <w:tcPr>
            <w:tcW w:w="1240" w:type="dxa"/>
            <w:vAlign w:val="bottom"/>
            <w:tcBorders>
              <w:bottom w:val="single" w:sz="8" w:color="00000A"/>
              <w:right w:val="single" w:sz="8" w:color="00000A"/>
            </w:tcBorders>
            <w:shd w:val="clear" w:color="auto" w:fill="E6E6E6"/>
          </w:tcPr>
          <w:p>
            <w:pPr>
              <w:spacing w:after="0"/>
              <w:rPr>
                <w:sz w:val="19"/>
                <w:szCs w:val="19"/>
                <w:color w:val="auto"/>
              </w:rPr>
            </w:pPr>
          </w:p>
        </w:tc>
        <w:tc>
          <w:tcPr>
            <w:tcW w:w="5540" w:type="dxa"/>
            <w:vAlign w:val="bottom"/>
            <w:tcBorders>
              <w:bottom w:val="single" w:sz="8" w:color="00000A"/>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1035 Line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3330472 Nova Scotia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Bottom Line Food Processors,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CAH Corporation</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Argentina S.A.</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Argentina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Company of Canada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EU Investment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Finance 2 Corp.</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Foodservice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Pennsylvania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Hong Kong Limited</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International Holdings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Investment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Jin Bao Tang,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MFG 1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Sales Company</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Snacks Europe,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Soup Asia Limited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Soup Dominicana, S.A.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Dominican Republic</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Soup Supply Company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Sud America S.A.</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Uruguay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Swire (HK) Ltd</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Campbell Swire (Xiamen) Co Ltd</w:t>
            </w:r>
          </w:p>
        </w:tc>
        <w:tc>
          <w:tcPr>
            <w:tcW w:w="1240" w:type="dxa"/>
            <w:vAlign w:val="bottom"/>
            <w:tcBorders>
              <w:bottom w:val="single" w:sz="8" w:color="auto"/>
              <w:right w:val="single" w:sz="8" w:color="00000A"/>
            </w:tcBorders>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 U.S. Holdings, Inc.</w:t>
            </w:r>
          </w:p>
        </w:tc>
        <w:tc>
          <w:tcPr>
            <w:tcW w:w="1240" w:type="dxa"/>
            <w:vAlign w:val="bottom"/>
            <w:tcBorders>
              <w:bottom w:val="single" w:sz="8" w:color="auto"/>
              <w:right w:val="single" w:sz="8" w:color="00000A"/>
            </w:tcBorders>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Campbell Urban Renewal Corporation</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Campbell’s de Mexico S.A. de C. V.</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CANEB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CanFin Holdings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CIRT Urban Renewal Corp.</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Comercializadora Campbell de Guatemala, Limitada</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Guatemala</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CS Foods,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Missouri</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CSC Brands LP</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CSC Insights,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CSC Standards,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CSnacks Combo,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EDS Investments, LLC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Joseph Campbell Company</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New Jersey</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Noosa Acquirer,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Noosa Holdings, Inc.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Noosa Intermediate,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Noosa Yoghurt,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Colorado</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Pacific Foods Investments, Inc.</w:t>
            </w:r>
          </w:p>
        </w:tc>
        <w:tc>
          <w:tcPr>
            <w:tcW w:w="1240" w:type="dxa"/>
            <w:vAlign w:val="bottom"/>
            <w:tcBorders>
              <w:bottom w:val="single" w:sz="8" w:color="00000A"/>
              <w:right w:val="single" w:sz="8" w:color="00000A"/>
            </w:tcBorders>
            <w:shd w:val="clear" w:color="auto" w:fill="CCEEFF"/>
          </w:tcPr>
          <w:p>
            <w:pPr>
              <w:spacing w:after="0"/>
              <w:rPr>
                <w:sz w:val="18"/>
                <w:szCs w:val="18"/>
                <w:color w:val="auto"/>
              </w:rPr>
            </w:pP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Pacific Foods of Oregon, LLC</w:t>
            </w:r>
          </w:p>
        </w:tc>
        <w:tc>
          <w:tcPr>
            <w:tcW w:w="1240" w:type="dxa"/>
            <w:vAlign w:val="bottom"/>
            <w:tcBorders>
              <w:bottom w:val="single" w:sz="8" w:color="00000A"/>
              <w:right w:val="single" w:sz="8" w:color="00000A"/>
            </w:tcBorders>
          </w:tcPr>
          <w:p>
            <w:pPr>
              <w:spacing w:after="0"/>
              <w:rPr>
                <w:sz w:val="18"/>
                <w:szCs w:val="18"/>
                <w:color w:val="auto"/>
              </w:rPr>
            </w:pPr>
          </w:p>
        </w:tc>
        <w:tc>
          <w:tcPr>
            <w:tcW w:w="5540" w:type="dxa"/>
            <w:vAlign w:val="bottom"/>
            <w:tcBorders>
              <w:bottom w:val="single" w:sz="8" w:color="00000A"/>
            </w:tcBorders>
          </w:tcPr>
          <w:p>
            <w:pPr>
              <w:spacing w:after="0"/>
              <w:rPr>
                <w:sz w:val="20"/>
                <w:szCs w:val="20"/>
                <w:color w:val="auto"/>
              </w:rPr>
            </w:pPr>
            <w:r>
              <w:rPr>
                <w:rFonts w:ascii="Times New Roman" w:cs="Times New Roman" w:eastAsia="Times New Roman" w:hAnsi="Times New Roman"/>
                <w:sz w:val="17"/>
                <w:szCs w:val="17"/>
                <w:color w:val="auto"/>
              </w:rPr>
              <w:t>Oregon</w:t>
            </w:r>
          </w:p>
        </w:tc>
        <w:tc>
          <w:tcPr>
            <w:tcW w:w="0" w:type="dxa"/>
            <w:vAlign w:val="bottom"/>
          </w:tcPr>
          <w:p>
            <w:pPr>
              <w:spacing w:after="0"/>
              <w:rPr>
                <w:sz w:val="1"/>
                <w:szCs w:val="1"/>
                <w:color w:val="auto"/>
              </w:rPr>
            </w:pPr>
          </w:p>
        </w:tc>
      </w:tr>
    </w:tbl>
    <w:p>
      <w:pPr>
        <w:sectPr>
          <w:pgSz w:w="11900" w:h="16838" w:orient="portrait"/>
          <w:cols w:equalWidth="0" w:num="1">
            <w:col w:w="11200"/>
          </w:cols>
          <w:pgMar w:left="360" w:top="853" w:right="339" w:bottom="1440" w:gutter="0" w:footer="0" w:header="0"/>
        </w:sectPr>
      </w:pPr>
    </w:p>
    <w:bookmarkStart w:id="115" w:name="page116"/>
    <w:bookmarkEnd w:id="11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335"/>
        </w:trPr>
        <w:tc>
          <w:tcPr>
            <w:tcW w:w="5620" w:type="dxa"/>
            <w:vAlign w:val="bottom"/>
            <w:tcBorders>
              <w:right w:val="single" w:sz="8" w:color="00000A"/>
            </w:tcBorders>
            <w:shd w:val="clear" w:color="auto" w:fill="E6E6E6"/>
          </w:tcPr>
          <w:p>
            <w:pPr>
              <w:ind w:left="1660"/>
              <w:spacing w:after="0"/>
              <w:rPr>
                <w:sz w:val="20"/>
                <w:szCs w:val="20"/>
                <w:color w:val="auto"/>
              </w:rPr>
            </w:pPr>
            <w:r>
              <w:rPr>
                <w:rFonts w:ascii="Times New Roman" w:cs="Times New Roman" w:eastAsia="Times New Roman" w:hAnsi="Times New Roman"/>
                <w:sz w:val="17"/>
                <w:szCs w:val="17"/>
                <w:b w:val="1"/>
                <w:bCs w:val="1"/>
                <w:color w:val="auto"/>
              </w:rPr>
              <w:t>Name of Subsidiary and Name</w:t>
            </w:r>
          </w:p>
        </w:tc>
        <w:tc>
          <w:tcPr>
            <w:tcW w:w="5540" w:type="dxa"/>
            <w:vAlign w:val="bottom"/>
            <w:vMerge w:val="restart"/>
            <w:shd w:val="clear" w:color="auto" w:fill="E6E6E6"/>
          </w:tcPr>
          <w:p>
            <w:pPr>
              <w:ind w:left="170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00000A"/>
              <w:right w:val="single" w:sz="8" w:color="00000A"/>
            </w:tcBorders>
            <w:shd w:val="clear" w:color="auto" w:fill="E6E6E6"/>
          </w:tcPr>
          <w:p>
            <w:pPr>
              <w:ind w:left="1680"/>
              <w:spacing w:after="0"/>
              <w:rPr>
                <w:sz w:val="20"/>
                <w:szCs w:val="20"/>
                <w:color w:val="auto"/>
              </w:rPr>
            </w:pPr>
            <w:r>
              <w:rPr>
                <w:rFonts w:ascii="Times New Roman" w:cs="Times New Roman" w:eastAsia="Times New Roman" w:hAnsi="Times New Roman"/>
                <w:sz w:val="17"/>
                <w:szCs w:val="17"/>
                <w:b w:val="1"/>
                <w:bCs w:val="1"/>
                <w:color w:val="auto"/>
              </w:rPr>
              <w:t>Under Which It Does Business</w:t>
            </w:r>
          </w:p>
        </w:tc>
        <w:tc>
          <w:tcPr>
            <w:tcW w:w="5540" w:type="dxa"/>
            <w:vAlign w:val="bottom"/>
            <w:tcBorders>
              <w:bottom w:val="single" w:sz="8" w:color="00000A"/>
            </w:tcBorders>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auto"/>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Pepperidge Farm, Incorporated</w:t>
            </w:r>
          </w:p>
        </w:tc>
        <w:tc>
          <w:tcPr>
            <w:tcW w:w="5540" w:type="dxa"/>
            <w:vAlign w:val="bottom"/>
            <w:tcBorders>
              <w:bottom w:val="single" w:sz="8" w:color="00000A"/>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Connecticut</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right w:val="single" w:sz="8" w:color="00000A"/>
            </w:tcBorders>
          </w:tcPr>
          <w:p>
            <w:pPr>
              <w:ind w:left="20"/>
              <w:spacing w:after="0"/>
              <w:rPr>
                <w:sz w:val="20"/>
                <w:szCs w:val="20"/>
                <w:color w:val="auto"/>
              </w:rPr>
            </w:pPr>
            <w:r>
              <w:rPr>
                <w:rFonts w:ascii="Times New Roman" w:cs="Times New Roman" w:eastAsia="Times New Roman" w:hAnsi="Times New Roman"/>
                <w:sz w:val="17"/>
                <w:szCs w:val="17"/>
                <w:color w:val="auto"/>
              </w:rPr>
              <w:t>Rao’s Specialty Foods, Inc.</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New York</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right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Snyder's-Lance, Inc.</w:t>
            </w: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Carolina</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Snyder’s-Lance Holdings, Inc.</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Sovos Brands Holdings, Inc.</w:t>
            </w: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Sovos Brands Intermediate Inc.</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Sovos Brands, Inc.</w:t>
            </w:r>
          </w:p>
        </w:tc>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The foregoing does not constitute a complete list of all subsidiaries of the registrant. Any subsidiaries that have been omitted do not, if considered in the aggregate as a single subsidiary, constitute a “Significant Subsidiary” as defined by the SEC.</w:t>
      </w:r>
    </w:p>
    <w:p>
      <w:pPr>
        <w:sectPr>
          <w:pgSz w:w="11900" w:h="16838" w:orient="portrait"/>
          <w:cols w:equalWidth="0" w:num="1">
            <w:col w:w="11240"/>
          </w:cols>
          <w:pgMar w:left="320" w:top="89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333-274048) and Form S-8 (Nos. 333-277843, 333-268604, 333-216582, 333-208441, 333-173583, 333-173582, 333-160381, 333-157850, 333-134675, 333-22803, 333-00729 and 33-59797) of Campbell Soup Company of our report dated September 19, 2024 relating to the financial statements, financial statement schedule and the effectiveness of internal control over financial reporting, which appears in this Form 10-K.</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Philadelphia, Pennsylvania</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September 19, 2024</w:t>
      </w:r>
    </w:p>
    <w:p>
      <w:pPr>
        <w:sectPr>
          <w:pgSz w:w="11900" w:h="16838" w:orient="portrait"/>
          <w:cols w:equalWidth="0" w:num="1">
            <w:col w:w="11240"/>
          </w:cols>
          <w:pgMar w:left="320" w:top="114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9"/>
          <w:szCs w:val="19"/>
          <w:b w:val="1"/>
          <w:bCs w:val="1"/>
          <w:color w:val="auto"/>
        </w:rPr>
        <w:t>EXHIBIT 24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11th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Fabiola R. Arredondo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Fabiola R. Arredondo</w:t>
      </w:r>
    </w:p>
    <w:p>
      <w:pPr>
        <w:spacing w:after="0" w:line="230" w:lineRule="auto"/>
        <w:rPr>
          <w:sz w:val="20"/>
          <w:szCs w:val="20"/>
          <w:color w:val="auto"/>
        </w:rPr>
      </w:pPr>
      <w:r>
        <w:rPr>
          <w:rFonts w:ascii="Times New Roman" w:cs="Times New Roman" w:eastAsia="Times New Roman" w:hAnsi="Times New Roman"/>
          <w:sz w:val="21"/>
          <w:szCs w:val="21"/>
          <w:color w:val="auto"/>
        </w:rPr>
        <w:t>Director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4th day of September,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Howard M. Averill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Howard M. Averill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351" w:right="339" w:bottom="1440" w:gutter="0" w:footer="0" w:header="0"/>
        </w:sectPr>
      </w:pPr>
    </w:p>
    <w:bookmarkStart w:id="118" w:name="page119"/>
    <w:bookmarkEnd w:id="118"/>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6th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Bennett Dorrance, Jr.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Bennett Dorrance, Jr.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11th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Maria Teresa Hilado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Maria Teresa Hilado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9th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Grant H. Hill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 H. Hill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6th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Sarah Hofstetter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Sarah Hofstetter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4th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Marc B. Lautenbach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 B. Lautenbach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her true and lawful attorneys-in-fact and agents, with full power of substitution and revocation, in her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she might or could do in person, hereby ratifying and confirming all that said attorneys-in-fact and agents may lawfully do or cause to be done by virtue hereof.</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4th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Mary Alice Malone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Mary Alice Malone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35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4th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Keith R. McLoughlin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Keith R. McLoughin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33"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4th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Kurt T. Schmidt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Kurt T. Schmidt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351" w:right="339" w:bottom="1440" w:gutter="0" w:footer="0" w:header="0"/>
        </w:sectPr>
      </w:pPr>
    </w:p>
    <w:bookmarkStart w:id="122" w:name="page123"/>
    <w:bookmarkEnd w:id="122"/>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REPORT ON FORM 10-K</w:t>
      </w:r>
    </w:p>
    <w:p>
      <w:pPr>
        <w:spacing w:after="0" w:line="228" w:lineRule="exact"/>
        <w:rPr>
          <w:sz w:val="20"/>
          <w:szCs w:val="20"/>
          <w:color w:val="auto"/>
        </w:rPr>
      </w:pPr>
    </w:p>
    <w:p>
      <w:pPr>
        <w:jc w:val="both"/>
        <w:ind w:firstLine="618"/>
        <w:spacing w:after="0" w:line="250" w:lineRule="auto"/>
        <w:rPr>
          <w:sz w:val="20"/>
          <w:szCs w:val="20"/>
          <w:color w:val="auto"/>
        </w:rPr>
      </w:pPr>
      <w:r>
        <w:rPr>
          <w:rFonts w:ascii="Times New Roman" w:cs="Times New Roman" w:eastAsia="Times New Roman" w:hAnsi="Times New Roman"/>
          <w:sz w:val="21"/>
          <w:szCs w:val="21"/>
          <w:color w:val="auto"/>
        </w:rPr>
        <w:t>The undersigned, a director of Campbell Soup Company, a New Jersey corporation, hereby constitutes and appoints each of Charles A. Brawley, III and Marci K. Donnelly, together and separately, as his true and lawful attorneys-in-fact and agents, with full power of substitution and revocation, in his name, place and stead, in any and all capacities, to execute Campbell Soup Company’s Annual Report on Form 10-K for the fiscal year ended July 28, 2024,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may lawfully do or cause to be done by virtue hereof.</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this 6th day of September,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Archbold D. van Beuren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Archbold D. van Beuren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Director</w:t>
      </w:r>
    </w:p>
    <w:p>
      <w:pPr>
        <w:sectPr>
          <w:pgSz w:w="11900" w:h="16838" w:orient="portrait"/>
          <w:cols w:equalWidth="0" w:num="1">
            <w:col w:w="11240"/>
          </w:cols>
          <w:pgMar w:left="320" w:top="1440"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31(a)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RULE 13a-14(a)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Mark A. Clouse, certify that:</w:t>
      </w:r>
    </w:p>
    <w:p>
      <w:pPr>
        <w:spacing w:after="0" w:line="165" w:lineRule="exact"/>
        <w:rPr>
          <w:sz w:val="20"/>
          <w:szCs w:val="20"/>
          <w:color w:val="auto"/>
        </w:rPr>
      </w:pPr>
    </w:p>
    <w:p>
      <w:pPr>
        <w:ind w:left="360" w:hanging="164"/>
        <w:spacing w:after="0"/>
        <w:tabs>
          <w:tab w:leader="none" w:pos="3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Campbell Soup Company;</w:t>
      </w:r>
    </w:p>
    <w:p>
      <w:pPr>
        <w:spacing w:after="0" w:line="165" w:lineRule="exact"/>
        <w:rPr>
          <w:rFonts w:ascii="Times New Roman" w:cs="Times New Roman" w:eastAsia="Times New Roman" w:hAnsi="Times New Roman"/>
          <w:sz w:val="17"/>
          <w:szCs w:val="17"/>
          <w:color w:val="auto"/>
        </w:rPr>
      </w:pPr>
    </w:p>
    <w:p>
      <w:pPr>
        <w:ind w:right="120" w:firstLine="196"/>
        <w:spacing w:after="0" w:line="286" w:lineRule="auto"/>
        <w:tabs>
          <w:tab w:leader="none" w:pos="36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7"/>
          <w:szCs w:val="17"/>
          <w:color w:val="auto"/>
        </w:rPr>
      </w:pPr>
    </w:p>
    <w:p>
      <w:pPr>
        <w:ind w:right="220" w:firstLine="196"/>
        <w:spacing w:after="0" w:line="286" w:lineRule="auto"/>
        <w:tabs>
          <w:tab w:leader="none" w:pos="36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Times New Roman" w:cs="Times New Roman" w:eastAsia="Times New Roman" w:hAnsi="Times New Roman"/>
          <w:sz w:val="17"/>
          <w:szCs w:val="17"/>
          <w:color w:val="auto"/>
        </w:rPr>
      </w:pPr>
    </w:p>
    <w:p>
      <w:pPr>
        <w:ind w:right="80" w:firstLine="196"/>
        <w:spacing w:after="0" w:line="269" w:lineRule="auto"/>
        <w:tabs>
          <w:tab w:leader="none" w:pos="36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7"/>
          <w:szCs w:val="17"/>
          <w:color w:val="auto"/>
        </w:rPr>
      </w:pPr>
    </w:p>
    <w:p>
      <w:pPr>
        <w:ind w:right="140" w:firstLine="428"/>
        <w:spacing w:after="0" w:line="269" w:lineRule="auto"/>
        <w:tabs>
          <w:tab w:leader="none" w:pos="60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7"/>
          <w:szCs w:val="17"/>
          <w:color w:val="auto"/>
        </w:rPr>
      </w:pPr>
    </w:p>
    <w:p>
      <w:pPr>
        <w:jc w:val="both"/>
        <w:ind w:right="260" w:firstLine="428"/>
        <w:spacing w:after="0" w:line="269" w:lineRule="auto"/>
        <w:tabs>
          <w:tab w:leader="none" w:pos="61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7"/>
          <w:szCs w:val="17"/>
          <w:color w:val="auto"/>
        </w:rPr>
      </w:pPr>
    </w:p>
    <w:p>
      <w:pPr>
        <w:ind w:right="40" w:firstLine="428"/>
        <w:spacing w:after="0" w:line="286" w:lineRule="auto"/>
        <w:tabs>
          <w:tab w:leader="none" w:pos="60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right="100" w:firstLine="428"/>
        <w:spacing w:after="0" w:line="269" w:lineRule="auto"/>
        <w:tabs>
          <w:tab w:leader="none" w:pos="61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7"/>
          <w:szCs w:val="17"/>
          <w:color w:val="auto"/>
        </w:rPr>
      </w:pPr>
    </w:p>
    <w:p>
      <w:pPr>
        <w:ind w:right="600" w:firstLine="196"/>
        <w:spacing w:after="0" w:line="286" w:lineRule="auto"/>
        <w:tabs>
          <w:tab w:leader="none" w:pos="36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Times New Roman" w:cs="Times New Roman" w:eastAsia="Times New Roman" w:hAnsi="Times New Roman"/>
          <w:sz w:val="17"/>
          <w:szCs w:val="17"/>
          <w:color w:val="auto"/>
        </w:rPr>
      </w:pPr>
    </w:p>
    <w:p>
      <w:pPr>
        <w:ind w:right="240" w:firstLine="428"/>
        <w:spacing w:after="0" w:line="286" w:lineRule="auto"/>
        <w:tabs>
          <w:tab w:leader="none" w:pos="60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right="460" w:firstLine="428"/>
        <w:spacing w:after="0" w:line="286" w:lineRule="auto"/>
        <w:tabs>
          <w:tab w:leader="none" w:pos="611"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19, 2024</w:t>
      </w:r>
    </w:p>
    <w:p>
      <w:pPr>
        <w:spacing w:after="0" w:line="49"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7"/>
          <w:szCs w:val="17"/>
          <w:color w:val="auto"/>
        </w:rPr>
        <w:t>By:</w:t>
        <w:tab/>
        <w:t>/s/ Mark A. Clouse</w:t>
      </w:r>
    </w:p>
    <w:p>
      <w:pPr>
        <w:spacing w:after="0" w:line="27" w:lineRule="exact"/>
        <w:rPr>
          <w:sz w:val="20"/>
          <w:szCs w:val="20"/>
          <w:color w:val="auto"/>
        </w:rPr>
      </w:pPr>
    </w:p>
    <w:tbl>
      <w:tblPr>
        <w:tblLayout w:type="fixed"/>
        <w:tblInd w:w="464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Mark A. Clouse</w:t>
            </w:r>
          </w:p>
        </w:tc>
      </w:tr>
      <w:tr>
        <w:trPr>
          <w:trHeight w:val="223"/>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ectPr>
          <w:pgSz w:w="11900" w:h="16838" w:orient="portrait"/>
          <w:cols w:equalWidth="0" w:num="1">
            <w:col w:w="11240"/>
          </w:cols>
          <w:pgMar w:left="320" w:top="85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b w:val="1"/>
          <w:bCs w:val="1"/>
          <w:color w:val="auto"/>
        </w:rPr>
        <w:t>EXHIBIT 31(b)</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RULE 13a-14(a)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Carrie L. Anderson, certify that:</w:t>
      </w:r>
    </w:p>
    <w:p>
      <w:pPr>
        <w:spacing w:after="0" w:line="165" w:lineRule="exact"/>
        <w:rPr>
          <w:sz w:val="20"/>
          <w:szCs w:val="20"/>
          <w:color w:val="auto"/>
        </w:rPr>
      </w:pPr>
    </w:p>
    <w:p>
      <w:pPr>
        <w:ind w:left="360" w:hanging="164"/>
        <w:spacing w:after="0"/>
        <w:tabs>
          <w:tab w:leader="none" w:pos="3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Campbell Soup Company;</w:t>
      </w:r>
    </w:p>
    <w:p>
      <w:pPr>
        <w:spacing w:after="0" w:line="165" w:lineRule="exact"/>
        <w:rPr>
          <w:rFonts w:ascii="Times New Roman" w:cs="Times New Roman" w:eastAsia="Times New Roman" w:hAnsi="Times New Roman"/>
          <w:sz w:val="17"/>
          <w:szCs w:val="17"/>
          <w:color w:val="auto"/>
        </w:rPr>
      </w:pPr>
    </w:p>
    <w:p>
      <w:pPr>
        <w:ind w:right="120" w:firstLine="196"/>
        <w:spacing w:after="0" w:line="286" w:lineRule="auto"/>
        <w:tabs>
          <w:tab w:leader="none" w:pos="36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Times New Roman" w:cs="Times New Roman" w:eastAsia="Times New Roman" w:hAnsi="Times New Roman"/>
          <w:sz w:val="17"/>
          <w:szCs w:val="17"/>
          <w:color w:val="auto"/>
        </w:rPr>
      </w:pPr>
    </w:p>
    <w:p>
      <w:pPr>
        <w:ind w:right="220" w:firstLine="196"/>
        <w:spacing w:after="0" w:line="286" w:lineRule="auto"/>
        <w:tabs>
          <w:tab w:leader="none" w:pos="36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Times New Roman" w:cs="Times New Roman" w:eastAsia="Times New Roman" w:hAnsi="Times New Roman"/>
          <w:sz w:val="17"/>
          <w:szCs w:val="17"/>
          <w:color w:val="auto"/>
        </w:rPr>
      </w:pPr>
    </w:p>
    <w:p>
      <w:pPr>
        <w:ind w:right="80" w:firstLine="196"/>
        <w:spacing w:after="0" w:line="269" w:lineRule="auto"/>
        <w:tabs>
          <w:tab w:leader="none" w:pos="36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7"/>
          <w:szCs w:val="17"/>
          <w:color w:val="auto"/>
        </w:rPr>
      </w:pPr>
    </w:p>
    <w:p>
      <w:pPr>
        <w:ind w:right="140" w:firstLine="428"/>
        <w:spacing w:after="0" w:line="269" w:lineRule="auto"/>
        <w:tabs>
          <w:tab w:leader="none" w:pos="60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7"/>
          <w:szCs w:val="17"/>
          <w:color w:val="auto"/>
        </w:rPr>
      </w:pPr>
    </w:p>
    <w:p>
      <w:pPr>
        <w:jc w:val="both"/>
        <w:ind w:right="260" w:firstLine="428"/>
        <w:spacing w:after="0" w:line="269" w:lineRule="auto"/>
        <w:tabs>
          <w:tab w:leader="none" w:pos="61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7"/>
          <w:szCs w:val="17"/>
          <w:color w:val="auto"/>
        </w:rPr>
      </w:pPr>
    </w:p>
    <w:p>
      <w:pPr>
        <w:ind w:right="40" w:firstLine="428"/>
        <w:spacing w:after="0" w:line="286" w:lineRule="auto"/>
        <w:tabs>
          <w:tab w:leader="none" w:pos="60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Times New Roman" w:cs="Times New Roman" w:eastAsia="Times New Roman" w:hAnsi="Times New Roman"/>
          <w:sz w:val="17"/>
          <w:szCs w:val="17"/>
          <w:color w:val="auto"/>
        </w:rPr>
      </w:pPr>
    </w:p>
    <w:p>
      <w:pPr>
        <w:ind w:right="100" w:firstLine="428"/>
        <w:spacing w:after="0" w:line="269" w:lineRule="auto"/>
        <w:tabs>
          <w:tab w:leader="none" w:pos="61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7"/>
          <w:szCs w:val="17"/>
          <w:color w:val="auto"/>
        </w:rPr>
      </w:pPr>
    </w:p>
    <w:p>
      <w:pPr>
        <w:ind w:right="600" w:firstLine="196"/>
        <w:spacing w:after="0" w:line="286" w:lineRule="auto"/>
        <w:tabs>
          <w:tab w:leader="none" w:pos="36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Times New Roman" w:cs="Times New Roman" w:eastAsia="Times New Roman" w:hAnsi="Times New Roman"/>
          <w:sz w:val="17"/>
          <w:szCs w:val="17"/>
          <w:color w:val="auto"/>
        </w:rPr>
      </w:pPr>
    </w:p>
    <w:p>
      <w:pPr>
        <w:ind w:right="240" w:firstLine="428"/>
        <w:spacing w:after="0" w:line="286" w:lineRule="auto"/>
        <w:tabs>
          <w:tab w:leader="none" w:pos="60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Times New Roman" w:cs="Times New Roman" w:eastAsia="Times New Roman" w:hAnsi="Times New Roman"/>
          <w:sz w:val="17"/>
          <w:szCs w:val="17"/>
          <w:color w:val="auto"/>
        </w:rPr>
      </w:pPr>
    </w:p>
    <w:p>
      <w:pPr>
        <w:ind w:right="460" w:firstLine="428"/>
        <w:spacing w:after="0" w:line="286" w:lineRule="auto"/>
        <w:tabs>
          <w:tab w:leader="none" w:pos="61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19, 2024</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7"/>
          <w:szCs w:val="17"/>
          <w:color w:val="auto"/>
        </w:rPr>
        <w:t>By:</w:t>
        <w:tab/>
        <w:t>/s/ Carrie L. Anderson</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Carrie L. Anderson</w:t>
            </w:r>
          </w:p>
        </w:tc>
      </w:tr>
      <w:tr>
        <w:trPr>
          <w:trHeight w:val="219"/>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Vice President and Chief Financial</w:t>
            </w:r>
          </w:p>
        </w:tc>
      </w:tr>
      <w:tr>
        <w:trPr>
          <w:trHeight w:val="223"/>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Officer</w:t>
            </w:r>
          </w:p>
        </w:tc>
      </w:tr>
    </w:tbl>
    <w:p>
      <w:pPr>
        <w:sectPr>
          <w:pgSz w:w="11900" w:h="16838" w:orient="portrait"/>
          <w:cols w:equalWidth="0" w:num="1">
            <w:col w:w="11240"/>
          </w:cols>
          <w:pgMar w:left="320" w:top="85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32(a)</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8" w:lineRule="exact"/>
        <w:rPr>
          <w:sz w:val="20"/>
          <w:szCs w:val="20"/>
          <w:color w:val="auto"/>
        </w:rPr>
      </w:pPr>
    </w:p>
    <w:p>
      <w:pPr>
        <w:ind w:right="80" w:firstLine="193"/>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Campbell Soup Company (the “Company”) on Form 10-K for the fiscal year ended July 28, 2024 (the “Report”), I, Mark A. Clouse, President and Chief Executive Officer of the Company, hereby certify, pursuant to 18 U.S.C. Section 1350, as adopted pursuant to Section 906 of the Sarbanes-Oxley Act of 2002, that, to my knowledge:</w:t>
      </w:r>
    </w:p>
    <w:p>
      <w:pPr>
        <w:spacing w:after="0" w:line="115" w:lineRule="exact"/>
        <w:rPr>
          <w:sz w:val="20"/>
          <w:szCs w:val="20"/>
          <w:color w:val="auto"/>
        </w:rPr>
      </w:pPr>
    </w:p>
    <w:p>
      <w:pPr>
        <w:ind w:left="660" w:hanging="232"/>
        <w:spacing w:after="0"/>
        <w:tabs>
          <w:tab w:leader="none" w:pos="6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7"/>
          <w:szCs w:val="17"/>
          <w:color w:val="auto"/>
        </w:rPr>
      </w:pPr>
    </w:p>
    <w:p>
      <w:pPr>
        <w:ind w:right="620" w:firstLine="428"/>
        <w:spacing w:after="0" w:line="466" w:lineRule="auto"/>
        <w:tabs>
          <w:tab w:leader="none" w:pos="66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September 19, 2024</w:t>
      </w:r>
    </w:p>
    <w:p>
      <w:pPr>
        <w:spacing w:after="0" w:line="1"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7"/>
          <w:szCs w:val="17"/>
          <w:color w:val="auto"/>
        </w:rPr>
        <w:t>By:</w:t>
        <w:tab/>
        <w:t>/s/ Mark A. Clouse</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Mark A. Clouse</w:t>
            </w:r>
          </w:p>
        </w:tc>
      </w:tr>
      <w:tr>
        <w:trPr>
          <w:trHeight w:val="223"/>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pacing w:after="0" w:line="10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32(b)</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8" w:lineRule="exact"/>
        <w:rPr>
          <w:sz w:val="20"/>
          <w:szCs w:val="20"/>
          <w:color w:val="auto"/>
        </w:rPr>
      </w:pPr>
    </w:p>
    <w:p>
      <w:pPr>
        <w:ind w:right="20" w:firstLine="193"/>
        <w:spacing w:after="0" w:line="269" w:lineRule="auto"/>
        <w:rPr>
          <w:sz w:val="20"/>
          <w:szCs w:val="20"/>
          <w:color w:val="auto"/>
        </w:rPr>
      </w:pPr>
      <w:r>
        <w:rPr>
          <w:rFonts w:ascii="Times New Roman" w:cs="Times New Roman" w:eastAsia="Times New Roman" w:hAnsi="Times New Roman"/>
          <w:sz w:val="17"/>
          <w:szCs w:val="17"/>
          <w:color w:val="auto"/>
        </w:rPr>
        <w:t>In connection with the Annual Report of Campbell Soup Company (the “Company”) on Form 10-K for the fiscal year ended July 28, 2024 (the “Report”), I, Carrie L. Anderson, Executive Vice President and Chief Financial Officer of the Company, hereby certify, pursuant to 18 U.S.C. Section 1350, as adopted pursuant to Section 906 of the Sarbanes-Oxley Act of 2002, that, to my knowledge:</w:t>
      </w:r>
    </w:p>
    <w:p>
      <w:pPr>
        <w:spacing w:after="0" w:line="115" w:lineRule="exact"/>
        <w:rPr>
          <w:sz w:val="20"/>
          <w:szCs w:val="20"/>
          <w:color w:val="auto"/>
        </w:rPr>
      </w:pPr>
    </w:p>
    <w:p>
      <w:pPr>
        <w:ind w:left="660" w:hanging="232"/>
        <w:spacing w:after="0"/>
        <w:tabs>
          <w:tab w:leader="none" w:pos="6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65" w:lineRule="exact"/>
        <w:rPr>
          <w:rFonts w:ascii="Times New Roman" w:cs="Times New Roman" w:eastAsia="Times New Roman" w:hAnsi="Times New Roman"/>
          <w:sz w:val="17"/>
          <w:szCs w:val="17"/>
          <w:color w:val="auto"/>
        </w:rPr>
      </w:pPr>
    </w:p>
    <w:p>
      <w:pPr>
        <w:ind w:left="660" w:hanging="232"/>
        <w:spacing w:after="0"/>
        <w:tabs>
          <w:tab w:leader="none" w:pos="6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19, 2024</w:t>
      </w:r>
    </w:p>
    <w:p>
      <w:pPr>
        <w:spacing w:after="0" w:line="49"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7"/>
          <w:szCs w:val="17"/>
          <w:color w:val="auto"/>
        </w:rPr>
        <w:t>By:</w:t>
        <w:tab/>
        <w:t>/s/ Carrie L. Anderson</w:t>
      </w:r>
    </w:p>
    <w:p>
      <w:pPr>
        <w:spacing w:after="0" w:line="27" w:lineRule="exact"/>
        <w:rPr>
          <w:sz w:val="20"/>
          <w:szCs w:val="20"/>
          <w:color w:val="auto"/>
        </w:rPr>
      </w:pPr>
    </w:p>
    <w:tbl>
      <w:tblPr>
        <w:tblLayout w:type="fixed"/>
        <w:tblInd w:w="4580" w:type="dxa"/>
        <w:tblCellMar>
          <w:top w:w="0" w:type="dxa"/>
          <w:left w:w="0" w:type="dxa"/>
          <w:bottom w:w="0" w:type="dxa"/>
          <w:right w:w="0" w:type="dxa"/>
        </w:tblCellMar>
      </w:tblPr>
      <w:tr>
        <w:trPr>
          <w:trHeight w:val="20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Carrie L. Anderson</w:t>
            </w:r>
          </w:p>
        </w:tc>
      </w:tr>
      <w:tr>
        <w:trPr>
          <w:trHeight w:val="219"/>
        </w:trPr>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Executive Vice President and Chief Financial</w:t>
            </w:r>
          </w:p>
        </w:tc>
      </w:tr>
      <w:tr>
        <w:trPr>
          <w:trHeight w:val="223"/>
        </w:trPr>
        <w:tc>
          <w:tcPr>
            <w:tcW w:w="66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200" w:lineRule="exact"/>
        <w:rPr>
          <w:sz w:val="20"/>
          <w:szCs w:val="20"/>
          <w:color w:val="auto"/>
        </w:rPr>
      </w:pPr>
    </w:p>
    <w:p>
      <w:pPr>
        <w:spacing w:after="0" w:line="26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pacing w:after="0" w:line="10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9"/>
          <w:szCs w:val="19"/>
          <w:b w:val="1"/>
          <w:bCs w:val="1"/>
          <w:color w:val="auto"/>
        </w:rPr>
        <w:t>EXHIBIT 97</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Campbell Soup Company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Rule 10D-1 Clawback Policy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Effective December 1, 2023</w:t>
      </w:r>
    </w:p>
    <w:p>
      <w:pPr>
        <w:spacing w:after="0" w:line="200" w:lineRule="exact"/>
        <w:rPr>
          <w:sz w:val="20"/>
          <w:szCs w:val="20"/>
          <w:color w:val="auto"/>
        </w:rPr>
      </w:pPr>
    </w:p>
    <w:p>
      <w:pPr>
        <w:spacing w:after="0" w:line="25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9"/>
          <w:szCs w:val="19"/>
          <w:color w:val="auto"/>
        </w:rPr>
        <w:t>Campbell Soup Company (the “Company”) has adopted this Rule 10D-1 Policy (this “Policy”), effective as of December 1, 2023 (the “Effective Date”), which provides for the recovery of Incentive Compensation in the event of a Restatement. This Policy is designed to comply with, and shall be interpreted consistent with, Section 10D of the Exchange Act, Rule 10D-1 and Section 303A.14 of the Listing Standards.</w:t>
      </w:r>
    </w:p>
    <w:p>
      <w:pPr>
        <w:spacing w:after="0" w:line="190" w:lineRule="exact"/>
        <w:rPr>
          <w:sz w:val="20"/>
          <w:szCs w:val="20"/>
          <w:color w:val="auto"/>
        </w:rPr>
      </w:pPr>
    </w:p>
    <w:p>
      <w:pPr>
        <w:ind w:left="620" w:hanging="617"/>
        <w:spacing w:after="0"/>
        <w:tabs>
          <w:tab w:leader="none" w:pos="620" w:val="left"/>
        </w:tabs>
        <w:numPr>
          <w:ilvl w:val="0"/>
          <w:numId w:val="1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Policy</w:t>
      </w:r>
    </w:p>
    <w:p>
      <w:pPr>
        <w:spacing w:after="0" w:line="249"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9"/>
          <w:szCs w:val="19"/>
          <w:color w:val="auto"/>
        </w:rPr>
        <w:t>In the event the Company is required to prepare a Restatement, the Company shall reasonably promptly recoup the amount of any Erroneously Awarded Compensation received by each Executive Officer, as calculated pursuant to this Policy, during the Applicable Period, except as provided in this Policy.</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auto"/>
        </w:rPr>
        <w:t>This Policy applies to Incentive Compensation received by an Executive Officer (a) after beginning services as an Executive Officer, and (b) if that person served as an Executive Officer at any time during the performance period for such Incentive Compensation.</w:t>
      </w:r>
    </w:p>
    <w:p>
      <w:pPr>
        <w:spacing w:after="0" w:line="190" w:lineRule="exact"/>
        <w:rPr>
          <w:sz w:val="20"/>
          <w:szCs w:val="20"/>
          <w:color w:val="auto"/>
        </w:rPr>
      </w:pPr>
    </w:p>
    <w:p>
      <w:pPr>
        <w:ind w:left="600" w:hanging="597"/>
        <w:spacing w:after="0"/>
        <w:tabs>
          <w:tab w:leader="none" w:pos="600" w:val="left"/>
        </w:tabs>
        <w:numPr>
          <w:ilvl w:val="0"/>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Calculation of Recovery Amount; Form of Recovery</w:t>
      </w:r>
    </w:p>
    <w:p>
      <w:pPr>
        <w:spacing w:after="0" w:line="236"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19"/>
          <w:szCs w:val="19"/>
          <w:color w:val="auto"/>
        </w:rPr>
        <w:t>Subject to applicable law, the Compensation Committee shall determine, in its sole discretion, the timing and method for promptly recouping Erroneously Awarded Compensation, including but not limited to the following: reimbursement; set-off; reducing or cancelling outstanding and future Incentive Compensation; and such other means or combination of means from any amount of compensation approved, awarded, granted, payable or paid to the Executive Officer that the Compensation Committee determines to be appropriate under the circumstances to maximize recovery to the Company.</w:t>
      </w:r>
    </w:p>
    <w:p>
      <w:pPr>
        <w:spacing w:after="0" w:line="19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9"/>
          <w:szCs w:val="19"/>
          <w:color w:val="auto"/>
        </w:rPr>
        <w:t>For Incentive Compensation based on stock price or total shareholder return (“TSR”): (a) the Compensation Committee shall determine the amount of Erroneously Awarded Compensation based on a reasonable estimate of the effect of the Restatement on the stock price or TSR upon which the Incentive Compensation was received; and (b) the Company shall maintain documentation of the determination of that reasonable estimate and provide such documentation to the New York Stock Exchange.</w:t>
      </w:r>
    </w:p>
    <w:p>
      <w:pPr>
        <w:spacing w:after="0" w:line="19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Recovery of Incentive Compensation under this Policy does not preclude the Company from, in addition to seeking recovery under this Policy, taking any other action that may be available to the Company under applicable law or pursuant to the terms of any similar policy, or in any employment agreement, equity award agreement, or similar agreement, including but not limited to termination of employment and/or the institution of civil or criminal proceedings. Nothing contained in this Policy, and no recoupment or recovery as contemplated by this Policy, shall limit any other claims, damages or other legal rights or remedies the Company may have against an Executive Officer arising out of or resulting from any actions or omissions by the Executive Officer.</w:t>
      </w:r>
    </w:p>
    <w:p>
      <w:pPr>
        <w:spacing w:after="0" w:line="20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9"/>
          <w:szCs w:val="19"/>
          <w:color w:val="auto"/>
        </w:rPr>
        <w:t>Erroneously Awarded Compensation shall be computed by the Compensation Committee without regard to any taxes paid by the Executive Officer in respect of the Erroneously Awarded Compensation. By way of example, with respect to any compensation plans or programs that take into account Incentive</w:t>
      </w:r>
    </w:p>
    <w:p>
      <w:pPr>
        <w:sectPr>
          <w:pgSz w:w="11900" w:h="16838" w:orient="portrait"/>
          <w:cols w:equalWidth="0" w:num="1">
            <w:col w:w="11240"/>
          </w:cols>
          <w:pgMar w:left="320" w:top="1351" w:right="339" w:bottom="1440" w:gutter="0" w:footer="0" w:header="0"/>
        </w:sectPr>
      </w:pPr>
    </w:p>
    <w:bookmarkStart w:id="128" w:name="page129"/>
    <w:bookmarkEnd w:id="128"/>
    <w:p>
      <w:pPr>
        <w:ind w:right="600"/>
        <w:spacing w:after="0" w:line="282" w:lineRule="auto"/>
        <w:rPr>
          <w:sz w:val="20"/>
          <w:szCs w:val="20"/>
          <w:color w:val="auto"/>
        </w:rPr>
      </w:pPr>
      <w:r>
        <w:rPr>
          <w:rFonts w:ascii="Times New Roman" w:cs="Times New Roman" w:eastAsia="Times New Roman" w:hAnsi="Times New Roman"/>
          <w:sz w:val="18"/>
          <w:szCs w:val="18"/>
          <w:color w:val="auto"/>
        </w:rPr>
        <w:t>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70"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9"/>
          <w:szCs w:val="19"/>
          <w:color w:val="auto"/>
        </w:rPr>
        <w:t>The Company is authorized and directed pursuant to this Policy to recoup Erroneously Awarded Compensation in compliance with this Policy unless the Compensation Committee has determined that recovery would be impracticable solely for the following limited reasons, and subject to the following procedural and disclosure requirements:</w:t>
      </w:r>
    </w:p>
    <w:p>
      <w:pPr>
        <w:spacing w:after="0" w:line="188" w:lineRule="exact"/>
        <w:rPr>
          <w:sz w:val="20"/>
          <w:szCs w:val="20"/>
          <w:color w:val="auto"/>
        </w:rPr>
      </w:pPr>
    </w:p>
    <w:p>
      <w:pPr>
        <w:ind w:left="620" w:right="20" w:hanging="308"/>
        <w:spacing w:after="0"/>
        <w:tabs>
          <w:tab w:leader="none" w:pos="609"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Compensation Committee must make a reasonable attempt to recover such erroneously awarded compensation, document such reasonable attempt(s) to recover, and provide that documentation to the New York Stock Exchange;</w:t>
      </w:r>
    </w:p>
    <w:p>
      <w:pPr>
        <w:spacing w:after="0" w:line="207" w:lineRule="exact"/>
        <w:rPr>
          <w:rFonts w:ascii="Times New Roman" w:cs="Times New Roman" w:eastAsia="Times New Roman" w:hAnsi="Times New Roman"/>
          <w:sz w:val="19"/>
          <w:szCs w:val="19"/>
          <w:color w:val="auto"/>
        </w:rPr>
      </w:pPr>
    </w:p>
    <w:p>
      <w:pPr>
        <w:ind w:left="620" w:hanging="308"/>
        <w:spacing w:after="0"/>
        <w:tabs>
          <w:tab w:leader="none" w:pos="609"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violate home country law of the Company where that law was adopted prior to November 28, 2022. Before concluding that it would be impracticable to recover any amount of Erroneously Awarded Compensation based on violation of home country law of the Company, the Compensation Committee must satisfy the applicable opinion and disclosure requirements of Rule 10D-1 and Section 303A.14 of the Listing Standards; or</w:t>
      </w:r>
    </w:p>
    <w:p>
      <w:pPr>
        <w:spacing w:after="0" w:line="194" w:lineRule="exact"/>
        <w:rPr>
          <w:rFonts w:ascii="Times New Roman" w:cs="Times New Roman" w:eastAsia="Times New Roman" w:hAnsi="Times New Roman"/>
          <w:sz w:val="19"/>
          <w:szCs w:val="19"/>
          <w:color w:val="auto"/>
        </w:rPr>
      </w:pPr>
    </w:p>
    <w:p>
      <w:pPr>
        <w:ind w:left="620" w:right="380" w:hanging="308"/>
        <w:spacing w:after="0" w:line="268" w:lineRule="auto"/>
        <w:tabs>
          <w:tab w:leader="none" w:pos="609"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64"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1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Administration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Compensation Committee shall hereby have sole discretion to determine whether and how to apply this Policy to comply with, and interpreted</w:t>
      </w:r>
    </w:p>
    <w:p>
      <w:pPr>
        <w:spacing w:after="0" w:line="8"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consistent with, Section 10D of the Exchange Act, Rule 10D-1 and Section 303A.14 of the Listing Standards. Any determination by the Compensation Committee with respect to this Policy shall be final, conclusive and binding on all affected individuals and need not be uniform with</w:t>
      </w:r>
    </w:p>
    <w:p>
      <w:pPr>
        <w:spacing w:after="0" w:line="227" w:lineRule="auto"/>
        <w:rPr>
          <w:sz w:val="20"/>
          <w:szCs w:val="20"/>
          <w:color w:val="auto"/>
        </w:rPr>
      </w:pPr>
      <w:r>
        <w:rPr>
          <w:rFonts w:ascii="Times New Roman" w:cs="Times New Roman" w:eastAsia="Times New Roman" w:hAnsi="Times New Roman"/>
          <w:sz w:val="19"/>
          <w:szCs w:val="19"/>
          <w:color w:val="auto"/>
        </w:rPr>
        <w:t>respect to each individual covered by this Policy. Subject to any limitation at applicable law, the Compensation Committee may authorize and</w:t>
      </w:r>
    </w:p>
    <w:p>
      <w:pPr>
        <w:ind w:right="340"/>
        <w:spacing w:after="0" w:line="229" w:lineRule="auto"/>
        <w:rPr>
          <w:sz w:val="20"/>
          <w:szCs w:val="20"/>
          <w:color w:val="auto"/>
        </w:rPr>
      </w:pPr>
      <w:r>
        <w:rPr>
          <w:rFonts w:ascii="Times New Roman" w:cs="Times New Roman" w:eastAsia="Times New Roman" w:hAnsi="Times New Roman"/>
          <w:sz w:val="19"/>
          <w:szCs w:val="19"/>
          <w:color w:val="auto"/>
        </w:rPr>
        <w:t>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20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9"/>
          <w:szCs w:val="19"/>
          <w:b w:val="1"/>
          <w:bCs w:val="1"/>
          <w:color w:val="auto"/>
        </w:rPr>
        <w:t>IV.</w:t>
      </w:r>
      <w:r>
        <w:rPr>
          <w:sz w:val="20"/>
          <w:szCs w:val="20"/>
          <w:color w:val="auto"/>
        </w:rPr>
        <w:tab/>
      </w:r>
      <w:r>
        <w:rPr>
          <w:rFonts w:ascii="Times New Roman" w:cs="Times New Roman" w:eastAsia="Times New Roman" w:hAnsi="Times New Roman"/>
          <w:sz w:val="19"/>
          <w:szCs w:val="19"/>
          <w:b w:val="1"/>
          <w:bCs w:val="1"/>
          <w:color w:val="auto"/>
        </w:rPr>
        <w:t>Effective Date; Applicability</w:t>
      </w:r>
    </w:p>
    <w:p>
      <w:pPr>
        <w:spacing w:after="0" w:line="23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This Policy shall be effective as of the Effective Date. The terms of this Policy shall apply to any Incentive Compensation that is received by Executive Officers on or after October 2, 2023, even if such Incentive Compensation was approved, awarded or granted to Executive Officers prior</w:t>
      </w:r>
    </w:p>
    <w:p>
      <w:pPr>
        <w:spacing w:after="0"/>
        <w:rPr>
          <w:sz w:val="20"/>
          <w:szCs w:val="20"/>
          <w:color w:val="auto"/>
        </w:rPr>
      </w:pPr>
      <w:r>
        <w:rPr>
          <w:rFonts w:ascii="Times New Roman" w:cs="Times New Roman" w:eastAsia="Times New Roman" w:hAnsi="Times New Roman"/>
          <w:sz w:val="19"/>
          <w:szCs w:val="19"/>
          <w:color w:val="auto"/>
        </w:rPr>
        <w:t>to such date.</w:t>
      </w:r>
    </w:p>
    <w:p>
      <w:pPr>
        <w:spacing w:after="0" w:line="208" w:lineRule="exact"/>
        <w:rPr>
          <w:sz w:val="20"/>
          <w:szCs w:val="20"/>
          <w:color w:val="auto"/>
        </w:rPr>
      </w:pPr>
    </w:p>
    <w:p>
      <w:pPr>
        <w:ind w:left="580" w:hanging="577"/>
        <w:spacing w:after="0"/>
        <w:tabs>
          <w:tab w:leader="none" w:pos="580" w:val="left"/>
        </w:tabs>
        <w:numPr>
          <w:ilvl w:val="0"/>
          <w:numId w:val="1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 Indemnification</w:t>
      </w:r>
    </w:p>
    <w:p>
      <w:pPr>
        <w:spacing w:after="0" w:line="223"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9"/>
          <w:szCs w:val="19"/>
          <w:color w:val="auto"/>
        </w:rPr>
        <w:t>Notwithstanding any provision of the By-laws or otherwise, the Company shall not reimburse (either through indemnification or insurance or otherwise) any Executive Officer against the loss of any amounts recovered under this Policy, and shall not pay or reimburse any Executive Officer for premiums for any insurance policy to fund such employee’s potential recovery obligations.</w:t>
      </w:r>
    </w:p>
    <w:p>
      <w:pPr>
        <w:spacing w:after="0" w:line="19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VI.</w:t>
      </w:r>
      <w:r>
        <w:rPr>
          <w:sz w:val="20"/>
          <w:szCs w:val="20"/>
          <w:color w:val="auto"/>
        </w:rPr>
        <w:tab/>
      </w:r>
      <w:r>
        <w:rPr>
          <w:rFonts w:ascii="Times New Roman" w:cs="Times New Roman" w:eastAsia="Times New Roman" w:hAnsi="Times New Roman"/>
          <w:sz w:val="19"/>
          <w:szCs w:val="19"/>
          <w:b w:val="1"/>
          <w:bCs w:val="1"/>
          <w:color w:val="auto"/>
        </w:rPr>
        <w:t>Effect on Other Plans and Agreements</w:t>
      </w:r>
    </w:p>
    <w:p>
      <w:pPr>
        <w:sectPr>
          <w:pgSz w:w="11900" w:h="16838" w:orient="portrait"/>
          <w:cols w:equalWidth="0" w:num="1">
            <w:col w:w="11220"/>
          </w:cols>
          <w:pgMar w:left="320" w:top="1355"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The recovery of Incentive Compensation from (or the failure to pay or issue Incentive Compensation to) an Executive Officer pursuant to this Policy</w:t>
      </w:r>
    </w:p>
    <w:p>
      <w:pPr>
        <w:spacing w:after="0" w:line="19" w:lineRule="exact"/>
        <w:rPr>
          <w:sz w:val="20"/>
          <w:szCs w:val="20"/>
          <w:color w:val="auto"/>
        </w:rPr>
      </w:pPr>
    </w:p>
    <w:p>
      <w:pPr>
        <w:ind w:right="740"/>
        <w:spacing w:after="0" w:line="243" w:lineRule="auto"/>
        <w:rPr>
          <w:sz w:val="20"/>
          <w:szCs w:val="20"/>
          <w:color w:val="auto"/>
        </w:rPr>
      </w:pPr>
      <w:r>
        <w:rPr>
          <w:rFonts w:ascii="Times New Roman" w:cs="Times New Roman" w:eastAsia="Times New Roman" w:hAnsi="Times New Roman"/>
          <w:sz w:val="18"/>
          <w:szCs w:val="18"/>
          <w:color w:val="auto"/>
        </w:rPr>
        <w:t>shall not constitute an applicable “Good Reason” event or termination under any severance protection agreement or plan, change in control agreement or plan, offer letter or other agreement with such Officer, which would commence severance benefits or separation pay.</w:t>
      </w:r>
    </w:p>
    <w:p>
      <w:pPr>
        <w:spacing w:after="0" w:line="20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VII.</w:t>
        <w:tab/>
        <w:t>Amendment and Termination</w:t>
      </w:r>
    </w:p>
    <w:p>
      <w:pPr>
        <w:spacing w:after="0" w:line="236"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8"/>
          <w:szCs w:val="18"/>
          <w:color w:val="auto"/>
        </w:rPr>
        <w:t>The Compensation Committee may amend, modify, supplement, rescind or replace all or any portion of this Policy at any time and from time to time in its discretion, and shall amend this Policy as it deems necessary to comply with applicable law or any rules or standards adopted by a</w:t>
      </w:r>
    </w:p>
    <w:p>
      <w:pPr>
        <w:spacing w:after="0"/>
        <w:rPr>
          <w:sz w:val="20"/>
          <w:szCs w:val="20"/>
          <w:color w:val="auto"/>
        </w:rPr>
      </w:pPr>
      <w:r>
        <w:rPr>
          <w:rFonts w:ascii="Times New Roman" w:cs="Times New Roman" w:eastAsia="Times New Roman" w:hAnsi="Times New Roman"/>
          <w:sz w:val="19"/>
          <w:szCs w:val="19"/>
          <w:color w:val="auto"/>
        </w:rPr>
        <w:t>national securities exchange on which the Company’s securities are listed.</w:t>
      </w:r>
    </w:p>
    <w:p>
      <w:pPr>
        <w:spacing w:after="0" w:line="20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VIII.</w:t>
      </w:r>
      <w:r>
        <w:rPr>
          <w:sz w:val="20"/>
          <w:szCs w:val="20"/>
          <w:color w:val="auto"/>
        </w:rPr>
        <w:tab/>
      </w:r>
      <w:r>
        <w:rPr>
          <w:rFonts w:ascii="Times New Roman" w:cs="Times New Roman" w:eastAsia="Times New Roman" w:hAnsi="Times New Roman"/>
          <w:sz w:val="18"/>
          <w:szCs w:val="18"/>
          <w:b w:val="1"/>
          <w:bCs w:val="1"/>
          <w:color w:val="auto"/>
        </w:rPr>
        <w:t>Successors</w:t>
      </w:r>
    </w:p>
    <w:p>
      <w:pPr>
        <w:spacing w:after="0" w:line="223"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9"/>
          <w:szCs w:val="19"/>
          <w:color w:val="auto"/>
        </w:rPr>
        <w:t>This Policy shall be binding and enforceable against all Executive Officers and their beneficiaries, heirs, executors, administrators or other legal representatives.</w:t>
      </w:r>
    </w:p>
    <w:p>
      <w:pPr>
        <w:spacing w:after="0" w:line="19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IX.</w:t>
      </w:r>
      <w:r>
        <w:rPr>
          <w:sz w:val="20"/>
          <w:szCs w:val="20"/>
          <w:color w:val="auto"/>
        </w:rPr>
        <w:tab/>
      </w:r>
      <w:r>
        <w:rPr>
          <w:rFonts w:ascii="Times New Roman" w:cs="Times New Roman" w:eastAsia="Times New Roman" w:hAnsi="Times New Roman"/>
          <w:sz w:val="19"/>
          <w:szCs w:val="19"/>
          <w:b w:val="1"/>
          <w:bCs w:val="1"/>
          <w:color w:val="auto"/>
        </w:rPr>
        <w:t>Validity and Enforceability</w:t>
      </w:r>
    </w:p>
    <w:p>
      <w:pPr>
        <w:spacing w:after="0" w:line="223"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9"/>
          <w:szCs w:val="19"/>
          <w:color w:val="auto"/>
        </w:rPr>
        <w:t>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w:t>
      </w:r>
    </w:p>
    <w:p>
      <w:pPr>
        <w:spacing w:after="0" w:line="1"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8"/>
          <w:szCs w:val="18"/>
          <w:color w:val="auto"/>
        </w:rPr>
        <w:t>conform to applicable law. The invalidity or unenforceability of any provision of this Policy shall not affect the validity or enforceability of any other provision of this Policy. This Policy is intended to comply with, shall be interpreted to comply with, and shall be deemed automatically</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9"/>
          <w:szCs w:val="19"/>
          <w:color w:val="auto"/>
        </w:rPr>
        <w:t>amended to comply with Section 303A.14 of the Listing Standards, and any related rules or regulations promulgated by the Securities and Exchange Commission or the NYSE including any additional or new requirements that become effective after the Effective Date.</w:t>
      </w:r>
    </w:p>
    <w:p>
      <w:pPr>
        <w:spacing w:after="0" w:line="190" w:lineRule="exact"/>
        <w:rPr>
          <w:sz w:val="20"/>
          <w:szCs w:val="20"/>
          <w:color w:val="auto"/>
        </w:rPr>
      </w:pPr>
    </w:p>
    <w:p>
      <w:pPr>
        <w:ind w:left="620" w:hanging="617"/>
        <w:spacing w:after="0"/>
        <w:tabs>
          <w:tab w:leader="none" w:pos="620" w:val="left"/>
        </w:tabs>
        <w:numPr>
          <w:ilvl w:val="0"/>
          <w:numId w:val="1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Definitions</w:t>
      </w:r>
    </w:p>
    <w:p>
      <w:pPr>
        <w:spacing w:after="0" w:line="249"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9"/>
          <w:szCs w:val="19"/>
          <w:color w:val="auto"/>
        </w:rPr>
        <w:t>“Applicable Period” means the three completed fiscal years immediately preceding the Date on which the Company is required to prepare a Restatement, as well as any transition period (that results from a change in the Company’s fiscal year) within or immediately following those three completed fiscal years (except that a transition period that comprises a period of at least nine months shall count as a completed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“Board” means the Board of Directors of the Company.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“By-laws” mean the By-laws of the Company dated May 23, 2023, as may be amended after the effective date of this Policy.</w:t>
      </w:r>
    </w:p>
    <w:p>
      <w:pPr>
        <w:spacing w:after="0" w:line="199"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9"/>
          <w:szCs w:val="19"/>
          <w:color w:val="auto"/>
        </w:rPr>
        <w:t>“Compensation Committee” means (i) the Compensation and Organization Committee of the Board, or (ii) such other committee of the Board that, at the relevant time, has authority for making determinations with respect to executive compensation. Nothing herein shall preclude the Board from acting in lieu of the Compensation and Organization Committee, in the Board’s discretion.</w:t>
      </w:r>
    </w:p>
    <w:p>
      <w:pPr>
        <w:spacing w:after="0" w:line="188" w:lineRule="exact"/>
        <w:rPr>
          <w:sz w:val="20"/>
          <w:szCs w:val="20"/>
          <w:color w:val="auto"/>
        </w:rPr>
      </w:pPr>
    </w:p>
    <w:p>
      <w:pPr>
        <w:jc w:val="both"/>
        <w:ind w:right="380"/>
        <w:spacing w:after="0" w:line="247" w:lineRule="auto"/>
        <w:rPr>
          <w:sz w:val="20"/>
          <w:szCs w:val="20"/>
          <w:color w:val="auto"/>
        </w:rPr>
      </w:pPr>
      <w:r>
        <w:rPr>
          <w:rFonts w:ascii="Times New Roman" w:cs="Times New Roman" w:eastAsia="Times New Roman" w:hAnsi="Times New Roman"/>
          <w:sz w:val="19"/>
          <w:szCs w:val="19"/>
          <w:color w:val="auto"/>
        </w:rPr>
        <w:t>“Date on which the Company is required to prepare a Restatement” is the earlier to occur of (a) the date the Audit Committee of the Board, the Board, or the officer or officers of the Company authorized to take such action if Audit Committee or Board action is not required concludes, or reasonably should have concluded, that it is required to prepare a Restatement, or (b) the date a court, regulator, or other legally</w:t>
      </w:r>
    </w:p>
    <w:p>
      <w:pPr>
        <w:sectPr>
          <w:pgSz w:w="11900" w:h="16838" w:orient="portrait"/>
          <w:cols w:equalWidth="0" w:num="1">
            <w:col w:w="11240"/>
          </w:cols>
          <w:pgMar w:left="320" w:top="1342"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9"/>
          <w:szCs w:val="19"/>
          <w:color w:val="auto"/>
        </w:rPr>
        <w:t>authorized body directs the Company to prepare a Restatement, in each case regardless of if or when the restated financial statements are filed.</w:t>
      </w:r>
    </w:p>
    <w:p>
      <w:pPr>
        <w:spacing w:after="0" w:line="21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“Erroneously Awarded Compensation” means the amount of Incentive Compensation received by the Executive Officer that exceeds the amount of Incentive Compensation that would have been received by the Executive Officer had it been determined based on the Restatement.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“Exchange Act” means the Securities Exchange Act of 1934, as amended.</w:t>
      </w:r>
    </w:p>
    <w:p>
      <w:pPr>
        <w:spacing w:after="0" w:line="23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9"/>
          <w:szCs w:val="19"/>
          <w:color w:val="auto"/>
        </w:rPr>
        <w:t>“Executive Officer” means the Company’s current and former executive officers, as determined by the Board in accordance with the definition of executive officer set forth in Rule 10D-1 and Section 303A.14 of the Listing Standards.</w:t>
      </w:r>
    </w:p>
    <w:p>
      <w:pPr>
        <w:spacing w:after="0" w:line="1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“Financial Reporting Measures” means measures that are determined and presented in accordance with the accounting principles used in preparing the Company’s financial statements, and any measures that are derived wholly or in part from such measures. Financial Reporting Measures include but are not limited to the following (and any measures derived from the following): Company share price; total shareholder return; net sales; organic net sales; earnings before interest and taxes; adjusted earnings before interest and taxes; earnings per share; adjusted earnings per share; cash flows; and tax basis income. A financial reporting measure need not be presented within the Company’s financial statements or included in a filing with the U.S. Securities and Exchange Commission.</w:t>
      </w:r>
    </w:p>
    <w:p>
      <w:pPr>
        <w:spacing w:after="0" w:line="194"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9"/>
          <w:szCs w:val="19"/>
          <w:color w:val="auto"/>
        </w:rPr>
        <w:t>“Incentive Compensation” means any compensation that is granted, earned or vested based wholly or in part upon the attainment of a Financial Reporting Measure. Incentive Compensation is “received” for purposes of this Policy in the Company’s fiscal period during which the Financial Reporting Measure specified in the Incentive Compensation award is attained, even if the payment or grant of such Incentive Compensation occurs after the end of that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“Listing Standards” means the New York Stock Exchange Listed Company Manual.</w:t>
      </w:r>
    </w:p>
    <w:p>
      <w:pPr>
        <w:spacing w:after="0" w:line="2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“Restatement” means an accounting restatement of any of the Company’s consolidated financial statements due to the material noncompliance by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(unless due to a change in accounting</w:t>
      </w:r>
    </w:p>
    <w:p>
      <w:pPr>
        <w:spacing w:after="0" w:line="212" w:lineRule="auto"/>
        <w:rPr>
          <w:sz w:val="20"/>
          <w:szCs w:val="20"/>
          <w:color w:val="auto"/>
        </w:rPr>
      </w:pPr>
      <w:r>
        <w:rPr>
          <w:rFonts w:ascii="Times New Roman" w:cs="Times New Roman" w:eastAsia="Times New Roman" w:hAnsi="Times New Roman"/>
          <w:sz w:val="19"/>
          <w:szCs w:val="19"/>
          <w:color w:val="auto"/>
        </w:rPr>
        <w:t>policy, generally accepted accounting principles or applicable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“Rule 10D-1” means Rule 10D-1 promulgated under the Exchange Act.</w:t>
      </w:r>
    </w:p>
    <w:sectPr>
      <w:pgSz w:w="11900" w:h="16838" w:orient="portrait"/>
      <w:cols w:equalWidth="0" w:num="1">
        <w:col w:w="11220"/>
      </w:cols>
      <w:pgMar w:left="320" w:top="135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1"/>
      <w:numFmt w:val="decimal"/>
      <w:start w:val="61"/>
    </w:lvl>
  </w:abstractNum>
  <w:abstractNum w:abstractNumId="10">
    <w:nsid w:val="2F305DEF"/>
    <w:multiLevelType w:val="hybridMultilevel"/>
    <w:lvl w:ilvl="0">
      <w:lvlJc w:val="left"/>
      <w:lvlText w:val="%1"/>
      <w:numFmt w:val="decimal"/>
      <w:start w:val="57"/>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1)"/>
      <w:numFmt w:val="decimal"/>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1)"/>
      <w:numFmt w:val="decimal"/>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1)"/>
      <w:numFmt w:val="decimal"/>
      <w:start w:val="1"/>
    </w:lvl>
  </w:abstractNum>
  <w:abstractNum w:abstractNumId="22">
    <w:nsid w:val="799D0247"/>
    <w:multiLevelType w:val="hybridMultilevel"/>
    <w:lvl w:ilvl="0">
      <w:lvlJc w:val="left"/>
      <w:lvlText w:val="(%1)"/>
      <w:numFmt w:val="decimal"/>
      <w:start w:val="1"/>
    </w:lvl>
  </w:abstractNum>
  <w:abstractNum w:abstractNumId="23">
    <w:nsid w:val="6B94764"/>
    <w:multiLevelType w:val="hybridMultilevel"/>
    <w:lvl w:ilvl="0">
      <w:lvlJc w:val="left"/>
      <w:lvlText w:val="(%1)"/>
      <w:numFmt w:val="decimal"/>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1)"/>
      <w:numFmt w:val="decimal"/>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1)"/>
      <w:numFmt w:val="decimal"/>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1)"/>
      <w:numFmt w:val="decimal"/>
      <w:start w:val="1"/>
    </w:lvl>
  </w:abstractNum>
  <w:abstractNum w:abstractNumId="38">
    <w:nsid w:val="1A32234B"/>
    <w:multiLevelType w:val="hybridMultilevel"/>
    <w:lvl w:ilvl="0">
      <w:lvlJc w:val="left"/>
      <w:lvlText w:val="%1."/>
      <w:numFmt w:val="decimal"/>
      <w:start w:val="2"/>
    </w:lvl>
  </w:abstractNum>
  <w:abstractNum w:abstractNumId="39">
    <w:nsid w:val="3B0FD379"/>
    <w:multiLevelType w:val="hybridMultilevel"/>
    <w:lvl w:ilvl="0">
      <w:lvlJc w:val="left"/>
      <w:lvlText w:val="(%1)"/>
      <w:numFmt w:val="decimal"/>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1)"/>
      <w:numFmt w:val="decimal"/>
      <w:start w:val="1"/>
    </w:lvl>
  </w:abstractNum>
  <w:abstractNum w:abstractNumId="42">
    <w:nsid w:val="60B6DF70"/>
    <w:multiLevelType w:val="hybridMultilevel"/>
    <w:lvl w:ilvl="0">
      <w:lvlJc w:val="left"/>
      <w:lvlText w:val="%1."/>
      <w:numFmt w:val="decimal"/>
      <w:start w:val="6"/>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decimal"/>
      <w:start w:val="1"/>
    </w:lvl>
  </w:abstractNum>
  <w:abstractNum w:abstractNumId="47">
    <w:nsid w:val="71EA1109"/>
    <w:multiLevelType w:val="hybridMultilevel"/>
    <w:lvl w:ilvl="0">
      <w:lvlJc w:val="left"/>
      <w:lvlText w:val="(%1)"/>
      <w:numFmt w:val="decimal"/>
      <w:start w:val="3"/>
    </w:lvl>
  </w:abstractNum>
  <w:abstractNum w:abstractNumId="48">
    <w:nsid w:val="100F59DC"/>
    <w:multiLevelType w:val="hybridMultilevel"/>
    <w:lvl w:ilvl="0">
      <w:lvlJc w:val="left"/>
      <w:lvlText w:val="(%1)"/>
      <w:numFmt w:val="decimal"/>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13"/>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1)"/>
      <w:numFmt w:val="decimal"/>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1)"/>
      <w:numFmt w:val="decimal"/>
      <w:start w:val="1"/>
    </w:lvl>
  </w:abstractNum>
  <w:abstractNum w:abstractNumId="58">
    <w:nsid w:val="3222E7CD"/>
    <w:multiLevelType w:val="hybridMultilevel"/>
    <w:lvl w:ilvl="0">
      <w:lvlJc w:val="left"/>
      <w:lvlText w:val="(%1)"/>
      <w:numFmt w:val="decimal"/>
      <w:start w:val="1"/>
    </w:lvl>
  </w:abstractNum>
  <w:abstractNum w:abstractNumId="59">
    <w:nsid w:val="74DE0EE3"/>
    <w:multiLevelType w:val="hybridMultilevel"/>
    <w:lvl w:ilvl="0">
      <w:lvlJc w:val="left"/>
      <w:lvlText w:val="%1."/>
      <w:numFmt w:val="decimal"/>
      <w:start w:val="18"/>
    </w:lvl>
  </w:abstractNum>
  <w:abstractNum w:abstractNumId="60">
    <w:nsid w:val="68EBC550"/>
    <w:multiLevelType w:val="hybridMultilevel"/>
    <w:lvl w:ilvl="0">
      <w:lvlJc w:val="left"/>
      <w:lvlText w:val="(%1)"/>
      <w:numFmt w:val="decimal"/>
      <w:start w:val="1"/>
    </w:lvl>
  </w:abstractNum>
  <w:abstractNum w:abstractNumId="61">
    <w:nsid w:val="2DF6D648"/>
    <w:multiLevelType w:val="hybridMultilevel"/>
    <w:lvl w:ilvl="0">
      <w:lvlJc w:val="left"/>
      <w:lvlText w:val="(%1)"/>
      <w:numFmt w:val="decimal"/>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1)"/>
      <w:numFmt w:val="lowerRoman"/>
      <w:start w:val="2"/>
    </w:lvl>
  </w:abstractNum>
  <w:abstractNum w:abstractNumId="64">
    <w:nsid w:val="39EE015C"/>
    <w:multiLevelType w:val="hybridMultilevel"/>
    <w:lvl w:ilvl="0">
      <w:lvlJc w:val="left"/>
      <w:lvlText w:val="%1."/>
      <w:numFmt w:val="decimal"/>
      <w:start w:val="79"/>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1)"/>
      <w:numFmt w:val="decimal"/>
      <w:start w:val="1"/>
    </w:lvl>
    <w:lvl w:ilvl="1">
      <w:lvlJc w:val="left"/>
      <w:lvlText w:val="(%2)"/>
      <w:numFmt w:val="lowerLetter"/>
      <w:start w:val="2"/>
    </w:lvl>
  </w:abstractNum>
  <w:abstractNum w:abstractNumId="68">
    <w:nsid w:val="60EF0119"/>
    <w:multiLevelType w:val="hybridMultilevel"/>
    <w:lvl w:ilvl="0">
      <w:lvlJc w:val="left"/>
      <w:lvlText w:val="(%1)"/>
      <w:numFmt w:val="lowerLetter"/>
      <w:start w:val="1"/>
    </w:lvl>
    <w:lvl w:ilvl="1">
      <w:lvlJc w:val="left"/>
      <w:lvlText w:val="%2."/>
      <w:numFmt w:val="decimal"/>
      <w:start w:val="1"/>
    </w:lvl>
  </w:abstractNum>
  <w:abstractNum w:abstractNumId="69">
    <w:nsid w:val="26F324BA"/>
    <w:multiLevelType w:val="hybridMultilevel"/>
    <w:lvl w:ilvl="0">
      <w:lvlJc w:val="left"/>
      <w:lvlText w:val="%1."/>
      <w:numFmt w:val="decimal"/>
      <w:start w:val="2"/>
    </w:lvl>
    <w:lvl w:ilvl="1">
      <w:lvlJc w:val="left"/>
      <w:lvlText w:val="%2"/>
      <w:numFmt w:val="upperLetter"/>
      <w:start w:val="1"/>
    </w:lvl>
  </w:abstractNum>
  <w:abstractNum w:abstractNumId="70">
    <w:nsid w:val="7F01579B"/>
    <w:multiLevelType w:val="hybridMultilevel"/>
    <w:lvl w:ilvl="0">
      <w:lvlJc w:val="left"/>
      <w:lvlText w:val="(%1)"/>
      <w:numFmt w:val="lowerLetter"/>
      <w:start w:val="2"/>
    </w:lvl>
  </w:abstractNum>
  <w:abstractNum w:abstractNumId="71">
    <w:nsid w:val="49DA307D"/>
    <w:multiLevelType w:val="hybridMultilevel"/>
    <w:lvl w:ilvl="0">
      <w:lvlJc w:val="left"/>
      <w:lvlText w:val="2"/>
      <w:numFmt w:val="bullet"/>
      <w:start w:val="1"/>
    </w:lvl>
  </w:abstractNum>
  <w:abstractNum w:abstractNumId="72">
    <w:nsid w:val="7055A5F5"/>
    <w:multiLevelType w:val="hybridMultilevel"/>
    <w:lvl w:ilvl="0">
      <w:lvlJc w:val="left"/>
      <w:lvlText w:val="%1"/>
      <w:numFmt w:val="decimal"/>
      <w:start w:val="19"/>
    </w:lvl>
  </w:abstractNum>
  <w:abstractNum w:abstractNumId="73">
    <w:nsid w:val="5FB8370B"/>
    <w:multiLevelType w:val="hybridMultilevel"/>
    <w:lvl w:ilvl="0">
      <w:lvlJc w:val="left"/>
      <w:lvlText w:val="%1"/>
      <w:numFmt w:val="decimal"/>
      <w:start w:val="21"/>
    </w:lvl>
  </w:abstractNum>
  <w:abstractNum w:abstractNumId="74">
    <w:nsid w:val="50801EE1"/>
    <w:multiLevelType w:val="hybridMultilevel"/>
    <w:lvl w:ilvl="0">
      <w:lvlJc w:val="left"/>
      <w:lvlText w:val="%1"/>
      <w:numFmt w:val="decimal"/>
      <w:start w:val="23"/>
    </w:lvl>
  </w:abstractNum>
  <w:abstractNum w:abstractNumId="75">
    <w:nsid w:val="488AC1A"/>
    <w:multiLevelType w:val="hybridMultilevel"/>
    <w:lvl w:ilvl="0">
      <w:lvlJc w:val="left"/>
      <w:lvlText w:val="%1"/>
      <w:numFmt w:val="decimal"/>
      <w:start w:val="97"/>
    </w:lvl>
  </w:abstractNum>
  <w:abstractNum w:abstractNumId="76">
    <w:nsid w:val="5FB8011C"/>
    <w:multiLevelType w:val="hybridMultilevel"/>
    <w:lvl w:ilvl="0">
      <w:lvlJc w:val="left"/>
      <w:lvlText w:val="%1"/>
      <w:numFmt w:val="decimal"/>
      <w:start w:val="104"/>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1)"/>
      <w:numFmt w:val="decimal"/>
      <w:start w:val="1"/>
    </w:lvl>
  </w:abstractNum>
  <w:abstractNum w:abstractNumId="79">
    <w:nsid w:val="6FC75AF8"/>
    <w:multiLevelType w:val="hybridMultilevel"/>
    <w:lvl w:ilvl="0">
      <w:lvlJc w:val="left"/>
      <w:lvlText w:val="%1."/>
      <w:numFmt w:val="decimal"/>
      <w:start w:val="1"/>
    </w:lvl>
    <w:lvl w:ilvl="1">
      <w:lvlJc w:val="left"/>
      <w:lvlText w:val="%2"/>
      <w:numFmt w:val="lowerLetter"/>
      <w:start w:val="1"/>
    </w:lvl>
  </w:abstractNum>
  <w:abstractNum w:abstractNumId="80">
    <w:nsid w:val="6A5F7029"/>
    <w:multiLevelType w:val="hybridMultilevel"/>
    <w:lvl w:ilvl="0">
      <w:lvlJc w:val="left"/>
      <w:lvlText w:val="%1."/>
      <w:numFmt w:val="lowerLetter"/>
      <w:start w:val="2"/>
    </w:lvl>
    <w:lvl w:ilvl="1">
      <w:lvlJc w:val="left"/>
      <w:lvlText w:val="%2."/>
      <w:numFmt w:val="lowerRoman"/>
      <w:start w:val="1"/>
    </w:lvl>
  </w:abstractNum>
  <w:abstractNum w:abstractNumId="81">
    <w:nsid w:val="7D5E18F8"/>
    <w:multiLevelType w:val="hybridMultilevel"/>
    <w:lvl w:ilvl="0">
      <w:lvlJc w:val="left"/>
      <w:lvlText w:val="%1"/>
      <w:numFmt w:val="lowerRoman"/>
      <w:start w:val="1"/>
    </w:lvl>
    <w:lvl w:ilvl="1">
      <w:lvlJc w:val="left"/>
      <w:lvlText w:val="%2."/>
      <w:numFmt w:val="lowerRoman"/>
      <w:start w:val="2"/>
    </w:lvl>
  </w:abstractNum>
  <w:abstractNum w:abstractNumId="82">
    <w:nsid w:val="5F3534A4"/>
    <w:multiLevelType w:val="hybridMultilevel"/>
    <w:lvl w:ilvl="0">
      <w:lvlJc w:val="left"/>
      <w:lvlText w:val="%1."/>
      <w:numFmt w:val="lowerRoman"/>
      <w:start w:val="4"/>
    </w:lvl>
    <w:lvl w:ilvl="1">
      <w:lvlJc w:val="left"/>
      <w:lvlText w:val="%2."/>
      <w:numFmt w:val="lowerRoman"/>
      <w:start w:val="6"/>
    </w:lvl>
  </w:abstractNum>
  <w:abstractNum w:abstractNumId="83">
    <w:nsid w:val="73A1821B"/>
    <w:multiLevelType w:val="hybridMultilevel"/>
    <w:lvl w:ilvl="0">
      <w:lvlJc w:val="left"/>
      <w:lvlText w:val="%1."/>
      <w:numFmt w:val="lowerLetter"/>
      <w:start w:val="5"/>
    </w:lvl>
  </w:abstractNum>
  <w:abstractNum w:abstractNumId="84">
    <w:nsid w:val="7DE6771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5">
    <w:nsid w:val="555C55B5"/>
    <w:multiLevelType w:val="hybridMultilevel"/>
    <w:lvl w:ilvl="0">
      <w:lvlJc w:val="left"/>
      <w:lvlText w:val="%1."/>
      <w:numFmt w:val="lowerRoman"/>
      <w:start w:val="3"/>
    </w:lvl>
  </w:abstractNum>
  <w:abstractNum w:abstractNumId="86">
    <w:nsid w:val="3FA62ACA"/>
    <w:multiLevelType w:val="hybridMultilevel"/>
    <w:lvl w:ilvl="0">
      <w:lvlJc w:val="left"/>
      <w:lvlText w:val="%1."/>
      <w:numFmt w:val="lowerRoman"/>
      <w:start w:val="4"/>
    </w:lvl>
  </w:abstractNum>
  <w:abstractNum w:abstractNumId="87">
    <w:nsid w:val="14FCE74E"/>
    <w:multiLevelType w:val="hybridMultilevel"/>
    <w:lvl w:ilvl="0">
      <w:lvlJc w:val="left"/>
      <w:lvlText w:val="%1."/>
      <w:numFmt w:val="lowerRoman"/>
      <w:start w:val="5"/>
    </w:lvl>
  </w:abstractNum>
  <w:abstractNum w:abstractNumId="88">
    <w:nsid w:val="6A3DD3E8"/>
    <w:multiLevelType w:val="hybridMultilevel"/>
    <w:lvl w:ilvl="0">
      <w:lvlJc w:val="left"/>
      <w:lvlText w:val="%1"/>
      <w:numFmt w:val="lowerLetter"/>
      <w:start w:val="1"/>
    </w:lvl>
    <w:lvl w:ilvl="1">
      <w:lvlJc w:val="left"/>
      <w:lvlText w:val="%2."/>
      <w:numFmt w:val="lowerRoman"/>
      <w:start w:val="6"/>
    </w:lvl>
  </w:abstractNum>
  <w:abstractNum w:abstractNumId="89">
    <w:nsid w:val="71C91298"/>
    <w:multiLevelType w:val="hybridMultilevel"/>
    <w:lvl w:ilvl="0">
      <w:lvlJc w:val="left"/>
      <w:lvlText w:val="%1."/>
      <w:numFmt w:val="lowerLetter"/>
      <w:start w:val="3"/>
    </w:lvl>
    <w:lvl w:ilvl="1">
      <w:lvlJc w:val="left"/>
      <w:lvlText w:val="%2"/>
      <w:numFmt w:val="lowerRoman"/>
      <w:start w:val="1"/>
    </w:lvl>
  </w:abstractNum>
  <w:abstractNum w:abstractNumId="90">
    <w:nsid w:val="9DAF632"/>
    <w:multiLevelType w:val="hybridMultilevel"/>
    <w:lvl w:ilvl="0">
      <w:lvlJc w:val="left"/>
      <w:lvlText w:val="%1."/>
      <w:numFmt w:val="decimal"/>
      <w:start w:val="4"/>
    </w:lvl>
    <w:lvl w:ilvl="1">
      <w:lvlJc w:val="left"/>
      <w:lvlText w:val="%2."/>
      <w:numFmt w:val="lowerLetter"/>
      <w:start w:val="1"/>
    </w:lvl>
  </w:abstractNum>
  <w:abstractNum w:abstractNumId="91">
    <w:nsid w:val="53299938"/>
    <w:multiLevelType w:val="hybridMultilevel"/>
    <w:lvl w:ilvl="0">
      <w:lvlJc w:val="left"/>
      <w:lvlText w:val="%1"/>
      <w:numFmt w:val="decimal"/>
      <w:start w:val="1"/>
    </w:lvl>
    <w:lvl w:ilvl="1">
      <w:lvlJc w:val="left"/>
      <w:lvlText w:val="%2."/>
      <w:numFmt w:val="lowerLetter"/>
      <w:start w:val="1"/>
    </w:lvl>
  </w:abstractNum>
  <w:abstractNum w:abstractNumId="92">
    <w:nsid w:val="1FBFE8E0"/>
    <w:multiLevelType w:val="hybridMultilevel"/>
    <w:lvl w:ilvl="0">
      <w:lvlJc w:val="left"/>
      <w:lvlText w:val="%1."/>
      <w:numFmt w:val="decimal"/>
      <w:start w:val="7"/>
    </w:lvl>
    <w:lvl w:ilvl="1">
      <w:lvlJc w:val="left"/>
      <w:lvlText w:val="%2."/>
      <w:numFmt w:val="lowerLetter"/>
      <w:start w:val="1"/>
    </w:lvl>
  </w:abstractNum>
  <w:abstractNum w:abstractNumId="93">
    <w:nsid w:val="5092CA79"/>
    <w:multiLevelType w:val="hybridMultilevel"/>
    <w:lvl w:ilvl="0">
      <w:lvlJc w:val="left"/>
      <w:lvlText w:val="%1."/>
      <w:numFmt w:val="decimal"/>
      <w:start w:val="8"/>
    </w:lvl>
  </w:abstractNum>
  <w:abstractNum w:abstractNumId="94">
    <w:nsid w:val="1D545C4D"/>
    <w:multiLevelType w:val="hybridMultilevel"/>
    <w:lvl w:ilvl="0">
      <w:lvlJc w:val="left"/>
      <w:lvlText w:val="%1."/>
      <w:numFmt w:val="decimal"/>
      <w:start w:val="10"/>
    </w:lvl>
  </w:abstractNum>
  <w:abstractNum w:abstractNumId="95">
    <w:nsid w:val="59ADEA3D"/>
    <w:multiLevelType w:val="hybridMultilevel"/>
    <w:lvl w:ilvl="0">
      <w:lvlJc w:val="left"/>
      <w:lvlText w:val="%1."/>
      <w:numFmt w:val="decimal"/>
      <w:start w:val="14"/>
    </w:lvl>
    <w:lvl w:ilvl="1">
      <w:lvlJc w:val="left"/>
      <w:lvlText w:val="%2."/>
      <w:numFmt w:val="lowerLetter"/>
      <w:start w:val="1"/>
    </w:lvl>
  </w:abstractNum>
  <w:abstractNum w:abstractNumId="96">
    <w:nsid w:val="288F1A34"/>
    <w:multiLevelType w:val="hybridMultilevel"/>
    <w:lvl w:ilvl="0">
      <w:lvlJc w:val="left"/>
      <w:lvlText w:val="%1"/>
      <w:numFmt w:val="decimal"/>
      <w:start w:val="1"/>
    </w:lvl>
    <w:lvl w:ilvl="1">
      <w:lvlJc w:val="left"/>
      <w:lvlText w:val="%2."/>
      <w:numFmt w:val="lowerLetter"/>
      <w:start w:val="4"/>
    </w:lvl>
  </w:abstractNum>
  <w:abstractNum w:abstractNumId="97">
    <w:nsid w:val="2A155DBC"/>
    <w:multiLevelType w:val="hybridMultilevel"/>
    <w:lvl w:ilvl="0">
      <w:lvlJc w:val="left"/>
      <w:lvlText w:val="%1."/>
      <w:numFmt w:val="decimal"/>
      <w:start w:val="16"/>
    </w:lvl>
    <w:lvl w:ilvl="1">
      <w:lvlJc w:val="left"/>
      <w:lvlText w:val="%2"/>
      <w:numFmt w:val="lowerLetter"/>
      <w:start w:val="1"/>
    </w:lvl>
  </w:abstractNum>
  <w:abstractNum w:abstractNumId="98">
    <w:nsid w:val="1D9F6E5F"/>
    <w:multiLevelType w:val="hybridMultilevel"/>
    <w:lvl w:ilvl="0">
      <w:lvlJc w:val="left"/>
      <w:lvlText w:val="%1."/>
      <w:numFmt w:val="decimal"/>
      <w:start w:val="1"/>
    </w:lvl>
  </w:abstractNum>
  <w:abstractNum w:abstractNumId="99">
    <w:nsid w:val="97E1B4E"/>
    <w:multiLevelType w:val="hybridMultilevel"/>
    <w:lvl w:ilvl="0">
      <w:lvlJc w:val="left"/>
      <w:lvlText w:val="%1."/>
      <w:numFmt w:val="decimal"/>
      <w:start w:val="2"/>
    </w:lvl>
  </w:abstractNum>
  <w:abstractNum w:abstractNumId="100">
    <w:nsid w:val="51088277"/>
    <w:multiLevelType w:val="hybridMultilevel"/>
    <w:lvl w:ilvl="0">
      <w:lvlJc w:val="left"/>
      <w:lvlText w:val="%1."/>
      <w:numFmt w:val="decimal"/>
      <w:start w:val="3"/>
    </w:lvl>
  </w:abstractNum>
  <w:abstractNum w:abstractNumId="101">
    <w:nsid w:val="1CA0C5FA"/>
    <w:multiLevelType w:val="hybridMultilevel"/>
    <w:lvl w:ilvl="0">
      <w:lvlJc w:val="left"/>
      <w:lvlText w:val="(%1)"/>
      <w:numFmt w:val="lowerRoman"/>
      <w:start w:val="1"/>
    </w:lvl>
    <w:lvl w:ilvl="1">
      <w:lvlJc w:val="left"/>
      <w:lvlText w:val="(%2)"/>
      <w:numFmt w:val="lowerLetter"/>
      <w:start w:val="25"/>
    </w:lvl>
  </w:abstractNum>
  <w:abstractNum w:abstractNumId="102">
    <w:nsid w:val="53584BCB"/>
    <w:multiLevelType w:val="hybridMultilevel"/>
    <w:lvl w:ilvl="0">
      <w:lvlJc w:val="left"/>
      <w:lvlText w:val="(%1)"/>
      <w:numFmt w:val="lowerRoman"/>
      <w:start w:val="1"/>
    </w:lvl>
  </w:abstractNum>
  <w:abstractNum w:abstractNumId="103">
    <w:nsid w:val="415E286C"/>
    <w:multiLevelType w:val="hybridMultilevel"/>
    <w:lvl w:ilvl="0">
      <w:lvlJc w:val="left"/>
      <w:lvlText w:val="•"/>
      <w:numFmt w:val="bullet"/>
      <w:start w:val="1"/>
    </w:lvl>
  </w:abstractNum>
  <w:abstractNum w:abstractNumId="104">
    <w:nsid w:val="7C58FD05"/>
    <w:multiLevelType w:val="hybridMultilevel"/>
    <w:lvl w:ilvl="0">
      <w:lvlJc w:val="left"/>
      <w:lvlText w:val="%1."/>
      <w:numFmt w:val="decimal"/>
      <w:start w:val="1"/>
    </w:lvl>
  </w:abstractNum>
  <w:abstractNum w:abstractNumId="105">
    <w:nsid w:val="23D86AAC"/>
    <w:multiLevelType w:val="hybridMultilevel"/>
    <w:lvl w:ilvl="0">
      <w:lvlJc w:val="left"/>
      <w:lvlText w:val="•"/>
      <w:numFmt w:val="bullet"/>
      <w:start w:val="1"/>
    </w:lvl>
  </w:abstractNum>
  <w:abstractNum w:abstractNumId="106">
    <w:nsid w:val="45E6D486"/>
    <w:multiLevelType w:val="hybridMultilevel"/>
    <w:lvl w:ilvl="0">
      <w:lvlJc w:val="left"/>
      <w:lvlText w:val="•"/>
      <w:numFmt w:val="bullet"/>
      <w:start w:val="1"/>
    </w:lvl>
  </w:abstractNum>
  <w:abstractNum w:abstractNumId="107">
    <w:nsid w:val="5C10FE21"/>
    <w:multiLevelType w:val="hybridMultilevel"/>
    <w:lvl w:ilvl="0">
      <w:lvlJc w:val="left"/>
      <w:lvlText w:val="•"/>
      <w:numFmt w:val="bullet"/>
      <w:start w:val="1"/>
    </w:lvl>
  </w:abstractNum>
  <w:abstractNum w:abstractNumId="108">
    <w:nsid w:val="E7FFA2B"/>
    <w:multiLevelType w:val="hybridMultilevel"/>
    <w:lvl w:ilvl="0">
      <w:lvlJc w:val="left"/>
      <w:lvlText w:val="•"/>
      <w:numFmt w:val="bullet"/>
      <w:start w:val="1"/>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decimal"/>
      <w:start w:val="1"/>
    </w:lvl>
    <w:lvl w:ilvl="1">
      <w:lvlJc w:val="left"/>
      <w:lvlText w:val="%2)"/>
      <w:numFmt w:val="lowerLetter"/>
      <w:start w:val="1"/>
    </w:lvl>
  </w:abstractNum>
  <w:abstractNum w:abstractNumId="111">
    <w:nsid w:val="78DF6A55"/>
    <w:multiLevelType w:val="hybridMultilevel"/>
    <w:lvl w:ilvl="0">
      <w:lvlJc w:val="left"/>
      <w:lvlText w:val="%1."/>
      <w:numFmt w:val="decimal"/>
      <w:start w:val="1"/>
    </w:lvl>
    <w:lvl w:ilvl="1">
      <w:lvlJc w:val="left"/>
      <w:lvlText w:val="%2)"/>
      <w:numFmt w:val="lowerLetter"/>
      <w:start w:val="1"/>
    </w:lvl>
  </w:abstractNum>
  <w:abstractNum w:abstractNumId="112">
    <w:nsid w:val="39B7AAA2"/>
    <w:multiLevelType w:val="hybridMultilevel"/>
    <w:lvl w:ilvl="0">
      <w:lvlJc w:val="left"/>
      <w:lvlText w:val="(%1)"/>
      <w:numFmt w:val="decimal"/>
      <w:start w:val="1"/>
    </w:lvl>
  </w:abstractNum>
  <w:abstractNum w:abstractNumId="113">
    <w:nsid w:val="2B0D8DBE"/>
    <w:multiLevelType w:val="hybridMultilevel"/>
    <w:lvl w:ilvl="0">
      <w:lvlJc w:val="left"/>
      <w:lvlText w:val="(%1)"/>
      <w:numFmt w:val="decimal"/>
      <w:start w:val="1"/>
    </w:lvl>
  </w:abstractNum>
  <w:abstractNum w:abstractNumId="114">
    <w:nsid w:val="6C80EC70"/>
    <w:multiLevelType w:val="hybridMultilevel"/>
    <w:lvl w:ilvl="0">
      <w:lvlJc w:val="left"/>
      <w:lvlText w:val="%1."/>
      <w:numFmt w:val="upperLetter"/>
      <w:start w:val="9"/>
    </w:lvl>
  </w:abstractNum>
  <w:abstractNum w:abstractNumId="115">
    <w:nsid w:val="379E21B5"/>
    <w:multiLevelType w:val="hybridMultilevel"/>
    <w:lvl w:ilvl="0">
      <w:lvlJc w:val="left"/>
      <w:lvlText w:val="%1."/>
      <w:numFmt w:val="upperLetter"/>
      <w:start w:val="35"/>
    </w:lvl>
  </w:abstractNum>
  <w:abstractNum w:abstractNumId="116">
    <w:nsid w:val="69E373"/>
    <w:multiLevelType w:val="hybridMultilevel"/>
    <w:lvl w:ilvl="0">
      <w:lvlJc w:val="left"/>
      <w:lvlText w:val="%1."/>
      <w:numFmt w:val="upperLetter"/>
      <w:start w:val="60"/>
    </w:lvl>
    <w:lvl w:ilvl="1">
      <w:lvlJc w:val="left"/>
      <w:lvlText w:val="•"/>
      <w:numFmt w:val="bullet"/>
      <w:start w:val="1"/>
    </w:lvl>
  </w:abstractNum>
  <w:abstractNum w:abstractNumId="117">
    <w:nsid w:val="2C27173B"/>
    <w:multiLevelType w:val="hybridMultilevel"/>
    <w:lvl w:ilvl="0">
      <w:lvlJc w:val="left"/>
      <w:lvlText w:val="%1."/>
      <w:numFmt w:val="upperLetter"/>
      <w:start w:val="22"/>
    </w:lvl>
  </w:abstractNum>
  <w:abstractNum w:abstractNumId="118">
    <w:nsid w:val="4C9B0904"/>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jpeg"/><Relationship Id="rId118" Type="http://schemas.openxmlformats.org/officeDocument/2006/relationships/hyperlink" Target="https://www.sec.gov/Archives/edgar/data/16732/000095010323011620/dp198090_ex0201.htm" TargetMode="External"/><Relationship Id="rId119" Type="http://schemas.openxmlformats.org/officeDocument/2006/relationships/hyperlink" Target="https://www.sec.gov/Archives/edgar/data/16732/000089322002001206/w64292exv3wxiy.txt" TargetMode="External"/><Relationship Id="rId120" Type="http://schemas.openxmlformats.org/officeDocument/2006/relationships/hyperlink" Target="https://www.sec.gov/Archives/edgar/data/16732/000001673223000065/by-lawsofcampbellsoupcompa.htm" TargetMode="External"/><Relationship Id="rId121" Type="http://schemas.openxmlformats.org/officeDocument/2006/relationships/hyperlink" Target="https://www.sec.gov/Archives/edgar/data/16732/000095010308002875/dp11895_ex4a.htm" TargetMode="External"/><Relationship Id="rId122" Type="http://schemas.openxmlformats.org/officeDocument/2006/relationships/hyperlink" Target="https://www.sec.gov/Archives/edgar/data/16732/000119312512330540/d385353dex41.htm" TargetMode="External"/><Relationship Id="rId123" Type="http://schemas.openxmlformats.org/officeDocument/2006/relationships/hyperlink" Target="https://www.sec.gov/Archives/edgar/data/16732/000119312520259691/d57612dex42.htm" TargetMode="External"/><Relationship Id="rId124" Type="http://schemas.openxmlformats.org/officeDocument/2006/relationships/hyperlink" Target="https://www.sec.gov/Archives/edgar/data/16732/000119312515097806/d801200dex41.htm" TargetMode="External"/><Relationship Id="rId125" Type="http://schemas.openxmlformats.org/officeDocument/2006/relationships/hyperlink" Target="https://www.sec.gov/Archives/edgar/data/16732/000119312523215040/d441929dex42.htm" TargetMode="External"/><Relationship Id="rId126" Type="http://schemas.openxmlformats.org/officeDocument/2006/relationships/hyperlink" Target="https://www.sec.gov/Archives/edgar/data/16732/000119312523215040/d441929dex43.htm" TargetMode="External"/><Relationship Id="rId127" Type="http://schemas.openxmlformats.org/officeDocument/2006/relationships/hyperlink" Target="https://www.sec.gov/Archives/edgar/data/16732/000119312515097806/d801200dex42.htm" TargetMode="External"/><Relationship Id="rId128" Type="http://schemas.openxmlformats.org/officeDocument/2006/relationships/hyperlink" Target="https://www.sec.gov/Archives/edgar/data/16732/000095015918000106/ex4-2_5.htm" TargetMode="External"/><Relationship Id="rId129" Type="http://schemas.openxmlformats.org/officeDocument/2006/relationships/hyperlink" Target="https://www.sec.gov/Archives/edgar/data/16732/000095015918000106/ex4-2_6.htm" TargetMode="External"/><Relationship Id="rId130" Type="http://schemas.openxmlformats.org/officeDocument/2006/relationships/hyperlink" Target="https://www.sec.gov/Archives/edgar/data/16732/000095015918000106/ex4-2_7.htm" TargetMode="External"/><Relationship Id="rId131" Type="http://schemas.openxmlformats.org/officeDocument/2006/relationships/hyperlink" Target="https://www.sec.gov/Archives/edgar/data/16732/000119312520119114/d916212dex421.htm" TargetMode="External"/><Relationship Id="rId132" Type="http://schemas.openxmlformats.org/officeDocument/2006/relationships/hyperlink" Target="https://www.sec.gov/Archives/edgar/data/16732/000119312520119114/d916212dex422.htm" TargetMode="External"/><Relationship Id="rId133" Type="http://schemas.openxmlformats.org/officeDocument/2006/relationships/hyperlink" Target="https://www.sec.gov/Archives/edgar/data/16732/000001673219000070/cpb-7292018x10xkxexb4p.htm" TargetMode="External"/><Relationship Id="rId134" Type="http://schemas.openxmlformats.org/officeDocument/2006/relationships/hyperlink" Target="https://www.sec.gov/Archives/edgar/data/16732/000119312524073519/d812515dex431.htm" TargetMode="External"/><Relationship Id="rId135" Type="http://schemas.openxmlformats.org/officeDocument/2006/relationships/hyperlink" Target="https://www.sec.gov/Archives/edgar/data/16732/000119312524073519/d812515dex432.htm" TargetMode="External"/><Relationship Id="rId136" Type="http://schemas.openxmlformats.org/officeDocument/2006/relationships/hyperlink" Target="https://www.sec.gov/Archives/edgar/data/16732/000119312524073519/d812515dex433.htm" TargetMode="External"/><Relationship Id="rId137" Type="http://schemas.openxmlformats.org/officeDocument/2006/relationships/hyperlink" Target="https://www.sec.gov/Archives/edgar/data/16732/000119312524073519/d812515dex434.htm" TargetMode="External"/><Relationship Id="rId140" Type="http://schemas.openxmlformats.org/officeDocument/2006/relationships/hyperlink" Target="https://www.sec.gov/Archives/edgar/data/16732/000095012310092073/w79419def14a.htm" TargetMode="External"/><Relationship Id="rId141" Type="http://schemas.openxmlformats.org/officeDocument/2006/relationships/hyperlink" Target="https://www.sec.gov/Archives/edgar/data/16732/000119312515341359/d35422ddef14a.htm" TargetMode="External"/><Relationship Id="rId142" Type="http://schemas.openxmlformats.org/officeDocument/2006/relationships/hyperlink" Target="https://www.sec.gov/Archives/edgar/data/16732/000120677422002551/cpb4080901-def14a.htm" TargetMode="External"/><Relationship Id="rId143" Type="http://schemas.openxmlformats.org/officeDocument/2006/relationships/hyperlink" Target="https://www.sec.gov/Archives/edgar/data/16732/000119312514360923/d773216ddef14a.htm" TargetMode="External"/><Relationship Id="rId144" Type="http://schemas.openxmlformats.org/officeDocument/2006/relationships/hyperlink" Target="https://www.sec.gov/Archives/edgar/data/16732/000001673217000025/exhibit4c-campbellsoupcomp.htm" TargetMode="External"/><Relationship Id="rId145" Type="http://schemas.openxmlformats.org/officeDocument/2006/relationships/hyperlink" Target="https://www.sec.gov/Archives/edgar/data/16732/000001673217000058/cpb-7302017x10xkxexb10i.htm" TargetMode="External"/><Relationship Id="rId146" Type="http://schemas.openxmlformats.org/officeDocument/2006/relationships/hyperlink" Target="https://www.sec.gov/Archives/edgar/data/16732/000001673217000058/cpb-7302017x10xkxexb10j.htm" TargetMode="External"/><Relationship Id="rId147" Type="http://schemas.openxmlformats.org/officeDocument/2006/relationships/hyperlink" Target="https://www.sec.gov/Archives/edgar/data/16732/000095012311087197/w83891exv10wm.htm" TargetMode="External"/><Relationship Id="rId148" Type="http://schemas.openxmlformats.org/officeDocument/2006/relationships/hyperlink" Target="https://www.sec.gov/Archives/edgar/data/16732/000001673216000146/cpb-7312016x10xkxexb10o.htm" TargetMode="External"/><Relationship Id="rId149" Type="http://schemas.openxmlformats.org/officeDocument/2006/relationships/hyperlink" Target="https://www.sec.gov/Archives/edgar/data/16732/000089322009000515/w73131exv10wxcy.htm" TargetMode="External"/><Relationship Id="rId150" Type="http://schemas.openxmlformats.org/officeDocument/2006/relationships/hyperlink" Target="https://www.sec.gov/Archives/edgar/data/16732/000095012311023447/w81833exv10wxcy.htm" TargetMode="External"/><Relationship Id="rId151" Type="http://schemas.openxmlformats.org/officeDocument/2006/relationships/hyperlink" Target="https://www.sec.gov/Archives/edgar/data/16732/000001673215000059/cpb-1112015xexb10.htm" TargetMode="External"/><Relationship Id="rId152" Type="http://schemas.openxmlformats.org/officeDocument/2006/relationships/hyperlink" Target="https://www.sec.gov/Archives/edgar/data/16732/000001673216000146/cpb-7312046xexb10dd.htm" TargetMode="External"/><Relationship Id="rId153" Type="http://schemas.openxmlformats.org/officeDocument/2006/relationships/hyperlink" Target="https://www.sec.gov/Archives/edgar/data/16732/000001673216000173/cpb-10302016xexbx10b.htm" TargetMode="External"/><Relationship Id="rId154" Type="http://schemas.openxmlformats.org/officeDocument/2006/relationships/hyperlink" Target="https://www.sec.gov/Archives/edgar/data/16732/000001673216000146/cpb-7312016xexb10ff.htm" TargetMode="External"/><Relationship Id="rId155" Type="http://schemas.openxmlformats.org/officeDocument/2006/relationships/hyperlink" Target="https://www.sec.gov/Archives/edgar/data/16732/000001673216000173/cpb-10302016xexbx10c.htm" TargetMode="External"/><Relationship Id="rId156" Type="http://schemas.openxmlformats.org/officeDocument/2006/relationships/hyperlink" Target="https://www.sec.gov/Archives/edgar/data/16732/000001673221000103/cpb-812021x10xkexb10s.htm" TargetMode="External"/><Relationship Id="rId157" Type="http://schemas.openxmlformats.org/officeDocument/2006/relationships/hyperlink" Target="https://www.sec.gov/Archives/edgar/data/16732/000001673221000103/cpb-812021x10xkxex10t.htm" TargetMode="External"/><Relationship Id="rId158" Type="http://schemas.openxmlformats.org/officeDocument/2006/relationships/hyperlink" Target="https://www.sec.gov/Archives/edgar/data/16732/000001673223000109/cpb-7302023exb10w.htm" TargetMode="External"/><Relationship Id="rId159" Type="http://schemas.openxmlformats.org/officeDocument/2006/relationships/hyperlink" Target="https://www.sec.gov/Archives/edgar/data/16732/000001673223000109/cpb-7302023exb10x.htm" TargetMode="External"/><Relationship Id="rId160" Type="http://schemas.openxmlformats.org/officeDocument/2006/relationships/hyperlink" Target="https://www.sec.gov/Archives/edgar/data/16732/000001673223000109/cpb-7303023exb10y.htm" TargetMode="External"/><Relationship Id="rId163" Type="http://schemas.openxmlformats.org/officeDocument/2006/relationships/hyperlink" Target="https://www.sec.gov/Archives/edgar/data/16732/000001673222000156/cpb-exb101x10302022x10xq.htm" TargetMode="External"/><Relationship Id="rId164" Type="http://schemas.openxmlformats.org/officeDocument/2006/relationships/hyperlink" Target="https://www.sec.gov/Archives/edgar/data/16732/000001673219000024/cpb-10282018x10xqxexb10b.htm" TargetMode="External"/><Relationship Id="rId165" Type="http://schemas.openxmlformats.org/officeDocument/2006/relationships/hyperlink" Target="https://www.sec.gov/Archives/edgar/data/16732/000001673220000111/cpb-exhibit10bb.htm" TargetMode="External"/><Relationship Id="rId166" Type="http://schemas.openxmlformats.org/officeDocument/2006/relationships/hyperlink" Target="https://www.sec.gov/Archives/edgar/data/16732/000001673221000034/cpb-ex101x1312021x10xq.htm" TargetMode="External"/><Relationship Id="rId167" Type="http://schemas.openxmlformats.org/officeDocument/2006/relationships/hyperlink" Target="https://www.sec.gov/Archives/edgar/data/16732/000001673223000109/cpb7302023exb10ff.htm" TargetMode="External"/><Relationship Id="rId168" Type="http://schemas.openxmlformats.org/officeDocument/2006/relationships/hyperlink" Target="https://www.sec.gov/Archives/edgar/data/16732/000162828019003777/exhibit10.htm" TargetMode="External"/><Relationship Id="rId169" Type="http://schemas.openxmlformats.org/officeDocument/2006/relationships/hyperlink" Target="https://www.sec.gov/Archives/edgar/data/16732/000001673223000109/cpb-7302023exb10hh.htm" TargetMode="External"/><Relationship Id="rId170" Type="http://schemas.openxmlformats.org/officeDocument/2006/relationships/hyperlink" Target="https://www.sec.gov/Archives/edgar/data/16732/000095010323011620/dp198090_ex1001.htm" TargetMode="External"/><Relationship Id="rId171" Type="http://schemas.openxmlformats.org/officeDocument/2006/relationships/hyperlink" Target="https://www.sec.gov/Archives/edgar/data/16732/000119312524097732/d806817d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2024-09-19T06:40:15Z</dcterms:created>
  <dcterms:modified xsi:type="dcterms:W3CDTF">2024-09-19T06:40:15Z</dcterms:modified>
</cp:coreProperties>
</file>