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657" w:right="239" w:bottom="1440" w:gutter="0" w:footer="0" w:header="0"/>
        </w:sectPr>
      </w:pPr>
    </w:p>
    <w:p>
      <w:pPr>
        <w:spacing w:after="0" w:line="394" w:lineRule="exact"/>
        <w:rPr>
          <w:sz w:val="24"/>
          <w:szCs w:val="24"/>
          <w:color w:val="auto"/>
        </w:rPr>
      </w:pPr>
    </w:p>
    <w:p>
      <w:pPr>
        <w:jc w:val="center"/>
        <w:ind w:right="2520"/>
        <w:spacing w:after="0"/>
        <w:rPr>
          <w:sz w:val="20"/>
          <w:szCs w:val="20"/>
          <w:color w:val="auto"/>
        </w:rPr>
      </w:pPr>
      <w:r>
        <w:rPr>
          <w:rFonts w:ascii="Arial" w:cs="Arial" w:eastAsia="Arial" w:hAnsi="Arial"/>
          <w:sz w:val="16"/>
          <w:szCs w:val="16"/>
          <w:b w:val="1"/>
          <w:bCs w:val="1"/>
          <w:color w:val="auto"/>
        </w:rPr>
        <w:t>For the Quarterly Period Ended</w:t>
      </w:r>
    </w:p>
    <w:p>
      <w:pPr>
        <w:spacing w:after="0" w:line="86"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January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172085</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1-3822</w:t>
      </w:r>
    </w:p>
    <w:p>
      <w:pPr>
        <w:spacing w:after="0" w:line="200" w:lineRule="exact"/>
        <w:rPr>
          <w:sz w:val="24"/>
          <w:szCs w:val="24"/>
          <w:color w:val="auto"/>
        </w:rPr>
      </w:pPr>
    </w:p>
    <w:p>
      <w:pPr>
        <w:sectPr>
          <w:pgSz w:w="11900" w:h="16838" w:orient="portrait"/>
          <w:cols w:equalWidth="0" w:num="2">
            <w:col w:w="7320" w:space="720"/>
            <w:col w:w="3380"/>
          </w:cols>
          <w:pgMar w:left="240" w:top="657"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CAMPBELL SOUP COMPANY</w:t>
      </w:r>
    </w:p>
    <w:p>
      <w:pPr>
        <w:sectPr>
          <w:pgSz w:w="11900" w:h="16838" w:orient="portrait"/>
          <w:cols w:equalWidth="0" w:num="1">
            <w:col w:w="11420"/>
          </w:cols>
          <w:pgMar w:left="240" w:top="657" w:right="239" w:bottom="1440" w:gutter="0" w:footer="0" w:header="0"/>
          <w:type w:val="continuous"/>
        </w:sectPr>
      </w:pPr>
    </w:p>
    <w:p>
      <w:pPr>
        <w:spacing w:after="0" w:line="19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657"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657" w:right="239" w:bottom="1440" w:gutter="0" w:footer="0" w:header="0"/>
          <w:type w:val="continuous"/>
        </w:sect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(856) 342-4800</w:t>
      </w:r>
    </w:p>
    <w:p>
      <w:pPr>
        <w:spacing w:after="0" w:line="391"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333333"/>
        </w:rPr>
        <w:t>☐</w:t>
      </w:r>
      <w:r>
        <w:rPr>
          <w:rFonts w:ascii="Arial" w:cs="Arial" w:eastAsia="Arial" w:hAnsi="Arial"/>
          <w:sz w:val="17"/>
          <w:szCs w:val="17"/>
          <w:color w:val="auto"/>
        </w:rPr>
        <w:t xml:space="preserve"> No</w:t>
      </w:r>
    </w:p>
    <w:p>
      <w:pPr>
        <w:spacing w:after="0" w:line="7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57" w:right="239" w:bottom="1440" w:gutter="0" w:footer="0" w:header="0"/>
          <w:type w:val="continuous"/>
        </w:sectPr>
      </w:pPr>
    </w:p>
    <w:p>
      <w:pPr>
        <w:spacing w:after="0" w:line="115" w:lineRule="exact"/>
        <w:rPr>
          <w:sz w:val="24"/>
          <w:szCs w:val="24"/>
          <w:color w:val="auto"/>
        </w:rPr>
      </w:pPr>
    </w:p>
    <w:p>
      <w:pPr>
        <w:ind w:left="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98" w:lineRule="exact"/>
        <w:rPr>
          <w:sz w:val="24"/>
          <w:szCs w:val="24"/>
          <w:color w:val="auto"/>
        </w:rPr>
      </w:pPr>
    </w:p>
    <w:p>
      <w:pPr>
        <w:sectPr>
          <w:pgSz w:w="11900" w:h="16838" w:orient="portrait"/>
          <w:cols w:equalWidth="0" w:num="2">
            <w:col w:w="5940" w:space="720"/>
            <w:col w:w="4760"/>
          </w:cols>
          <w:pgMar w:left="240" w:top="657"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5940" w:space="720"/>
            <w:col w:w="4760"/>
          </w:cols>
          <w:pgMar w:left="240" w:top="657"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657" w:right="239" w:bottom="1440" w:gutter="0" w:footer="0" w:header="0"/>
          <w:type w:val="continuous"/>
        </w:sectPr>
      </w:pPr>
    </w:p>
    <w:p>
      <w:pPr>
        <w:spacing w:after="0" w:line="133"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380"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There were 301,118,002 shares of capital stock outstanding as of February 28, 2019.</w:t>
      </w:r>
    </w:p>
    <w:p>
      <w:pPr>
        <w:sectPr>
          <w:pgSz w:w="11900" w:h="16838" w:orient="portrait"/>
          <w:cols w:equalWidth="0" w:num="1">
            <w:col w:w="11420"/>
          </w:cols>
          <w:pgMar w:left="240" w:top="65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2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17"/>
                <w:szCs w:val="17"/>
                <w:color w:val="auto"/>
              </w:rPr>
            </w:pPr>
          </w:p>
        </w:tc>
      </w:tr>
      <w:tr>
        <w:trPr>
          <w:trHeight w:val="615"/>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29">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42">
              <w:r>
                <w:rPr>
                  <w:rFonts w:ascii="Arial" w:cs="Arial" w:eastAsia="Arial" w:hAnsi="Arial"/>
                  <w:sz w:val="18"/>
                  <w:szCs w:val="18"/>
                  <w:color w:val="0000EE"/>
                </w:rPr>
                <w:t>Item 3. Quantitative and Qualitative Disclosure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42">
              <w:r>
                <w:rPr>
                  <w:rFonts w:ascii="Arial" w:cs="Arial" w:eastAsia="Arial" w:hAnsi="Arial"/>
                  <w:sz w:val="18"/>
                  <w:szCs w:val="18"/>
                  <w:color w:val="0000EE"/>
                </w:rPr>
                <w:t>Item 4. 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PART II - OTHER INFORMATION</w:t>
              </w:r>
            </w:hyperlink>
          </w:p>
        </w:tc>
        <w:tc>
          <w:tcPr>
            <w:tcW w:w="1260" w:type="dxa"/>
            <w:vAlign w:val="bottom"/>
          </w:tcPr>
          <w:p>
            <w:pPr>
              <w:spacing w:after="0"/>
              <w:rPr>
                <w:sz w:val="23"/>
                <w:szCs w:val="23"/>
                <w:color w:val="auto"/>
              </w:rPr>
            </w:pPr>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1.</w:t>
              </w:r>
            </w:hyperlink>
          </w:p>
        </w:tc>
        <w:tc>
          <w:tcPr>
            <w:tcW w:w="7520" w:type="dxa"/>
            <w:vAlign w:val="bottom"/>
            <w:gridSpan w:val="3"/>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1260" w:type="dxa"/>
            <w:vAlign w:val="bottom"/>
          </w:tcPr>
          <w:p>
            <w:pPr>
              <w:ind w:left="108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2.</w:t>
              </w:r>
            </w:hyperlink>
          </w:p>
        </w:tc>
        <w:tc>
          <w:tcPr>
            <w:tcW w:w="7520" w:type="dxa"/>
            <w:vAlign w:val="bottom"/>
            <w:gridSpan w:val="3"/>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6.</w:t>
              </w:r>
            </w:hyperlink>
          </w:p>
        </w:tc>
        <w:tc>
          <w:tcPr>
            <w:tcW w:w="7520" w:type="dxa"/>
            <w:vAlign w:val="bottom"/>
            <w:gridSpan w:val="3"/>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1260" w:type="dxa"/>
            <w:vAlign w:val="bottom"/>
          </w:tcPr>
          <w:p>
            <w:pPr>
              <w:ind w:left="108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70"/>
        </w:trPr>
        <w:tc>
          <w:tcPr>
            <w:tcW w:w="1220" w:type="dxa"/>
            <w:vAlign w:val="bottom"/>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3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60" w:type="dxa"/>
            <w:vAlign w:val="bottom"/>
          </w:tcPr>
          <w:p>
            <w:pPr>
              <w:ind w:left="1080"/>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918"/>
        </w:trPr>
        <w:tc>
          <w:tcPr>
            <w:tcW w:w="1220" w:type="dxa"/>
            <w:vAlign w:val="bottom"/>
          </w:tcPr>
          <w:p>
            <w:pPr>
              <w:spacing w:after="0"/>
              <w:rPr>
                <w:sz w:val="24"/>
                <w:szCs w:val="24"/>
                <w:color w:val="auto"/>
              </w:rPr>
            </w:pPr>
          </w:p>
        </w:tc>
        <w:tc>
          <w:tcPr>
            <w:tcW w:w="542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27,</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60" w:type="dxa"/>
            <w:vAlign w:val="bottom"/>
          </w:tcPr>
          <w:p>
            <w:pPr>
              <w:spacing w:after="0"/>
              <w:rPr>
                <w:sz w:val="13"/>
                <w:szCs w:val="13"/>
                <w:color w:val="auto"/>
              </w:rPr>
            </w:pPr>
          </w:p>
        </w:tc>
        <w:tc>
          <w:tcPr>
            <w:tcW w:w="98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5"/>
              </w:rPr>
              <w:t>January 28,</w:t>
            </w:r>
          </w:p>
        </w:tc>
      </w:tr>
      <w:tr>
        <w:trPr>
          <w:trHeight w:val="192"/>
        </w:trPr>
        <w:tc>
          <w:tcPr>
            <w:tcW w:w="6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4,341</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512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447</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3,686</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369</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655</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301</w:t>
            </w:r>
          </w:p>
        </w:tc>
      </w:tr>
      <w:tr>
        <w:trPr>
          <w:trHeight w:val="67"/>
        </w:trPr>
        <w:tc>
          <w:tcPr>
            <w:tcW w:w="65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1.85</w:t>
            </w:r>
          </w:p>
        </w:tc>
      </w:tr>
      <w:tr>
        <w:trPr>
          <w:trHeight w:val="67"/>
        </w:trPr>
        <w:tc>
          <w:tcPr>
            <w:tcW w:w="65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8"/>
              </w:rPr>
              <w:t>January 27, 2019</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6"/>
              </w:rPr>
              <w:t>January 28, 2018</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7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 (loss)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20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66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Prior service cost arising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8"/>
              </w:rPr>
              <w:t>January 27, 2019</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6"/>
              </w:rPr>
              <w:t>January 28, 2018</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7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(23)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Prior service credit arising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8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27,</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29,</w:t>
            </w:r>
          </w:p>
        </w:tc>
      </w:tr>
      <w:tr>
        <w:trPr>
          <w:trHeight w:val="192"/>
        </w:trPr>
        <w:tc>
          <w:tcPr>
            <w:tcW w:w="7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203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927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1,076</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1,199</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89</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2,295</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2,296</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3,036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3,233</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4,721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4,580</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3,752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4,196</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 ($70 as of 2019 and $77 as of 2018 attributable to variable interest entity)</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220</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224</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14,024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14,529</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1,454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930</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893</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784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107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3,299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3,594</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8,003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904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995</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540</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12,746</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13,156</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2,130</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2,224</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(143)</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1,269</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1,278</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14,024</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14,529</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7420" w:type="dxa"/>
            <w:vAlign w:val="bottom"/>
          </w:tcPr>
          <w:p>
            <w:pPr>
              <w:ind w:left="566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00" w:lineRule="exact"/>
        <w:rPr>
          <w:sz w:val="20"/>
          <w:szCs w:val="20"/>
          <w:color w:val="auto"/>
        </w:rPr>
      </w:pPr>
    </w:p>
    <w:p>
      <w:pPr>
        <w:spacing w:after="0" w:line="340"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 w:lineRule="exact"/>
        <w:rPr>
          <w:sz w:val="20"/>
          <w:szCs w:val="20"/>
          <w:color w:val="auto"/>
        </w:rPr>
      </w:pPr>
    </w:p>
    <w:p>
      <w:pPr>
        <w:jc w:val="right"/>
        <w:ind w:right="220"/>
        <w:spacing w:after="0"/>
        <w:tabs>
          <w:tab w:leader="none" w:pos="700" w:val="left"/>
        </w:tabs>
        <w:rPr>
          <w:sz w:val="20"/>
          <w:szCs w:val="20"/>
          <w:color w:val="auto"/>
        </w:rPr>
      </w:pPr>
      <w:r>
        <w:rPr>
          <w:rFonts w:ascii="Arial" w:cs="Arial" w:eastAsia="Arial" w:hAnsi="Arial"/>
          <w:sz w:val="14"/>
          <w:szCs w:val="14"/>
          <w:b w:val="1"/>
          <w:bCs w:val="1"/>
          <w:color w:val="auto"/>
        </w:rPr>
        <w:t>January 27,</w:t>
      </w:r>
      <w:r>
        <w:rPr>
          <w:sz w:val="20"/>
          <w:szCs w:val="20"/>
          <w:color w:val="auto"/>
        </w:rPr>
        <w:tab/>
      </w:r>
      <w:r>
        <w:rPr>
          <w:rFonts w:ascii="Arial" w:cs="Arial" w:eastAsia="Arial" w:hAnsi="Arial"/>
          <w:sz w:val="13"/>
          <w:szCs w:val="13"/>
          <w:b w:val="1"/>
          <w:bCs w:val="1"/>
          <w:color w:val="auto"/>
        </w:rPr>
        <w:t>January 28,</w:t>
      </w:r>
    </w:p>
    <w:p>
      <w:pPr>
        <w:spacing w:after="0" w:line="4" w:lineRule="exact"/>
        <w:rPr>
          <w:sz w:val="20"/>
          <w:szCs w:val="20"/>
          <w:color w:val="auto"/>
        </w:rPr>
      </w:pPr>
    </w:p>
    <w:p>
      <w:pPr>
        <w:jc w:val="both"/>
        <w:ind w:left="9460"/>
        <w:spacing w:after="0"/>
        <w:tabs>
          <w:tab w:leader="none" w:pos="10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420"/>
          </w:cols>
          <w:pgMar w:left="240" w:top="364" w:right="239" w:bottom="1440" w:gutter="0" w:footer="0" w:header="0"/>
        </w:sectPr>
      </w:pP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 earnings to operating cash flow</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Noncurrent income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Pension and postretirement benefit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working capital, net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payments of hedging activities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740" w:val="left"/>
          <w:tab w:leader="none" w:pos="1240" w:val="left"/>
          <w:tab w:leader="none" w:pos="19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135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560</w:t>
      </w:r>
    </w:p>
    <w:p>
      <w:pPr>
        <w:spacing w:after="0" w:line="360" w:lineRule="exact"/>
        <w:rPr>
          <w:sz w:val="20"/>
          <w:szCs w:val="20"/>
          <w:color w:val="auto"/>
        </w:rPr>
      </w:pPr>
    </w:p>
    <w:p>
      <w:pPr>
        <w:ind w:left="2080" w:hanging="1314"/>
        <w:spacing w:after="0"/>
        <w:tabs>
          <w:tab w:leader="none" w:pos="208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75</w:t>
      </w:r>
    </w:p>
    <w:p>
      <w:pPr>
        <w:spacing w:after="0" w:line="86" w:lineRule="exact"/>
        <w:rPr>
          <w:sz w:val="20"/>
          <w:szCs w:val="20"/>
          <w:color w:val="auto"/>
        </w:rPr>
      </w:pPr>
    </w:p>
    <w:p>
      <w:pPr>
        <w:ind w:left="2080" w:hanging="1233"/>
        <w:spacing w:after="0"/>
        <w:tabs>
          <w:tab w:leader="none" w:pos="208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35</w:t>
      </w:r>
    </w:p>
    <w:p>
      <w:pPr>
        <w:spacing w:after="0" w:line="86" w:lineRule="exact"/>
        <w:rPr>
          <w:sz w:val="20"/>
          <w:szCs w:val="20"/>
          <w:color w:val="auto"/>
        </w:rPr>
      </w:pPr>
    </w:p>
    <w:p>
      <w:pPr>
        <w:ind w:left="2080" w:hanging="1233"/>
        <w:spacing w:after="0"/>
        <w:tabs>
          <w:tab w:leader="none" w:pos="20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32</w:t>
      </w:r>
    </w:p>
    <w:p>
      <w:pPr>
        <w:spacing w:after="0" w:line="82" w:lineRule="exact"/>
        <w:rPr>
          <w:rFonts w:ascii="Arial" w:cs="Arial" w:eastAsia="Arial" w:hAnsi="Arial"/>
          <w:sz w:val="16"/>
          <w:szCs w:val="16"/>
          <w:b w:val="1"/>
          <w:bCs w:val="1"/>
          <w:color w:val="auto"/>
        </w:rPr>
      </w:pPr>
    </w:p>
    <w:p>
      <w:pPr>
        <w:ind w:left="8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color w:val="auto"/>
        </w:rPr>
        <w:t>52</w:t>
      </w:r>
    </w:p>
    <w:p>
      <w:pPr>
        <w:spacing w:after="0" w:line="90" w:lineRule="exact"/>
        <w:rPr>
          <w:sz w:val="20"/>
          <w:szCs w:val="20"/>
          <w:color w:val="auto"/>
        </w:rPr>
      </w:pPr>
    </w:p>
    <w:p>
      <w:pPr>
        <w:ind w:left="2040" w:hanging="1246"/>
        <w:spacing w:after="0"/>
        <w:tabs>
          <w:tab w:leader="none" w:pos="204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(32)</w:t>
      </w:r>
    </w:p>
    <w:p>
      <w:pPr>
        <w:spacing w:after="0" w:line="109" w:lineRule="exact"/>
        <w:rPr>
          <w:sz w:val="20"/>
          <w:szCs w:val="20"/>
          <w:color w:val="auto"/>
        </w:rPr>
      </w:pPr>
    </w:p>
    <w:p>
      <w:pPr>
        <w:ind w:left="2000" w:hanging="1234"/>
        <w:spacing w:after="0"/>
        <w:tabs>
          <w:tab w:leader="none" w:pos="20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161</w:t>
      </w:r>
    </w:p>
    <w:p>
      <w:pPr>
        <w:spacing w:after="0" w:line="86" w:lineRule="exact"/>
        <w:rPr>
          <w:rFonts w:ascii="Arial" w:cs="Arial" w:eastAsia="Arial" w:hAnsi="Arial"/>
          <w:sz w:val="16"/>
          <w:szCs w:val="16"/>
          <w:b w:val="1"/>
          <w:bCs w:val="1"/>
          <w:color w:val="auto"/>
        </w:rPr>
      </w:pPr>
    </w:p>
    <w:p>
      <w:pPr>
        <w:ind w:left="1960" w:hanging="1166"/>
        <w:spacing w:after="0"/>
        <w:tabs>
          <w:tab w:leader="none" w:pos="1960" w:val="left"/>
        </w:tabs>
        <w:numPr>
          <w:ilvl w:val="1"/>
          <w:numId w:val="5"/>
        </w:numPr>
        <w:rPr>
          <w:rFonts w:ascii="Arial" w:cs="Arial" w:eastAsia="Arial" w:hAnsi="Arial"/>
          <w:sz w:val="14"/>
          <w:szCs w:val="14"/>
          <w:b w:val="1"/>
          <w:bCs w:val="1"/>
          <w:color w:val="auto"/>
        </w:rPr>
      </w:pPr>
      <w:r>
        <w:rPr>
          <w:rFonts w:ascii="Arial" w:cs="Arial" w:eastAsia="Arial" w:hAnsi="Arial"/>
          <w:sz w:val="14"/>
          <w:szCs w:val="14"/>
          <w:color w:val="auto"/>
        </w:rPr>
        <w:t>(106)</w:t>
      </w:r>
    </w:p>
    <w:p>
      <w:pPr>
        <w:spacing w:after="0" w:line="109" w:lineRule="exact"/>
        <w:rPr>
          <w:sz w:val="20"/>
          <w:szCs w:val="20"/>
          <w:color w:val="auto"/>
        </w:rPr>
      </w:pPr>
    </w:p>
    <w:p>
      <w:pPr>
        <w:ind w:left="2080" w:hanging="1233"/>
        <w:spacing w:after="0"/>
        <w:tabs>
          <w:tab w:leader="none" w:pos="20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18</w:t>
      </w:r>
    </w:p>
    <w:p>
      <w:pPr>
        <w:spacing w:after="0" w:line="356" w:lineRule="exact"/>
        <w:rPr>
          <w:sz w:val="20"/>
          <w:szCs w:val="20"/>
          <w:color w:val="auto"/>
        </w:rPr>
      </w:pPr>
    </w:p>
    <w:p>
      <w:pPr>
        <w:ind w:left="1960" w:hanging="1247"/>
        <w:spacing w:after="0"/>
        <w:tabs>
          <w:tab w:leader="none" w:pos="196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(113)</w:t>
      </w:r>
    </w:p>
    <w:p>
      <w:pPr>
        <w:spacing w:after="0" w:line="109" w:lineRule="exact"/>
        <w:rPr>
          <w:sz w:val="20"/>
          <w:szCs w:val="20"/>
          <w:color w:val="auto"/>
        </w:rPr>
      </w:pPr>
    </w:p>
    <w:p>
      <w:pPr>
        <w:ind w:left="2080" w:hanging="1314"/>
        <w:spacing w:after="0"/>
        <w:tabs>
          <w:tab w:leader="none" w:pos="208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84</w:t>
      </w:r>
    </w:p>
    <w:p>
      <w:pPr>
        <w:spacing w:after="0" w:line="86" w:lineRule="exact"/>
        <w:rPr>
          <w:rFonts w:ascii="Arial" w:cs="Arial" w:eastAsia="Arial" w:hAnsi="Arial"/>
          <w:sz w:val="16"/>
          <w:szCs w:val="16"/>
          <w:b w:val="1"/>
          <w:bCs w:val="1"/>
          <w:color w:val="auto"/>
        </w:rPr>
      </w:pPr>
    </w:p>
    <w:p>
      <w:pPr>
        <w:ind w:left="2040" w:hanging="1165"/>
        <w:spacing w:after="0"/>
        <w:tabs>
          <w:tab w:leader="none" w:pos="2040" w:val="left"/>
        </w:tabs>
        <w:numPr>
          <w:ilvl w:val="1"/>
          <w:numId w:val="8"/>
        </w:numPr>
        <w:rPr>
          <w:rFonts w:ascii="Arial" w:cs="Arial" w:eastAsia="Arial" w:hAnsi="Arial"/>
          <w:sz w:val="14"/>
          <w:szCs w:val="14"/>
          <w:b w:val="1"/>
          <w:bCs w:val="1"/>
          <w:color w:val="auto"/>
        </w:rPr>
      </w:pPr>
      <w:r>
        <w:rPr>
          <w:rFonts w:ascii="Arial" w:cs="Arial" w:eastAsia="Arial" w:hAnsi="Arial"/>
          <w:sz w:val="14"/>
          <w:szCs w:val="14"/>
          <w:color w:val="auto"/>
        </w:rPr>
        <w:t>(25)</w:t>
      </w:r>
    </w:p>
    <w:p>
      <w:pPr>
        <w:spacing w:after="0" w:line="109" w:lineRule="exact"/>
        <w:rPr>
          <w:sz w:val="20"/>
          <w:szCs w:val="20"/>
          <w:color w:val="auto"/>
        </w:rPr>
      </w:pPr>
    </w:p>
    <w:p>
      <w:pPr>
        <w:ind w:left="2040" w:hanging="1274"/>
        <w:spacing w:after="0"/>
        <w:tabs>
          <w:tab w:leader="none" w:pos="204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(10)</w:t>
      </w:r>
    </w:p>
    <w:p>
      <w:pPr>
        <w:spacing w:after="0" w:line="109" w:lineRule="exact"/>
        <w:rPr>
          <w:rFonts w:ascii="Arial" w:cs="Arial" w:eastAsia="Arial" w:hAnsi="Arial"/>
          <w:sz w:val="14"/>
          <w:szCs w:val="14"/>
          <w:b w:val="1"/>
          <w:bCs w:val="1"/>
          <w:color w:val="auto"/>
        </w:rPr>
      </w:pPr>
    </w:p>
    <w:p>
      <w:pPr>
        <w:ind w:left="2040" w:hanging="1165"/>
        <w:spacing w:after="0"/>
        <w:tabs>
          <w:tab w:leader="none" w:pos="2040" w:val="left"/>
        </w:tabs>
        <w:numPr>
          <w:ilvl w:val="1"/>
          <w:numId w:val="9"/>
        </w:numPr>
        <w:rPr>
          <w:rFonts w:ascii="Arial" w:cs="Arial" w:eastAsia="Arial" w:hAnsi="Arial"/>
          <w:sz w:val="14"/>
          <w:szCs w:val="14"/>
          <w:b w:val="1"/>
          <w:bCs w:val="1"/>
          <w:color w:val="auto"/>
        </w:rPr>
      </w:pPr>
      <w:r>
        <w:rPr>
          <w:rFonts w:ascii="Arial" w:cs="Arial" w:eastAsia="Arial" w:hAnsi="Arial"/>
          <w:sz w:val="14"/>
          <w:szCs w:val="14"/>
          <w:color w:val="auto"/>
        </w:rPr>
        <w:t>(31)</w:t>
      </w:r>
    </w:p>
    <w:p>
      <w:pPr>
        <w:spacing w:after="0" w:line="109" w:lineRule="exact"/>
        <w:rPr>
          <w:sz w:val="20"/>
          <w:szCs w:val="20"/>
          <w:color w:val="auto"/>
        </w:rPr>
      </w:pPr>
    </w:p>
    <w:p>
      <w:pPr>
        <w:ind w:left="2040" w:hanging="1246"/>
        <w:spacing w:after="0"/>
        <w:tabs>
          <w:tab w:leader="none" w:pos="204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(40)</w:t>
      </w:r>
    </w:p>
    <w:p>
      <w:pPr>
        <w:spacing w:after="0" w:line="118" w:lineRule="exact"/>
        <w:rPr>
          <w:rFonts w:ascii="Arial" w:cs="Arial" w:eastAsia="Arial" w:hAnsi="Arial"/>
          <w:sz w:val="14"/>
          <w:szCs w:val="14"/>
          <w:b w:val="1"/>
          <w:bCs w:val="1"/>
          <w:color w:val="auto"/>
        </w:rPr>
      </w:pPr>
    </w:p>
    <w:p>
      <w:pPr>
        <w:ind w:left="76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846</w:t>
      </w:r>
      <w:r>
        <w:rPr>
          <w:rFonts w:ascii="Arial" w:cs="Arial" w:eastAsia="Arial" w:hAnsi="Arial"/>
          <w:sz w:val="15"/>
          <w:szCs w:val="15"/>
          <w:color w:val="auto"/>
        </w:rPr>
        <w:t>660</w:t>
      </w:r>
    </w:p>
    <w:p>
      <w:pPr>
        <w:spacing w:after="0" w:line="343" w:lineRule="exact"/>
        <w:rPr>
          <w:sz w:val="20"/>
          <w:szCs w:val="20"/>
          <w:color w:val="auto"/>
        </w:rPr>
      </w:pPr>
    </w:p>
    <w:p>
      <w:pPr>
        <w:sectPr>
          <w:pgSz w:w="11900" w:h="16838" w:orient="portrait"/>
          <w:cols w:equalWidth="0" w:num="2">
            <w:col w:w="8340" w:space="720"/>
            <w:col w:w="236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7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Purchases of plant assets</w:t>
            </w:r>
          </w:p>
        </w:tc>
        <w:tc>
          <w:tcPr>
            <w:tcW w:w="26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(198)</w:t>
            </w:r>
          </w:p>
        </w:tc>
        <w:tc>
          <w:tcPr>
            <w:tcW w:w="4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(132)</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Purchases of route businesses</w:t>
            </w:r>
          </w:p>
        </w:tc>
        <w:tc>
          <w:tcPr>
            <w:tcW w:w="26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(23)</w:t>
            </w:r>
          </w:p>
        </w:tc>
        <w:tc>
          <w:tcPr>
            <w:tcW w:w="4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Sales of route businesses</w:t>
            </w:r>
          </w:p>
        </w:tc>
        <w:tc>
          <w:tcPr>
            <w:tcW w:w="26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b w:val="1"/>
                <w:bCs w:val="1"/>
                <w:color w:val="auto"/>
              </w:rPr>
              <w:t>25</w:t>
            </w:r>
          </w:p>
        </w:tc>
        <w:tc>
          <w:tcPr>
            <w:tcW w:w="4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Businesses acquired, net of cash acquired</w:t>
            </w:r>
          </w:p>
        </w:tc>
        <w:tc>
          <w:tcPr>
            <w:tcW w:w="26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(18)</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(682)</w:t>
            </w:r>
          </w:p>
        </w:tc>
      </w:tr>
      <w:tr>
        <w:trPr>
          <w:trHeight w:val="33"/>
        </w:trPr>
        <w:tc>
          <w:tcPr>
            <w:tcW w:w="6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7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Other, net</w:t>
            </w:r>
          </w:p>
        </w:tc>
        <w:tc>
          <w:tcPr>
            <w:tcW w:w="2620" w:type="dxa"/>
            <w:vAlign w:val="bottom"/>
            <w:tcBorders>
              <w:bottom w:val="single" w:sz="8" w:color="BFE4FF"/>
            </w:tcBorders>
            <w:shd w:val="clear" w:color="auto" w:fill="BFE4FF"/>
          </w:tcPr>
          <w:p>
            <w:pPr>
              <w:spacing w:after="0"/>
              <w:rPr>
                <w:sz w:val="23"/>
                <w:szCs w:val="23"/>
                <w:color w:val="auto"/>
              </w:rPr>
            </w:pPr>
          </w:p>
        </w:tc>
        <w:tc>
          <w:tcPr>
            <w:tcW w:w="82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b w:val="1"/>
                <w:bCs w:val="1"/>
                <w:color w:val="auto"/>
              </w:rPr>
              <w:t>11</w:t>
            </w:r>
          </w:p>
        </w:tc>
        <w:tc>
          <w:tcPr>
            <w:tcW w:w="440" w:type="dxa"/>
            <w:vAlign w:val="bottom"/>
            <w:tcBorders>
              <w:bottom w:val="single" w:sz="8" w:color="BFE4FF"/>
            </w:tcBorders>
            <w:shd w:val="clear" w:color="auto" w:fill="BFE4FF"/>
          </w:tcPr>
          <w:p>
            <w:pPr>
              <w:spacing w:after="0"/>
              <w:rPr>
                <w:sz w:val="23"/>
                <w:szCs w:val="23"/>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(11)</w:t>
            </w:r>
          </w:p>
        </w:tc>
      </w:tr>
      <w:tr>
        <w:trPr>
          <w:trHeight w:val="231"/>
        </w:trPr>
        <w:tc>
          <w:tcPr>
            <w:tcW w:w="678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6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(203)</w:t>
            </w: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w:t>
            </w:r>
          </w:p>
        </w:tc>
      </w:tr>
      <w:tr>
        <w:trPr>
          <w:trHeight w:val="33"/>
        </w:trPr>
        <w:tc>
          <w:tcPr>
            <w:tcW w:w="6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Short-term borrowings</w:t>
            </w:r>
          </w:p>
        </w:tc>
        <w:tc>
          <w:tcPr>
            <w:tcW w:w="262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2,831</w:t>
            </w:r>
          </w:p>
        </w:tc>
        <w:tc>
          <w:tcPr>
            <w:tcW w:w="4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5,052</w:t>
            </w:r>
          </w:p>
        </w:tc>
      </w:tr>
      <w:tr>
        <w:trPr>
          <w:trHeight w:val="33"/>
        </w:trPr>
        <w:tc>
          <w:tcPr>
            <w:tcW w:w="6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Short-term repayments</w:t>
            </w:r>
          </w:p>
        </w:tc>
        <w:tc>
          <w:tcPr>
            <w:tcW w:w="26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(3,274)</w:t>
            </w:r>
          </w:p>
        </w:tc>
        <w:tc>
          <w:tcPr>
            <w:tcW w:w="4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(4,673)</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Long-term repayments</w:t>
            </w:r>
          </w:p>
        </w:tc>
        <w:tc>
          <w:tcPr>
            <w:tcW w:w="262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Dividends paid</w:t>
            </w:r>
          </w:p>
        </w:tc>
        <w:tc>
          <w:tcPr>
            <w:tcW w:w="26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(212)</w:t>
            </w:r>
          </w:p>
        </w:tc>
        <w:tc>
          <w:tcPr>
            <w:tcW w:w="4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(216)</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Treasury stock purchases</w:t>
            </w:r>
          </w:p>
        </w:tc>
        <w:tc>
          <w:tcPr>
            <w:tcW w:w="262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6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Payments related to tax withholding for stock-based compensation</w:t>
            </w:r>
          </w:p>
        </w:tc>
        <w:tc>
          <w:tcPr>
            <w:tcW w:w="26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(7)</w:t>
            </w:r>
          </w:p>
        </w:tc>
        <w:tc>
          <w:tcPr>
            <w:tcW w:w="4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Payments of debt issuance costs</w:t>
            </w:r>
          </w:p>
        </w:tc>
        <w:tc>
          <w:tcPr>
            <w:tcW w:w="26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4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20" w:type="dxa"/>
            <w:vAlign w:val="bottom"/>
            <w:tcBorders>
              <w:bottom w:val="single" w:sz="8" w:color="BFE4FF"/>
            </w:tcBorders>
            <w:shd w:val="clear" w:color="auto" w:fill="BFE4FF"/>
          </w:tcPr>
          <w:p>
            <w:pPr>
              <w:spacing w:after="0"/>
              <w:rPr>
                <w:sz w:val="22"/>
                <w:szCs w:val="22"/>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(663)</w:t>
            </w:r>
          </w:p>
        </w:tc>
        <w:tc>
          <w:tcPr>
            <w:tcW w:w="440" w:type="dxa"/>
            <w:vAlign w:val="bottom"/>
            <w:tcBorders>
              <w:bottom w:val="single" w:sz="8" w:color="BFE4FF"/>
            </w:tcBorders>
            <w:shd w:val="clear" w:color="auto" w:fill="BFE4FF"/>
          </w:tcPr>
          <w:p>
            <w:pPr>
              <w:spacing w:after="0"/>
              <w:rPr>
                <w:sz w:val="22"/>
                <w:szCs w:val="22"/>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38</w:t>
            </w:r>
          </w:p>
        </w:tc>
      </w:tr>
      <w:tr>
        <w:trPr>
          <w:trHeight w:val="231"/>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26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w:t>
            </w: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6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6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(23)</w:t>
            </w:r>
          </w:p>
        </w:tc>
        <w:tc>
          <w:tcPr>
            <w:tcW w:w="4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(123)</w:t>
            </w: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62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226</w:t>
            </w:r>
          </w:p>
        </w:tc>
        <w:tc>
          <w:tcPr>
            <w:tcW w:w="4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33"/>
        </w:trPr>
        <w:tc>
          <w:tcPr>
            <w:tcW w:w="6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26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b w:val="1"/>
                <w:bCs w:val="1"/>
                <w:color w:val="auto"/>
              </w:rPr>
              <w:t>203</w:t>
            </w:r>
          </w:p>
        </w:tc>
        <w:tc>
          <w:tcPr>
            <w:tcW w:w="44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196</w:t>
            </w:r>
          </w:p>
        </w:tc>
      </w:tr>
      <w:tr>
        <w:trPr>
          <w:trHeight w:val="20"/>
        </w:trPr>
        <w:tc>
          <w:tcPr>
            <w:tcW w:w="678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67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type w:val="continuous"/>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October 29, 2017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($.35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January 28, 2018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30, 2017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560</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($.70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(211)</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January 28, 2018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October 28, 2018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(59)</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Dividends ($.35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(106)</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w:t>
            </w:r>
          </w:p>
        </w:tc>
        <w:tc>
          <w:tcPr>
            <w:tcW w:w="24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27, 2019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1,278</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29, 2018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Cumulative effect of changes in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accounting principle:</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8"/>
                <w:szCs w:val="8"/>
                <w:b w:val="1"/>
                <w:bCs w:val="1"/>
                <w:color w:val="auto"/>
              </w:rPr>
              <w:t>(1)</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64"/>
        </w:trPr>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Stranded tax effects</w:t>
            </w:r>
            <w:r>
              <w:rPr>
                <w:rFonts w:ascii="Arial" w:cs="Arial" w:eastAsia="Arial" w:hAnsi="Arial"/>
                <w:sz w:val="8"/>
                <w:szCs w:val="8"/>
                <w:b w:val="1"/>
                <w:bCs w:val="1"/>
                <w:color w:val="auto"/>
              </w:rPr>
              <w:t>(1)</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(9)</w:t>
            </w: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135</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($.70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(212)</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January 27, 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1,278</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See Note 2 for additional detail.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229"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29"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Certain amounts in prior-year financial statements were reclassified to conform to the current-year presentation. See Note 6.</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29, 2018, except as described below and in Note 2.</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July 28, 2019.</w:t>
      </w:r>
    </w:p>
    <w:p>
      <w:pPr>
        <w:spacing w:after="0" w:line="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Our revenues primarily consist of the sale of food and beverage products through our own sales force and/or third-party brokers</w:t>
      </w:r>
      <w:r>
        <w:rPr>
          <w:rFonts w:ascii="Arial" w:cs="Arial" w:eastAsia="Arial" w:hAnsi="Arial"/>
          <w:sz w:val="17"/>
          <w:szCs w:val="17"/>
          <w:i w:val="1"/>
          <w:iCs w:val="1"/>
          <w:color w:val="auto"/>
        </w:rPr>
        <w:t xml:space="preserve"> </w:t>
      </w:r>
      <w:r>
        <w:rPr>
          <w:rFonts w:ascii="Arial" w:cs="Arial" w:eastAsia="Arial" w:hAnsi="Arial"/>
          <w:sz w:val="17"/>
          <w:szCs w:val="17"/>
          <w:color w:val="auto"/>
        </w:rPr>
        <w:t>and distribution partners. Revenues are recognized when our performance obligation has been satisfied and control of the product passes to our customers, which typically occurs when products are delivered or accepted by customers in accordance with terms of agreements. We make shipments promptly after acceptance of orders.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6 for additional information on disaggregation of revenue. In 2019, we adopted revised guidance on the recognition of revenue from contracts with customers. See Note 2 for additional information.</w:t>
      </w:r>
    </w:p>
    <w:p>
      <w:pPr>
        <w:spacing w:after="0" w:line="184" w:lineRule="exact"/>
        <w:rPr>
          <w:sz w:val="20"/>
          <w:szCs w:val="20"/>
          <w:color w:val="auto"/>
        </w:rPr>
      </w:pPr>
    </w:p>
    <w:p>
      <w:pPr>
        <w:ind w:left="340" w:right="8300" w:hanging="332"/>
        <w:spacing w:after="0" w:line="416" w:lineRule="auto"/>
        <w:tabs>
          <w:tab w:leader="none" w:pos="3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i w:val="1"/>
          <w:iCs w:val="1"/>
          <w:u w:val="single" w:color="auto"/>
          <w:color w:val="auto"/>
        </w:rPr>
        <w:t>Recently Adopted</w:t>
      </w:r>
    </w:p>
    <w:p>
      <w:pPr>
        <w:spacing w:after="0" w:line="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were permitted to adopt the new revenue standard early, but not before the original effective date. The guidance permits the use of either a full retrospective or modified retrospective transition method. We completed the review of our arrangements with customers across our businesses, including our practices of offering rebates, refunds, discounts and other price allowances, and trade and consumer promotion programs. As we evaluated our methods of estimating the amount and timing of these various forms of variable consideration, we determined we will accelerate the expense recognition of certain trade and consumer promotion programs under the new guidance. Based on our assessment, the impact is not expected to be material on an annual basis, but will impact quarterly results. We adopted the guidance in the first quarter of 2019 using the modified retrospective method and recorded a cumulative effect adjustment of $8, net of tax, to decrease the opening balance of Earnings retained in the business, an increase of $10 to Accrued liabilities, an increase of $1 to Accounts payable, a decrease of $2 to Deferred taxes and an increase of $1 to Other assets.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9"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The impacts of the changes to our Consolidated Balance Sheet as of January 27, 2019, as a result of adoption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Balances</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Without</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Adoption</w:t>
            </w:r>
          </w:p>
        </w:tc>
        <w:tc>
          <w:tcPr>
            <w:tcW w:w="1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Due to Adoption</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Payable to suppliers and others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97"/>
        </w:trPr>
        <w:tc>
          <w:tcPr>
            <w:tcW w:w="7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Soup Company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Campbell Soup Company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14,023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impacts of the changes to our Consolidated Statement of Earnings as a result of adoption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274"/>
              <w:spacing w:after="0"/>
              <w:rPr>
                <w:sz w:val="20"/>
                <w:szCs w:val="20"/>
                <w:color w:val="auto"/>
              </w:rPr>
            </w:pPr>
            <w:r>
              <w:rPr>
                <w:rFonts w:ascii="Arial" w:cs="Arial" w:eastAsia="Arial" w:hAnsi="Arial"/>
                <w:sz w:val="14"/>
                <w:szCs w:val="14"/>
                <w:b w:val="1"/>
                <w:bCs w:val="1"/>
                <w:color w:val="auto"/>
                <w:w w:val="95"/>
              </w:rPr>
              <w:t>Three Months Ended</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January 27, 2019</w:t>
            </w: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27, 2019</w:t>
            </w: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Balances</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Increase/(Decrease)</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Balances</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As Reported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Without</w:t>
            </w:r>
          </w:p>
        </w:tc>
        <w:tc>
          <w:tcPr>
            <w:tcW w:w="13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3"/>
              </w:rPr>
              <w:t>As Reported</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Without</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Adoption</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Due to Adoption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Adoption</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Due to Adoption</w:t>
            </w:r>
          </w:p>
        </w:tc>
        <w:tc>
          <w:tcPr>
            <w:tcW w:w="0" w:type="dxa"/>
            <w:vAlign w:val="bottom"/>
          </w:tcPr>
          <w:p>
            <w:pPr>
              <w:spacing w:after="0"/>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5,412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38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Earnings (loss) before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earnings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860" w:type="dxa"/>
            <w:vAlign w:val="bottom"/>
          </w:tcPr>
          <w:p>
            <w:pPr>
              <w:ind w:left="40"/>
              <w:spacing w:after="0"/>
              <w:rPr>
                <w:sz w:val="20"/>
                <w:szCs w:val="20"/>
                <w:color w:val="auto"/>
              </w:rPr>
            </w:pPr>
            <w:r>
              <w:rPr>
                <w:rFonts w:ascii="Arial" w:cs="Arial" w:eastAsia="Arial" w:hAnsi="Arial"/>
                <w:sz w:val="18"/>
                <w:szCs w:val="18"/>
                <w:color w:val="auto"/>
                <w:w w:val="96"/>
              </w:rPr>
              <w:t>Net earnings (loss) attributable to Campbell Soup</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vMerge w:val="restart"/>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5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4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Company</w:t>
            </w:r>
          </w:p>
        </w:tc>
        <w:tc>
          <w:tcPr>
            <w:tcW w:w="14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Per Share — Basic</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Net earnings (loss) attributable to Campbell Soup</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Company</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Per Share — Assuming Dilution</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earnings attributable to Campbell Soup</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Company</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w w:val="98"/>
              </w:rPr>
              <w:t>_______________________________________</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13"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The sum of individual per share amounts may not add due to rounding.</w:t>
      </w:r>
    </w:p>
    <w:p>
      <w:pPr>
        <w:spacing w:after="0" w:line="8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In 2019, we adopted the guidance. The adoption did not have an impact on our consolidated financial statements.</w:t>
      </w:r>
    </w:p>
    <w:p>
      <w:pPr>
        <w:sectPr>
          <w:pgSz w:w="11900" w:h="16838" w:orient="portrait"/>
          <w:cols w:equalWidth="0" w:num="1">
            <w:col w:w="11420"/>
          </w:cols>
          <w:pgMar w:left="240" w:top="1233"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33" w:right="239" w:bottom="1440" w:gutter="0" w:footer="0" w:header="0"/>
          <w:type w:val="continuous"/>
        </w:sectPr>
      </w:pPr>
    </w:p>
    <w:bookmarkStart w:id="9" w:name="page10"/>
    <w:bookmarkEnd w:id="9"/>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In 2019, we adopted the guidance. The adoption did not have a material impact on our consolidated financial statements.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In 2019, we adopted the guidance. The adoption did not have an impact on our consolidated financial statements.</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Beginning in 2019, we will prospectively apply the guidance to applicable transactions.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 The guidance is effective prospectively for fiscal years beginning after December 15, 2017. Early adoption is permitted. We will apply the guidance in evaluating future changes to terms or conditions of share-based payment awards.</w:t>
      </w:r>
    </w:p>
    <w:p>
      <w:pPr>
        <w:spacing w:after="0" w:line="10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2018, the FASB issued guidance that provides entities an option to reclassify the stranded tax effects of the Tax Cuts and Jobs Act of 2017 on items within accumulated other comprehensive income to retained earnings. The guidance is effective for fiscal years beginning after December 15, 2018, and interim periods within those years. Entities are able to early adopt the guidance in any interim or annual period for which financial statements have not yet been issued and apply it either in the period of adoption or retrospectively to each period in which the tax effects of the Tax Cuts and Jobs Act of 2017 related to items in accumulated other comprehensive income are recognized. We adopted the guidance in the first quarter of 2019, effective on July 30, 2018, and elected not to reclassify prior periods. The adoption resulted in a cumulative effect adjustment of $9 to decrease the opening balance of Earnings retained in the business and a corresponding net decrease to the components of Accumulated other comprehensive income (loss). See Note 4 for additional information.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In July 2018, the FASB issued an adoption approach that allows entities to apply the new guidance at the adoption date and recognize a cumulative-effect adjustment to the opening balance of retained earnings in the period of adoption without restating prior periods. We are currently compiling an inventory of our lease arrangements in order to determine the impact that the new guidance will have on our consolidated financial statements. We have selected a lease software solution to facilitate the adoption of the new guidance.</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In October 2018, the FASB issued guidance which permits an entity to designate the overnight index swap rate based on the Secured Overnight Financing Rate Fed Funds as a benchmark interest rate in a hedge accounting relationship. The guidance is effective for fiscal years beginning after December 15, 2018, and interim periods within those years. Early adoption is permitted. We are currently evaluating the impact that the new guidance will have on our consolidated financial statements.</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beginning after December 15, 2020. The guidance is to be applied on a retrospective basis. Early adoption is permitted. We are currently evaluating the impact that the new guidance will have on our disclosures.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August 2018, the FASB issued guidance that eliminates, adds, and modifies certain disclosure requirements for fair value measurements. The guidance is effective for fiscal years beginning after December 15, 2019, and interim periods within those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14"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years. Early adoption is permitted. Certain disclosures in the guidance must be applied on a retrospective basis, while others must be applied on a prospective basis. We are currently evaluating the impact that the new guidance will have on our disclosures.</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are currently evaluating the impact that the new guidance will have on our consolidated financial statements.</w:t>
      </w:r>
    </w:p>
    <w:p>
      <w:pPr>
        <w:spacing w:after="0" w:line="10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March 26, 2018, we completed the acquisition of Snyder's-Lance, Inc. (Snyder's-Lance) for $50.00 per share. Total consideration was $6,112, which included the payoff of approximately $1,100 of Snyder's-Lance indebtedness. The acquisition was financed through a single draw 3-year senior unsecured term loan facility and the issuance of senior notes. Snyder's-Lance is a snack food company that manufactures, distributes, markets and sells snack food products in North America and Europe. Its primary brands include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and </w:t>
      </w:r>
      <w:r>
        <w:rPr>
          <w:rFonts w:ascii="Arial" w:cs="Arial" w:eastAsia="Arial" w:hAnsi="Arial"/>
          <w:sz w:val="18"/>
          <w:szCs w:val="18"/>
          <w:i w:val="1"/>
          <w:iCs w:val="1"/>
          <w:color w:val="auto"/>
        </w:rPr>
        <w:t>Lance</w:t>
      </w:r>
      <w:r>
        <w:rPr>
          <w:rFonts w:ascii="Arial" w:cs="Arial" w:eastAsia="Arial" w:hAnsi="Arial"/>
          <w:sz w:val="18"/>
          <w:szCs w:val="18"/>
          <w:color w:val="auto"/>
        </w:rPr>
        <w:t xml:space="preserve">, as well as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w:t>
      </w:r>
      <w:r>
        <w:rPr>
          <w:rFonts w:ascii="Arial" w:cs="Arial" w:eastAsia="Arial" w:hAnsi="Arial"/>
          <w:sz w:val="18"/>
          <w:szCs w:val="18"/>
          <w:i w:val="1"/>
          <w:iCs w:val="1"/>
          <w:color w:val="auto"/>
        </w:rPr>
        <w:t>KETTLE, Cape Cod</w:t>
      </w:r>
      <w:r>
        <w:rPr>
          <w:rFonts w:ascii="Arial" w:cs="Arial" w:eastAsia="Arial" w:hAnsi="Arial"/>
          <w:sz w:val="18"/>
          <w:szCs w:val="18"/>
          <w:color w:val="auto"/>
        </w:rPr>
        <w:t xml:space="preserve">, </w:t>
      </w:r>
      <w:r>
        <w:rPr>
          <w:rFonts w:ascii="Arial" w:cs="Arial" w:eastAsia="Arial" w:hAnsi="Arial"/>
          <w:sz w:val="18"/>
          <w:szCs w:val="18"/>
          <w:i w:val="1"/>
          <w:iCs w:val="1"/>
          <w:color w:val="auto"/>
        </w:rPr>
        <w:t>Snack</w:t>
      </w:r>
      <w:r>
        <w:rPr>
          <w:rFonts w:ascii="Arial" w:cs="Arial" w:eastAsia="Arial" w:hAnsi="Arial"/>
          <w:sz w:val="18"/>
          <w:szCs w:val="18"/>
          <w:color w:val="auto"/>
        </w:rPr>
        <w:t xml:space="preserve"> </w:t>
      </w:r>
      <w:r>
        <w:rPr>
          <w:rFonts w:ascii="Arial" w:cs="Arial" w:eastAsia="Arial" w:hAnsi="Arial"/>
          <w:sz w:val="18"/>
          <w:szCs w:val="18"/>
          <w:i w:val="1"/>
          <w:iCs w:val="1"/>
          <w:color w:val="auto"/>
        </w:rPr>
        <w:t>Factory Pretzel Crisps</w:t>
      </w:r>
      <w:r>
        <w:rPr>
          <w:rFonts w:ascii="Arial" w:cs="Arial" w:eastAsia="Arial" w:hAnsi="Arial"/>
          <w:sz w:val="18"/>
          <w:szCs w:val="18"/>
          <w:color w:val="auto"/>
        </w:rPr>
        <w:t>,</w:t>
      </w:r>
      <w:r>
        <w:rPr>
          <w:rFonts w:ascii="Arial" w:cs="Arial" w:eastAsia="Arial" w:hAnsi="Arial"/>
          <w:sz w:val="18"/>
          <w:szCs w:val="18"/>
          <w:i w:val="1"/>
          <w:iCs w:val="1"/>
          <w:color w:val="auto"/>
        </w:rPr>
        <w:t xml:space="preserve"> Pop Secret, Emerald </w:t>
      </w:r>
      <w:r>
        <w:rPr>
          <w:rFonts w:ascii="Arial" w:cs="Arial" w:eastAsia="Arial" w:hAnsi="Arial"/>
          <w:sz w:val="18"/>
          <w:szCs w:val="18"/>
          <w:color w:val="auto"/>
        </w:rPr>
        <w:t>and</w:t>
      </w:r>
      <w:r>
        <w:rPr>
          <w:rFonts w:ascii="Arial" w:cs="Arial" w:eastAsia="Arial" w:hAnsi="Arial"/>
          <w:sz w:val="18"/>
          <w:szCs w:val="18"/>
          <w:i w:val="1"/>
          <w:iCs w:val="1"/>
          <w:color w:val="auto"/>
        </w:rPr>
        <w:t xml:space="preserve"> Late July</w:t>
      </w:r>
      <w:r>
        <w:rPr>
          <w:rFonts w:ascii="Arial" w:cs="Arial" w:eastAsia="Arial" w:hAnsi="Arial"/>
          <w:sz w:val="18"/>
          <w:szCs w:val="18"/>
          <w:color w:val="auto"/>
        </w:rPr>
        <w:t>.</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$3,006 of goodwill. The goodwill is not deductible for tax purposes. The goodwill was primarily attributable to future growth opportunities, anticipated synergies, and intangible assets that did not qualify for separate recognition. The goodwill is included in the Global Biscuits and Snacks segment.</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December 12, 2017, we completed the acquisition of Pacific Foods of Oregon, LLC (Pacific Foods). The purchase price was $688. Pacific Foods produces broth, soups, non-dairy beverages and other simple meals. The excess of the purchase price over the estimated fair values of identifiable net assets was recorded as $202 of goodwill. The goodwill is deductible for tax purposes. The goodwill was primarily attributable to future growth opportunities, anticipated synergies, and intangible assets that did not qualify for separate recognition. The goodwill is included in the Meals and Beverages segment.</w:t>
      </w:r>
    </w:p>
    <w:p>
      <w:pPr>
        <w:spacing w:after="0" w:line="1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table below presents the estimated fair value that was allocated to acquired assets and assumed liabilities of Snyder's-Lance. The final valuation process will be completed within the allowable measurement period. In the first quarter ended October 28, 2018, we made measurement period adjustments to reflect facts and circumstances in existence as of the date of acquisition. These adjustments included a $134 decrease to indefinite-lived trademarks, a $52 decrease to customer relationships, a $43 decrease to Deferred taxes and a $140 increase to Goodwill.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CCEEFF"/>
            </w:tcBorders>
          </w:tcPr>
          <w:p>
            <w:pPr>
              <w:spacing w:after="0"/>
              <w:rPr>
                <w:sz w:val="16"/>
                <w:szCs w:val="16"/>
                <w:color w:val="auto"/>
              </w:rPr>
            </w:pPr>
          </w:p>
        </w:tc>
        <w:tc>
          <w:tcPr>
            <w:tcW w:w="5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Snyder's-Lance</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5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w:t>
            </w:r>
          </w:p>
        </w:tc>
        <w:tc>
          <w:tcPr>
            <w:tcW w:w="5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Goodwill</w:t>
            </w:r>
          </w:p>
        </w:tc>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5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5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5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acquired and liabilities assumed</w:t>
            </w:r>
          </w:p>
        </w:tc>
        <w:tc>
          <w:tcPr>
            <w:tcW w:w="5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42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The identifiable intangible assets of Snyder's-Lance consist of:</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9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Value</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Non-amortizable</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1,997</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Amortizable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rPr>
              <w:t>15 to  22</w:t>
            </w:r>
          </w:p>
        </w:tc>
        <w:tc>
          <w:tcPr>
            <w:tcW w:w="3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756</w:t>
            </w:r>
          </w:p>
        </w:tc>
      </w:tr>
      <w:tr>
        <w:trPr>
          <w:trHeight w:val="27"/>
        </w:trPr>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Amortizable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57"/>
        </w:trPr>
        <w:tc>
          <w:tcPr>
            <w:tcW w:w="5920" w:type="dxa"/>
            <w:vAlign w:val="bottom"/>
          </w:tcPr>
          <w:p>
            <w:pPr>
              <w:ind w:left="40"/>
              <w:spacing w:after="0"/>
              <w:rPr>
                <w:sz w:val="20"/>
                <w:szCs w:val="20"/>
                <w:color w:val="auto"/>
              </w:rPr>
            </w:pPr>
            <w:r>
              <w:rPr>
                <w:rFonts w:ascii="Arial" w:cs="Arial" w:eastAsia="Arial" w:hAnsi="Arial"/>
                <w:sz w:val="18"/>
                <w:szCs w:val="18"/>
                <w:color w:val="auto"/>
              </w:rPr>
              <w:t>Total identifiable intangible assets</w:t>
            </w: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2,761</w:t>
            </w:r>
          </w:p>
        </w:tc>
      </w:tr>
      <w:tr>
        <w:trPr>
          <w:trHeight w:val="20"/>
        </w:trPr>
        <w:tc>
          <w:tcPr>
            <w:tcW w:w="5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six-month periods ended January 27, 2019, the acquisition of Snyder's-Lance contributed $529 and $1,083 to Net sales. The contribution to Net earnings (loss) were losses of $11 and $17 for the three- and six-month periods ended January 27, 2019, including expenses associated with restructuring charges and cost savings initiatives, as well as interest expense on the debt to finance the acquisition.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six-month periods ended January 27, 2019, the acquisition of Pacific Foods contributed $58 and $127 to Net sales. The contribution to Net earnings (loss) were losses of $6 and $3 for the three- and six-month periods ended January 27, 2019, including interest expense on the debt to finance the acquisition. For the three-month period ended January 28, 2018, the contribution of the Pacific Foods acquisition to Net sales was $28. The contribution to Net earnings was not material.</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unaudited summary information is presented on a consolidated pro forma basis as if the Snyder's-Lance and Pacific Foods acquisitions had occurred on August 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52"/>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13"/>
                <w:szCs w:val="13"/>
                <w:color w:val="auto"/>
              </w:rPr>
            </w:pPr>
          </w:p>
        </w:tc>
        <w:tc>
          <w:tcPr>
            <w:tcW w:w="11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3"/>
              </w:rPr>
              <w:t>January 28,</w:t>
            </w:r>
          </w:p>
        </w:tc>
      </w:tr>
      <w:tr>
        <w:trPr>
          <w:trHeight w:val="192"/>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5,555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640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attributable to Campbell Soup Company - basic</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earnings per share attributable to Campbell Soup Company - assuming dilution</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2.12</w:t>
            </w: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 forma amounts include additional interest expense on the debt issued to finance the purchases, amortization and depreciation expense based on the estimated fair value and useful lives of intangible assets and plant assets, and related tax effects. The pro forma results are not necessarily indicative of the combined results had the Snyder's-Lance and Pacific Foods acquisitions been completed on August 1, 2016, nor are they indicative of future combined results. The pro forma results for the three- and six-month periods ended January 28, 2018 do not include certain transaction costs, amortization of the acquisition date fair value adjustment to inventories, or a gain on treasury rate lock contracts, as all of these would be reflected in the six-month period ended January 29, 2017, had the acquisitions occurred on August 1, 2016.</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the acquisition of Snyder's-Lance, we acquired an investment in Yellow Chips Holdings B.V. (Yellow Chips), and accounted for the investment under the equity method of accounting. On October 30, 2018, we purchased the remaining ownership interest in Yellow Chips, and began consolidating the business. The purchase price was $18. The pro forma results for the three- and six-month periods ended January 27, 2019 and January 28, 2018 were not material.</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14" w:right="239" w:bottom="1440" w:gutter="0" w:footer="0" w:header="0"/>
        </w:sectPr>
      </w:pPr>
    </w:p>
    <w:bookmarkStart w:id="12" w:name="page13"/>
    <w:bookmarkEnd w:id="12"/>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30,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28,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Balance at July 29, 2018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Cumulative effect of a change in accounting principle</w:t>
            </w:r>
            <w:r>
              <w:rPr>
                <w:rFonts w:ascii="Arial" w:cs="Arial" w:eastAsia="Arial" w:hAnsi="Arial"/>
                <w:sz w:val="25"/>
                <w:szCs w:val="25"/>
                <w:b w:val="1"/>
                <w:bCs w:val="1"/>
                <w:color w:val="auto"/>
                <w:vertAlign w:val="superscript"/>
              </w:rPr>
              <w:t>(4)</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27,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8"/>
          <w:szCs w:val="18"/>
          <w:color w:val="auto"/>
        </w:rPr>
        <w:t>Included a tax expense of $4 as of January 27, 2019, and $6 as of July 29, 2018, January 28, 2018, and July 30, 2017.</w:t>
      </w:r>
    </w:p>
    <w:p>
      <w:pPr>
        <w:ind w:left="340" w:hanging="332"/>
        <w:spacing w:after="0" w:line="203"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8"/>
          <w:szCs w:val="18"/>
          <w:color w:val="auto"/>
        </w:rPr>
        <w:t>Included a tax benefit of $1 as of January 27, 2019, $4 as of July 29, 2018, $8 as of January 28, 2018, and $12 as of July 30, 2017.</w:t>
      </w:r>
    </w:p>
    <w:p>
      <w:pPr>
        <w:ind w:left="340" w:hanging="332"/>
        <w:spacing w:after="0" w:line="203"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8"/>
          <w:szCs w:val="18"/>
          <w:color w:val="auto"/>
        </w:rPr>
        <w:t>Included a tax expense of $12 as of January 27, 2019, $25 as of July 29, 2018, and January 28, 2018, and $30 as of July 30, 2017.</w:t>
      </w:r>
    </w:p>
    <w:p>
      <w:pPr>
        <w:ind w:left="340" w:right="3420" w:hanging="332"/>
        <w:spacing w:after="0" w:line="319"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8"/>
          <w:szCs w:val="18"/>
          <w:color w:val="auto"/>
        </w:rPr>
        <w:t>Reflects the adoption of the FASB guidance on stranded tax effects. See Note 2 for additional information. Amounts related to noncontrolling interests were not material.</w:t>
      </w:r>
    </w:p>
    <w:p>
      <w:pPr>
        <w:ind w:left="340"/>
        <w:spacing w:after="0"/>
        <w:rPr>
          <w:rFonts w:ascii="Arial" w:cs="Arial" w:eastAsia="Arial" w:hAnsi="Arial"/>
          <w:sz w:val="13"/>
          <w:szCs w:val="13"/>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Details about Accumulated Other Comprehensive Income</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January 27, 2019</w:t>
            </w:r>
          </w:p>
        </w:tc>
        <w:tc>
          <w:tcPr>
            <w:tcW w:w="120" w:type="dxa"/>
            <w:vAlign w:val="bottom"/>
            <w:vMerge w:val="restart"/>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January 28, 2018</w:t>
            </w:r>
          </w:p>
        </w:tc>
        <w:tc>
          <w:tcPr>
            <w:tcW w:w="120" w:type="dxa"/>
            <w:vAlign w:val="bottom"/>
            <w:vMerge w:val="restart"/>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January 27, 2019</w:t>
            </w:r>
          </w:p>
        </w:tc>
        <w:tc>
          <w:tcPr>
            <w:tcW w:w="100" w:type="dxa"/>
            <w:vAlign w:val="bottom"/>
            <w:vMerge w:val="restart"/>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January 28, 2018</w:t>
            </w:r>
          </w:p>
        </w:tc>
        <w:tc>
          <w:tcPr>
            <w:tcW w:w="100" w:type="dxa"/>
            <w:vAlign w:val="bottom"/>
          </w:tcPr>
          <w:p>
            <w:pPr>
              <w:spacing w:after="0"/>
              <w:rPr>
                <w:sz w:val="12"/>
                <w:szCs w:val="12"/>
                <w:color w:val="auto"/>
              </w:rPr>
            </w:pPr>
          </w:p>
        </w:tc>
        <w:tc>
          <w:tcPr>
            <w:tcW w:w="25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Location of (Gain) Loss Recognized in</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(Loss) Components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Forward starting interest rate swaps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880" w:type="dxa"/>
            <w:vAlign w:val="bottom"/>
            <w:gridSpan w:val="2"/>
          </w:tcPr>
          <w:p>
            <w:pPr>
              <w:jc w:val="right"/>
              <w:ind w:right="160"/>
              <w:spacing w:after="0"/>
              <w:rPr>
                <w:sz w:val="20"/>
                <w:szCs w:val="20"/>
                <w:color w:val="auto"/>
              </w:rPr>
            </w:pPr>
            <w:r>
              <w:rPr>
                <w:rFonts w:ascii="Arial" w:cs="Arial" w:eastAsia="Arial" w:hAnsi="Arial"/>
                <w:sz w:val="18"/>
                <w:szCs w:val="18"/>
                <w:color w:val="auto"/>
              </w:rPr>
              <w:t>Total before tax</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8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(Gain) loss, net of tax</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w w:val="99"/>
              </w:rPr>
              <w:t>Pension and postretirement benefit adjustments:</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Prior service credit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3880" w:type="dxa"/>
            <w:vAlign w:val="bottom"/>
            <w:gridSpan w:val="2"/>
          </w:tcPr>
          <w:p>
            <w:pPr>
              <w:jc w:val="right"/>
              <w:ind w:right="160"/>
              <w:spacing w:after="0"/>
              <w:rPr>
                <w:sz w:val="20"/>
                <w:szCs w:val="20"/>
                <w:color w:val="auto"/>
              </w:rPr>
            </w:pPr>
            <w:r>
              <w:rPr>
                <w:rFonts w:ascii="Arial" w:cs="Arial" w:eastAsia="Arial" w:hAnsi="Arial"/>
                <w:sz w:val="18"/>
                <w:szCs w:val="18"/>
                <w:color w:val="auto"/>
              </w:rPr>
              <w:t>Tax expense (benefit)</w:t>
            </w: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(Gain) loss, net of tax</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13" w:name="page14"/>
    <w:bookmarkEnd w:id="13"/>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Meals and Beverages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rPr>
              <w:t>Campbell Fresh</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5"/>
              </w:rPr>
              <w:t>Snacks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July 29, 2018</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Changes in preliminary purchase price allocation</w:t>
            </w:r>
          </w:p>
        </w:tc>
        <w:tc>
          <w:tcPr>
            <w:tcW w:w="5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balance at January 27, 2019</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3,744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4,721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w:t>
      </w:r>
    </w:p>
    <w:p>
      <w:pPr>
        <w:spacing w:after="0" w:line="49" w:lineRule="exact"/>
        <w:rPr>
          <w:sz w:val="20"/>
          <w:szCs w:val="20"/>
          <w:color w:val="auto"/>
        </w:rPr>
      </w:pPr>
    </w:p>
    <w:p>
      <w:pPr>
        <w:jc w:val="both"/>
        <w:ind w:left="340" w:hanging="332"/>
        <w:spacing w:after="0" w:line="22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The balance of goodwill is reflected net of accumulated impairment charges of $837 as of January 27, 2019 and July 29, 2018, respectively, related to the Bolthouse Farms carrot and carrot ingredients reporting unit, the deli reporting unit, and the Bolthouse Farms refrigerated beverages and salad dressings reporting unit.</w:t>
      </w:r>
    </w:p>
    <w:p>
      <w:pPr>
        <w:spacing w:after="0" w:line="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three-month period ended October 28, 2018, we made changes in the preliminary allocation of the purchase price of the Snyder's-Lance acquisition which resulted in a change in goodwill of $140 in the Global Biscuits and Snacks segment. On October 30, 2018, we acquired the remaining ownership interest in Yellow Chips and began consolidating the business, which resulted in goodwill of $21. See Note 3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27,</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July 29,</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917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3,752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Snyder's of Hanover, Lance, Kettle Brand, Pace, Pacific Foods, Snack Factory,</w:t>
      </w:r>
      <w:r>
        <w:rPr>
          <w:rFonts w:ascii="Arial" w:cs="Arial" w:eastAsia="Arial" w:hAnsi="Arial"/>
          <w:sz w:val="18"/>
          <w:szCs w:val="18"/>
          <w:color w:val="auto"/>
        </w:rPr>
        <w:t xml:space="preserve"> </w:t>
      </w:r>
      <w:r>
        <w:rPr>
          <w:rFonts w:ascii="Arial" w:cs="Arial" w:eastAsia="Arial" w:hAnsi="Arial"/>
          <w:sz w:val="18"/>
          <w:szCs w:val="18"/>
          <w:i w:val="1"/>
          <w:iCs w:val="1"/>
          <w:color w:val="auto"/>
        </w:rPr>
        <w:t>Cape Cod, Pop Secret</w:t>
      </w:r>
      <w:r>
        <w:rPr>
          <w:rFonts w:ascii="Arial" w:cs="Arial" w:eastAsia="Arial" w:hAnsi="Arial"/>
          <w:sz w:val="18"/>
          <w:szCs w:val="18"/>
          <w:color w:val="auto"/>
        </w:rPr>
        <w:t>,</w:t>
      </w:r>
      <w:r>
        <w:rPr>
          <w:rFonts w:ascii="Arial" w:cs="Arial" w:eastAsia="Arial" w:hAnsi="Arial"/>
          <w:sz w:val="18"/>
          <w:szCs w:val="18"/>
          <w:i w:val="1"/>
          <w:iCs w:val="1"/>
          <w:color w:val="auto"/>
        </w:rPr>
        <w:t xml:space="preserve"> Kjeldsens, Plum, </w:t>
      </w:r>
      <w:r>
        <w:rPr>
          <w:rFonts w:ascii="Arial" w:cs="Arial" w:eastAsia="Arial" w:hAnsi="Arial"/>
          <w:sz w:val="18"/>
          <w:szCs w:val="18"/>
          <w:color w:val="auto"/>
        </w:rPr>
        <w:t>and</w:t>
      </w:r>
      <w:r>
        <w:rPr>
          <w:rFonts w:ascii="Arial" w:cs="Arial" w:eastAsia="Arial" w:hAnsi="Arial"/>
          <w:sz w:val="18"/>
          <w:szCs w:val="18"/>
          <w:i w:val="1"/>
          <w:iCs w:val="1"/>
          <w:color w:val="auto"/>
        </w:rPr>
        <w:t xml:space="preserve"> Late July</w:t>
      </w:r>
      <w:r>
        <w:rPr>
          <w:rFonts w:ascii="Arial" w:cs="Arial" w:eastAsia="Arial" w:hAnsi="Arial"/>
          <w:sz w:val="18"/>
          <w:szCs w:val="18"/>
          <w:color w:val="auto"/>
        </w:rPr>
        <w:t>. Other amortizable intangible assets consist of recipes, non-compete agreements, trademarks,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distributor relationships.</w:t>
      </w:r>
    </w:p>
    <w:p>
      <w:pPr>
        <w:spacing w:after="0" w:line="12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Amortization of intangible assets was $30 and $8 for six-month periods ended January 27, 2019 and January 28, 2018, respectively. Amortization expense for the next 5 years is estimated to be $58 in 2019, $50 in 2020 and $49 in 2021 through 2023. Asset useful lives range from 2 to 22 years.</w:t>
      </w:r>
    </w:p>
    <w:p>
      <w:pPr>
        <w:spacing w:after="0" w:line="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August 30, 2018, we announced plans to pursue the divestiture of our international biscuits and snacks operating segment and the Campbell Fresh operating segment. As we continue to pursue the divestiture of these businesses, in the second quarter of 2019 we performed interim impairment assessments on the intangible assets within Campbell Fresh, which includes Bolthouse Farms carrot and carrot ingredients, Bolthouse Farms refrigerated beverages and salad dressings and Garden Fresh Gourmet. We revised our future outlook for earnings and cash flows for each of these businesses as the divestiture process progressed and we received initial indications of value. Within Bolthouse Farms carrot and carrot ingredients, we recorded impairment charges of $18 on the trademark, which reduced the carrying value to $30; $40 on customer relationships, which reduced the carrying value to $15; and $15 on technology, which reduced the carrying value to $10. Within Bolthouse Farms refrigerated beverages and salad dressings, we recorded impairment charges of $74 on the trademark, which reduced the carrying value to $76; and $22 on customer</w:t>
      </w:r>
    </w:p>
    <w:p>
      <w:pPr>
        <w:sectPr>
          <w:pgSz w:w="11900" w:h="16838" w:orient="portrait"/>
          <w:cols w:equalWidth="0" w:num="1">
            <w:col w:w="11420"/>
          </w:cols>
          <w:pgMar w:left="240" w:top="1310"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10" w:right="239" w:bottom="1440" w:gutter="0" w:footer="0" w:header="0"/>
          <w:type w:val="continuous"/>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relationships, which reduced the carrying value to $12. On Garden Fresh Gourmet, we recorded impairment charges of $23 on the trademark and $39 on customer relationships, which eliminated the carrying value of these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impairment charges were recorded in Other expenses / (income) in the Consolidated Statements of Earnings.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used in determining the fair value of intangible assets involve significant management judgment and are based upon assumptions about expected future operating performance, economic conditions, market conditions, cost of capital and potential divestitures. Inherent in estimating the future cash flows are uncertainties beyond our control, such as changes in capital markets. The actual cash flows could differ materially from management’s estimates due to changes in any of the assumptions.</w:t>
      </w:r>
    </w:p>
    <w:p>
      <w:pPr>
        <w:spacing w:after="0" w:line="12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Commencing in the third quarter of 2018 with the acquisition of Snyder's-Lance, we formed a new U.S. snacking unit, which combines Snyder's-Lance and Pepperidge Farm, and is an operating segment. As of the third quarter of 2018, we have four operating segments based primarily on product type, and three reportable segments. The U.S. snacking operating segment is aggregated with the international biscuits and snacks operating segment to form the Global Biscuits and Snacks reportable segment. The operating segments are aggregated based on similar economic characteristics, products, production processes, types or classes of customers, distribution methods, and regulatory environment. Our reportable segments are as follows:</w:t>
      </w:r>
    </w:p>
    <w:p>
      <w:pPr>
        <w:spacing w:after="0" w:line="104" w:lineRule="exact"/>
        <w:rPr>
          <w:sz w:val="20"/>
          <w:szCs w:val="20"/>
          <w:color w:val="auto"/>
        </w:rPr>
      </w:pPr>
    </w:p>
    <w:p>
      <w:pPr>
        <w:jc w:val="both"/>
        <w:ind w:left="660" w:hanging="328"/>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Meals and Beverages segment includes the retail and food service businesses in the U.S., Canada and Latin America. The segment includes the following products: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condensed and ready-to-serve soups;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broth and stocks;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w:t>
      </w:r>
      <w:r>
        <w:rPr>
          <w:rFonts w:ascii="Arial" w:cs="Arial" w:eastAsia="Arial" w:hAnsi="Arial"/>
          <w:sz w:val="17"/>
          <w:szCs w:val="17"/>
          <w:i w:val="1"/>
          <w:iCs w:val="1"/>
          <w:color w:val="auto"/>
        </w:rPr>
        <w:t xml:space="preserve">Campbell’s </w:t>
      </w:r>
      <w:r>
        <w:rPr>
          <w:rFonts w:ascii="Arial" w:cs="Arial" w:eastAsia="Arial" w:hAnsi="Arial"/>
          <w:sz w:val="17"/>
          <w:szCs w:val="17"/>
          <w:color w:val="auto"/>
        </w:rPr>
        <w:t>gravies, pasta, beans and dinner sauces;</w:t>
      </w:r>
      <w:r>
        <w:rPr>
          <w:rFonts w:ascii="Arial" w:cs="Arial" w:eastAsia="Arial" w:hAnsi="Arial"/>
          <w:sz w:val="17"/>
          <w:szCs w:val="17"/>
          <w:i w:val="1"/>
          <w:iCs w:val="1"/>
          <w:color w:val="auto"/>
        </w:rPr>
        <w:t xml:space="preserve"> Swanson </w:t>
      </w:r>
      <w:r>
        <w:rPr>
          <w:rFonts w:ascii="Arial" w:cs="Arial" w:eastAsia="Arial" w:hAnsi="Arial"/>
          <w:sz w:val="17"/>
          <w:szCs w:val="17"/>
          <w:color w:val="auto"/>
        </w:rPr>
        <w:t>canned poultry;</w:t>
      </w:r>
      <w:r>
        <w:rPr>
          <w:rFonts w:ascii="Arial" w:cs="Arial" w:eastAsia="Arial" w:hAnsi="Arial"/>
          <w:sz w:val="17"/>
          <w:szCs w:val="17"/>
          <w:i w:val="1"/>
          <w:iCs w:val="1"/>
          <w:color w:val="auto"/>
        </w:rPr>
        <w:t xml:space="preserve"> Plum </w:t>
      </w:r>
      <w:r>
        <w:rPr>
          <w:rFonts w:ascii="Arial" w:cs="Arial" w:eastAsia="Arial" w:hAnsi="Arial"/>
          <w:sz w:val="17"/>
          <w:szCs w:val="17"/>
          <w:color w:val="auto"/>
        </w:rPr>
        <w:t>food and snacks;</w:t>
      </w:r>
      <w:r>
        <w:rPr>
          <w:rFonts w:ascii="Arial" w:cs="Arial" w:eastAsia="Arial" w:hAnsi="Arial"/>
          <w:sz w:val="17"/>
          <w:szCs w:val="17"/>
          <w:i w:val="1"/>
          <w:iCs w:val="1"/>
          <w:color w:val="auto"/>
        </w:rPr>
        <w:t xml:space="preserve"> V8 </w:t>
      </w:r>
      <w:r>
        <w:rPr>
          <w:rFonts w:ascii="Arial" w:cs="Arial" w:eastAsia="Arial" w:hAnsi="Arial"/>
          <w:sz w:val="17"/>
          <w:szCs w:val="17"/>
          <w:color w:val="auto"/>
        </w:rPr>
        <w:t>juices and beverages;</w:t>
      </w:r>
      <w:r>
        <w:rPr>
          <w:rFonts w:ascii="Arial" w:cs="Arial" w:eastAsia="Arial" w:hAnsi="Arial"/>
          <w:sz w:val="17"/>
          <w:szCs w:val="17"/>
          <w:i w:val="1"/>
          <w:iCs w:val="1"/>
          <w:color w:val="auto"/>
        </w:rPr>
        <w:t xml:space="preserve"> Campbell’s </w:t>
      </w:r>
      <w:r>
        <w:rPr>
          <w:rFonts w:ascii="Arial" w:cs="Arial" w:eastAsia="Arial" w:hAnsi="Arial"/>
          <w:sz w:val="17"/>
          <w:szCs w:val="17"/>
          <w:color w:val="auto"/>
        </w:rPr>
        <w:t>tomato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juice; and as of December 12, 2017, </w:t>
      </w:r>
      <w:r>
        <w:rPr>
          <w:rFonts w:ascii="Arial" w:cs="Arial" w:eastAsia="Arial" w:hAnsi="Arial"/>
          <w:sz w:val="17"/>
          <w:szCs w:val="17"/>
          <w:i w:val="1"/>
          <w:iCs w:val="1"/>
          <w:color w:val="auto"/>
        </w:rPr>
        <w:t>Pacific</w:t>
      </w:r>
      <w:r>
        <w:rPr>
          <w:rFonts w:ascii="Arial" w:cs="Arial" w:eastAsia="Arial" w:hAnsi="Arial"/>
          <w:sz w:val="17"/>
          <w:szCs w:val="17"/>
          <w:color w:val="auto"/>
        </w:rPr>
        <w:t xml:space="preserve"> broth, soups, non-dairy beverages and other simple meals;</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Global Biscuits and Snacks segment represents an aggregation of the following operating segments: U.S. snacks operating segment, which includes Pepperidge Farm cookies, crackers, bakery and frozen products in U.S. retail, and Snyder’s-Lance pretzels, sandwich crackers, potato chips, tortilla chips and other snacking products in the U.S. and Europe; and the international biscuits and snacks operating segment, which includes Arnott’s biscuits in Australia and Asia Pacific, Kelsen cookies globally, and the simple meals and shelf-stable beverages business in Australia and Asia Pacific; and</w:t>
      </w:r>
    </w:p>
    <w:p>
      <w:pPr>
        <w:spacing w:after="0" w:line="13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Campbell Fresh segment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the fourth quarter of 2018, our simple meals and shelf-stable beverage business in Latin America was managed as part of the Global Biscuits and Snacks segment. Beginning in 2019, our business in Latin America is managed as part of the Meals and Beverages segment. Segment results have been adjusted retrospectively to reflect this change.</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30, 2018, we announced plans to pursue the divestiture of our international biscuits and snacks operating segment, and the Campbell Fresh segment. The international biscuits and snacks operating segment and the Campbell Fresh segment combined represent approximately $2,100 in net sales in 2018.</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segment performance before interest, taxes and costs associated with restructuring activities and impairment charges.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4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60" w:type="dxa"/>
            <w:vAlign w:val="bottom"/>
          </w:tcPr>
          <w:p>
            <w:pPr>
              <w:spacing w:after="0"/>
              <w:rPr>
                <w:sz w:val="13"/>
                <w:szCs w:val="13"/>
                <w:color w:val="auto"/>
              </w:rPr>
            </w:pPr>
          </w:p>
        </w:tc>
        <w:tc>
          <w:tcPr>
            <w:tcW w:w="98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5"/>
              </w:rPr>
              <w:t>January 28,</w:t>
            </w:r>
          </w:p>
        </w:tc>
      </w:tr>
      <w:tr>
        <w:trPr>
          <w:trHeight w:val="192"/>
        </w:trPr>
        <w:tc>
          <w:tcPr>
            <w:tcW w:w="6760" w:type="dxa"/>
            <w:vAlign w:val="bottom"/>
            <w:tcBorders>
              <w:bottom w:val="single" w:sz="8" w:color="BFE4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r>
      <w:tr>
        <w:trPr>
          <w:trHeight w:val="250"/>
        </w:trPr>
        <w:tc>
          <w:tcPr>
            <w:tcW w:w="67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Meals and Beverages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7"/>
              <w:spacing w:after="0"/>
              <w:rPr>
                <w:sz w:val="20"/>
                <w:szCs w:val="20"/>
                <w:color w:val="auto"/>
              </w:rPr>
            </w:pPr>
            <w:r>
              <w:rPr>
                <w:rFonts w:ascii="Arial" w:cs="Arial" w:eastAsia="Arial" w:hAnsi="Arial"/>
                <w:sz w:val="18"/>
                <w:szCs w:val="18"/>
                <w:b w:val="1"/>
                <w:bCs w:val="1"/>
                <w:color w:val="auto"/>
              </w:rPr>
              <w:t>1,230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2,474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2,453</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Global Biscuits and Snacks</w:t>
            </w:r>
          </w:p>
        </w:tc>
        <w:tc>
          <w:tcPr>
            <w:tcW w:w="12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b w:val="1"/>
                <w:bCs w:val="1"/>
                <w:color w:val="auto"/>
              </w:rPr>
              <w:t>1,243</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b w:val="1"/>
                <w:bCs w:val="1"/>
                <w:color w:val="auto"/>
              </w:rPr>
              <w:t>2,461</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1,396</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491</w:t>
            </w:r>
          </w:p>
        </w:tc>
      </w:tr>
      <w:tr>
        <w:trPr>
          <w:trHeight w:val="27"/>
        </w:trPr>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6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2,713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5,407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4,341</w:t>
            </w:r>
          </w:p>
        </w:tc>
      </w:tr>
      <w:tr>
        <w:trPr>
          <w:trHeight w:val="27"/>
        </w:trPr>
        <w:tc>
          <w:tcPr>
            <w:tcW w:w="6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4" w:right="239" w:bottom="1440" w:gutter="0" w:footer="0" w:header="0"/>
          <w:type w:val="continuous"/>
        </w:sectPr>
      </w:pPr>
    </w:p>
    <w:bookmarkStart w:id="15" w:name="page16"/>
    <w:bookmarkEnd w:id="1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27,</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60" w:type="dxa"/>
            <w:vAlign w:val="bottom"/>
          </w:tcPr>
          <w:p>
            <w:pPr>
              <w:spacing w:after="0"/>
              <w:rPr>
                <w:sz w:val="13"/>
                <w:szCs w:val="13"/>
                <w:color w:val="auto"/>
              </w:rPr>
            </w:pPr>
          </w:p>
        </w:tc>
        <w:tc>
          <w:tcPr>
            <w:tcW w:w="98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January 28,</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Meals and Beverages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549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65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52" w:lineRule="auto"/>
        <w:tabs>
          <w:tab w:leader="none" w:pos="34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Represents unallocated items. Pension and postretirement benefit mark-to-market adjustments are included in Corporate. There were gains of $14 in the six-month period ended January 28, 2018. Costs related to cost savings initiatives were $22 and $27 for the three-month periods and $49 and $44 in the six-month periods ended January 27, 2019, and January 28, 2018, respectively. Costs of $10 and $12 associated with the planned divestitures were in the three- and six-month periods ended January 27, 2019. Impairment charges of plant assets and intangible assets were $346 and $360 in the three- and- six-month periods ended January 27, 2019, respectively. Impairment charges of intangible assets were $75 in the three- and- six-month periods ended January 28, 2018. See Notes 5 and 13 for additional information. Transaction costs of $24 associated with the acquisition of Snyder's-Lance were in the three- and six-month periods ended January 28, 2018.</w:t>
      </w:r>
    </w:p>
    <w:p>
      <w:pPr>
        <w:spacing w:after="0" w:line="5" w:lineRule="exact"/>
        <w:rPr>
          <w:rFonts w:ascii="Arial" w:cs="Arial" w:eastAsia="Arial" w:hAnsi="Arial"/>
          <w:sz w:val="24"/>
          <w:szCs w:val="24"/>
          <w:color w:val="auto"/>
          <w:vertAlign w:val="superscript"/>
        </w:rPr>
      </w:pPr>
    </w:p>
    <w:p>
      <w:pPr>
        <w:ind w:left="340" w:hanging="332"/>
        <w:spacing w:after="0" w:line="180"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See Note 7 for additional information.</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27,</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60" w:type="dxa"/>
            <w:vAlign w:val="bottom"/>
          </w:tcPr>
          <w:p>
            <w:pPr>
              <w:spacing w:after="0"/>
              <w:rPr>
                <w:sz w:val="13"/>
                <w:szCs w:val="13"/>
                <w:color w:val="auto"/>
              </w:rPr>
            </w:pPr>
          </w:p>
        </w:tc>
        <w:tc>
          <w:tcPr>
            <w:tcW w:w="98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January 28,</w:t>
            </w:r>
          </w:p>
        </w:tc>
      </w:tr>
      <w:tr>
        <w:trPr>
          <w:trHeight w:val="192"/>
        </w:trPr>
        <w:tc>
          <w:tcPr>
            <w:tcW w:w="654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r>
      <w:tr>
        <w:trPr>
          <w:trHeight w:val="250"/>
        </w:trPr>
        <w:tc>
          <w:tcPr>
            <w:tcW w:w="65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Soup</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815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1,604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1,621</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Snacks</w:t>
            </w: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1,225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2,434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1,367</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869</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Beverages</w:t>
            </w:r>
          </w:p>
        </w:tc>
        <w:tc>
          <w:tcPr>
            <w:tcW w:w="14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249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514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483</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654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2,713</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5,407</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4,341</w:t>
            </w:r>
          </w:p>
        </w:tc>
      </w:tr>
      <w:tr>
        <w:trPr>
          <w:trHeight w:val="20"/>
        </w:trPr>
        <w:tc>
          <w:tcPr>
            <w:tcW w:w="654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Soup includes various soup, broths and stock products. Snacks include cookies, pretzels, crackers, biscuits, popcorn, nuts, potato chips, tortilla chips and other salty snacks and baked products. Other simple meals include sauces, carrot products, refrigerated salad dressings, refrigerated salsa, hummus, dips and Plum foods and snacks.</w:t>
      </w:r>
    </w:p>
    <w:p>
      <w:pPr>
        <w:spacing w:after="0" w:line="12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 and Snyder's-Lance Cost Transformation Program and Integration</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40"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restructuring charges and charges recorded in Administrative expenses, Cost of products sold, Marketing and selling expenses,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related to both programs is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8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27,</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28,</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27,</w:t>
            </w:r>
          </w:p>
        </w:tc>
        <w:tc>
          <w:tcPr>
            <w:tcW w:w="20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4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7"/>
              </w:rPr>
              <w:t>Recognized as of</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January 27, 2019</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0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108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1080" w:type="dxa"/>
            <w:vAlign w:val="bottom"/>
            <w:tcBorders>
              <w:top w:val="single" w:sz="8" w:color="auto"/>
            </w:tcBorders>
          </w:tcPr>
          <w:p>
            <w:pPr>
              <w:jc w:val="right"/>
              <w:ind w:right="881"/>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3880" w:type="dxa"/>
            <w:vAlign w:val="bottom"/>
            <w:vMerge w:val="restart"/>
          </w:tcPr>
          <w:p>
            <w:pPr>
              <w:spacing w:after="0"/>
              <w:rPr>
                <w:sz w:val="20"/>
                <w:szCs w:val="20"/>
                <w:color w:val="auto"/>
              </w:rPr>
            </w:pPr>
            <w:r>
              <w:rPr>
                <w:rFonts w:ascii="Arial" w:cs="Arial" w:eastAsia="Arial" w:hAnsi="Arial"/>
                <w:sz w:val="18"/>
                <w:szCs w:val="18"/>
                <w:color w:val="auto"/>
                <w:w w:val="98"/>
              </w:rPr>
              <w:t>_______________________________________</w:t>
            </w: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vMerge w:val="continue"/>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16"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$13 of Restructuring charges and $12 of Administrative expenses associated with the Snyder's-Lance cost transformation program and integration recognized in 2018.</w:t>
      </w:r>
    </w:p>
    <w:p>
      <w:pPr>
        <w:spacing w:after="0" w:line="68"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 summary of the pre-tax costs associated with both programs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Recognized as of</w:t>
            </w:r>
          </w:p>
        </w:tc>
        <w:tc>
          <w:tcPr>
            <w:tcW w:w="0" w:type="dxa"/>
            <w:vAlign w:val="bottom"/>
          </w:tcPr>
          <w:p>
            <w:pPr>
              <w:spacing w:after="0"/>
              <w:rPr>
                <w:sz w:val="1"/>
                <w:szCs w:val="1"/>
                <w:color w:val="auto"/>
              </w:rPr>
            </w:pPr>
          </w:p>
        </w:tc>
      </w:tr>
      <w:tr>
        <w:trPr>
          <w:trHeight w:val="192"/>
        </w:trPr>
        <w:tc>
          <w:tcPr>
            <w:tcW w:w="9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9"/>
              </w:rPr>
              <w:t>January 27, 2019</w:t>
            </w:r>
          </w:p>
        </w:tc>
        <w:tc>
          <w:tcPr>
            <w:tcW w:w="0" w:type="dxa"/>
            <w:vAlign w:val="bottom"/>
          </w:tcPr>
          <w:p>
            <w:pPr>
              <w:spacing w:after="0"/>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Severance pay and benefits</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Implementation costs and other related costs</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$13 of charges associated with the Snyder's-Lance cost transformation program and integration recognized in 2018.</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Includes $12 of charges associated with the Snyder's-Lance cost transformation program and integration recognized in 2018.</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estimated pre-tax costs for actions that have been identified under both programs are approximately $620 to $665 and we expect to incur substantially all of the costs through 2020. This estimate will be updated as costs for the expanded initiatives are developed.</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under both programs to consist of the following: approximately $215 to $220 in severance pay and benefits; approximately $70 in asset impairment and accelerated depreciation; and approximately $335 to $375 in implementation costs and other related costs.We expect these pre-tax costs to be associated with our segments as follows: Meals and Beverages - approximately 37%; Global Biscuits and Snacks - approximately 39%; Campbell Fresh - approximately 2%; and Corporate - approximately 22%.</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Of the aggregate $620 to $665 of pre-tax costs identified to date, we expect approximately $540 to $585 will be cash expenditures. In addition, we expect to invest approximately $325 in capital expenditures through 2021, of which we invested approximately $184 as of January 27, 2019. The capital expenditures primarily related to the U.S. warehouse optimization project, improvement of quality, safety and cost structure across the Snyder’s-Lance manufacturing network, transition of production of the Toronto manufacturing facility to our U.S. thermal plants, insourcing of manufacturing for certain simple meal products, optimization of information technology infrastructure and applications, and optimization of the Snyder’s-Lance warehouse and distribution network.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14"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both programs at January 27,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Severance Pay and</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Implementation Costs</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Asset</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and Other Related</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Impairment/Accelerated</w:t>
            </w:r>
          </w:p>
        </w:tc>
        <w:tc>
          <w:tcPr>
            <w:tcW w:w="180" w:type="dxa"/>
            <w:vAlign w:val="bottom"/>
          </w:tcPr>
          <w:p>
            <w:pPr>
              <w:spacing w:after="0"/>
              <w:rPr>
                <w:sz w:val="12"/>
                <w:szCs w:val="12"/>
                <w:color w:val="auto"/>
              </w:rPr>
            </w:pP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(3)</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26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Accrued balance at July 29, 2018</w:t>
            </w:r>
            <w:r>
              <w:rPr>
                <w:rFonts w:ascii="Arial" w:cs="Arial" w:eastAsia="Arial" w:hAnsi="Arial"/>
                <w:sz w:val="25"/>
                <w:szCs w:val="25"/>
                <w:color w:val="auto"/>
                <w:vertAlign w:val="superscript"/>
              </w:rPr>
              <w:t>(1)</w:t>
            </w: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2019 charges</w:t>
            </w: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1"/>
                <w:szCs w:val="21"/>
                <w:color w:val="auto"/>
              </w:rPr>
            </w:pPr>
          </w:p>
        </w:tc>
        <w:tc>
          <w:tcPr>
            <w:tcW w:w="1540" w:type="dxa"/>
            <w:vAlign w:val="bottom"/>
          </w:tcPr>
          <w:p>
            <w:pPr>
              <w:jc w:val="right"/>
              <w:ind w:right="24"/>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2019 cash payments</w:t>
            </w: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260" w:type="dxa"/>
            <w:vAlign w:val="bottom"/>
          </w:tcPr>
          <w:p>
            <w:pPr>
              <w:ind w:left="20"/>
              <w:spacing w:after="0" w:line="264" w:lineRule="exact"/>
              <w:rPr>
                <w:sz w:val="20"/>
                <w:szCs w:val="20"/>
                <w:color w:val="auto"/>
              </w:rPr>
            </w:pPr>
            <w:r>
              <w:rPr>
                <w:rFonts w:ascii="Arial" w:cs="Arial" w:eastAsia="Arial" w:hAnsi="Arial"/>
                <w:sz w:val="18"/>
                <w:szCs w:val="18"/>
                <w:b w:val="1"/>
                <w:bCs w:val="1"/>
                <w:color w:val="auto"/>
              </w:rPr>
              <w:t>Accrued balance at January 27, 2019</w:t>
            </w:r>
            <w:r>
              <w:rPr>
                <w:rFonts w:ascii="Arial" w:cs="Arial" w:eastAsia="Arial" w:hAnsi="Arial"/>
                <w:sz w:val="25"/>
                <w:szCs w:val="25"/>
                <w:b w:val="1"/>
                <w:bCs w:val="1"/>
                <w:color w:val="auto"/>
                <w:vertAlign w:val="superscript"/>
              </w:rPr>
              <w:t>(2)</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jc w:val="right"/>
              <w:ind w:right="1710"/>
              <w:spacing w:after="0"/>
              <w:rPr>
                <w:sz w:val="20"/>
                <w:szCs w:val="20"/>
                <w:color w:val="auto"/>
              </w:rPr>
            </w:pPr>
            <w:r>
              <w:rPr>
                <w:rFonts w:ascii="Arial" w:cs="Arial" w:eastAsia="Arial" w:hAnsi="Arial"/>
                <w:sz w:val="18"/>
                <w:szCs w:val="18"/>
                <w:color w:val="auto"/>
                <w:w w:val="89"/>
              </w:rPr>
              <w:t>_______________________________________</w:t>
            </w: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hanging="332"/>
        <w:spacing w:after="0" w:line="226"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Includes $24 of severance pay and benefits recorded in Other liabilities in the Consolidated Balance Sheet, $1 of which is associated with the Snyder's-Lance cost transformation program and integration. Of total accrued balance, $9 is associated with the Snyder's-Lance cost transformation program and integration.</w:t>
      </w:r>
    </w:p>
    <w:p>
      <w:pPr>
        <w:spacing w:after="0" w:line="2"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Includes $15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Sheets. The costs are included in Administrative expenses, Cost of products sold, Marketing and selling expenses, and Research and development expenses in the Consolidated Statements of Earnings.</w:t>
      </w:r>
    </w:p>
    <w:p>
      <w:pPr>
        <w:spacing w:after="0" w:line="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January 27, 2019</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3"/>
                <w:szCs w:val="13"/>
                <w:color w:val="auto"/>
              </w:rPr>
            </w:pPr>
          </w:p>
        </w:tc>
        <w:tc>
          <w:tcPr>
            <w:tcW w:w="132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4"/>
              </w:rPr>
              <w:t>Costs Incurred to</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455"/>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680" w:type="dxa"/>
            <w:vAlign w:val="bottom"/>
            <w:tcBorders>
              <w:top w:val="single" w:sz="8" w:color="auto"/>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16"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Includes $25 of pre-tax costs associated with the Global Biscuits and Snacks segment recognized in 2018 related to the Snyder's-Lance cost transformation program and integration.</w:t>
      </w:r>
    </w:p>
    <w:p>
      <w:pPr>
        <w:spacing w:after="0" w:line="6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per share calculation for the three-month period ended January 27, 2019, excludes approximately 2 million stock options and restricted stock units that would have been antidilutive. The earnings per share calculation for the six-month period ended January 27, 2019, excludes approximately 2 million stock options that would have been antidilutive. The earnings per share calculation for the three-month period ended January 28, 2018, excludes approximately 2 million stock options that would have been antidilutive. The earnings per share calculation for the six-month period ended January 28, 2018, excludes approximately 1 million stock options that would have been antidilutive.</w:t>
      </w:r>
    </w:p>
    <w:p>
      <w:pPr>
        <w:spacing w:after="0" w:line="12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a 60% controlling interest in a joint venture formed with Swire Pacific Limited to support our soup and broth business in China and a 70% controlling interest in a Malaysian food products manufacturing company. We also own a 99.8% interest in Acre Venture Partners, L.P. (Acre), a limited partnership formed to make venture capital investments in innovative new companies in food and food-related industries. See Note 12 for additional information.</w:t>
      </w:r>
    </w:p>
    <w:p>
      <w:pPr>
        <w:spacing w:after="0" w:line="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March 26, 2018, we acquired Snyder's-Lance, including an 80% interest in one of its subsidiaries. In April 2018, we purchased the remaining 20% interest for $47.</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1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Pension and Postretirement Benefits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4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20" w:type="dxa"/>
            <w:vAlign w:val="bottom"/>
          </w:tcPr>
          <w:p>
            <w:pPr>
              <w:spacing w:after="0"/>
              <w:rPr>
                <w:sz w:val="13"/>
                <w:szCs w:val="13"/>
                <w:color w:val="auto"/>
              </w:rPr>
            </w:pPr>
          </w:p>
        </w:tc>
        <w:tc>
          <w:tcPr>
            <w:tcW w:w="10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27,</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20" w:type="dxa"/>
            <w:vAlign w:val="bottom"/>
          </w:tcPr>
          <w:p>
            <w:pPr>
              <w:spacing w:after="0"/>
              <w:rPr>
                <w:sz w:val="13"/>
                <w:szCs w:val="13"/>
                <w:color w:val="auto"/>
              </w:rPr>
            </w:pPr>
          </w:p>
        </w:tc>
        <w:tc>
          <w:tcPr>
            <w:tcW w:w="90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3"/>
              </w:rPr>
              <w:t>January 28,</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Expected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Amortization of prior service</w:t>
            </w:r>
          </w:p>
        </w:tc>
        <w:tc>
          <w:tcPr>
            <w:tcW w:w="140" w:type="dxa"/>
            <w:vAlign w:val="bottom"/>
          </w:tcPr>
          <w:p>
            <w:pPr>
              <w:spacing w:after="0"/>
              <w:rPr>
                <w:sz w:val="19"/>
                <w:szCs w:val="19"/>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credit</w:t>
            </w: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Net periodic benefit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special termination benefits of $2 related to the planned closure of the manufacturing facility in Toronto, Ontario, and were included in Restructuring charges. See Note 7.</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components of net periodic benefit expense (income) other than the service cost component are included in Other expenses / (income) in the Consolidated Statements of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January 27, 2019, or July 29, 2018.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2018, our largest customer accounted for approximately 18% of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five largest customers accounted for approximately 38% of our consolidated net sales in 2018.</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$79 at January 27, 2019, and $104 at July 29, 2018.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$157 and $140 at January 27, 2019, and July 29, 2018, respectively. There were no cross-currency swap contracts outstanding as of January 27, 2019, or July 29, 2018.</w:t>
      </w:r>
    </w:p>
    <w:p>
      <w:pPr>
        <w:sectPr>
          <w:pgSz w:w="11900" w:h="16838" w:orient="portrait"/>
          <w:cols w:equalWidth="0" w:num="1">
            <w:col w:w="11420"/>
          </w:cols>
          <w:pgMar w:left="240" w:top="1310"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1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the Consolidated Statements of Earnings over the life of the debt. The change in fair value on undesignated instruments is recorded in interest expense. There were no forward starting interest rate swaps or treasury rate lock contracts outstanding as of January 27, 2019, or July 29,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diesel fuel, wheat, soybean oil, aluminum, natural gas, cocoa, soybean meal, corn,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January 27, 2019, or July 29, 2018. The notional amount of commodity contracts not designated as accounting hedges was $165 at January 27, 2019, and $118 at July 29, 2018.</w:t>
      </w:r>
    </w:p>
    <w:p>
      <w:pPr>
        <w:spacing w:after="0" w:line="1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$59 as of January 27, 2019, and $33 as of July 29, 2018. The fair value was not material as of January 27, 2019, and July 29, 2018. Unrealized gains (losses) and settlements are included in Cost of products sold in our Consolidated Statements of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were $41 as of January 27, 2019, and July 29, 2018.</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14" w:right="239" w:bottom="1440" w:gutter="0" w:footer="0" w:header="0"/>
        </w:sectPr>
      </w:pPr>
    </w:p>
    <w:bookmarkStart w:id="20" w:name="page21"/>
    <w:bookmarkEnd w:id="20"/>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January 27, 2019, and July 29,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Arial" w:cs="Arial" w:eastAsia="Arial" w:hAnsi="Arial"/>
                <w:sz w:val="14"/>
                <w:szCs w:val="14"/>
                <w:b w:val="1"/>
                <w:bCs w:val="1"/>
                <w:color w:val="auto"/>
                <w:w w:val="93"/>
              </w:rPr>
              <w:t>January 27,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July 29,</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Arial" w:cs="Arial" w:eastAsia="Arial" w:hAnsi="Arial"/>
                <w:sz w:val="14"/>
                <w:szCs w:val="14"/>
                <w:b w:val="1"/>
                <w:bCs w:val="1"/>
                <w:color w:val="auto"/>
                <w:w w:val="93"/>
              </w:rPr>
              <w:t>January 27,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July 29,</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2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January 27, 2019, and July 29, 2018,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January 27, 2019</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29, 2018</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At January 27, 2019, and July 29, 2018, a cash margin account balance of $7 and $2, respectively, was included in Other current assets in the Consolidated Balance Sheets.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14"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7"/>
          <w:szCs w:val="17"/>
          <w:color w:val="auto"/>
        </w:rPr>
        <w:t>The following tables show the effect of our derivative instruments designated as cash-flow hedges for the three- and six-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27, 2019, and January 28, 2018, in other comprehensive income (loss) (OCI) and the Consolidated Statements of Earnings: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Total Cash-Flow Hedge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OCI Activity</w:t>
            </w:r>
          </w:p>
        </w:tc>
        <w:tc>
          <w:tcPr>
            <w:tcW w:w="0" w:type="dxa"/>
            <w:vAlign w:val="bottom"/>
          </w:tcPr>
          <w:p>
            <w:pPr>
              <w:spacing w:after="0"/>
              <w:rPr>
                <w:sz w:val="1"/>
                <w:szCs w:val="1"/>
                <w:color w:val="auto"/>
              </w:rPr>
            </w:pPr>
          </w:p>
        </w:tc>
      </w:tr>
      <w:tr>
        <w:trPr>
          <w:trHeight w:val="152"/>
        </w:trPr>
        <w:tc>
          <w:tcPr>
            <w:tcW w:w="59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27,</w:t>
            </w:r>
          </w:p>
        </w:tc>
        <w:tc>
          <w:tcPr>
            <w:tcW w:w="200" w:type="dxa"/>
            <w:vAlign w:val="bottom"/>
          </w:tcPr>
          <w:p>
            <w:pPr>
              <w:spacing w:after="0"/>
              <w:rPr>
                <w:sz w:val="13"/>
                <w:szCs w:val="13"/>
                <w:color w:val="auto"/>
              </w:rPr>
            </w:pPr>
          </w:p>
        </w:tc>
        <w:tc>
          <w:tcPr>
            <w:tcW w:w="116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2"/>
        </w:trPr>
        <w:tc>
          <w:tcPr>
            <w:tcW w:w="59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6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beginning of quarter</w:t>
            </w:r>
          </w:p>
        </w:tc>
        <w:tc>
          <w:tcPr>
            <w:tcW w:w="28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9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Pr>
          <w:p>
            <w:pPr>
              <w:spacing w:after="0"/>
              <w:rPr>
                <w:sz w:val="17"/>
                <w:szCs w:val="17"/>
                <w:color w:val="auto"/>
              </w:rPr>
            </w:pPr>
          </w:p>
        </w:tc>
        <w:tc>
          <w:tcPr>
            <w:tcW w:w="28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8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Six Months Ended</w:t>
            </w:r>
          </w:p>
        </w:tc>
        <w:tc>
          <w:tcPr>
            <w:tcW w:w="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6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8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9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Pr>
          <w:p>
            <w:pPr>
              <w:spacing w:after="0"/>
              <w:rPr>
                <w:sz w:val="17"/>
                <w:szCs w:val="17"/>
                <w:color w:val="auto"/>
              </w:rPr>
            </w:pPr>
          </w:p>
        </w:tc>
        <w:tc>
          <w:tcPr>
            <w:tcW w:w="28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9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96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620" w:type="dxa"/>
            <w:vAlign w:val="bottom"/>
            <w:gridSpan w:val="3"/>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gain of $1. The ineffective portion and amount excluded from effectiveness testing were not material.</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effects of our derivative instruments not designated as hedges for the three- and six-month periods ended January 27, 2019, and January 28, 2018, in the Consolidated Statements of Earnings: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10"/>
          </w:tcPr>
          <w:p>
            <w:pPr>
              <w:jc w:val="right"/>
              <w:ind w:right="215"/>
              <w:spacing w:after="0"/>
              <w:rPr>
                <w:sz w:val="20"/>
                <w:szCs w:val="20"/>
                <w:color w:val="auto"/>
              </w:rPr>
            </w:pPr>
            <w:r>
              <w:rPr>
                <w:rFonts w:ascii="Arial" w:cs="Arial" w:eastAsia="Arial" w:hAnsi="Arial"/>
                <w:sz w:val="14"/>
                <w:szCs w:val="14"/>
                <w:b w:val="1"/>
                <w:bCs w:val="1"/>
                <w:color w:val="auto"/>
                <w:w w:val="96"/>
              </w:rPr>
              <w:t>Amount of (Gain) Loss Recognized in Earnings on Derivatives</w:t>
            </w: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3"/>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3"/>
                <w:szCs w:val="13"/>
                <w:color w:val="auto"/>
              </w:rPr>
            </w:pPr>
          </w:p>
        </w:tc>
        <w:tc>
          <w:tcPr>
            <w:tcW w:w="2760" w:type="dxa"/>
            <w:vAlign w:val="bottom"/>
            <w:gridSpan w:val="2"/>
          </w:tcPr>
          <w:p>
            <w:pPr>
              <w:ind w:left="600"/>
              <w:spacing w:after="0" w:line="153" w:lineRule="exact"/>
              <w:rPr>
                <w:sz w:val="20"/>
                <w:szCs w:val="20"/>
                <w:color w:val="auto"/>
              </w:rPr>
            </w:pPr>
            <w:r>
              <w:rPr>
                <w:rFonts w:ascii="Arial" w:cs="Arial" w:eastAsia="Arial" w:hAnsi="Arial"/>
                <w:sz w:val="14"/>
                <w:szCs w:val="14"/>
                <w:b w:val="1"/>
                <w:bCs w:val="1"/>
                <w:color w:val="auto"/>
              </w:rPr>
              <w:t>Location of (Gain) Loss</w:t>
            </w:r>
          </w:p>
        </w:tc>
        <w:tc>
          <w:tcPr>
            <w:tcW w:w="12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27,</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20" w:type="dxa"/>
            <w:vAlign w:val="bottom"/>
          </w:tcPr>
          <w:p>
            <w:pPr>
              <w:spacing w:after="0"/>
              <w:rPr>
                <w:sz w:val="13"/>
                <w:szCs w:val="13"/>
                <w:color w:val="auto"/>
              </w:rPr>
            </w:pPr>
          </w:p>
        </w:tc>
        <w:tc>
          <w:tcPr>
            <w:tcW w:w="90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w w:val="93"/>
              </w:rPr>
              <w:t>January 28,</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Treasury rate lock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(gain) loss at end of quarter</w:t>
            </w:r>
          </w:p>
        </w:tc>
        <w:tc>
          <w:tcPr>
            <w:tcW w:w="2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Entity</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2016, we agreed to make a capital commitment subject to certain qualifications of up to $125 to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third-party ownership as a noncontrolling interest. Through January 27, 2019, we funded $82 of the capital commitment. On August 29, 2018, we provided notice of termination of the investment period and have no obligation to make any further capital contributions to Acre for new investments, but are required to pay obligations made prior to the notice of termination, the management fee and permitted partnership expenses.</w:t>
      </w:r>
    </w:p>
    <w:p>
      <w:pPr>
        <w:sectPr>
          <w:pgSz w:w="11900" w:h="16838" w:orient="portrait"/>
          <w:cols w:equalWidth="0" w:num="1">
            <w:col w:w="11420"/>
          </w:cols>
          <w:pgMar w:left="240" w:top="1314"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4" w:right="239" w:bottom="1440" w:gutter="0" w:footer="0" w:header="0"/>
          <w:type w:val="continuous"/>
        </w:sectPr>
      </w:pPr>
    </w:p>
    <w:bookmarkStart w:id="22" w:name="page23"/>
    <w:bookmarkEnd w:id="22"/>
    <w:p>
      <w:pPr>
        <w:jc w:val="both"/>
        <w:ind w:firstLine="324"/>
        <w:spacing w:after="0" w:line="279" w:lineRule="auto"/>
        <w:rPr>
          <w:sz w:val="20"/>
          <w:szCs w:val="20"/>
          <w:color w:val="auto"/>
        </w:rPr>
      </w:pPr>
      <w:r>
        <w:rPr>
          <w:rFonts w:ascii="Arial" w:cs="Arial" w:eastAsia="Arial" w:hAnsi="Arial"/>
          <w:sz w:val="17"/>
          <w:szCs w:val="17"/>
          <w:color w:val="auto"/>
        </w:rPr>
        <w:t>Acre elected the fair value option to account for qualifying investments to more appropriately reflect the value of the investments in the financial statements. The investments were $70 and $77 as of January 27, 2019, and July 29, 2018, respectively, and are included in Other assets on the Consolidated Balance Sheets. Changes in the fair values of investments for which the fair value option was elected are included in Other expenses / (income) on the Consolidated Statements of Earnings. Current assets and liabilities of Acre were not material as of January 27, 2019, or July 29, 2018.</w:t>
      </w:r>
    </w:p>
    <w:p>
      <w:pPr>
        <w:spacing w:after="0" w:line="11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January 27, 2019, and July 29, 2018,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7"/>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gridSpan w:val="6"/>
          </w:tcPr>
          <w:p>
            <w:pPr>
              <w:jc w:val="center"/>
              <w:ind w:right="70"/>
              <w:spacing w:after="0" w:line="145" w:lineRule="exact"/>
              <w:rPr>
                <w:sz w:val="20"/>
                <w:szCs w:val="20"/>
                <w:color w:val="auto"/>
              </w:rPr>
            </w:pPr>
            <w:r>
              <w:rPr>
                <w:rFonts w:ascii="Arial" w:cs="Arial" w:eastAsia="Arial" w:hAnsi="Arial"/>
                <w:sz w:val="14"/>
                <w:szCs w:val="14"/>
                <w:b w:val="1"/>
                <w:bCs w:val="1"/>
                <w:color w:val="auto"/>
                <w:w w:val="92"/>
              </w:rPr>
              <w:t>January 27, 2019 Using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29, 2018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January 27,</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7"/>
              </w:rPr>
              <w:t>Fair value option</w:t>
            </w:r>
          </w:p>
        </w:tc>
        <w:tc>
          <w:tcPr>
            <w:tcW w:w="160" w:type="dxa"/>
            <w:vAlign w:val="bottom"/>
          </w:tcPr>
          <w:p>
            <w:pPr>
              <w:spacing w:after="0"/>
              <w:rPr>
                <w:sz w:val="19"/>
                <w:szCs w:val="19"/>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70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(5)</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Total assets at fair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83</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6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20" w:type="dxa"/>
            <w:vAlign w:val="bottom"/>
            <w:gridSpan w:val="3"/>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7"/>
          </w:tcPr>
          <w:p>
            <w:pPr>
              <w:jc w:val="center"/>
              <w:ind w:left="556"/>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6"/>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6"/>
          </w:tcPr>
          <w:p>
            <w:pPr>
              <w:jc w:val="center"/>
              <w:ind w:right="90"/>
              <w:spacing w:after="0" w:line="145" w:lineRule="exact"/>
              <w:rPr>
                <w:sz w:val="20"/>
                <w:szCs w:val="20"/>
                <w:color w:val="auto"/>
              </w:rPr>
            </w:pPr>
            <w:r>
              <w:rPr>
                <w:rFonts w:ascii="Arial" w:cs="Arial" w:eastAsia="Arial" w:hAnsi="Arial"/>
                <w:sz w:val="14"/>
                <w:szCs w:val="14"/>
                <w:b w:val="1"/>
                <w:bCs w:val="1"/>
                <w:color w:val="auto"/>
                <w:w w:val="92"/>
              </w:rPr>
              <w:t>January 27, 2019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29, 2018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January 27,</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b w:val="1"/>
                <w:bCs w:val="1"/>
                <w:color w:val="auto"/>
              </w:rPr>
              <w:t>105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(4)</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112</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111</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20" w:type="dxa"/>
            <w:vAlign w:val="bottom"/>
            <w:gridSpan w:val="3"/>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2" w:lineRule="exact"/>
        <w:rPr>
          <w:rFonts w:ascii="Arial" w:cs="Arial" w:eastAsia="Arial" w:hAnsi="Arial"/>
          <w:sz w:val="24"/>
          <w:szCs w:val="24"/>
          <w:color w:val="auto"/>
          <w:vertAlign w:val="superscript"/>
        </w:rPr>
      </w:pPr>
    </w:p>
    <w:p>
      <w:pPr>
        <w:jc w:val="both"/>
        <w:ind w:left="340" w:hanging="332"/>
        <w:spacing w:after="0" w:line="227"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Primarily represents investments in equity securities that are not readily marketable and are accounted for under the fair value option. The investments were funded by Acre. See Note 12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w:t>
      </w:r>
    </w:p>
    <w:p>
      <w:pPr>
        <w:spacing w:after="0" w:line="70"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6"/>
          <w:szCs w:val="16"/>
          <w:color w:val="auto"/>
        </w:rPr>
        <w:t>The following table summarizes the changes in fair value of Level 3 investments for the six-month periods ended January 27, 2019 and January 28, 2018:</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Borders>
              <w:bottom w:val="single" w:sz="8" w:color="auto"/>
            </w:tcBorders>
          </w:tcPr>
          <w:p>
            <w:pPr>
              <w:spacing w:after="0"/>
              <w:rPr>
                <w:sz w:val="16"/>
                <w:szCs w:val="16"/>
                <w:color w:val="auto"/>
              </w:rPr>
            </w:pPr>
          </w:p>
        </w:tc>
      </w:tr>
      <w:tr>
        <w:trPr>
          <w:trHeight w:val="152"/>
        </w:trPr>
        <w:tc>
          <w:tcPr>
            <w:tcW w:w="8180" w:type="dxa"/>
            <w:vAlign w:val="bottom"/>
          </w:tcPr>
          <w:p>
            <w:pPr>
              <w:spacing w:after="0"/>
              <w:rPr>
                <w:sz w:val="13"/>
                <w:szCs w:val="13"/>
                <w:color w:val="auto"/>
              </w:rPr>
            </w:pPr>
          </w:p>
        </w:tc>
        <w:tc>
          <w:tcPr>
            <w:tcW w:w="1220" w:type="dxa"/>
            <w:vAlign w:val="bottom"/>
          </w:tcPr>
          <w:p>
            <w:pPr>
              <w:jc w:val="right"/>
              <w:ind w:right="1"/>
              <w:spacing w:after="0" w:line="153" w:lineRule="exact"/>
              <w:rPr>
                <w:sz w:val="20"/>
                <w:szCs w:val="20"/>
                <w:color w:val="auto"/>
              </w:rPr>
            </w:pPr>
            <w:r>
              <w:rPr>
                <w:rFonts w:ascii="Arial" w:cs="Arial" w:eastAsia="Arial" w:hAnsi="Arial"/>
                <w:sz w:val="14"/>
                <w:szCs w:val="14"/>
                <w:b w:val="1"/>
                <w:bCs w:val="1"/>
                <w:color w:val="auto"/>
              </w:rPr>
              <w:t>January 27,</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28,</w:t>
            </w:r>
          </w:p>
        </w:tc>
        <w:tc>
          <w:tcPr>
            <w:tcW w:w="340" w:type="dxa"/>
            <w:vAlign w:val="bottom"/>
          </w:tcPr>
          <w:p>
            <w:pPr>
              <w:spacing w:after="0"/>
              <w:rPr>
                <w:sz w:val="13"/>
                <w:szCs w:val="13"/>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beginning of year</w:t>
            </w:r>
          </w:p>
        </w:tc>
        <w:tc>
          <w:tcPr>
            <w:tcW w:w="122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Gains / (losses)</w:t>
            </w:r>
          </w:p>
        </w:tc>
        <w:tc>
          <w:tcPr>
            <w:tcW w:w="12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8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8180" w:type="dxa"/>
            <w:vAlign w:val="bottom"/>
          </w:tcPr>
          <w:p>
            <w:pPr>
              <w:ind w:left="40"/>
              <w:spacing w:after="0"/>
              <w:rPr>
                <w:sz w:val="20"/>
                <w:szCs w:val="20"/>
                <w:color w:val="auto"/>
              </w:rPr>
            </w:pPr>
            <w:r>
              <w:rPr>
                <w:rFonts w:ascii="Arial" w:cs="Arial" w:eastAsia="Arial" w:hAnsi="Arial"/>
                <w:sz w:val="18"/>
                <w:szCs w:val="18"/>
                <w:color w:val="auto"/>
              </w:rPr>
              <w:t>Fair value at end of quarter</w:t>
            </w:r>
          </w:p>
        </w:tc>
        <w:tc>
          <w:tcPr>
            <w:tcW w:w="1220" w:type="dxa"/>
            <w:vAlign w:val="bottom"/>
            <w:tcBorders>
              <w:top w:val="single" w:sz="8" w:color="auto"/>
            </w:tcBorders>
          </w:tcPr>
          <w:p>
            <w:pPr>
              <w:jc w:val="right"/>
              <w:ind w:right="1021"/>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8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2019, we recognized impairment charges on trademarks, plant assets, customer relationships and technology in connection with interim assessments of fair value on intangible and tangible assets in Campbell Fresh. See also Note 5 for additional information on the impairment charges.</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fourth quarter of 2018, as part of our annual review of intangible assets, we recognized an impairment charge of $54 on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 which reduced the carrying value to fair value of $61.</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was determined based on unobservable Level 3 inputs. The fair value of plant assets was determined based on cash flows associated with the asset group that include significant management assumptions, including expected proceeds. The fair values of trademarks, customer relationships and technology were determined based on discounted cash flow analyses that include significant management assumptions such as revenue growth rates, weighted average cost of capital, assumed royalty rates and attrition.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74"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color w:val="auto"/>
        </w:rPr>
        <w:t>The following table presents 2019 fair value measurements: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Impairment Charges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January 27, 2019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Plant</w:t>
            </w:r>
          </w:p>
        </w:tc>
        <w:tc>
          <w:tcPr>
            <w:tcW w:w="16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Trademarks</w:t>
            </w:r>
          </w:p>
        </w:tc>
        <w:tc>
          <w:tcPr>
            <w:tcW w:w="14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Technology</w:t>
            </w:r>
          </w:p>
        </w:tc>
        <w:tc>
          <w:tcPr>
            <w:tcW w:w="160" w:type="dxa"/>
            <w:vAlign w:val="bottom"/>
          </w:tcPr>
          <w:p>
            <w:pPr>
              <w:spacing w:after="0"/>
              <w:rPr>
                <w:sz w:val="13"/>
                <w:szCs w:val="13"/>
                <w:color w:val="auto"/>
              </w:rPr>
            </w:pPr>
          </w:p>
        </w:tc>
        <w:tc>
          <w:tcPr>
            <w:tcW w:w="7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Plant</w:t>
            </w: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Trademarks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Customer</w:t>
            </w:r>
          </w:p>
        </w:tc>
        <w:tc>
          <w:tcPr>
            <w:tcW w:w="140" w:type="dxa"/>
            <w:vAlign w:val="bottom"/>
          </w:tcPr>
          <w:p>
            <w:pPr>
              <w:spacing w:after="0"/>
              <w:rPr>
                <w:sz w:val="13"/>
                <w:szCs w:val="13"/>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Technology</w:t>
            </w:r>
          </w:p>
        </w:tc>
        <w:tc>
          <w:tcPr>
            <w:tcW w:w="0" w:type="dxa"/>
            <w:vAlign w:val="bottom"/>
          </w:tcPr>
          <w:p>
            <w:pPr>
              <w:spacing w:after="0"/>
              <w:rPr>
                <w:sz w:val="1"/>
                <w:szCs w:val="1"/>
                <w:color w:val="auto"/>
              </w:rPr>
            </w:pPr>
          </w:p>
        </w:tc>
      </w:tr>
      <w:tr>
        <w:trPr>
          <w:trHeight w:val="192"/>
        </w:trPr>
        <w:tc>
          <w:tcPr>
            <w:tcW w:w="2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Relationships</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Bolthouse Farms carrot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carrot ingredients</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160" w:type="dxa"/>
            <w:vAlign w:val="bottom"/>
          </w:tcPr>
          <w:p>
            <w:pPr>
              <w:ind w:left="160"/>
              <w:spacing w:after="0"/>
              <w:rPr>
                <w:sz w:val="20"/>
                <w:szCs w:val="20"/>
                <w:color w:val="auto"/>
              </w:rPr>
            </w:pPr>
            <w:r>
              <w:rPr>
                <w:rFonts w:ascii="Arial" w:cs="Arial" w:eastAsia="Arial" w:hAnsi="Arial"/>
                <w:sz w:val="18"/>
                <w:szCs w:val="18"/>
                <w:color w:val="auto"/>
              </w:rPr>
              <w:t>Bolthouse Farms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60"/>
              <w:spacing w:after="0"/>
              <w:rPr>
                <w:sz w:val="20"/>
                <w:szCs w:val="20"/>
                <w:color w:val="auto"/>
              </w:rPr>
            </w:pPr>
            <w:r>
              <w:rPr>
                <w:rFonts w:ascii="Arial" w:cs="Arial" w:eastAsia="Arial" w:hAnsi="Arial"/>
                <w:sz w:val="18"/>
                <w:szCs w:val="18"/>
                <w:color w:val="auto"/>
                <w:w w:val="91"/>
              </w:rPr>
              <w:t>refrigerated beverages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60"/>
              <w:spacing w:after="0"/>
              <w:rPr>
                <w:sz w:val="20"/>
                <w:szCs w:val="20"/>
                <w:color w:val="auto"/>
              </w:rPr>
            </w:pPr>
            <w:r>
              <w:rPr>
                <w:rFonts w:ascii="Arial" w:cs="Arial" w:eastAsia="Arial" w:hAnsi="Arial"/>
                <w:sz w:val="18"/>
                <w:szCs w:val="18"/>
                <w:color w:val="auto"/>
              </w:rPr>
              <w:t>salad dressings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Garden Fresh Gourmet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28,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Refrigerated soup</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$19 at January 27, 2019, and $14 at July 29, 2018,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$8,028 at January 27, 2019, and $8,347 at July 29, 2018. The carrying value was $8,325 at January 27, 2019, and $8,595 at July 29, 2018.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 Repurchases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 Approximately $1,296 remained available under the March 2017 program as of January 27, 2019. During the six-month period ended January 28, 2018, we repurchased 2 million shares at a cost of $86.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2019, we issued stock options, time-lapse restricted stock units, unrestricted stock, TSR performance restricted stock units and FCF performance restricted stock units. We have not issued EPS performance restricted stock units in 2019.</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pre-tax stock-based compensation expense and tax-related benefits recognized in the Consolidated Statements of Earnings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27,</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27,</w:t>
            </w:r>
          </w:p>
        </w:tc>
        <w:tc>
          <w:tcPr>
            <w:tcW w:w="160" w:type="dxa"/>
            <w:vAlign w:val="bottom"/>
          </w:tcPr>
          <w:p>
            <w:pPr>
              <w:spacing w:after="0"/>
              <w:rPr>
                <w:sz w:val="13"/>
                <w:szCs w:val="13"/>
                <w:color w:val="auto"/>
              </w:rPr>
            </w:pPr>
          </w:p>
        </w:tc>
        <w:tc>
          <w:tcPr>
            <w:tcW w:w="98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w w:val="95"/>
              </w:rPr>
              <w:t>January 28,</w:t>
            </w:r>
          </w:p>
        </w:tc>
      </w:tr>
      <w:tr>
        <w:trPr>
          <w:trHeight w:val="192"/>
        </w:trPr>
        <w:tc>
          <w:tcPr>
            <w:tcW w:w="45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2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7</w:t>
            </w:r>
          </w:p>
        </w:tc>
      </w:tr>
      <w:tr>
        <w:trPr>
          <w:trHeight w:val="567"/>
        </w:trPr>
        <w:tc>
          <w:tcPr>
            <w:tcW w:w="4580" w:type="dxa"/>
            <w:vAlign w:val="bottom"/>
          </w:tcPr>
          <w:p>
            <w:pPr>
              <w:spacing w:after="0"/>
              <w:rPr>
                <w:sz w:val="24"/>
                <w:szCs w:val="24"/>
                <w:color w:val="auto"/>
              </w:rPr>
            </w:pPr>
          </w:p>
        </w:tc>
        <w:tc>
          <w:tcPr>
            <w:tcW w:w="1940" w:type="dxa"/>
            <w:vAlign w:val="bottom"/>
          </w:tcPr>
          <w:p>
            <w:pPr>
              <w:jc w:val="right"/>
              <w:ind w:right="63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87" w:right="2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The following table summarizes stock option activity as of January 27,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29,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50.36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35.74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6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49.05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27, 2019</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46.17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January 27, 2019</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50.88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No options were exercised during the six-month period ended January 28, 2018.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and grant-date fair values for grants in 2019 and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3.84%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19.60%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6.1 years</w:t>
            </w:r>
          </w:p>
        </w:tc>
        <w:tc>
          <w:tcPr>
            <w:tcW w:w="1140" w:type="dxa"/>
            <w:vAlign w:val="bottom"/>
          </w:tcPr>
          <w:p>
            <w:pPr>
              <w:ind w:left="320"/>
              <w:spacing w:after="0"/>
              <w:rPr>
                <w:sz w:val="20"/>
                <w:szCs w:val="20"/>
                <w:color w:val="auto"/>
              </w:rPr>
            </w:pPr>
            <w:r>
              <w:rPr>
                <w:rFonts w:ascii="Arial" w:cs="Arial" w:eastAsia="Arial" w:hAnsi="Arial"/>
                <w:sz w:val="18"/>
                <w:szCs w:val="18"/>
                <w:color w:val="auto"/>
              </w:rPr>
              <w:t>6 years</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$6.27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$6.67</w:t>
            </w:r>
          </w:p>
        </w:tc>
      </w:tr>
      <w:tr>
        <w:trPr>
          <w:trHeight w:val="27"/>
        </w:trPr>
        <w:tc>
          <w:tcPr>
            <w:tcW w:w="90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January 27, 2019, total remaining unearned compensation related to nonvested stock options was $3, which will be amortized over the weighted-average remaining service period of 2.4 years.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time-lapse restricted stock units and EPS performance restricted stock units as of January 27,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29, 2018</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27, 2019</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determine the fair value of time-lapse restricted stock units and EPS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66 thousand EPS performance target grants outstanding at January 27, 2019, with a weighted-average grant-date fair value of $49.10. The actual number of EPS performance restricted stock units issued at the vesting date could range from 0% to 100% of the initial grant, depending on actual performance achieved. We estimate expense based on the number of awards expected to vest.</w:t>
      </w:r>
    </w:p>
    <w:p>
      <w:pPr>
        <w:spacing w:after="0" w:line="1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January 27, 2019, total remaining unearned compensation related to nonvested time-lapse restricted stock units and EPS performance restricted stock units was $47, which will be amortized over the weighted-average remaining service period of 1.9 years. The fair value of restricted stock units vested during the six-month periods ended January 27, 2019, and January 28, 2018,</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14" w:right="239" w:bottom="1440" w:gutter="0" w:footer="0" w:header="0"/>
          <w:type w:val="continuous"/>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was $24, and $30, respectively. The weighted-average grant-date fair value of the restricted stock units granted during the six-month period ended January 28, 2018, was $46.95.</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2019, we issued approximately 388 thousand FCF performance restricted stock units for which vesting is contingent upon the achievement of free cash flow (defined as Net cash provided by operating activities less capital expenditures and certain investing and financing activities) compared to annual operating plan objectives over a three-year period. An annual objective will be established each fiscal year for three consecutive years. Performance against these objectives will be averaged at the end of the three-year period to determine the number of underlying units that will vest at the end of the three years. The actual number of FCF performance restricted stock units issued at the vesting date could range from 0% to 200% of the initial grant depending on actual performance achieved. The fair value of FCF performance restricted stock units will be based upon the quoted price of our stock at the date of grant. We will expense FCF performance restricted stock units over the requisite service period of each objective.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January 27,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29, 2018</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27, 2019</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Weighted-average assumptions used in the Monte Carlo simulations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3.79%</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19.07%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3 years</w:t>
            </w:r>
          </w:p>
        </w:tc>
        <w:tc>
          <w:tcPr>
            <w:tcW w:w="1140" w:type="dxa"/>
            <w:vAlign w:val="bottom"/>
          </w:tcPr>
          <w:p>
            <w:pPr>
              <w:ind w:left="32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compensation expense on a straight-line basis over the service period. As of January 27, 2019, total remaining unearned compensation related to TSR performance restricted stock units was $21, which will be amortized over the weighted-average remaining service period of 1.9 years. In the first quarter of 2019, recipients of TSR performance restricted stock units earned 0% of the initial grants based upon our TSR ranking in a performance peer group during a three-year period ended July 27, 2018. In the first quarter of 2018, recipients of TSR performance restricted stock units earned 125% of the initial grants based upon our TSR ranking in a performance peer group during a three-year period ended July 28, 2017. As a result, approximately 160 thousand additional shares were awarded. The fair value of TSR performance restricted stock units vested during the six-month period ended January 28, 2018, was $38. The grant-date fair value of the TSR performance restricted stock units granted during 2018 was $39.39.</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excess tax deficiencies of $2 in the six-month period ended January 27, 2019, and the excess tax benefits of $4 in the six-month period ended January 28, 2018, on vested restricted stock were presented as cash flows from operating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4" w:right="239" w:bottom="1440" w:gutter="0" w:footer="0" w:header="0"/>
          <w:type w:val="continuous"/>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On January 7, 2019, three purported shareholder class action lawsuits pending in the United States District Court for the District of New Jersey were consolidated under the caption, </w:t>
      </w:r>
      <w:r>
        <w:rPr>
          <w:rFonts w:ascii="Arial" w:cs="Arial" w:eastAsia="Arial" w:hAnsi="Arial"/>
          <w:sz w:val="17"/>
          <w:szCs w:val="17"/>
          <w:i w:val="1"/>
          <w:iCs w:val="1"/>
          <w:color w:val="auto"/>
        </w:rPr>
        <w:t>In re Campbell Soup Company Securities Litigation</w:t>
      </w:r>
      <w:r>
        <w:rPr>
          <w:rFonts w:ascii="Arial" w:cs="Arial" w:eastAsia="Arial" w:hAnsi="Arial"/>
          <w:sz w:val="17"/>
          <w:szCs w:val="17"/>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Senior Vice President and Chief Financial Officer) are defendants in the Action. The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consolidated complaint seeks unspecified monetary damages and other relief. We intend to vigorously defend against the Action.</w:t>
      </w:r>
    </w:p>
    <w:p>
      <w:pPr>
        <w:spacing w:after="0" w:line="4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January 27, 2019.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January 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75"/>
              <w:spacing w:after="0"/>
              <w:rPr>
                <w:sz w:val="20"/>
                <w:szCs w:val="20"/>
                <w:color w:val="auto"/>
              </w:rPr>
            </w:pPr>
            <w:r>
              <w:rPr>
                <w:rFonts w:ascii="Arial" w:cs="Arial" w:eastAsia="Arial" w:hAnsi="Arial"/>
                <w:sz w:val="14"/>
                <w:szCs w:val="14"/>
                <w:b w:val="1"/>
                <w:bCs w:val="1"/>
                <w:color w:val="auto"/>
                <w:w w:val="97"/>
              </w:rPr>
              <w:t>July 29,</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Raw materials, containers and supplies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79"/>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b w:val="1"/>
                <w:bCs w:val="1"/>
                <w:color w:val="auto"/>
              </w:rPr>
              <w:t>465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1,076</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Statements of Earnings</w:t>
            </w: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27,</w:t>
            </w:r>
          </w:p>
        </w:tc>
        <w:tc>
          <w:tcPr>
            <w:tcW w:w="160" w:type="dxa"/>
            <w:vAlign w:val="bottom"/>
          </w:tcPr>
          <w:p>
            <w:pPr>
              <w:spacing w:after="0"/>
              <w:rPr>
                <w:sz w:val="13"/>
                <w:szCs w:val="13"/>
                <w:color w:val="auto"/>
              </w:rPr>
            </w:pPr>
          </w:p>
        </w:tc>
        <w:tc>
          <w:tcPr>
            <w:tcW w:w="10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880" w:type="dxa"/>
            <w:vAlign w:val="bottom"/>
            <w:gridSpan w:val="3"/>
          </w:tcPr>
          <w:p>
            <w:pPr>
              <w:jc w:val="right"/>
              <w:ind w:right="120"/>
              <w:spacing w:after="0" w:line="153" w:lineRule="exact"/>
              <w:rPr>
                <w:sz w:val="20"/>
                <w:szCs w:val="20"/>
                <w:color w:val="auto"/>
              </w:rPr>
            </w:pPr>
            <w:r>
              <w:rPr>
                <w:rFonts w:ascii="Arial" w:cs="Arial" w:eastAsia="Arial" w:hAnsi="Arial"/>
                <w:sz w:val="14"/>
                <w:szCs w:val="14"/>
                <w:b w:val="1"/>
                <w:bCs w:val="1"/>
                <w:color w:val="auto"/>
                <w:w w:val="95"/>
              </w:rPr>
              <w:t>January 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5"/>
              </w:rPr>
              <w:t>January 28,</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9"/>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Impairment of intangible assets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Net periodic benefit income other than the service cost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(gains) / losses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Transaction costs</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39"/>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230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hanging="172"/>
        <w:spacing w:after="0" w:line="252" w:lineRule="auto"/>
        <w:tabs>
          <w:tab w:leader="none" w:pos="196"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In 2019 we recognized impairment charges of $231 related to intangible assets within the Campbell Fresh segment. In 2018, we recognized an impairment charge of $75 related to the goodwill of the Bolthouse Farms carrot and carrot ingredients reporting unit. See Note 5 for additional information.</w:t>
      </w:r>
    </w:p>
    <w:p>
      <w:pPr>
        <w:spacing w:after="0" w:line="124"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In 2018, we recognized transaction costs of $24 related to the acquisition of Snyder's-Lance. See Note 3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14" w:right="239" w:bottom="1440" w:gutter="0" w:footer="0" w:header="0"/>
        </w:sectPr>
      </w:pPr>
    </w:p>
    <w:bookmarkStart w:id="28" w:name="page29"/>
    <w:bookmarkEnd w:id="28"/>
    <w:p>
      <w:pPr>
        <w:ind w:right="4140"/>
        <w:spacing w:after="0" w:line="393"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29, 2018, including but not limited to "Part I - Item 1A. Risk Factors" and "Part II - Item 7. Management's Discussion and Analysis of Financial Condition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 On December 12, 2017, we completed the acquisition of Pacific Foods of Oregon, LLC (Pacific Foods). The purchase price was $688 million. On March 26, 2018, we completed the acquisition of Snyder’s-Lance, Inc. (Snyder's-Lance) for total consideration of $6.112 billion. For additional information on our recent acquisitions, see Note 3 to the Consolidated Financial Statements.</w:t>
      </w:r>
    </w:p>
    <w:p>
      <w:pPr>
        <w:spacing w:after="0" w:line="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August 2018, we announced the results of our comprehensive Board of Directors-led strategy and portfolio review. The Board of Directors concluded that the best path forward is to: optimize our portfolio and focus on our core businesses with an emphasis on execution; divest certain non-core businesses in order to focus the company, while significantly paying down debt; and increase our cost savings initiatives, while driving improved asset efficiency. Following the review, we commenced plans to pursue the divestiture of businesses within two operating segments: our international biscuits and snacks operating segment, which includes Arnott’s, Kelsen and our operations in Indonesia, Malaysia, Hong Kong and Japan; and the Campbell Fresh operating segment, which includes Bolthouse Farms, Garden Fresh Gourmet and the U.S. refrigerated soup business. The international biscuits and snacks operating segment and the Campbell Fresh operating segment combined represent approximately $2.1 billion in net sales in 2018. We expect to use the proceeds from these divestitures to reduce debt. On February 25, 2019, we sold our refrigerated soup plant and we entered into an agreement to sell our Garden Fresh Gourmet business. Proceeds are expected to be approximately $60 million.</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the fourth quarter of 2018, our simple meals and shelf-stable beverage business in Latin America was managed as part of the Global Biscuits and Snacks segment. Beginning in 2019, our business in Latin America is managed as part of the Meals and Beverages segment. Segment results have been adjusted retrospectively to reflect this change.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sales increased 24% in the current quarter to $2.713 billion, reflecting a 26-point benefit from the acquisitions of Snyder's-Lance and Pacific Foods. Excluding the acquisitions, net sales declined due to the negative impact from currency translation and higher promotional spending.</w:t>
      </w:r>
    </w:p>
    <w:p>
      <w:pPr>
        <w:spacing w:after="0" w:line="69"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Gross profit, as a percent of sales, decreased to 26.3% from 35.1% in the year-ago quarter. The decrease was primarily due to impairment charges in the current quarter on the plant assets of Campbell Fresh, cost inflation and higher supply chain costs, and the dilutive impact of acquisitions, partially offset by productivity improvements.</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Marketing and selling expenses increased 16% to $264 million from $228 million in the year-ago quarter. The increase was primarily due to the impact of acquisitions, partially offset by lower marketing overhead spending.</w:t>
      </w:r>
    </w:p>
    <w:p>
      <w:pPr>
        <w:spacing w:after="0" w:line="11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Administrative expenses increased 9% to $180 million from $165 million in the year-ago quarter. The increase was primarily due to the impact of acquisitions and costs associated with planned divestitures in the current year, partially offset by lower costs associated with cost savings initiatives.</w:t>
      </w:r>
    </w:p>
    <w:p>
      <w:pPr>
        <w:spacing w:after="0" w:line="69" w:lineRule="exact"/>
        <w:rPr>
          <w:rFonts w:ascii="Arial" w:cs="Arial" w:eastAsia="Arial" w:hAnsi="Arial"/>
          <w:sz w:val="16"/>
          <w:szCs w:val="16"/>
          <w:color w:val="auto"/>
        </w:rPr>
      </w:pPr>
    </w:p>
    <w:p>
      <w:pPr>
        <w:jc w:val="both"/>
        <w:ind w:left="660" w:hanging="328"/>
        <w:spacing w:after="0" w:line="27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expenses / (income) increased to expense of $226 million in the current quarter from expense of $70 million in the year-ago quarter. The current quarter included non-cash impairment charges of $231 million on the intangible assets of Campbell Fresh. The year-ago quarter included a non-cash impairment charge of $75 million on the intangible assets of the Bolthouse Farms carrot and carrot ingredients reporting unit and transaction costs of $24 million associated with the acquisition of Snyder's-Lance. The remaining change was primarily due to higher amortization of intangible assets from the recent acquisitions in the current quarter and lower gains on investments.</w:t>
      </w:r>
    </w:p>
    <w:p>
      <w:pPr>
        <w:spacing w:after="0" w:line="11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expense increased to $93 million in the current quarter from $32 million in the year-ago quarter primarily due to higher levels of debt associated with funding the acquisitions discussed above.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0" w:right="239" w:bottom="1440" w:gutter="0" w:footer="0" w:header="0"/>
        </w:sectPr>
      </w:pPr>
    </w:p>
    <w:bookmarkStart w:id="29" w:name="page30"/>
    <w:bookmarkEnd w:id="29"/>
    <w:p>
      <w:pPr>
        <w:jc w:val="both"/>
        <w:ind w:left="660" w:hanging="328"/>
        <w:spacing w:after="0" w:line="297"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effective tax rate was 19.2% in the current quarter compared to negative 35.1% in the year-ago quarter. The current quarter included a tax charge of $2 million on a transition tax on unremitted foreign earnings as a result of the enactment of the Tax Cuts and Jobs Act of 2017 (the Act). The year-ago quarter included a $124 million net tax benefit related to the remeasurement of deferred tax assets and liabilities and a transition tax on unremitted foreign earnings as a result of the Act. After adjusting for these amounts, the remaining increase was primarily due to the cumulative year-to-date benefit in the prior year of the lower U.S. federal tax rate resulting from the enactment of the Act in December 2017.</w:t>
      </w:r>
    </w:p>
    <w:p>
      <w:pPr>
        <w:spacing w:after="0" w:line="104"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reported a loss per share of $.20 in the current quarter, compared to earnings of $.95 in the year-ago quarter. The impact of the adoption new accounting guidance for revenue recognition was an increase of $.03 per share in the current quarter. The current and prior-year quarter included expenses of $.97 and $.05 per share, respectively, from items impacting comparability as discussed below.</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flows from operations were $846 million in 2019, compared to $660 million in 2018. The increase was primarily due to lower working capital requirements, reflecting significant improvements in our working capital management efforts, and lapping payments on hedges associated with an anticipated debt issuance in the prior year, partially offset by lower cash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85"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2015, we implemented initiatives to reduce costs and to streamline our organizational structure. In 2017, we expanded these cost savings initiatives by further optimizing our supply chain network, primarily in North America, continuing to evolve our operating model to drive efficiencies, and more fully integrating our recent acquisitions. In January 2018, as part of the expanded initiatives, we authorized additional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 In 2019, we began to include costs associated with the Snyder's-Lance cost transformation program and integration with these initiatives. In the second quarter of 2019, we recorded a pre-tax restructuring charge of $2 million and implementation costs and other related costs of $10 million in Administrative expenses, $9 million in Cost of products sold, $2 million in Marketing and selling expenses, and $1 million in Research and development expenses (aggregate impact of $18 million after tax, or $.06 per share) related to these initiatives. Year-to-date in 2019, we recorded a pre-tax restructuring charge of $21 million and implementation costs and other related costs of $23 million in Administrative expenses, $21 million in Cost of products sold, $4 million in Marketing and selling expenses, and $1 million in Research and development expenses (aggregate impact of $53 million after tax, or $.18 per share) related to these initiatives. In the second quarter of 2018, we recorded a pre-tax restructuring charge of $33 million and implementation costs and other related costs of $26 million in Administrative expenses and $1 million in Cost of products sold (aggregate impact of $46 million after tax, or $.15 per share) related to these initiatives. Year-to-date in 2018, we recorded a pre-tax restructuring charge of $35 million and implementation costs and other related costs of $38 million in Administrative expenses and $6 million in Cost of products sold (aggregate impact of $58 million after tax, or $.19 per share) related to these initiatives. See Note 7 to the Consolidated Financial Statements and "Restructuring Charges and Cost Savings Initiatives" for additional information;</w:t>
      </w:r>
    </w:p>
    <w:p>
      <w:pPr>
        <w:spacing w:after="0" w:line="118"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second quarter of 2019, interim impairment assessments were performed on the intangible and tangible assets within Campbell Fresh, which includes Garden Fresh Gourmet, Bolthouse Farms carrot and carrot ingredients and Bolthouse Farms refrigerated beverages and salad dressings, as we continue to pursue the divestiture of these businesses. We revised our future outlook for earnings and cash flows for each of these businesses as the divestiture process progressed. We recorded non-cash impairment charges of $104 million on the tangible assets and $73 million on the intangible assets of Bolthouse Farms carrot and carrot ingredients; $96 million on the intangible assets and $9 million on the tangible assets of Bolthouse Farms refrigerated beverages and salad dressings; and $62 million on the intangible assets and $2 million on the tangible assets of Garden Fresh Gourmet. The aggregate impact of the impairment charges was $346 million, of which $115 million was recorded in Cost of products sold and $231 million in Other expenses / (income), ($264 million after tax, or $.88 per share).</w:t>
      </w:r>
    </w:p>
    <w:p>
      <w:pPr>
        <w:spacing w:after="0" w:line="124" w:lineRule="exact"/>
        <w:rPr>
          <w:rFonts w:ascii="Arial" w:cs="Arial" w:eastAsia="Arial" w:hAnsi="Arial"/>
          <w:sz w:val="17"/>
          <w:szCs w:val="17"/>
          <w:color w:val="auto"/>
        </w:rPr>
      </w:pPr>
    </w:p>
    <w:p>
      <w:pPr>
        <w:jc w:val="both"/>
        <w:ind w:left="660"/>
        <w:spacing w:after="0" w:line="286" w:lineRule="auto"/>
        <w:rPr>
          <w:rFonts w:ascii="Arial" w:cs="Arial" w:eastAsia="Arial" w:hAnsi="Arial"/>
          <w:sz w:val="17"/>
          <w:szCs w:val="17"/>
          <w:color w:val="auto"/>
        </w:rPr>
      </w:pPr>
      <w:r>
        <w:rPr>
          <w:rFonts w:ascii="Arial" w:cs="Arial" w:eastAsia="Arial" w:hAnsi="Arial"/>
          <w:sz w:val="17"/>
          <w:szCs w:val="17"/>
          <w:color w:val="auto"/>
        </w:rPr>
        <w:t>In the first quarter of 2019, we recorded a non-cash impairment charge of $14 million in Cost of products sold ($11 million after tax, or $.04 per share) on our U.S. refrigerated soup plant assets. Year-to-date in 2019, we recorded non-cash impairment charges of $360 million, of which $129 million was recorded in Cost of products sold and $231 million in Other expenses / (income), ($275 million after tax, or $.91 per share).</w:t>
      </w:r>
    </w:p>
    <w:p>
      <w:pPr>
        <w:spacing w:after="0" w:line="30"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In the second quarter of 2018, we performed an interim impairment assessment on the intangible assets of the Bolthouse Farms carrot and carrot ingredients reporting unit as operating performance was below expectations. We revised our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14" w:right="239" w:bottom="1440" w:gutter="0" w:footer="0" w:header="0"/>
        </w:sectPr>
      </w:pPr>
    </w:p>
    <w:bookmarkStart w:id="30" w:name="page31"/>
    <w:bookmarkEnd w:id="30"/>
    <w:p>
      <w:pPr>
        <w:ind w:left="660"/>
        <w:spacing w:after="0" w:line="277" w:lineRule="auto"/>
        <w:rPr>
          <w:sz w:val="20"/>
          <w:szCs w:val="20"/>
          <w:color w:val="auto"/>
        </w:rPr>
      </w:pPr>
      <w:r>
        <w:rPr>
          <w:rFonts w:ascii="Arial" w:cs="Arial" w:eastAsia="Arial" w:hAnsi="Arial"/>
          <w:sz w:val="18"/>
          <w:szCs w:val="18"/>
          <w:color w:val="auto"/>
        </w:rPr>
        <w:t>outlook for future earnings and cash flows and recorded a non-cash impairment charge of $75 million in Other expenses / (income) ($74 million after tax, or $.25 per share);</w:t>
      </w:r>
    </w:p>
    <w:p>
      <w:pPr>
        <w:spacing w:after="0" w:line="170" w:lineRule="exact"/>
        <w:rPr>
          <w:sz w:val="20"/>
          <w:szCs w:val="20"/>
          <w:color w:val="auto"/>
        </w:rPr>
      </w:pPr>
    </w:p>
    <w:p>
      <w:pPr>
        <w:jc w:val="both"/>
        <w:ind w:left="66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first quarter of 2019, we announced our intent to divest our Campbell International and Campbell Fresh businesses. In the second quarter of 2019, we incurred costs of $10 million in Administrative expenses ($8 million after tax, or $.03 per share) associated with the planned divestitures. Year-to-date in 2019, we incurred costs of $12 million in Administrative expenses ($9 million after tax, or $.03 per share) associated with the planned divestitures;</w:t>
      </w:r>
    </w:p>
    <w:p>
      <w:pPr>
        <w:spacing w:after="0" w:line="132"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second quarter of 2019 and 2018, we reflected the impact on taxes of the enactment of the Act that was signed into law in December 2017. In the second quarter of 2019, we recorded a tax charge of $2 million ($.01 per share) related to a transition tax on unremitted foreign earnings. In the second quarter of 2018, we recorded a tax benefit of $183 million due to the remeasurement of deferred tax assets and liabilities, and a tax charge of $59 million related to a transition tax on unremitted foreign earnings. The net impact was a tax benefit of $124 million ($.41 per share);</w:t>
      </w:r>
    </w:p>
    <w:p>
      <w:pPr>
        <w:spacing w:after="0" w:line="10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second quarter of 2018, we announced our intent to acquire Snyder's-Lance and incurred transaction costs of $24 million in Other expenses / (income) ($19 million after tax, or $.06 per share);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Year-to-date in 2018, we recognized gains of $14 million in Other expenses / (income) ($10 million after tax, or $.03 per share) associated with mark-to-market adjustments for defined benefit pension and postretirement plans.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6"/>
          </w:tcPr>
          <w:p>
            <w:pPr>
              <w:jc w:val="right"/>
              <w:ind w:right="475"/>
              <w:spacing w:after="0"/>
              <w:rPr>
                <w:sz w:val="20"/>
                <w:szCs w:val="20"/>
                <w:color w:val="auto"/>
              </w:rPr>
            </w:pPr>
            <w:r>
              <w:rPr>
                <w:rFonts w:ascii="Arial" w:cs="Arial" w:eastAsia="Arial" w:hAnsi="Arial"/>
                <w:sz w:val="14"/>
                <w:szCs w:val="14"/>
                <w:b w:val="1"/>
                <w:bCs w:val="1"/>
                <w:color w:val="auto"/>
              </w:rPr>
              <w:t>January 27, 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January 28, 2018</w:t>
            </w:r>
          </w:p>
        </w:tc>
        <w:tc>
          <w:tcPr>
            <w:tcW w:w="0" w:type="dxa"/>
            <w:vAlign w:val="bottom"/>
          </w:tcPr>
          <w:p>
            <w:pPr>
              <w:spacing w:after="0"/>
              <w:rPr>
                <w:sz w:val="1"/>
                <w:szCs w:val="1"/>
                <w:color w:val="auto"/>
              </w:rPr>
            </w:pPr>
          </w:p>
        </w:tc>
      </w:tr>
      <w:tr>
        <w:trPr>
          <w:trHeight w:val="152"/>
        </w:trPr>
        <w:tc>
          <w:tcPr>
            <w:tcW w:w="6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3"/>
                <w:szCs w:val="13"/>
                <w:color w:val="auto"/>
              </w:rPr>
            </w:pPr>
          </w:p>
        </w:tc>
        <w:tc>
          <w:tcPr>
            <w:tcW w:w="84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associated with planned divestitures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Tax reform</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gridSpan w:val="3"/>
          </w:tcPr>
          <w:p>
            <w:pPr>
              <w:ind w:left="40"/>
              <w:spacing w:after="0" w:line="264" w:lineRule="exact"/>
              <w:rPr>
                <w:sz w:val="20"/>
                <w:szCs w:val="20"/>
                <w:color w:val="auto"/>
              </w:rPr>
            </w:pPr>
            <w:r>
              <w:rPr>
                <w:rFonts w:ascii="Arial" w:cs="Arial" w:eastAsia="Arial" w:hAnsi="Arial"/>
                <w:sz w:val="18"/>
                <w:szCs w:val="18"/>
                <w:color w:val="auto"/>
              </w:rPr>
              <w:t>Impact of items on Net earnings (loss)</w:t>
            </w:r>
            <w:r>
              <w:rPr>
                <w:rFonts w:ascii="Arial" w:cs="Arial" w:eastAsia="Arial" w:hAnsi="Arial"/>
                <w:sz w:val="25"/>
                <w:szCs w:val="25"/>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40" w:type="dxa"/>
            <w:vAlign w:val="bottom"/>
            <w:gridSpan w:val="2"/>
          </w:tcPr>
          <w:p>
            <w:pPr>
              <w:spacing w:after="0"/>
              <w:rPr>
                <w:sz w:val="20"/>
                <w:szCs w:val="20"/>
                <w:color w:val="auto"/>
              </w:rPr>
            </w:pPr>
            <w:r>
              <w:rPr>
                <w:rFonts w:ascii="Arial" w:cs="Arial" w:eastAsia="Arial" w:hAnsi="Arial"/>
                <w:sz w:val="13"/>
                <w:szCs w:val="13"/>
                <w:color w:val="auto"/>
              </w:rPr>
              <w:t>(1)</w:t>
            </w:r>
          </w:p>
        </w:tc>
        <w:tc>
          <w:tcPr>
            <w:tcW w:w="6740" w:type="dxa"/>
            <w:vAlign w:val="bottom"/>
          </w:tcPr>
          <w:p>
            <w:pPr>
              <w:ind w:left="100"/>
              <w:spacing w:after="0"/>
              <w:rPr>
                <w:sz w:val="20"/>
                <w:szCs w:val="20"/>
                <w:color w:val="auto"/>
              </w:rPr>
            </w:pPr>
            <w:r>
              <w:rPr>
                <w:rFonts w:ascii="Arial" w:cs="Arial" w:eastAsia="Arial" w:hAnsi="Arial"/>
                <w:sz w:val="18"/>
                <w:szCs w:val="18"/>
                <w:color w:val="auto"/>
              </w:rPr>
              <w:t>Sum of the individual amounts does not add due to rounding.</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6"/>
          </w:tcPr>
          <w:p>
            <w:pPr>
              <w:jc w:val="right"/>
              <w:ind w:right="475"/>
              <w:spacing w:after="0"/>
              <w:rPr>
                <w:sz w:val="20"/>
                <w:szCs w:val="20"/>
                <w:color w:val="auto"/>
              </w:rPr>
            </w:pPr>
            <w:r>
              <w:rPr>
                <w:rFonts w:ascii="Arial" w:cs="Arial" w:eastAsia="Arial" w:hAnsi="Arial"/>
                <w:sz w:val="14"/>
                <w:szCs w:val="14"/>
                <w:b w:val="1"/>
                <w:bCs w:val="1"/>
                <w:color w:val="auto"/>
              </w:rPr>
              <w:t>January 27, 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January 28, 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EPS</w:t>
            </w:r>
          </w:p>
        </w:tc>
        <w:tc>
          <w:tcPr>
            <w:tcW w:w="180" w:type="dxa"/>
            <w:vAlign w:val="bottom"/>
          </w:tcPr>
          <w:p>
            <w:pPr>
              <w:spacing w:after="0"/>
              <w:rPr>
                <w:sz w:val="13"/>
                <w:szCs w:val="13"/>
                <w:color w:val="auto"/>
              </w:rPr>
            </w:pPr>
          </w:p>
        </w:tc>
        <w:tc>
          <w:tcPr>
            <w:tcW w:w="9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3"/>
                <w:szCs w:val="13"/>
                <w:color w:val="auto"/>
              </w:rPr>
            </w:pPr>
          </w:p>
        </w:tc>
        <w:tc>
          <w:tcPr>
            <w:tcW w:w="8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94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7"/>
              </w:rPr>
              <w:t>Impact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7"/>
              </w:rPr>
              <w:t>Impact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Costs associated with planned divestitures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Tax reform</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2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9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Impact of items on Net earnings</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40" w:type="dxa"/>
            <w:vAlign w:val="bottom"/>
            <w:gridSpan w:val="2"/>
          </w:tcPr>
          <w:p>
            <w:pPr>
              <w:spacing w:after="0"/>
              <w:rPr>
                <w:sz w:val="20"/>
                <w:szCs w:val="20"/>
                <w:color w:val="auto"/>
              </w:rPr>
            </w:pPr>
            <w:r>
              <w:rPr>
                <w:rFonts w:ascii="Arial" w:cs="Arial" w:eastAsia="Arial" w:hAnsi="Arial"/>
                <w:sz w:val="13"/>
                <w:szCs w:val="13"/>
                <w:color w:val="auto"/>
              </w:rPr>
              <w:t>(1)</w:t>
            </w:r>
          </w:p>
        </w:tc>
        <w:tc>
          <w:tcPr>
            <w:tcW w:w="6740" w:type="dxa"/>
            <w:vAlign w:val="bottom"/>
          </w:tcPr>
          <w:p>
            <w:pPr>
              <w:ind w:left="100"/>
              <w:spacing w:after="0"/>
              <w:rPr>
                <w:sz w:val="20"/>
                <w:szCs w:val="20"/>
                <w:color w:val="auto"/>
              </w:rPr>
            </w:pPr>
            <w:r>
              <w:rPr>
                <w:rFonts w:ascii="Arial" w:cs="Arial" w:eastAsia="Arial" w:hAnsi="Arial"/>
                <w:sz w:val="18"/>
                <w:szCs w:val="18"/>
                <w:color w:val="auto"/>
              </w:rPr>
              <w:t>Sum of the individual amounts does not add due to rounding.</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losses attributable to Campbell Soup Company were in $59 million ($.20 per share) in the current quarter, compared to net earnings of $285 million ($.95 per share) in the year-ago quarter. After adjusting for items impacting comparability, earnings decreased due to declines in earnings before interest and taxes in the base business, a higher effective tax rate and the dilutive impact from acquisitions.</w:t>
      </w:r>
    </w:p>
    <w:p>
      <w:pPr>
        <w:sectPr>
          <w:pgSz w:w="11900" w:h="16838" w:orient="portrait"/>
          <w:cols w:equalWidth="0" w:num="1">
            <w:col w:w="11420"/>
          </w:cols>
          <w:pgMar w:left="240" w:top="1233"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33" w:right="239" w:bottom="1440" w:gutter="0" w:footer="0" w:header="0"/>
          <w:type w:val="continuous"/>
        </w:sectPr>
      </w:pPr>
    </w:p>
    <w:bookmarkStart w:id="31" w:name="page32"/>
    <w:bookmarkEnd w:id="31"/>
    <w:p>
      <w:pPr>
        <w:jc w:val="both"/>
        <w:ind w:firstLine="324"/>
        <w:spacing w:after="0" w:line="264" w:lineRule="auto"/>
        <w:rPr>
          <w:sz w:val="20"/>
          <w:szCs w:val="20"/>
          <w:color w:val="auto"/>
        </w:rPr>
      </w:pPr>
      <w:r>
        <w:rPr>
          <w:rFonts w:ascii="Arial" w:cs="Arial" w:eastAsia="Arial" w:hAnsi="Arial"/>
          <w:sz w:val="18"/>
          <w:szCs w:val="18"/>
          <w:color w:val="auto"/>
        </w:rPr>
        <w:t>Net earnings attributable to Campbell Soup Company were $135 million ($.45 per share) in the six-month period this year, compared to $560 million ($1.85 per share) in the year-ago period. After adjusting for items impacting comparability, earnings decreased primarily due to declines in earnings before interest and taxes in the base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January 27, 2019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January 28, 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1,230</w:t>
            </w:r>
          </w:p>
        </w:tc>
        <w:tc>
          <w:tcPr>
            <w:tcW w:w="1040" w:type="dxa"/>
            <w:vAlign w:val="bottom"/>
            <w:tcBorders>
              <w:bottom w:val="single" w:sz="8" w:color="CCEEFF"/>
            </w:tcBorders>
            <w:gridSpan w:val="3"/>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2,713</w:t>
            </w:r>
          </w:p>
        </w:tc>
        <w:tc>
          <w:tcPr>
            <w:tcW w:w="1040" w:type="dxa"/>
            <w:vAlign w:val="bottom"/>
            <w:tcBorders>
              <w:bottom w:val="single" w:sz="8" w:color="CCEEFF"/>
            </w:tcBorders>
            <w:gridSpan w:val="3"/>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2,180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00" w:type="dxa"/>
            <w:vAlign w:val="bottom"/>
          </w:tcPr>
          <w:p>
            <w:pPr>
              <w:spacing w:after="0"/>
              <w:rPr>
                <w:sz w:val="24"/>
                <w:szCs w:val="24"/>
                <w:color w:val="auto"/>
              </w:rPr>
            </w:pPr>
          </w:p>
        </w:tc>
        <w:tc>
          <w:tcPr>
            <w:tcW w:w="160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9"/>
              </w:rPr>
              <w:t>Meals and Beverages</w:t>
            </w:r>
          </w:p>
        </w:tc>
        <w:tc>
          <w:tcPr>
            <w:tcW w:w="100" w:type="dxa"/>
            <w:vAlign w:val="bottom"/>
            <w:vMerge w:val="restart"/>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Global Biscuits and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5"/>
              </w:rPr>
              <w:t>Campbell Fresh</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Snacks</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440" w:type="dxa"/>
            <w:vAlign w:val="bottom"/>
            <w:tcBorders>
              <w:bottom w:val="single" w:sz="8" w:color="CCEEFF"/>
            </w:tcBorders>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2"/>
              </w:rPr>
              <w:t>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center"/>
              <w:ind w:right="9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ind w:righ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center"/>
              <w:ind w:right="9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13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Currency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1"/>
                <w:szCs w:val="21"/>
                <w:color w:val="auto"/>
              </w:rPr>
            </w:pPr>
          </w:p>
        </w:tc>
        <w:tc>
          <w:tcPr>
            <w:tcW w:w="144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center"/>
              <w:ind w:right="9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ind w:right="13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75</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0"/>
                <w:szCs w:val="20"/>
                <w:color w:val="auto"/>
              </w:rPr>
            </w:pPr>
          </w:p>
        </w:tc>
        <w:tc>
          <w:tcPr>
            <w:tcW w:w="1440" w:type="dxa"/>
            <w:vAlign w:val="bottom"/>
            <w:tcBorders>
              <w:top w:val="single" w:sz="8" w:color="auto"/>
            </w:tcBorders>
            <w:gridSpan w:val="2"/>
          </w:tcPr>
          <w:p>
            <w:pPr>
              <w:jc w:val="center"/>
              <w:ind w:left="94"/>
              <w:spacing w:after="0"/>
              <w:rPr>
                <w:sz w:val="20"/>
                <w:szCs w:val="20"/>
                <w:color w:val="auto"/>
              </w:rPr>
            </w:pPr>
            <w:r>
              <w:rPr>
                <w:rFonts w:ascii="Arial" w:cs="Arial" w:eastAsia="Arial" w:hAnsi="Arial"/>
                <w:sz w:val="18"/>
                <w:szCs w:val="18"/>
                <w:color w:val="auto"/>
                <w:w w:val="94"/>
              </w:rPr>
              <w:t>76%</w:t>
            </w:r>
          </w:p>
        </w:tc>
        <w:tc>
          <w:tcPr>
            <w:tcW w:w="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4"/>
              </w:rPr>
              <w:t>(7)%</w:t>
            </w:r>
          </w:p>
        </w:tc>
        <w:tc>
          <w:tcPr>
            <w:tcW w:w="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133"/>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hanging="332"/>
        <w:spacing w:after="0" w:line="216"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 The adoption of new accounting guidance for revenue recognition resulted in a reduction of promotional spending of 50 basis points on Net sales.</w:t>
      </w:r>
    </w:p>
    <w:p>
      <w:pPr>
        <w:spacing w:after="0" w:line="6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Meals and Beverages, sales increased 1%, as the benefit of the acquisition of Pacific Foods and gains in shelf stable beverages were partially offset by declines in the retail business in Canada, </w:t>
      </w:r>
      <w:r>
        <w:rPr>
          <w:rFonts w:ascii="Arial" w:cs="Arial" w:eastAsia="Arial" w:hAnsi="Arial"/>
          <w:sz w:val="16"/>
          <w:szCs w:val="16"/>
          <w:i w:val="1"/>
          <w:iCs w:val="1"/>
          <w:color w:val="auto"/>
        </w:rPr>
        <w:t>Plum</w:t>
      </w:r>
      <w:r>
        <w:rPr>
          <w:rFonts w:ascii="Arial" w:cs="Arial" w:eastAsia="Arial" w:hAnsi="Arial"/>
          <w:sz w:val="16"/>
          <w:szCs w:val="16"/>
          <w:color w:val="auto"/>
        </w:rPr>
        <w:t xml:space="preserve"> products and </w:t>
      </w:r>
      <w:r>
        <w:rPr>
          <w:rFonts w:ascii="Arial" w:cs="Arial" w:eastAsia="Arial" w:hAnsi="Arial"/>
          <w:sz w:val="16"/>
          <w:szCs w:val="16"/>
          <w:i w:val="1"/>
          <w:iCs w:val="1"/>
          <w:color w:val="auto"/>
        </w:rPr>
        <w:t>Prego</w:t>
      </w:r>
      <w:r>
        <w:rPr>
          <w:rFonts w:ascii="Arial" w:cs="Arial" w:eastAsia="Arial" w:hAnsi="Arial"/>
          <w:sz w:val="16"/>
          <w:szCs w:val="16"/>
          <w:color w:val="auto"/>
        </w:rPr>
        <w:t xml:space="preserve"> pasta sauces. The adoption of new accounting guidance for revenue recognition resulted in a positive 1-point impact on sales. Excluding Pacific Foods, sales of U.S. soup were comparable to the prior year with gains in ready-to-serve soups and broth, offset by declines in condensed soups. Excluding Pacific Foods, retail consumer takeaway of U.S. soup decreased 5% in the quarter, based on IRI Total U.S. Multi-Outlet data. Retailer inventory returned to more historical levels in the quarter, which benefited U.S. soup sales performance this quarter.</w:t>
      </w:r>
    </w:p>
    <w:p>
      <w:pPr>
        <w:spacing w:after="0" w:line="10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7"/>
          <w:szCs w:val="17"/>
          <w:color w:val="auto"/>
        </w:rPr>
        <w:t xml:space="preserve">In Global Biscuits and Snacks, sales increased 76% with a 75-point benefit from the acquisition of Snyder’s-Lance. </w:t>
      </w:r>
      <w:r>
        <w:rPr>
          <w:rFonts w:ascii="Arial" w:cs="Arial" w:eastAsia="Arial" w:hAnsi="Arial"/>
          <w:sz w:val="18"/>
          <w:szCs w:val="18"/>
          <w:color w:val="auto"/>
        </w:rPr>
        <w:t>E</w:t>
      </w:r>
      <w:r>
        <w:rPr>
          <w:rFonts w:ascii="Arial" w:cs="Arial" w:eastAsia="Arial" w:hAnsi="Arial"/>
          <w:sz w:val="17"/>
          <w:szCs w:val="17"/>
          <w:color w:val="auto"/>
        </w:rPr>
        <w:t xml:space="preserve">xcluding the benefit from the acquisition of Snyder’s-Lance and the negative impact of currency translation, sales increased due to continued growth in Pepperidge Farm, driven by consumption gains in Pepperidge Farm fresh bakery products and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as well as gains in Arnott’s biscuits, fueled by innovation.</w:t>
      </w:r>
    </w:p>
    <w:p>
      <w:pPr>
        <w:spacing w:after="0" w:line="9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Campbell Fresh, sales decreased 7% primarily due to declines in refrigerated soup, reflecting the impact of certain major private label customers beginning to insource production this year, as well as declines in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 and Garden Fresh Gourmet, offset partly by gains in carrots.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$52 million in 2019 from 2018. As a percent of sales, gross profit was 26.3% in 2019 and 35.1% in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14"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color w:val="auto"/>
        </w:rPr>
        <w:t>The 8.8 percentage-point decrease in gross profit percentage was due to the following factors:</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Impact</w:t>
            </w: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 on plant assets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(4.2)%</w:t>
            </w:r>
          </w:p>
        </w:tc>
      </w:tr>
      <w:tr>
        <w:trPr>
          <w:trHeight w:val="270"/>
        </w:trPr>
        <w:tc>
          <w:tcPr>
            <w:tcW w:w="8900" w:type="dxa"/>
            <w:vAlign w:val="bottom"/>
          </w:tcPr>
          <w:p>
            <w:pPr>
              <w:ind w:left="2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(3.4)</w:t>
            </w: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acquisitions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(2.0)</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Higher level of promotional spending</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(0.6)</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Higher restructuring-related costs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(0.3)</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Mix</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0.2</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 and sales allowances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0.3</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Productivity improvements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1.2</w:t>
            </w:r>
          </w:p>
        </w:tc>
      </w:tr>
      <w:tr>
        <w:trPr>
          <w:trHeight w:val="27"/>
        </w:trPr>
        <w:tc>
          <w:tcPr>
            <w:tcW w:w="89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(8.8)%</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45" w:lineRule="exact"/>
        <w:rPr>
          <w:sz w:val="20"/>
          <w:szCs w:val="20"/>
          <w:color w:val="auto"/>
        </w:rPr>
      </w:pPr>
    </w:p>
    <w:p>
      <w:pPr>
        <w:jc w:val="both"/>
        <w:ind w:left="340" w:hanging="332"/>
        <w:spacing w:after="0" w:line="226"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0.8 from cost savings initiatives, which was more than offset by cost inflation and other factors, including higher than expected distribution costs associated with the startup of a new distribution facility in Findlay, Ohio, operated by a third-party logistics provider, and higher interplant freight to maintain customer service levels.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Marketing and selling expenses as a percent of sales were 9.7% in 2019 compared to 10.5% in 2018. Marketing and selling expenses increased 16% in 2019 from 2018. The increase was primarily due to the impact of acquisitions (approximately 22 percentage points) and higher costs related to costs savings initiatives (approximately 1 percentage point), partially offset by lower marketing overhead spending (approximately 4 percentage points); increased benefits from cost savings initiatives (approximately 2 percentage points); and lower selling expenses (approximately 1 percentage point).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as a percent of sales were 6.6% in 2019 compared to 7.6% in 2018. Administrative expenses increased 9% in 2019 from 2018. The increase was primarily due to the impact of acquisitions (approximately 13 percentage points); costs associated with planned divestitures in the current year (approximately 6 percentage points) and costs associated with the proxy contest in the current year (approximately 2 percentage points), partially offset by lower costs associated with cost savings initiatives (approximately 10 percentage points) and increased benefits from cost savings initiatives (approximately 3 percentage points).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expenses were $226 million in 2019 and $70 million in 2018. Other expenses in 2019 included non-cash impairment charges of $231 million on the intangible assets of Campbell Fresh. Other expenses in 2018 included a non-cash impairment charge of $75 million on the intangible assets of the Bolthouse Farms carrot and carrots ingredients reporting unit and $24 million of transaction costs associated with the acquisition of Snyder's-Lance. Excluding the items impacting comparability, the remaining change was primarily due to higher amortization of intangible assets from the recent acquisitions in the current year and lower gains on investments.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1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4% in 2019 from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r>
      <w:tr>
        <w:trPr>
          <w:trHeight w:val="264"/>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2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9"/>
              </w:rPr>
              <w:t>January 27, 2019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9"/>
              </w:rPr>
              <w:t>January 28,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2019/2018</w:t>
            </w: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and Beverages</w:t>
            </w:r>
          </w:p>
        </w:tc>
        <w:tc>
          <w:tcPr>
            <w:tcW w:w="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(10)</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Global Biscuits and Snacks</w:t>
            </w:r>
          </w:p>
        </w:tc>
        <w:tc>
          <w:tcPr>
            <w:tcW w:w="4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35</w:t>
            </w:r>
          </w:p>
        </w:tc>
      </w:tr>
      <w:tr>
        <w:trPr>
          <w:trHeight w:val="27"/>
        </w:trPr>
        <w:tc>
          <w:tcPr>
            <w:tcW w:w="7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Fresh</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n/m</w:t>
            </w:r>
          </w:p>
        </w:tc>
      </w:tr>
      <w:tr>
        <w:trPr>
          <w:trHeight w:val="237"/>
        </w:trPr>
        <w:tc>
          <w:tcPr>
            <w:tcW w:w="75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426</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r>
      <w:tr>
        <w:trPr>
          <w:trHeight w:val="27"/>
        </w:trPr>
        <w:tc>
          <w:tcPr>
            <w:tcW w:w="7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75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r>
      <w:tr>
        <w:trPr>
          <w:trHeight w:val="26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1"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8"/>
          <w:szCs w:val="18"/>
          <w:color w:val="auto"/>
        </w:rPr>
        <w:t xml:space="preserve">Operating earnings from Meals and Beverages decreased 10%. </w:t>
      </w:r>
      <w:r>
        <w:rPr>
          <w:rFonts w:ascii="Arial" w:cs="Arial" w:eastAsia="Arial" w:hAnsi="Arial"/>
          <w:sz w:val="19"/>
          <w:szCs w:val="19"/>
          <w:color w:val="auto"/>
        </w:rPr>
        <w:t>T</w:t>
      </w:r>
      <w:r>
        <w:rPr>
          <w:rFonts w:ascii="Arial" w:cs="Arial" w:eastAsia="Arial" w:hAnsi="Arial"/>
          <w:sz w:val="18"/>
          <w:szCs w:val="18"/>
          <w:color w:val="auto"/>
        </w:rPr>
        <w:t>he decrease was primarily due to higher levels of cost inflation and higher warehousing and transportation costs, as well as higher promotional spending, offset partly by lower marketing and selling expenses.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earnings from Global Biscuits and Snacks increased 35%. The increase reflects a 34-point benefit from the acquisition of Snyder’s-Lance.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Excluding Snyder's-Lance, operating earnings increased primarily due to volume gains, partially offset by higher levels of cost inflation.</w:t>
      </w:r>
    </w:p>
    <w:p>
      <w:pPr>
        <w:spacing w:after="0" w:line="15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Operating earnings from Campbell Fresh were a loss of $14 million in the current quarter, compared to a loss of $11 million in the year-ago quarter. The decrease was primarily due to the decline in refrigerated soup volume, offset partly by improved operational efficiency in Bolthouse Farms.</w:t>
      </w:r>
    </w:p>
    <w:p>
      <w:pPr>
        <w:spacing w:after="0" w:line="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Corporate in 2019 included non-cash impairment charges of $346 million on the intangible and tangible assets of Campbell Fresh, costs of $22 million related to cost savings initiatives and $10 million in costs associated with the planned divestitures. Corporate in 2018 included a non-cash impairment charge of $75 million on the intangible assets of the Bolthouse Farms carrot and carrot ingredients reporting unit, costs of $27 million related to cost savings initiatives and transaction costs of $24 million associated with the acquisition of Snyder's-Lance. Excluding these amounts, the remaining increase in costs was primarily due to lower investment gains in the current quarter and higher administrative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$93 million in 2019 from $32 million in 2018. The increase in interest expense was due to higher levels of debt associated with funding the acquisitions and higher average interest rates on the debt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19.2% in 2019 and negative 35.1% in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effective rate in 2019 and 2018:</w:t>
      </w:r>
    </w:p>
    <w:p>
      <w:pPr>
        <w:spacing w:after="0" w:line="171" w:lineRule="exact"/>
        <w:rPr>
          <w:sz w:val="20"/>
          <w:szCs w:val="20"/>
          <w:color w:val="auto"/>
        </w:rPr>
      </w:pPr>
    </w:p>
    <w:p>
      <w:pPr>
        <w:ind w:left="660" w:hanging="166"/>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2019, we recognized a $6 million tax benefit on $24 million of restructuring charges, implementation costs and other related costs. In 2018, we recognized a $14 million tax benefit on $60 million of restructuring charges, implementation costs and other related costs;</w:t>
      </w:r>
    </w:p>
    <w:p>
      <w:pPr>
        <w:spacing w:after="0" w:line="116" w:lineRule="exact"/>
        <w:rPr>
          <w:rFonts w:ascii="Arial" w:cs="Arial" w:eastAsia="Arial" w:hAnsi="Arial"/>
          <w:sz w:val="18"/>
          <w:szCs w:val="18"/>
          <w:color w:val="auto"/>
        </w:rPr>
      </w:pPr>
    </w:p>
    <w:p>
      <w:pPr>
        <w:jc w:val="both"/>
        <w:ind w:left="660" w:hanging="166"/>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2019, we recognized an $82 million tax benefit on $346 million of impairment charges on the intangible and tangible assets of Campbell Fresh. In 2018, we recognized a $1 million tax benefit on the $75 million impairment charge on the intangible assets of the Bolthouse Farms carrot and carrot ingredients reporting unit;</w:t>
      </w:r>
    </w:p>
    <w:p>
      <w:pPr>
        <w:spacing w:after="0" w:line="127" w:lineRule="exact"/>
        <w:rPr>
          <w:rFonts w:ascii="Arial" w:cs="Arial" w:eastAsia="Arial" w:hAnsi="Arial"/>
          <w:sz w:val="18"/>
          <w:szCs w:val="18"/>
          <w:color w:val="auto"/>
        </w:rPr>
      </w:pPr>
    </w:p>
    <w:p>
      <w:pPr>
        <w:ind w:left="660" w:hanging="16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2019, we recognized a $2 million tax benefit on $10 million of costs associated with our planned divestitures;</w:t>
      </w:r>
    </w:p>
    <w:p>
      <w:pPr>
        <w:spacing w:after="0" w:line="171" w:lineRule="exact"/>
        <w:rPr>
          <w:rFonts w:ascii="Arial" w:cs="Arial" w:eastAsia="Arial" w:hAnsi="Arial"/>
          <w:sz w:val="18"/>
          <w:szCs w:val="18"/>
          <w:color w:val="auto"/>
        </w:rPr>
      </w:pPr>
    </w:p>
    <w:p>
      <w:pPr>
        <w:jc w:val="both"/>
        <w:ind w:left="660" w:hanging="166"/>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2019, we recognized a transition tax on unremitted foreign earnings of $2 million related to the enactment of the Act. In 2018, we recognized a net tax benefit of $124 million related to the enactment of the Act on the remeasurement of deferred tax assets and liabilities and a transition tax on unremitted foreign earnings; and</w:t>
      </w:r>
    </w:p>
    <w:p>
      <w:pPr>
        <w:spacing w:after="0" w:line="127" w:lineRule="exact"/>
        <w:rPr>
          <w:rFonts w:ascii="Arial" w:cs="Arial" w:eastAsia="Arial" w:hAnsi="Arial"/>
          <w:sz w:val="18"/>
          <w:szCs w:val="18"/>
          <w:color w:val="auto"/>
        </w:rPr>
      </w:pPr>
    </w:p>
    <w:p>
      <w:pPr>
        <w:ind w:left="660" w:hanging="16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2018, we recognized a $5 million tax benefit on $24 million of transaction costs associated with the acquisition of Snyder's-Lance.</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14" w:right="239" w:bottom="1440" w:gutter="0" w:footer="0" w:header="0"/>
          <w:type w:val="continuous"/>
        </w:sectPr>
      </w:pPr>
    </w:p>
    <w:bookmarkStart w:id="34" w:name="page35"/>
    <w:bookmarkEnd w:id="34"/>
    <w:p>
      <w:pPr>
        <w:ind w:firstLine="324"/>
        <w:spacing w:after="0" w:line="277" w:lineRule="auto"/>
        <w:rPr>
          <w:sz w:val="20"/>
          <w:szCs w:val="20"/>
          <w:color w:val="auto"/>
        </w:rPr>
      </w:pPr>
      <w:r>
        <w:rPr>
          <w:rFonts w:ascii="Arial" w:cs="Arial" w:eastAsia="Arial" w:hAnsi="Arial"/>
          <w:sz w:val="18"/>
          <w:szCs w:val="18"/>
          <w:color w:val="auto"/>
        </w:rPr>
        <w:t>After adjusting for the items above, the remaining increase in the effective rate was primarily due to the cumulative year-to-date benefit in the prior year of the lower U.S. federal tax rate resulting from the enactment of the Act in December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right"/>
              <w:ind w:right="234"/>
              <w:spacing w:after="0"/>
              <w:rPr>
                <w:sz w:val="20"/>
                <w:szCs w:val="20"/>
                <w:color w:val="auto"/>
              </w:rPr>
            </w:pPr>
            <w:r>
              <w:rPr>
                <w:rFonts w:ascii="Arial" w:cs="Arial" w:eastAsia="Arial" w:hAnsi="Arial"/>
                <w:sz w:val="14"/>
                <w:szCs w:val="14"/>
                <w:b w:val="1"/>
                <w:bCs w:val="1"/>
                <w:color w:val="auto"/>
                <w:w w:val="98"/>
              </w:rPr>
              <w:t>Six Months Ended</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January 27, 2019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January 28, 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2,474</w:t>
            </w:r>
          </w:p>
        </w:tc>
        <w:tc>
          <w:tcPr>
            <w:tcW w:w="1040" w:type="dxa"/>
            <w:vAlign w:val="bottom"/>
            <w:tcBorders>
              <w:bottom w:val="single" w:sz="8" w:color="CCEEFF"/>
            </w:tcBorders>
            <w:gridSpan w:val="3"/>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2,461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w w:val="84"/>
              </w:rPr>
              <w:t>1,396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5,407</w:t>
            </w:r>
          </w:p>
        </w:tc>
        <w:tc>
          <w:tcPr>
            <w:tcW w:w="1040" w:type="dxa"/>
            <w:vAlign w:val="bottom"/>
            <w:tcBorders>
              <w:bottom w:val="single" w:sz="8" w:color="CCEEFF"/>
            </w:tcBorders>
            <w:gridSpan w:val="3"/>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4,341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00" w:type="dxa"/>
            <w:vAlign w:val="bottom"/>
          </w:tcPr>
          <w:p>
            <w:pPr>
              <w:spacing w:after="0"/>
              <w:rPr>
                <w:sz w:val="24"/>
                <w:szCs w:val="24"/>
                <w:color w:val="auto"/>
              </w:rPr>
            </w:pPr>
          </w:p>
        </w:tc>
        <w:tc>
          <w:tcPr>
            <w:tcW w:w="1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Meals and Beverages</w:t>
            </w:r>
          </w:p>
        </w:tc>
        <w:tc>
          <w:tcPr>
            <w:tcW w:w="14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Global Biscuits and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5"/>
              </w:rPr>
              <w:t>Campbell Fresh</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4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Snacks</w:t>
            </w:r>
            <w:r>
              <w:rPr>
                <w:rFonts w:ascii="Arial" w:cs="Arial" w:eastAsia="Arial" w:hAnsi="Arial"/>
                <w:sz w:val="8"/>
                <w:szCs w:val="8"/>
                <w:b w:val="1"/>
                <w:bCs w:val="1"/>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2"/>
              </w:rPr>
              <w:t>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54"/>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center"/>
              <w:ind w:right="9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ind w:righ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center"/>
              <w:ind w:right="94"/>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13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Currency</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54"/>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center"/>
              <w:ind w:right="9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ind w:right="13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89"/>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0"/>
                <w:szCs w:val="20"/>
                <w:color w:val="auto"/>
              </w:rPr>
            </w:pPr>
          </w:p>
        </w:tc>
        <w:tc>
          <w:tcPr>
            <w:tcW w:w="1480" w:type="dxa"/>
            <w:vAlign w:val="bottom"/>
            <w:tcBorders>
              <w:top w:val="single" w:sz="8" w:color="auto"/>
            </w:tcBorders>
            <w:gridSpan w:val="2"/>
          </w:tcPr>
          <w:p>
            <w:pPr>
              <w:jc w:val="center"/>
              <w:ind w:left="54"/>
              <w:spacing w:after="0"/>
              <w:rPr>
                <w:sz w:val="20"/>
                <w:szCs w:val="20"/>
                <w:color w:val="auto"/>
              </w:rPr>
            </w:pPr>
            <w:r>
              <w:rPr>
                <w:rFonts w:ascii="Arial" w:cs="Arial" w:eastAsia="Arial" w:hAnsi="Arial"/>
                <w:sz w:val="18"/>
                <w:szCs w:val="18"/>
                <w:color w:val="auto"/>
                <w:w w:val="94"/>
              </w:rPr>
              <w:t>76%</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4"/>
              </w:rPr>
              <w:t>(4)%</w:t>
            </w:r>
          </w:p>
        </w:tc>
        <w:tc>
          <w:tcPr>
            <w:tcW w:w="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133"/>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Meals and Beverages, sales increased 1% reflecting a 4-point benefit from the acquisition of Pacific Foods, partially offset by declines in U.S. soup, the retail business in Canada and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Excluding Pacific Foods, sales of U.S. soup decreased 4% due to declines in condensed and ready-to-serve soups, partly offset by gains in broth. The decline in U.S. soup was driven primarily by continued competitive pressure across the market as well as increased promotional spending.</w:t>
      </w:r>
    </w:p>
    <w:p>
      <w:pPr>
        <w:spacing w:after="0" w:line="13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In Global Biscuits and Snacks, sales increased 76% with a 78-point benefit from the acquisition of Snyder’s-Lance. Excluding Snyder’s-Lance and the negative impact of currency translation, sales increased primarily due to gains in Pepperidge Farm fresh bakery products and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w:t>
      </w:r>
    </w:p>
    <w:p>
      <w:pPr>
        <w:spacing w:after="0" w:line="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In Campbell Fresh, sales decreased 4% primarily driven by refrigerated soup, Garden Fresh Gourmet and </w:t>
      </w:r>
      <w:r>
        <w:rPr>
          <w:rFonts w:ascii="Arial" w:cs="Arial" w:eastAsia="Arial" w:hAnsi="Arial"/>
          <w:sz w:val="16"/>
          <w:szCs w:val="16"/>
          <w:i w:val="1"/>
          <w:iCs w:val="1"/>
          <w:color w:val="auto"/>
        </w:rPr>
        <w:t>Bolthouse Farms</w:t>
      </w:r>
      <w:r>
        <w:rPr>
          <w:rFonts w:ascii="Arial" w:cs="Arial" w:eastAsia="Arial" w:hAnsi="Arial"/>
          <w:sz w:val="16"/>
          <w:szCs w:val="16"/>
          <w:color w:val="auto"/>
        </w:rPr>
        <w:t xml:space="preserve"> refrigerated beverages, partly offset by gains in carrots. Sales of refrigerated soup were negatively impacted as certain major private label customers begin to insource production in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$11 million in 2019 from 2018. As a percent of sales, gross profit was 28.4% in 2019 and 35.7% in 2018.</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14"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color w:val="auto"/>
        </w:rPr>
        <w:t>The 7.3 percentage-point decrease in gross profit percentage was due to the following factors:</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Impact</w:t>
            </w:r>
          </w:p>
        </w:tc>
      </w:tr>
      <w:tr>
        <w:trPr>
          <w:trHeight w:val="270"/>
        </w:trPr>
        <w:tc>
          <w:tcPr>
            <w:tcW w:w="89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(3.2)%</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Impairment charge on plant assets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(2.4)</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acquisitions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(1.9)</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Higher level of promotional spending</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(1.0)</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Higher restructuring-related costs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(0.3)</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0.3</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1.2</w:t>
            </w:r>
          </w:p>
        </w:tc>
      </w:tr>
      <w:tr>
        <w:trPr>
          <w:trHeight w:val="269"/>
        </w:trPr>
        <w:tc>
          <w:tcPr>
            <w:tcW w:w="8900" w:type="dxa"/>
            <w:vAlign w:val="bottom"/>
            <w:tcBorders>
              <w:top w:val="single" w:sz="8" w:color="CCEEFF"/>
              <w:bottom w:val="single" w:sz="8" w:color="CCEEFF"/>
            </w:tcBorders>
            <w:shd w:val="clear" w:color="auto" w:fill="CCEEFF"/>
          </w:tcPr>
          <w:p>
            <w:pPr>
              <w:spacing w:after="0"/>
              <w:rPr>
                <w:sz w:val="22"/>
                <w:szCs w:val="22"/>
                <w:color w:val="auto"/>
              </w:rPr>
            </w:pPr>
          </w:p>
        </w:tc>
        <w:tc>
          <w:tcPr>
            <w:tcW w:w="18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(7.3)%</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45" w:lineRule="exact"/>
        <w:rPr>
          <w:sz w:val="20"/>
          <w:szCs w:val="20"/>
          <w:color w:val="auto"/>
        </w:rPr>
      </w:pPr>
    </w:p>
    <w:p>
      <w:pPr>
        <w:jc w:val="both"/>
        <w:ind w:left="340" w:hanging="332"/>
        <w:spacing w:after="0" w:line="226"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0.8 from cost savings initiatives, which was more than offset by cost inflation and other factors, including higher than expected distribution costs associated with the startup of a new distribution facility in Findlay, Ohio, operated by a third-party logistics provider, and higher interplant freight to maintain customer service levels.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Marketing and selling expenses as a percent of sales were 9.5% in 2019 compared to 10.3% in 2018. Marketing and selling expenses increased 15% in 2019 from 2018. The increase was primarily due to the impact of acquisitions (approximately 25 percentage points) and higher costs related to costs savings initiatives (approximately 1 percentage point), partially offset by lower advertising and consumer promotion expenses (approximately 6 percentage points); lower marketing overhead spending (approximately 2 percentage points); lower selling expenses (approximately 2 percentage points) and increased benefits from cost savings initiatives (approximately 1 percentage point). The reduction in advertising and consumer promotion expenses was primarily in Meals and Beverages, reflecting a reallocation from advertising to promotional spending classified as revenue reductions, reduced support levels in light of distribution challenges faced in the first quarter and a later start to our U.S. soup campaign relative to the prior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as a percent of sales were 6.6% in 2019 compared to 7.2% in 2018. Administrative expenses increased 13% in 2019 from 2018. The increase was primarily due to the impact of acquisitions (approximately 14 percentage points); costs associated with planned divestitures in the current year (approximately 4 percentage points); and costs associated with the proxy contest in the current year (approximately 3 percentage points), partially offset by lower costs associated with cost savings initiatives (approximately 5 percentage points) and increased benefits from cost savings initiatives (approximately 3 percentage points).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expenses were $230 million in 2019 and $41 million in 2018. Other expenses in 2019 included non-cash impairment charges of $231 million on the intangible assets of Campbell Fresh. Other expenses in 2018 included a non-cash impairment charge of $75 million on the intangible assets of the Bolthouse Farms carrot and carrots ingredients reporting unit and $24 million of transaction costs associated with the acquisition of Snyder's-Lance. In addition, 2018 included gains on pension and postretirement benefit mark-to-market adjustments of $14 million. Excluding the items impacting comparability, the remaining change was primarily due to higher amortization of intangible assets from the recent acquisitions in the current year, lower net periodic benefit income and higher losses on investments.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1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2% in 2019 from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12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9"/>
              </w:rPr>
              <w:t>January 27, 2019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9"/>
              </w:rPr>
              <w:t>January 28,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2019/2018</w:t>
            </w: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and Beverages</w:t>
            </w:r>
          </w:p>
        </w:tc>
        <w:tc>
          <w:tcPr>
            <w:tcW w:w="5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(11)</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Global Biscuits and Snacks</w:t>
            </w:r>
          </w:p>
        </w:tc>
        <w:tc>
          <w:tcPr>
            <w:tcW w:w="5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339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Fresh</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75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871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75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5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r>
      <w:tr>
        <w:trPr>
          <w:trHeight w:val="26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Operating earnings from Meals and Beverages decreased 11%. The decrease was primarily due to higher levels of cost inflation and higher warehousing and transportation costs, as well as higher promotional spending, offset partly by lower advertising expenses.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earnings from Global Biscuits and Snacks increased 33%. The increase reflects a 39-point benefit from the acquisition of Snyder’s-Lance.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Excluding Snyder’s-Lance, operating earnings declined primarily due to higher levels of cost inflation.</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earnings from Campbell Fresh were a loss of $17 million in 2019, comparable to a year ago, as improved operational efficiency in Bolthouse Farms was offset by the decline in refrigerated soup volume.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Corporate in 2019 included non-cash impairment charges of $360 million on the intangible and tangible assets of Campbell Fresh; costs of $49 million related to cost savings initiatives; and $12 million in costs associated with the planned divestitures. Corporate in 2018 included a non-cash impairment charge of $75 million on the intangible assets of the Bolthouse Farms carrot and carrot ingredients reporting unit; a $14 million gain associated with pension and postretirement benefit mark-to-market adjustments; costs of $44 million related to cost savings initiatives; and transaction costs of $24 million associated with the acquisition of Snyder's-Lance. Excluding these amounts, the remaining increase in costs was primarily due to lower pension and postretirement benefit income in the current year, higher administrative costs and higher losses on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$187 million in 2019 from $63 million in 2018. The increase in interest expense was due to higher levels of debt associated with funding the acquisitions and higher average interest rates on the debt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26.6% in 2019 and 5.6% in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effective rate in 2019 and 2018:</w:t>
      </w:r>
    </w:p>
    <w:p>
      <w:pPr>
        <w:spacing w:after="0" w:line="171" w:lineRule="exact"/>
        <w:rPr>
          <w:sz w:val="20"/>
          <w:szCs w:val="20"/>
          <w:color w:val="auto"/>
        </w:rPr>
      </w:pPr>
    </w:p>
    <w:p>
      <w:pPr>
        <w:ind w:left="660" w:right="20" w:hanging="16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2019, we recognized a $17 million tax benefit on $70 million of restructuring charges, implementation costs and other related costs. In 2018, we recognized a $21 million tax benefit on $79 million of restructuring charges, implementation costs and other related costs;</w:t>
      </w:r>
    </w:p>
    <w:p>
      <w:pPr>
        <w:spacing w:after="0" w:line="116" w:lineRule="exact"/>
        <w:rPr>
          <w:rFonts w:ascii="Arial" w:cs="Arial" w:eastAsia="Arial" w:hAnsi="Arial"/>
          <w:sz w:val="18"/>
          <w:szCs w:val="18"/>
          <w:color w:val="auto"/>
        </w:rPr>
      </w:pPr>
    </w:p>
    <w:p>
      <w:pPr>
        <w:jc w:val="both"/>
        <w:ind w:left="660" w:right="20" w:hanging="166"/>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2019, we recognized an $85 million tax benefit on $360 million of impairment charges on the intangible and tangible assets of Campbell Fresh. In 2018, we recognized a $1 million tax benefit on the $75 million impairment charges on the intangible assets of the Bolthouse Farms carrot and carrot ingredients reporting unit;</w:t>
      </w:r>
    </w:p>
    <w:p>
      <w:pPr>
        <w:spacing w:after="0" w:line="127" w:lineRule="exact"/>
        <w:rPr>
          <w:rFonts w:ascii="Arial" w:cs="Arial" w:eastAsia="Arial" w:hAnsi="Arial"/>
          <w:sz w:val="18"/>
          <w:szCs w:val="18"/>
          <w:color w:val="auto"/>
        </w:rPr>
      </w:pPr>
    </w:p>
    <w:p>
      <w:pPr>
        <w:ind w:left="660" w:hanging="16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2019, we recognized a $3 million tax benefit on $12 million of costs associated with our planned divestitures;</w:t>
      </w:r>
    </w:p>
    <w:p>
      <w:pPr>
        <w:spacing w:after="0" w:line="171"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2019, we recognized a transition tax on unremitted foreign earnings of $2 million related to the enactment of the Act. In 2018, we recognized a net tax benefit of $124 million related to the enactment of the Act as described above;</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2018, we recognized tax expense of $4 million on $14 million of pension and postretirement benefit mark-to-market gains;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2018, we recognized a $5 million tax benefit on $24 million of transaction costs associated with the acquisition of Snyder's-Lance.</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14" w:right="239" w:bottom="1440" w:gutter="0" w:footer="0" w:header="0"/>
          <w:type w:val="continuous"/>
        </w:sectPr>
      </w:pPr>
    </w:p>
    <w:bookmarkStart w:id="37" w:name="page38"/>
    <w:bookmarkEnd w:id="37"/>
    <w:p>
      <w:pPr>
        <w:jc w:val="both"/>
        <w:ind w:firstLine="324"/>
        <w:spacing w:after="0" w:line="277" w:lineRule="auto"/>
        <w:rPr>
          <w:sz w:val="20"/>
          <w:szCs w:val="20"/>
          <w:color w:val="auto"/>
        </w:rPr>
      </w:pPr>
      <w:r>
        <w:rPr>
          <w:rFonts w:ascii="Arial" w:cs="Arial" w:eastAsia="Arial" w:hAnsi="Arial"/>
          <w:sz w:val="18"/>
          <w:szCs w:val="18"/>
          <w:color w:val="auto"/>
        </w:rPr>
        <w:t>After adjusting for the items above, the remaining increase in the effective rate was primarily due to the favorable resolution of a state tax matter in the prior year and higher taxes on foreign earnings, partially offset by the lower U.S. federal tax rate as a result of the 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 and Snyder's-Lance Cost Transformation Program and Integration</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restructuring charges and charges recorded in Administrative expenses, Cost of products sold, Marketing and selling expenses,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related to both programs is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(Millions, except per share amounts)</w:t>
            </w: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27,</w:t>
            </w: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7"/>
              </w:rPr>
              <w:t>Recognized as of</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January 27, 2019</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06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06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106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1060" w:type="dxa"/>
            <w:vAlign w:val="bottom"/>
            <w:tcBorders>
              <w:top w:val="single" w:sz="8" w:color="auto"/>
            </w:tcBorders>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24</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67"/>
        </w:trPr>
        <w:tc>
          <w:tcPr>
            <w:tcW w:w="39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9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Aggregate after-tax impact</w:t>
            </w:r>
          </w:p>
        </w:tc>
        <w:tc>
          <w:tcPr>
            <w:tcW w:w="1060" w:type="dxa"/>
            <w:vAlign w:val="bottom"/>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18</w:t>
            </w:r>
          </w:p>
        </w:tc>
        <w:tc>
          <w:tcPr>
            <w:tcW w:w="120" w:type="dxa"/>
            <w:vAlign w:val="bottom"/>
          </w:tcPr>
          <w:p>
            <w:pPr>
              <w:spacing w:after="0"/>
              <w:rPr>
                <w:sz w:val="20"/>
                <w:szCs w:val="20"/>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0"/>
                <w:szCs w:val="20"/>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9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Per share impact</w:t>
            </w:r>
          </w:p>
        </w:tc>
        <w:tc>
          <w:tcPr>
            <w:tcW w:w="106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_______________________________________</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16"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Includes $13 million of Restructuring charges and $12 million of Administrative expenses associated with the Snyder's-Lance cost transformation program and integration recognized in 2018.</w:t>
      </w:r>
    </w:p>
    <w:p>
      <w:pPr>
        <w:spacing w:after="0" w:line="68"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 summary of the pre-tax costs associated with both programs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4"/>
                <w:szCs w:val="14"/>
                <w:color w:val="auto"/>
              </w:rPr>
            </w:pPr>
          </w:p>
        </w:tc>
        <w:tc>
          <w:tcPr>
            <w:tcW w:w="140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Recognized as of</w:t>
            </w:r>
          </w:p>
        </w:tc>
        <w:tc>
          <w:tcPr>
            <w:tcW w:w="0" w:type="dxa"/>
            <w:vAlign w:val="bottom"/>
          </w:tcPr>
          <w:p>
            <w:pPr>
              <w:spacing w:after="0"/>
              <w:rPr>
                <w:sz w:val="1"/>
                <w:szCs w:val="1"/>
                <w:color w:val="auto"/>
              </w:rPr>
            </w:pPr>
          </w:p>
        </w:tc>
      </w:tr>
      <w:tr>
        <w:trPr>
          <w:trHeight w:val="192"/>
        </w:trPr>
        <w:tc>
          <w:tcPr>
            <w:tcW w:w="97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January 27, 2019</w:t>
            </w:r>
          </w:p>
        </w:tc>
        <w:tc>
          <w:tcPr>
            <w:tcW w:w="0" w:type="dxa"/>
            <w:vAlign w:val="bottom"/>
          </w:tcPr>
          <w:p>
            <w:pPr>
              <w:spacing w:after="0"/>
              <w:rPr>
                <w:sz w:val="1"/>
                <w:szCs w:val="1"/>
                <w:color w:val="auto"/>
              </w:rPr>
            </w:pPr>
          </w:p>
        </w:tc>
      </w:tr>
      <w:tr>
        <w:trPr>
          <w:trHeight w:val="270"/>
        </w:trPr>
        <w:tc>
          <w:tcPr>
            <w:tcW w:w="9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Severance pay and benefits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2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Implementation costs and other related costs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57"/>
        </w:trPr>
        <w:tc>
          <w:tcPr>
            <w:tcW w:w="978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$13 million of charges associated with the Snyder's-Lance cost transformation program and integration recognized in 2018.</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Includes $12 million of charges associated with the Snyder's-Lance cost transformation program and integration recognized in 2018.</w:t>
      </w:r>
    </w:p>
    <w:p>
      <w:pPr>
        <w:sectPr>
          <w:pgSz w:w="11900" w:h="16838" w:orient="portrait"/>
          <w:cols w:equalWidth="0" w:num="1">
            <w:col w:w="11420"/>
          </w:cols>
          <w:pgMar w:left="240" w:top="1314"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14" w:right="239" w:bottom="1440" w:gutter="0" w:footer="0" w:header="0"/>
          <w:type w:val="continuous"/>
        </w:sectPr>
      </w:pPr>
    </w:p>
    <w:bookmarkStart w:id="38" w:name="page39"/>
    <w:bookmarkEnd w:id="38"/>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under both programs are approximately $620 million to $665 million. This estimate will be updated as costs for the expanded initiatives are developed.</w:t>
      </w:r>
    </w:p>
    <w:p>
      <w:pPr>
        <w:spacing w:after="0" w:line="11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expect the costs for actions that have been identified to date under both programs to consist of the following: approximately $215 million to $220 million in severance pay and benefits; approximately $70 million in asset impairment and accelerated depreciation; and approximately $335 million to $375 million in implementation costs and other related costs. We expect these pre-tax costs to be associated with our segments as follows: Meals and Beverages - approximately 37%; Global Biscuits and Snacks - approximately 39%; Campbell Fresh - approximately 2%; and Corporate - approximately 22%.</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Of the aggregate $620 million to $665 million of pre-tax costs identified to date, we expect approximately $540 million to $585 million will be cash expenditures. In addition, we expect to invest approximately $325 million in capital expenditures through 2021, of which we invested approximately $184 million as of January 27, 2019. The capital expenditures primarily related to the U.S. warehouse optimization project, improvement of quality, safety and cost structure across the Snyder’s-Lance manufacturing network, transition of production of the Toronto manufacturing facility to our U.S. thermal plants, insourcing of manufacturing for certain simple meal products, optimization of information technology infrastructure and applications, and optimization of the Snyder’s-Lance warehouse and distribution network.</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to incur substantially all of the costs for the actions that have been identified to date through 2020 and to fund the costs through cash flows from operations and short-term borrowings.</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expect the initiatives for actions that have been identified to date under both programs to generate pre-tax savings of over $575 million in 2019, and once all phases are implemented, to generate annual ongoing savings of approximately $945 million by the end of 2022. In the six-month period ended January 27, 2019, we generated an additional $95 million of pre-tax savings. The annual pre-tax savings generated by both programs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29, 2018</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30, 2017</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2016</w:t>
            </w:r>
          </w:p>
        </w:tc>
        <w:tc>
          <w:tcPr>
            <w:tcW w:w="11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August 2, 2015</w:t>
            </w:r>
          </w:p>
        </w:tc>
      </w:tr>
      <w:tr>
        <w:trPr>
          <w:trHeight w:val="243"/>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6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January 27, 2019</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12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8"/>
              </w:rPr>
              <w:t>Costs Incurred to</w:t>
            </w:r>
          </w:p>
        </w:tc>
        <w:tc>
          <w:tcPr>
            <w:tcW w:w="0" w:type="dxa"/>
            <w:vAlign w:val="bottom"/>
          </w:tcPr>
          <w:p>
            <w:pPr>
              <w:spacing w:after="0"/>
              <w:rPr>
                <w:sz w:val="1"/>
                <w:szCs w:val="1"/>
                <w:color w:val="auto"/>
              </w:rPr>
            </w:pPr>
          </w:p>
        </w:tc>
      </w:tr>
      <w:tr>
        <w:trPr>
          <w:trHeight w:val="192"/>
        </w:trPr>
        <w:tc>
          <w:tcPr>
            <w:tcW w:w="7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3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460" w:hanging="332"/>
        <w:spacing w:after="0" w:line="216"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Includes $25 million of pre-tax costs associated with the Global Biscuits and Snacks segment recognized in 2018 related to the Snyder's-Lance cost transformation program and integration.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2018, we announced the results of our comprehensive Board of Directors-led strategy and portfolio review, which included plans to pursue the divesture of our international biscuits and snacks operating segment and our Campbell Fresh operating segment. In addition, we are driving improved asset efficiency in working capital and capital expenditures to generate cash. We expect to use the proceeds from these divestitures and cash flows from operations to reduce debt, and improve our leverage ratio over time.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generated cash flows from operations of $846 million in 2019, compared to $660 million in 2018. The increase in 2019 was primarily due to lower working capital requirements, reflecting significant improvements in our working capital management efforts, and lapping payments on hedges associated with an anticipated debt issuance in the prior year, partially offset by lower cash earnings.</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14" w:right="239" w:bottom="1440" w:gutter="0" w:footer="0" w:header="0"/>
          <w:type w:val="continuous"/>
        </w:sectPr>
      </w:pPr>
    </w:p>
    <w:bookmarkStart w:id="39" w:name="page40"/>
    <w:bookmarkEnd w:id="39"/>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$1.004 billion as of January 27, 2019, and $1.298 billion as of July 29, 2018. Debt maturing within one year was $1.454 billion as of January 27, 2019, and $1.896 billion as of July 29, 2018.</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expenditures were $198 million in 2019 compared to $132 million in 2018. Capital expenditures are expected to total approximately $400 million in 2019. Capital expenditures in 2019 included a U.S. warehouse optimization project, transition of production of the Toronto manufacturing facility to our U.S. thermal plants, replacement of a Pepperidge Farm refrigeration system, a Snyder's-Lance regional distribution center and insourcing manufacturing for certain simple meal products.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12, 2017, we completed the acquisition of Pacific Foods. The purchase price was $688 million and was funded through the issuance of commercial paper. On October 30, 2018, we purchased the remaining ownership interest in Yellow Chips Holdings B.V., and began consolidating the business. The purchase price was $18 million.</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Dividend payments were $212 million in 2019 and $216 million in 2018. We repurchased approximately 2 million shares at a cost of $86 million in 2018. As a result of the acquisition of Snyder's-Lance, we suspended our share repurchases as of the second quarter of 2018. See Note 14 to the Consolidated Financial Statements for additional information.</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18, 2018, we repaid a portion of our Australian notes and refinanced the remainder by borrowing AUD $400 million, or $284 million, at a rate of 2.82% under a single-draw syndicated facility that matures on September 18, 2019. The interest rate on the AUD $400 million loan under the syndicated facility resets in one, two, three, or six-month periods dependent on our election. The syndicated facility contains a financial covenant based on our maximum leverage ratio and contains other customary covenants and events of default for credit facilities of this type.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January 27, 2019, we had $1.454 billion of short-term borrowings due within one year, of which $813 million was comprised of commercial paper borrowings. As of January 27, 2019, we issued $57 million of standby letters of credit. We have a committed revolving credit facility totaling $1.85 billion that matures in December 2021. This U.S. facility remained unused at January 27, 2019, except for $1 million of standby letters of credit that we issued under it. The U.S. facility supports our commercial paper programs and other general corporate purposes. As of January 27, 2019, the total commitment under our Canadian committed revolving credit facility was CAD $125 million, or $95 million, and we had borrowings of CAD $27 million, or $20 million, at a rate of 3.49% under this facility. The Canadian facility supports general corporate purposes. The Canadian facility matures in July 2019. We expect to continue to access the commercial paper markets, bank credit lines and utilize cash flows from operations to support our short-term liquidity requirements.</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2018, we entered into a $900 million 3-year senior unsecured term loan facility that contains a maximum leverage ratio. The senior unsecured term loan facility may be prepaid at par at any time. In addition, the senior unsecured term loan facility contains other customary covenants and events of default for credit facilities of this type. The maximum leverage ratio covenant is also incorporated into our U.S. and Canadian facilities for so long as that covenant is in effect under the senior unsecured term loan facility. The covenant in the Australian syndicated facility is substantially consistent with the maximum leverage ratio covenant in our senior unsecured term loan facility. We are in compliance with the covenants contained in our revolving credit facilities and debt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29, 2018 (2018 Annual Report on Form 10-K). The accounting policies we used in preparing these financial statements are substantially consistent with those we applied in our 2018 Annual Report on Form 10-K, with the exception of the adoption of revised guidance on the recognition of revenue as described in Note 2 to the Consolidated Financial Statements. The following areas all require the use of subjective or complex judgments, estimates and assumptions: trade and consumer promotion programs; the valuation of long-lived assets; pension and postretirement benefits; and income taxes. Our significant accounting estimates are described in Management’s Discussion and Analysis included in the 2018 Annual Report on Form 10-K.</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Trade and consumer promotion programs — </w:t>
      </w:r>
      <w:r>
        <w:rPr>
          <w:rFonts w:ascii="Arial" w:cs="Arial" w:eastAsia="Arial" w:hAnsi="Arial"/>
          <w:sz w:val="18"/>
          <w:szCs w:val="18"/>
          <w:color w:val="auto"/>
        </w:rPr>
        <w:t>We offer various sales incentive programs to customers and consumers, such as feature price discounts, in-store 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and such fluctuations have an impact on revenues. The measurement and recognition of the costs for trade and consumer promotion programs involves the use of judgment related to performance and redemption estimates.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14" w:right="239" w:bottom="1440" w:gutter="0" w:footer="0" w:header="0"/>
        </w:sectPr>
      </w:pPr>
    </w:p>
    <w:bookmarkStart w:id="40" w:name="page41"/>
    <w:bookmarkEnd w:id="40"/>
    <w:p>
      <w:pPr>
        <w:jc w:val="both"/>
        <w:spacing w:after="0" w:line="297" w:lineRule="auto"/>
        <w:rPr>
          <w:sz w:val="20"/>
          <w:szCs w:val="20"/>
          <w:color w:val="auto"/>
        </w:rPr>
      </w:pPr>
      <w:r>
        <w:rPr>
          <w:rFonts w:ascii="Arial" w:cs="Arial" w:eastAsia="Arial" w:hAnsi="Arial"/>
          <w:sz w:val="16"/>
          <w:szCs w:val="16"/>
          <w:color w:val="auto"/>
        </w:rPr>
        <w:t>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 performance were to vary from estimates. We adopted revised guidance on the recognition of revenue in the first quarter of 2019. See Notes 1 and 2 to the Consolidated Financial Statements for additional information.</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Valuation of long-lived assets </w:t>
      </w:r>
      <w:r>
        <w:rPr>
          <w:rFonts w:ascii="Arial" w:cs="Arial" w:eastAsia="Arial" w:hAnsi="Arial"/>
          <w:sz w:val="18"/>
          <w:szCs w:val="18"/>
          <w:color w:val="auto"/>
        </w:rPr>
        <w:t>— Fixed assets and amortizable intangible assets are reviewed for impairment as events or changes in circumstances occur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indicating that the carrying value of the asset may not be recoverable. Undiscounted cash flow analyses are used to determine if impairment exists. If impairment is determined to exist, the loss is calculated based on estimated fair value.</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 of capital, and assumed royalty rates. If the carrying value exceeds fair value, an impairment charge will be recorded to reduce the asset to fair value.</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August 30, 2018, we announced plans to pursue the divestiture of our international biscuits and snacks operating segment and the Campbell Fresh operating segment. As we continue to pursue the divestiture of these businesses, in the second quarter of 2019 we performed interim impairment assessments on the intangible and tangible assets within Campbell Fresh, which includes Garden Fresh Gourmet, Bolthouse Farms carrot and carrot ingredients, and Bolthouse Farms refrigerated beverages and salad dressings. We revised our future outlook for earnings and cash flows for each of these businesses as the divestiture process progressed and we received initial indications of value.</w:t>
      </w:r>
    </w:p>
    <w:p>
      <w:pPr>
        <w:spacing w:after="0" w:line="11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Within Bolthouse Farms carrot and carrot ingredients, we recorded impairment charges of $18 million on the trademark, and $159 million on the plant assets and amortizable intangible assets.Within Bolthouse Farms refrigerated beverages and salad dressings, we recorded impairment charges of $74 million on the trademark, and $31 million on the plant assets and amortizable intangible assets. On Garden Fresh Gourmet, we recorded impairment charges of $23 million on the trademark and $39 million on customer relationships, which eliminated the carrying value of these assets, and $2 million on plant assets. There is no goodwill in Campbell Fresh. See Notes 5 and 13 to the Consolidated Financial Statements for additional information on intangible assets.</w:t>
      </w:r>
    </w:p>
    <w:p>
      <w:pPr>
        <w:spacing w:after="0" w:line="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considerable management judgment and are based upon assumptions about expected future operating performance, economic conditions, market conditions, cost of capital and potential divestitures. Inherent in estimating the future cash flows are uncertainties beyond our control, such as changes in capital markets. The actual cash flows could differ materially from management’s estimates due to changes in any of the assumptions.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assumptions are not achieved or market conditions decline, potential additional impairment charges could result. We will continue to monitor the valuation of our long-lived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"will," "goal," "plan," "vision"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2018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execute on and realize the expected benefits from the actions we intend to take as a result of our recent strategy and portfolio review;</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differentiate our products and protect our category leading positions, especially in soup;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complete and to realize the projected benefits of planned divestitures and other business portfolio changes;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14" w:right="239" w:bottom="1440" w:gutter="0" w:footer="0" w:header="0"/>
        </w:sectPr>
      </w:pPr>
    </w:p>
    <w:bookmarkStart w:id="41" w:name="page42"/>
    <w:bookmarkEnd w:id="41"/>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realize the projected benefits, including cost synergies, from the recent acquisitions of Snyder's-Lance and Pacific Foods;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efficiency and/or restructuring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campaigns commenced by activist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non-U.S. operations, including trade restrictions, public corruption and compliance with foreign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2018 Annual Report on Form 10-K. There have been no significant changes in our portfolio of financial instruments or market risk exposures from the 2018 year-end.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January 27, 2019 (Evaluation Date). Based on such evaluation, the President and Chief Executive Officer and the Senior Vice President and Chief Financial Officer have concluded that, as of the Evaluation Date, our disclosure controls and procedures are effective.</w:t>
      </w:r>
    </w:p>
    <w:p>
      <w:pPr>
        <w:sectPr>
          <w:pgSz w:w="11900" w:h="16838" w:orient="portrait"/>
          <w:cols w:equalWidth="0" w:num="1">
            <w:col w:w="11420"/>
          </w:cols>
          <w:pgMar w:left="240" w:top="1314" w:right="239" w:bottom="784"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14" w:right="239" w:bottom="784" w:gutter="0" w:footer="0" w:header="0"/>
          <w:type w:val="continuous"/>
        </w:sectPr>
      </w:pPr>
    </w:p>
    <w:bookmarkStart w:id="42" w:name="page43"/>
    <w:bookmarkEnd w:id="42"/>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were likely to materially affect, such control over financial reporting during the quarter ended January 27, 2019.</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16 to the Consolidated Financial Statements and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pacing w:after="0" w:line="9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INDEX TO EXHIBITS</w:t>
      </w:r>
    </w:p>
    <w:p>
      <w:pPr>
        <w:spacing w:after="0" w:line="387" w:lineRule="exact"/>
        <w:rPr>
          <w:sz w:val="20"/>
          <w:szCs w:val="20"/>
          <w:color w:val="auto"/>
        </w:rPr>
      </w:pPr>
    </w:p>
    <w:p>
      <w:pPr>
        <w:ind w:left="1260" w:right="40" w:hanging="1144"/>
        <w:spacing w:after="0" w:line="182" w:lineRule="auto"/>
        <w:tabs>
          <w:tab w:leader="none" w:pos="1260" w:val="left"/>
        </w:tabs>
        <w:numPr>
          <w:ilvl w:val="0"/>
          <w:numId w:val="52"/>
        </w:numPr>
        <w:rPr>
          <w:rFonts w:ascii="Arial" w:cs="Arial" w:eastAsia="Arial" w:hAnsi="Arial"/>
          <w:sz w:val="17"/>
          <w:szCs w:val="17"/>
          <w:u w:val="single" w:color="auto"/>
          <w:color w:val="0000FF"/>
        </w:rPr>
      </w:pPr>
      <w:hyperlink r:id="rId22">
        <w:r>
          <w:rPr>
            <w:rFonts w:ascii="Arial" w:cs="Arial" w:eastAsia="Arial" w:hAnsi="Arial"/>
            <w:sz w:val="17"/>
            <w:szCs w:val="17"/>
            <w:u w:val="single" w:color="auto"/>
            <w:color w:val="0000FF"/>
          </w:rPr>
          <w:t>By-Laws of Campbell Soup Company, amended and restated effective December 20, 2018, are incorporated by reference to Exhibit 3 to</w:t>
        </w:r>
      </w:hyperlink>
      <w:r>
        <w:rPr>
          <w:rFonts w:ascii="Arial" w:cs="Arial" w:eastAsia="Arial" w:hAnsi="Arial"/>
          <w:sz w:val="17"/>
          <w:szCs w:val="17"/>
          <w:u w:val="single" w:color="auto"/>
          <w:color w:val="0000FF"/>
        </w:rPr>
        <w:t xml:space="preserve"> </w:t>
      </w:r>
      <w:hyperlink r:id="rId22">
        <w:r>
          <w:rPr>
            <w:rFonts w:ascii="Arial" w:cs="Arial" w:eastAsia="Arial" w:hAnsi="Arial"/>
            <w:sz w:val="17"/>
            <w:szCs w:val="17"/>
            <w:u w:val="single" w:color="auto"/>
            <w:color w:val="0000FF"/>
          </w:rPr>
          <w:t>Campbell's Form 8-K (SEC file number 1-3822) filed with the SEC on December 21, 2018.</w:t>
        </w:r>
      </w:hyperlink>
    </w:p>
    <w:p>
      <w:pPr>
        <w:spacing w:after="0" w:line="159" w:lineRule="exact"/>
        <w:rPr>
          <w:rFonts w:ascii="Arial" w:cs="Arial" w:eastAsia="Arial" w:hAnsi="Arial"/>
          <w:sz w:val="34"/>
          <w:szCs w:val="34"/>
          <w:color w:val="auto"/>
          <w:vertAlign w:val="subscript"/>
        </w:rPr>
      </w:pPr>
    </w:p>
    <w:tbl>
      <w:tblPr>
        <w:tblLayout w:type="fixed"/>
        <w:tblInd w:w="120" w:type="dxa"/>
        <w:tblCellMar>
          <w:top w:w="0" w:type="dxa"/>
          <w:left w:w="0" w:type="dxa"/>
          <w:bottom w:w="0" w:type="dxa"/>
          <w:right w:w="0" w:type="dxa"/>
        </w:tblCellMar>
      </w:tblPr>
      <w:tr>
        <w:trPr>
          <w:trHeight w:val="207"/>
        </w:trPr>
        <w:tc>
          <w:tcPr>
            <w:tcW w:w="1140" w:type="dxa"/>
            <w:vAlign w:val="bottom"/>
            <w:vMerge w:val="restart"/>
          </w:tcPr>
          <w:p>
            <w:pPr>
              <w:spacing w:after="0"/>
              <w:rPr>
                <w:sz w:val="20"/>
                <w:szCs w:val="20"/>
                <w:color w:val="auto"/>
              </w:rPr>
            </w:pPr>
            <w:r>
              <w:rPr>
                <w:rFonts w:ascii="Arial" w:cs="Arial" w:eastAsia="Arial" w:hAnsi="Arial"/>
                <w:sz w:val="18"/>
                <w:szCs w:val="18"/>
                <w:color w:val="auto"/>
              </w:rPr>
              <w:t>10(a)*</w:t>
            </w:r>
          </w:p>
        </w:tc>
        <w:tc>
          <w:tcPr>
            <w:tcW w:w="10140" w:type="dxa"/>
            <w:vAlign w:val="bottom"/>
            <w:tcBorders>
              <w:bottom w:val="single" w:sz="8" w:color="0000FF"/>
            </w:tcBorders>
            <w:gridSpan w:val="7"/>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Letter Agreement executed December 20, 2018 by and between Mark A. Clouse and Campbell Soup Company is incorporated by reference</w:t>
              </w:r>
            </w:hyperlink>
          </w:p>
        </w:tc>
        <w:tc>
          <w:tcPr>
            <w:tcW w:w="0" w:type="dxa"/>
            <w:vAlign w:val="bottom"/>
          </w:tcPr>
          <w:p>
            <w:pPr>
              <w:spacing w:after="0"/>
              <w:rPr>
                <w:sz w:val="1"/>
                <w:szCs w:val="1"/>
                <w:color w:val="auto"/>
              </w:rPr>
            </w:pPr>
          </w:p>
        </w:tc>
      </w:tr>
      <w:tr>
        <w:trPr>
          <w:trHeight w:val="129"/>
        </w:trPr>
        <w:tc>
          <w:tcPr>
            <w:tcW w:w="1140" w:type="dxa"/>
            <w:vAlign w:val="bottom"/>
            <w:vMerge w:val="continue"/>
          </w:tcPr>
          <w:p>
            <w:pPr>
              <w:spacing w:after="0"/>
              <w:rPr>
                <w:sz w:val="11"/>
                <w:szCs w:val="11"/>
                <w:color w:val="auto"/>
              </w:rPr>
            </w:pPr>
          </w:p>
        </w:tc>
        <w:tc>
          <w:tcPr>
            <w:tcW w:w="10140" w:type="dxa"/>
            <w:vAlign w:val="bottom"/>
            <w:gridSpan w:val="7"/>
            <w:vMerge w:val="restart"/>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to Exhibit 10 to Campbell's Form 8-K (SEC file number 1-3822) filed with the SEC on December 21, 2018.</w:t>
              </w:r>
            </w:hyperlink>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101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10(b)*</w:t>
            </w:r>
          </w:p>
        </w:tc>
        <w:tc>
          <w:tcPr>
            <w:tcW w:w="80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First Amendment to the Campbell Soup Company Supplemental Retirement Plan effective November 30, 2018.</w:t>
              </w:r>
            </w:hyperlink>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31(a)</w:t>
            </w:r>
          </w:p>
        </w:tc>
        <w:tc>
          <w:tcPr>
            <w:tcW w:w="4320" w:type="dxa"/>
            <w:vAlign w:val="bottom"/>
            <w:tcBorders>
              <w:bottom w:val="single" w:sz="8" w:color="0000FF"/>
            </w:tcBorders>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Certification of Mark A. Clouse pursuant to Rule 13a-14(a).</w:t>
              </w:r>
            </w:hyperlink>
          </w:p>
        </w:tc>
        <w:tc>
          <w:tcPr>
            <w:tcW w:w="58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31(b)</w:t>
            </w:r>
          </w:p>
        </w:tc>
        <w:tc>
          <w:tcPr>
            <w:tcW w:w="10140" w:type="dxa"/>
            <w:vAlign w:val="bottom"/>
            <w:gridSpan w:val="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 of Anthony P. DiSilvestro pursuant to Rule 13a-14(a).</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32(a)</w:t>
            </w:r>
          </w:p>
        </w:tc>
        <w:tc>
          <w:tcPr>
            <w:tcW w:w="49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Certification of Mark A. Clouse pursuant to 18 U.S.C. Section 1350.</w:t>
              </w:r>
            </w:hyperlink>
          </w:p>
        </w:tc>
        <w:tc>
          <w:tcPr>
            <w:tcW w:w="5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32(b)</w:t>
            </w:r>
          </w:p>
        </w:tc>
        <w:tc>
          <w:tcPr>
            <w:tcW w:w="10140" w:type="dxa"/>
            <w:vAlign w:val="bottom"/>
            <w:gridSpan w:val="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Anthony P. DiSilvestro pursuant to 18 U.S.C. Section 1350.</w:t>
              </w:r>
            </w:hyperlink>
          </w:p>
        </w:tc>
        <w:tc>
          <w:tcPr>
            <w:tcW w:w="0" w:type="dxa"/>
            <w:vAlign w:val="bottom"/>
          </w:tcPr>
          <w:p>
            <w:pPr>
              <w:spacing w:after="0"/>
              <w:rPr>
                <w:sz w:val="1"/>
                <w:szCs w:val="1"/>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54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47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40" w:type="dxa"/>
            <w:vAlign w:val="bottom"/>
            <w:gridSpan w:val="7"/>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40" w:type="dxa"/>
            <w:vAlign w:val="bottom"/>
            <w:gridSpan w:val="7"/>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40" w:type="dxa"/>
            <w:vAlign w:val="bottom"/>
            <w:gridSpan w:val="7"/>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40" w:type="dxa"/>
            <w:vAlign w:val="bottom"/>
            <w:gridSpan w:val="7"/>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40" w:type="dxa"/>
            <w:vAlign w:val="bottom"/>
            <w:gridSpan w:val="7"/>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20" w:right="5620" w:hanging="5615"/>
        <w:spacing w:after="0" w:line="449" w:lineRule="auto"/>
        <w:rPr>
          <w:sz w:val="20"/>
          <w:szCs w:val="20"/>
          <w:color w:val="auto"/>
        </w:rPr>
      </w:pPr>
      <w:r>
        <w:rPr>
          <w:rFonts w:ascii="Arial" w:cs="Arial" w:eastAsia="Arial" w:hAnsi="Arial"/>
          <w:sz w:val="16"/>
          <w:szCs w:val="16"/>
          <w:color w:val="auto"/>
        </w:rPr>
        <w:t>*This exhibit is a management contract or compensatory plan or arrangement. 43</w:t>
      </w:r>
    </w:p>
    <w:p>
      <w:pPr>
        <w:sectPr>
          <w:pgSz w:w="11900" w:h="16838" w:orient="portrait"/>
          <w:cols w:equalWidth="0" w:num="1">
            <w:col w:w="11420"/>
          </w:cols>
          <w:pgMar w:left="240" w:top="1314" w:right="239" w:bottom="1440" w:gutter="0" w:footer="0" w:header="0"/>
        </w:sectPr>
      </w:pPr>
    </w:p>
    <w:bookmarkStart w:id="43" w:name="page44"/>
    <w:bookmarkEnd w:id="43"/>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March 6, 2019</w:t>
      </w:r>
    </w:p>
    <w:p>
      <w:pPr>
        <w:spacing w:after="0" w:line="16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CAMPBELL SOUP COMPANY</w:t>
      </w:r>
    </w:p>
    <w:p>
      <w:pPr>
        <w:spacing w:after="0" w:line="35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416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416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1229" w:right="3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10(b)</w:t>
      </w: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First Amendment to the</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Campbell Soup Company</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Supplemental Retirement Plan</w:t>
      </w:r>
    </w:p>
    <w:p>
      <w:pPr>
        <w:spacing w:after="0" w:line="216" w:lineRule="exact"/>
        <w:rPr>
          <w:sz w:val="20"/>
          <w:szCs w:val="20"/>
          <w:color w:val="auto"/>
        </w:rPr>
      </w:pPr>
    </w:p>
    <w:p>
      <w:pPr>
        <w:jc w:val="both"/>
        <w:ind w:left="40" w:firstLine="621"/>
        <w:spacing w:after="0" w:line="27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Campbell Soup Company (“Company”) previously established the Campbell Soup Company Supplemental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“Plan”) primarily to provide eligible executives of the Company and any designated subsidiary with an additional method of planning for retirement and other significant saving needs with respect to amounts deferred or vested after 2004;</w:t>
      </w:r>
    </w:p>
    <w:p>
      <w:pPr>
        <w:spacing w:after="0" w:line="159" w:lineRule="exact"/>
        <w:rPr>
          <w:sz w:val="20"/>
          <w:szCs w:val="20"/>
          <w:color w:val="auto"/>
        </w:rPr>
      </w:pPr>
    </w:p>
    <w:p>
      <w:pPr>
        <w:jc w:val="both"/>
        <w:ind w:left="40"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Article IX of the Plan, the corporate officer in charge of Human Resources of the Company reserves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amend or terminate the Plan;</w:t>
      </w:r>
    </w:p>
    <w:p>
      <w:pPr>
        <w:spacing w:after="0" w:line="164" w:lineRule="exact"/>
        <w:rPr>
          <w:sz w:val="20"/>
          <w:szCs w:val="20"/>
          <w:color w:val="auto"/>
        </w:rPr>
      </w:pPr>
    </w:p>
    <w:p>
      <w:pPr>
        <w:jc w:val="both"/>
        <w:ind w:left="40"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Article I, Sections 1.20 and 1.3 of the Plan, respectively, the corporate officer in charge of Human Resources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reserves the right to designate a participating employer in the Plan and approve an Employer’s annual incentive program for deferral under the Plan; and</w:t>
      </w:r>
    </w:p>
    <w:p>
      <w:pPr>
        <w:spacing w:after="0" w:line="178" w:lineRule="exact"/>
        <w:rPr>
          <w:sz w:val="20"/>
          <w:szCs w:val="20"/>
          <w:color w:val="auto"/>
        </w:rPr>
      </w:pPr>
    </w:p>
    <w:p>
      <w:pPr>
        <w:ind w:right="500"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corporate officer in charge of Human Resources desires to amend the Plan to designate additional participating</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employers in the Plan and approve an additional Employer annual incentive program for deferral under the Plan.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 BE IT:</w:t>
      </w:r>
    </w:p>
    <w:p>
      <w:pPr>
        <w:spacing w:after="0" w:line="216" w:lineRule="exact"/>
        <w:rPr>
          <w:sz w:val="20"/>
          <w:szCs w:val="20"/>
          <w:color w:val="auto"/>
        </w:rPr>
      </w:pPr>
    </w:p>
    <w:p>
      <w:pPr>
        <w:ind w:right="320" w:firstLine="648"/>
        <w:spacing w:after="0" w:line="294"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effective January 1, 2019 and August 1, 2018, respectively, Pacific Foods of Oregon, LLC and Snyder’s-Lance, Inc.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certain applicable subsidiaries are hereafter deemed participating employers in the Plan and each entity is hereafter included in the definition of “Employer” under Article I, Section 1.20 of the Plan and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which is attached hereto;</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effective August 1, 2018, Article I, Section 1.3 of the Plan is amended to read, in its entirety, as follows:</w:t>
      </w:r>
    </w:p>
    <w:p>
      <w:pPr>
        <w:spacing w:after="0" w:line="222" w:lineRule="exact"/>
        <w:rPr>
          <w:sz w:val="20"/>
          <w:szCs w:val="20"/>
          <w:color w:val="auto"/>
        </w:rPr>
      </w:pPr>
    </w:p>
    <w:p>
      <w:pPr>
        <w:ind w:right="360" w:firstLine="648"/>
        <w:spacing w:after="0" w:line="250" w:lineRule="auto"/>
        <w:rPr>
          <w:sz w:val="20"/>
          <w:szCs w:val="20"/>
          <w:color w:val="auto"/>
        </w:rPr>
      </w:pPr>
      <w:r>
        <w:rPr>
          <w:rFonts w:ascii="Arial" w:cs="Arial" w:eastAsia="Arial" w:hAnsi="Arial"/>
          <w:sz w:val="20"/>
          <w:szCs w:val="20"/>
          <w:color w:val="auto"/>
        </w:rPr>
        <w:t>1.3 “Annual Incentive Compensation” means any Employer annual incentive program or sales incentive program which the Plan Administrator has approved for deferral under the Plan, including the Campbell Soup Company Annual Incentive Plan and the annual performance incentive plan sponsored by Snyder’s-Lance, Inc. for fiscal 2019.</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effective August 1, 2018, Article II, Section 2.1 is amended to read, in its entirety, as follows:</w:t>
      </w:r>
    </w:p>
    <w:p>
      <w:pPr>
        <w:spacing w:after="0" w:line="324" w:lineRule="exact"/>
        <w:rPr>
          <w:sz w:val="20"/>
          <w:szCs w:val="20"/>
          <w:color w:val="auto"/>
        </w:rPr>
      </w:pPr>
    </w:p>
    <w:p>
      <w:pPr>
        <w:ind w:right="100" w:firstLine="716"/>
        <w:spacing w:after="0" w:line="245"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b w:val="1"/>
          <w:bCs w:val="1"/>
          <w:color w:val="auto"/>
        </w:rPr>
        <w:t>Eligibility</w:t>
      </w:r>
      <w:r>
        <w:rPr>
          <w:rFonts w:ascii="Arial" w:cs="Arial" w:eastAsia="Arial" w:hAnsi="Arial"/>
          <w:sz w:val="20"/>
          <w:szCs w:val="20"/>
          <w:color w:val="auto"/>
        </w:rPr>
        <w:t>. Each Eligible Executive with a salary level of A, B, or C may elect to defer his or her Compensation in accordance with the Plan. Notwithstanding the foregoing and any provision of the Plan to the contrary, each Eligible Executive of Snyder’s-Lance, Inc. designated with a salary level of A21 or higher may elect to defer his or her Annual Incentive Compensation in accordance with the Plan until such applicable Company salary level of designation is made. Each Director may elect to defer his or her Director’s Fees in accordance with the Plan. Rules regarding both Initial Distribution Elections and Subsequent Deferral Elections by Eligible Executives are provided in Article V.</w:t>
      </w:r>
    </w:p>
    <w:p>
      <w:pPr>
        <w:spacing w:after="0" w:line="299" w:lineRule="exact"/>
        <w:rPr>
          <w:sz w:val="20"/>
          <w:szCs w:val="20"/>
          <w:color w:val="auto"/>
        </w:rPr>
      </w:pPr>
    </w:p>
    <w:p>
      <w:pPr>
        <w:ind w:right="200" w:firstLine="716"/>
        <w:spacing w:after="0" w:line="246" w:lineRule="auto"/>
        <w:rPr>
          <w:sz w:val="20"/>
          <w:szCs w:val="20"/>
          <w:color w:val="auto"/>
        </w:rPr>
      </w:pPr>
      <w:r>
        <w:rPr>
          <w:rFonts w:ascii="Arial" w:cs="Arial" w:eastAsia="Arial" w:hAnsi="Arial"/>
          <w:sz w:val="20"/>
          <w:szCs w:val="20"/>
          <w:color w:val="auto"/>
        </w:rPr>
        <w:t>Each Eligible Executive with a salary grade of A, B, C, or D, whose annual base salary and annual incentive compensation award equal or exceed the amount required by the Plan Administrator shall be eligible for Supplemental Match contributions. Each Eligible Executive who commences employment with, or is rehired by, an Employer on or after January 1, 2011, and is not eligible to accrue benefits under the SERP, shall be eligible</w:t>
      </w:r>
    </w:p>
    <w:p>
      <w:pPr>
        <w:sectPr>
          <w:pgSz w:w="11900" w:h="16838" w:orient="portrait"/>
          <w:cols w:equalWidth="0" w:num="1">
            <w:col w:w="11340"/>
          </w:cols>
          <w:pgMar w:left="320" w:top="661" w:right="239" w:bottom="1440" w:gutter="0" w:footer="0" w:header="0"/>
        </w:sectPr>
      </w:pPr>
    </w:p>
    <w:bookmarkStart w:id="45" w:name="page46"/>
    <w:bookmarkEnd w:id="45"/>
    <w:p>
      <w:pPr>
        <w:spacing w:after="0" w:line="244" w:lineRule="auto"/>
        <w:rPr>
          <w:sz w:val="20"/>
          <w:szCs w:val="20"/>
          <w:color w:val="auto"/>
        </w:rPr>
      </w:pPr>
      <w:r>
        <w:rPr>
          <w:rFonts w:ascii="Arial" w:cs="Arial" w:eastAsia="Arial" w:hAnsi="Arial"/>
          <w:sz w:val="20"/>
          <w:szCs w:val="20"/>
          <w:color w:val="auto"/>
        </w:rPr>
        <w:t>for Supplemental Retirement Contributions if the Eligible Executive's annual base salary and annual incentive compensation award equal or exceed the amount required by the Plan Administrator. Each Eligible Executive hired, rehired or promoted into a position with either a salary grade of 46 or above on or after January 1, 2011 who is not eligible to accrue benefits under the Mid-Career Plan, or with a salary level of A on or after August 1, 2015, shall be eligible for Executive Retirement Contributions. In addition, the Chief Executive Officer reserves the right to designate certain Eligible Executives to receive this benefit.</w:t>
      </w:r>
    </w:p>
    <w:p>
      <w:pPr>
        <w:spacing w:after="0" w:line="29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effective August 1, 2018, Article III, Section 3.1(a) is amended to read, in its entirety, as follows:</w:t>
      </w:r>
    </w:p>
    <w:p>
      <w:pPr>
        <w:spacing w:after="0" w:line="324" w:lineRule="exact"/>
        <w:rPr>
          <w:sz w:val="20"/>
          <w:szCs w:val="20"/>
          <w:color w:val="auto"/>
        </w:rPr>
      </w:pPr>
    </w:p>
    <w:p>
      <w:pPr>
        <w:jc w:val="both"/>
        <w:ind w:firstLine="711"/>
        <w:spacing w:after="0" w:line="248" w:lineRule="auto"/>
        <w:tabs>
          <w:tab w:leader="none" w:pos="1115" w:val="left"/>
        </w:tabs>
        <w:numPr>
          <w:ilvl w:val="0"/>
          <w:numId w:val="53"/>
        </w:numPr>
        <w:rPr>
          <w:rFonts w:ascii="Arial" w:cs="Arial" w:eastAsia="Arial" w:hAnsi="Arial"/>
          <w:sz w:val="20"/>
          <w:szCs w:val="20"/>
          <w:color w:val="auto"/>
        </w:rPr>
      </w:pPr>
      <w:r>
        <w:rPr>
          <w:rFonts w:ascii="Arial" w:cs="Arial" w:eastAsia="Arial" w:hAnsi="Arial"/>
          <w:sz w:val="20"/>
          <w:szCs w:val="20"/>
          <w:b w:val="1"/>
          <w:bCs w:val="1"/>
          <w:color w:val="auto"/>
        </w:rPr>
        <w:t xml:space="preserve">Annual Incentive Compensation Deferral. </w:t>
      </w:r>
      <w:r>
        <w:rPr>
          <w:rFonts w:ascii="Arial" w:cs="Arial" w:eastAsia="Arial" w:hAnsi="Arial"/>
          <w:sz w:val="20"/>
          <w:szCs w:val="20"/>
          <w:color w:val="auto"/>
        </w:rPr>
        <w:t>On behalf of a Participant with a salary level of A, B or C or an Eligible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of Snyder’s-Lance, Inc. with a salary level of at least A21 who participates in an Annual Incentive Compensation program, the Company shall credit to his or her Account Balance an amount equal to that portion of an Annual Incentive Compensation award that the Participant has elected to defer under the Plan.</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effective August 1, 2018, Article V, Section 5.1(a) is amended to read, in its entirety, as follows:</w:t>
      </w:r>
    </w:p>
    <w:p>
      <w:pPr>
        <w:spacing w:after="0" w:line="324" w:lineRule="exact"/>
        <w:rPr>
          <w:sz w:val="20"/>
          <w:szCs w:val="20"/>
          <w:color w:val="auto"/>
        </w:rPr>
      </w:pPr>
    </w:p>
    <w:p>
      <w:pPr>
        <w:jc w:val="both"/>
        <w:ind w:right="60" w:firstLine="711"/>
        <w:spacing w:after="0" w:line="253" w:lineRule="auto"/>
        <w:tabs>
          <w:tab w:leader="none" w:pos="1115"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 xml:space="preserve">Annual Incentive Compensation. </w:t>
      </w:r>
      <w:r>
        <w:rPr>
          <w:rFonts w:ascii="Arial" w:cs="Arial" w:eastAsia="Arial" w:hAnsi="Arial"/>
          <w:sz w:val="20"/>
          <w:szCs w:val="20"/>
          <w:color w:val="auto"/>
        </w:rPr>
        <w:t>An Eligible Executive with a salary level of A, B or C or an Eligible Executive of Snyder’s-Lance, Inc. with a salary level of at least A21 may elect to defer any portion of his or her Annual Incentive Compensation up to 90% (in 10% increments).</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this instrument has been executed on November 30, 2018.</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Xavier Boza</w:t>
      </w:r>
    </w:p>
    <w:p>
      <w:pPr>
        <w:spacing w:after="0" w:line="54"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Xavier Boza</w:t>
      </w:r>
    </w:p>
    <w:p>
      <w:pPr>
        <w:spacing w:after="0" w:line="54"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SVP &amp; Chief Human Resources Officer</w:t>
      </w:r>
    </w:p>
    <w:p>
      <w:pPr>
        <w:sectPr>
          <w:pgSz w:w="11900" w:h="16838" w:orient="portrait"/>
          <w:cols w:equalWidth="0" w:num="1">
            <w:col w:w="11280"/>
          </w:cols>
          <w:pgMar w:left="320" w:top="636" w:right="299" w:bottom="1440" w:gutter="0" w:footer="0" w:header="0"/>
        </w:sectPr>
      </w:pPr>
    </w:p>
    <w:bookmarkStart w:id="46" w:name="page47"/>
    <w:bookmarkEnd w:id="46"/>
    <w:p>
      <w:pPr>
        <w:jc w:val="center"/>
        <w:ind w:right="-540"/>
        <w:spacing w:after="0"/>
        <w:rPr>
          <w:sz w:val="20"/>
          <w:szCs w:val="20"/>
          <w:color w:val="auto"/>
        </w:rPr>
      </w:pPr>
      <w:r>
        <w:rPr>
          <w:rFonts w:ascii="Arial" w:cs="Arial" w:eastAsia="Arial" w:hAnsi="Arial"/>
          <w:sz w:val="20"/>
          <w:szCs w:val="20"/>
          <w:b w:val="1"/>
          <w:bCs w:val="1"/>
          <w:color w:val="auto"/>
        </w:rPr>
        <w:t>Exhibit A</w:t>
      </w:r>
    </w:p>
    <w:p>
      <w:pPr>
        <w:spacing w:after="0" w:line="2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Designated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January 1, 2011</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Campbell Investment Company</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Campbell Finance Corp. LLC</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Campbell Food Service Company</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Campbell Sales Company</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Campbell Soup Supply Company LLC</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Campbell Urban Renewal Corporation</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CSC Brands LP</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CSC Insights, Inc.</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CSC Standards, Inc.</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Ecce Panis, Inc.</w:t>
      </w:r>
    </w:p>
    <w:p>
      <w:pPr>
        <w:ind w:left="180"/>
        <w:spacing w:after="0"/>
        <w:rPr>
          <w:sz w:val="20"/>
          <w:szCs w:val="20"/>
          <w:color w:val="auto"/>
        </w:rPr>
      </w:pPr>
      <w:r>
        <w:rPr>
          <w:rFonts w:ascii="Arial" w:cs="Arial" w:eastAsia="Arial" w:hAnsi="Arial"/>
          <w:sz w:val="18"/>
          <w:szCs w:val="18"/>
          <w:color w:val="auto"/>
        </w:rPr>
        <w:t>Garden Fresh Gourmet Foods, Inc. (the legal entity formerly known as Stockpot,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Joseph Campbell Company</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Pepperidge Farm, Incorporated</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20"/>
          <w:szCs w:val="20"/>
          <w:b w:val="1"/>
          <w:bCs w:val="1"/>
          <w:u w:val="single" w:color="auto"/>
          <w:color w:val="auto"/>
        </w:rPr>
        <w:t>January 1, 2014</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Plum PBC</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20"/>
          <w:szCs w:val="20"/>
          <w:b w:val="1"/>
          <w:bCs w:val="1"/>
          <w:u w:val="single" w:color="auto"/>
          <w:color w:val="auto"/>
        </w:rPr>
        <w:t>January 1, 2016</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Kelsen, Inc.</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20"/>
          <w:szCs w:val="20"/>
          <w:b w:val="1"/>
          <w:bCs w:val="1"/>
          <w:u w:val="single" w:color="auto"/>
          <w:color w:val="auto"/>
        </w:rPr>
        <w:t>January 1, 2017</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Wm. Bolthouse Farms, Inc.</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20"/>
          <w:szCs w:val="20"/>
          <w:b w:val="1"/>
          <w:bCs w:val="1"/>
          <w:u w:val="single" w:color="auto"/>
          <w:color w:val="auto"/>
        </w:rPr>
        <w:t>August 1, 2018</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Baptista’s Bakery, LLC</w:t>
      </w:r>
    </w:p>
    <w:p>
      <w:pPr>
        <w:ind w:left="180"/>
        <w:spacing w:after="0"/>
        <w:rPr>
          <w:sz w:val="20"/>
          <w:szCs w:val="20"/>
          <w:color w:val="auto"/>
        </w:rPr>
      </w:pPr>
      <w:r>
        <w:rPr>
          <w:rFonts w:ascii="Arial" w:cs="Arial" w:eastAsia="Arial" w:hAnsi="Arial"/>
          <w:sz w:val="20"/>
          <w:szCs w:val="20"/>
          <w:color w:val="auto"/>
        </w:rPr>
        <w:t>S-L Distribution Company, LLC</w:t>
      </w:r>
    </w:p>
    <w:p>
      <w:pPr>
        <w:ind w:left="180"/>
        <w:spacing w:after="0"/>
        <w:rPr>
          <w:sz w:val="20"/>
          <w:szCs w:val="20"/>
          <w:color w:val="auto"/>
        </w:rPr>
      </w:pPr>
      <w:r>
        <w:rPr>
          <w:rFonts w:ascii="Arial" w:cs="Arial" w:eastAsia="Arial" w:hAnsi="Arial"/>
          <w:sz w:val="20"/>
          <w:szCs w:val="20"/>
          <w:color w:val="auto"/>
        </w:rPr>
        <w:t>S-L Snacks AZ, LLC</w:t>
      </w:r>
    </w:p>
    <w:p>
      <w:pPr>
        <w:ind w:left="180"/>
        <w:spacing w:after="0"/>
        <w:rPr>
          <w:sz w:val="20"/>
          <w:szCs w:val="20"/>
          <w:color w:val="auto"/>
        </w:rPr>
      </w:pPr>
      <w:r>
        <w:rPr>
          <w:rFonts w:ascii="Arial" w:cs="Arial" w:eastAsia="Arial" w:hAnsi="Arial"/>
          <w:sz w:val="20"/>
          <w:szCs w:val="20"/>
          <w:color w:val="auto"/>
        </w:rPr>
        <w:t>S-L Snacks GA, LLC</w:t>
      </w:r>
    </w:p>
    <w:p>
      <w:pPr>
        <w:ind w:left="180"/>
        <w:spacing w:after="0"/>
        <w:rPr>
          <w:sz w:val="20"/>
          <w:szCs w:val="20"/>
          <w:color w:val="auto"/>
        </w:rPr>
      </w:pPr>
      <w:r>
        <w:rPr>
          <w:rFonts w:ascii="Arial" w:cs="Arial" w:eastAsia="Arial" w:hAnsi="Arial"/>
          <w:sz w:val="20"/>
          <w:szCs w:val="20"/>
          <w:color w:val="auto"/>
        </w:rPr>
        <w:t>S-L Snacks IN, LLC</w:t>
      </w:r>
    </w:p>
    <w:p>
      <w:pPr>
        <w:ind w:left="180"/>
        <w:spacing w:after="0"/>
        <w:rPr>
          <w:sz w:val="20"/>
          <w:szCs w:val="20"/>
          <w:color w:val="auto"/>
        </w:rPr>
      </w:pPr>
      <w:r>
        <w:rPr>
          <w:rFonts w:ascii="Arial" w:cs="Arial" w:eastAsia="Arial" w:hAnsi="Arial"/>
          <w:sz w:val="20"/>
          <w:szCs w:val="20"/>
          <w:color w:val="auto"/>
        </w:rPr>
        <w:t>S-L Snacks Logistics, LLC</w:t>
      </w:r>
    </w:p>
    <w:p>
      <w:pPr>
        <w:ind w:left="180"/>
        <w:spacing w:after="0"/>
        <w:rPr>
          <w:sz w:val="20"/>
          <w:szCs w:val="20"/>
          <w:color w:val="auto"/>
        </w:rPr>
      </w:pPr>
      <w:r>
        <w:rPr>
          <w:rFonts w:ascii="Arial" w:cs="Arial" w:eastAsia="Arial" w:hAnsi="Arial"/>
          <w:sz w:val="20"/>
          <w:szCs w:val="20"/>
          <w:color w:val="auto"/>
        </w:rPr>
        <w:t>S-L Snacks MA, LLC</w:t>
      </w:r>
    </w:p>
    <w:p>
      <w:pPr>
        <w:ind w:left="180"/>
        <w:spacing w:after="0"/>
        <w:rPr>
          <w:sz w:val="20"/>
          <w:szCs w:val="20"/>
          <w:color w:val="auto"/>
        </w:rPr>
      </w:pPr>
      <w:r>
        <w:rPr>
          <w:rFonts w:ascii="Arial" w:cs="Arial" w:eastAsia="Arial" w:hAnsi="Arial"/>
          <w:sz w:val="20"/>
          <w:szCs w:val="20"/>
          <w:color w:val="auto"/>
        </w:rPr>
        <w:t>S-L Snacks National, LLC</w:t>
      </w:r>
    </w:p>
    <w:p>
      <w:pPr>
        <w:ind w:left="180"/>
        <w:spacing w:after="0"/>
        <w:rPr>
          <w:sz w:val="20"/>
          <w:szCs w:val="20"/>
          <w:color w:val="auto"/>
        </w:rPr>
      </w:pPr>
      <w:r>
        <w:rPr>
          <w:rFonts w:ascii="Arial" w:cs="Arial" w:eastAsia="Arial" w:hAnsi="Arial"/>
          <w:sz w:val="20"/>
          <w:szCs w:val="20"/>
          <w:color w:val="auto"/>
        </w:rPr>
        <w:t>S-L Snacks NC, LLC</w:t>
      </w:r>
    </w:p>
    <w:p>
      <w:pPr>
        <w:ind w:left="180"/>
        <w:spacing w:after="0"/>
        <w:rPr>
          <w:sz w:val="20"/>
          <w:szCs w:val="20"/>
          <w:color w:val="auto"/>
        </w:rPr>
      </w:pPr>
      <w:r>
        <w:rPr>
          <w:rFonts w:ascii="Arial" w:cs="Arial" w:eastAsia="Arial" w:hAnsi="Arial"/>
          <w:sz w:val="20"/>
          <w:szCs w:val="20"/>
          <w:color w:val="auto"/>
        </w:rPr>
        <w:t>S-L Snacks OH, LLC</w:t>
      </w:r>
    </w:p>
    <w:p>
      <w:pPr>
        <w:ind w:left="180"/>
        <w:spacing w:after="0"/>
        <w:rPr>
          <w:sz w:val="20"/>
          <w:szCs w:val="20"/>
          <w:color w:val="auto"/>
        </w:rPr>
      </w:pPr>
      <w:r>
        <w:rPr>
          <w:rFonts w:ascii="Arial" w:cs="Arial" w:eastAsia="Arial" w:hAnsi="Arial"/>
          <w:sz w:val="20"/>
          <w:szCs w:val="20"/>
          <w:color w:val="auto"/>
        </w:rPr>
        <w:t>S-L Snacks OR, LLC</w:t>
      </w:r>
    </w:p>
    <w:p>
      <w:pPr>
        <w:ind w:left="180"/>
        <w:spacing w:after="0"/>
        <w:rPr>
          <w:sz w:val="20"/>
          <w:szCs w:val="20"/>
          <w:color w:val="auto"/>
        </w:rPr>
      </w:pPr>
      <w:r>
        <w:rPr>
          <w:rFonts w:ascii="Arial" w:cs="Arial" w:eastAsia="Arial" w:hAnsi="Arial"/>
          <w:sz w:val="20"/>
          <w:szCs w:val="20"/>
          <w:color w:val="auto"/>
        </w:rPr>
        <w:t>S-L Snacks PA, LLC</w:t>
      </w:r>
    </w:p>
    <w:p>
      <w:pPr>
        <w:ind w:left="180"/>
        <w:spacing w:after="0"/>
        <w:rPr>
          <w:sz w:val="20"/>
          <w:szCs w:val="20"/>
          <w:color w:val="auto"/>
        </w:rPr>
      </w:pPr>
      <w:r>
        <w:rPr>
          <w:rFonts w:ascii="Arial" w:cs="Arial" w:eastAsia="Arial" w:hAnsi="Arial"/>
          <w:sz w:val="20"/>
          <w:szCs w:val="20"/>
          <w:color w:val="auto"/>
        </w:rPr>
        <w:t>S-L Snacks WI, LLC</w:t>
      </w:r>
    </w:p>
    <w:p>
      <w:pPr>
        <w:ind w:left="180"/>
        <w:spacing w:after="0"/>
        <w:rPr>
          <w:sz w:val="20"/>
          <w:szCs w:val="20"/>
          <w:color w:val="auto"/>
        </w:rPr>
      </w:pPr>
      <w:r>
        <w:rPr>
          <w:rFonts w:ascii="Arial" w:cs="Arial" w:eastAsia="Arial" w:hAnsi="Arial"/>
          <w:sz w:val="20"/>
          <w:szCs w:val="20"/>
          <w:color w:val="auto"/>
        </w:rPr>
        <w:t>Snyder’s-Lance, Inc.</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20"/>
          <w:szCs w:val="20"/>
          <w:b w:val="1"/>
          <w:bCs w:val="1"/>
          <w:u w:val="single" w:color="auto"/>
          <w:color w:val="auto"/>
        </w:rPr>
        <w:t>January 1, 2019</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Pacific Foods of Oregon, LLC</w:t>
      </w:r>
    </w:p>
    <w:p>
      <w:pPr>
        <w:sectPr>
          <w:pgSz w:w="11900" w:h="16838" w:orient="portrait"/>
          <w:cols w:equalWidth="0" w:num="1">
            <w:col w:w="9559"/>
          </w:cols>
          <w:pgMar w:left="900" w:top="576"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71" w:lineRule="exact"/>
        <w:rPr>
          <w:sz w:val="20"/>
          <w:szCs w:val="20"/>
          <w:color w:val="auto"/>
        </w:rPr>
      </w:pPr>
    </w:p>
    <w:p>
      <w:pPr>
        <w:ind w:left="400" w:hanging="176"/>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2019</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Mark A. Clouse</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2019</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27, 2019 (the “Report”), I, Mark A. Clouse,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6, 2019</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Mark A. Clouse</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211"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27, 2019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6, 2019</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360"/>
    </w:lvl>
  </w:abstractNum>
  <w:abstractNum w:abstractNumId="1">
    <w:nsid w:val="8138641"/>
    <w:multiLevelType w:val="hybridMultilevel"/>
    <w:lvl w:ilvl="0">
      <w:lvlJc w:val="left"/>
      <w:lvlText w:val="%1"/>
      <w:numFmt w:val="decimal"/>
      <w:start w:val="21"/>
    </w:lvl>
  </w:abstractNum>
  <w:abstractNum w:abstractNumId="2">
    <w:nsid w:val="1E7FF521"/>
    <w:multiLevelType w:val="hybridMultilevel"/>
    <w:lvl w:ilvl="0">
      <w:lvlJc w:val="left"/>
      <w:lvlText w:val="%1"/>
      <w:numFmt w:val="decimal"/>
      <w:start w:val="31"/>
    </w:lvl>
  </w:abstractNum>
  <w:abstractNum w:abstractNumId="3">
    <w:nsid w:val="7C3DBD3D"/>
    <w:multiLevelType w:val="hybridMultilevel"/>
    <w:lvl w:ilvl="0">
      <w:lvlJc w:val="left"/>
      <w:lvlText w:val="(%1)"/>
      <w:numFmt w:val="decimal"/>
      <w:start w:val="29"/>
    </w:lvl>
  </w:abstractNum>
  <w:abstractNum w:abstractNumId="4">
    <w:nsid w:val="737B8DDC"/>
    <w:multiLevelType w:val="hybridMultilevel"/>
    <w:lvl w:ilvl="0">
      <w:lvlJc w:val="left"/>
      <w:lvlText w:val="%1"/>
      <w:numFmt w:val="decimal"/>
      <w:start w:val="241"/>
    </w:lvl>
    <w:lvl w:ilvl="1">
      <w:lvlJc w:val="left"/>
      <w:lvlText w:val="(%2)"/>
      <w:numFmt w:val="decimal"/>
      <w:start w:val="40"/>
    </w:lvl>
  </w:abstractNum>
  <w:abstractNum w:abstractNumId="5">
    <w:nsid w:val="6CEAF087"/>
    <w:multiLevelType w:val="hybridMultilevel"/>
    <w:lvl w:ilvl="0">
      <w:lvlJc w:val="left"/>
      <w:lvlText w:val="%1"/>
      <w:numFmt w:val="decimal"/>
      <w:start w:val="18"/>
    </w:lvl>
  </w:abstractNum>
  <w:abstractNum w:abstractNumId="6">
    <w:nsid w:val="22221A70"/>
    <w:multiLevelType w:val="hybridMultilevel"/>
    <w:lvl w:ilvl="0">
      <w:lvlJc w:val="left"/>
      <w:lvlText w:val="(%1)"/>
      <w:numFmt w:val="decimal"/>
      <w:start w:val="150"/>
    </w:lvl>
  </w:abstractNum>
  <w:abstractNum w:abstractNumId="7">
    <w:nsid w:val="4516DDE9"/>
    <w:multiLevelType w:val="hybridMultilevel"/>
    <w:lvl w:ilvl="0">
      <w:lvlJc w:val="left"/>
      <w:lvlText w:val="%1"/>
      <w:numFmt w:val="decimal"/>
      <w:start w:val="122"/>
    </w:lvl>
    <w:lvl w:ilvl="1">
      <w:lvlJc w:val="left"/>
      <w:lvlText w:val="(%2)"/>
      <w:numFmt w:val="decimal"/>
      <w:start w:val="2"/>
    </w:lvl>
  </w:abstractNum>
  <w:abstractNum w:abstractNumId="8">
    <w:nsid w:val="3006C83E"/>
    <w:multiLevelType w:val="hybridMultilevel"/>
    <w:lvl w:ilvl="0">
      <w:lvlJc w:val="left"/>
      <w:lvlText w:val="%1"/>
      <w:numFmt w:val="decimal"/>
      <w:start w:val="170"/>
    </w:lvl>
    <w:lvl w:ilvl="1">
      <w:lvlJc w:val="left"/>
      <w:lvlText w:val="(%2)"/>
      <w:numFmt w:val="decimal"/>
      <w:start w:val="5"/>
    </w:lvl>
  </w:abstractNum>
  <w:abstractNum w:abstractNumId="9">
    <w:nsid w:val="614FD4A1"/>
    <w:multiLevelType w:val="hybridMultilevel"/>
    <w:lvl w:ilvl="0">
      <w:lvlJc w:val="left"/>
      <w:lvlText w:val="(%1)"/>
      <w:numFmt w:val="decimal"/>
      <w:start w:val="26"/>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2"/>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3"/>
    </w:lvl>
  </w:abstractNum>
  <w:abstractNum w:abstractNumId="15">
    <w:nsid w:val="77465F01"/>
    <w:multiLevelType w:val="hybridMultilevel"/>
    <w:lvl w:ilvl="0">
      <w:lvlJc w:val="left"/>
      <w:lvlText w:val="%1."/>
      <w:numFmt w:val="decimal"/>
      <w:start w:val="4"/>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5"/>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6"/>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7"/>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8"/>
    </w:lvl>
  </w:abstractNum>
  <w:abstractNum w:abstractNumId="28">
    <w:nsid w:val="1D4ED43B"/>
    <w:multiLevelType w:val="hybridMultilevel"/>
    <w:lvl w:ilvl="0">
      <w:lvlJc w:val="left"/>
      <w:lvlText w:val="%1."/>
      <w:numFmt w:val="decimal"/>
      <w:start w:val="9"/>
    </w:lvl>
  </w:abstractNum>
  <w:abstractNum w:abstractNumId="29">
    <w:nsid w:val="725A06FB"/>
    <w:multiLevelType w:val="hybridMultilevel"/>
    <w:lvl w:ilvl="0">
      <w:lvlJc w:val="left"/>
      <w:lvlText w:val="%1."/>
      <w:numFmt w:val="decimal"/>
      <w:start w:val="13"/>
    </w:lvl>
    <w:lvl w:ilvl="1">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2"/>
    </w:lvl>
  </w:abstractNum>
  <w:abstractNum w:abstractNumId="51">
    <w:nsid w:val="23F9C13C"/>
    <w:multiLevelType w:val="hybridMultilevel"/>
    <w:lvl w:ilvl="0">
      <w:lvlJc w:val="left"/>
      <w:lvlText w:val="3"/>
      <w:numFmt w:val="bullet"/>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22" Type="http://schemas.openxmlformats.org/officeDocument/2006/relationships/hyperlink" Target="http://www.sec.gov/Archives/edgar/data/16732/000001673218000090/ex3by-laws.htm" TargetMode="External"/><Relationship Id="rId23" Type="http://schemas.openxmlformats.org/officeDocument/2006/relationships/hyperlink" Target="http://www.sec.gov/Archives/edgar/data/16732/000001673218000090/ex10offer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2019-12-28T15:15:01Z</dcterms:created>
  <dcterms:modified xsi:type="dcterms:W3CDTF">2019-12-28T15:15:01Z</dcterms:modified>
</cp:coreProperties>
</file>