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ind w:left="3900" w:right="2960" w:hanging="3894"/>
        <w:spacing w:after="0" w:line="248" w:lineRule="auto"/>
        <w:tabs>
          <w:tab w:leader="none" w:pos="19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November 2,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5" w:lineRule="exact"/>
        <w:rPr>
          <w:sz w:val="24"/>
          <w:szCs w:val="24"/>
          <w:color w:val="auto"/>
        </w:rPr>
      </w:pPr>
    </w:p>
    <w:p>
      <w:pPr>
        <w:ind w:left="3160" w:right="2960" w:hanging="3154"/>
        <w:spacing w:after="0" w:line="308" w:lineRule="auto"/>
        <w:tabs>
          <w:tab w:leader="none" w:pos="193"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 For the transition period from _______________ to __________________</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1-3822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2965450</wp:posOffset>
            </wp:positionH>
            <wp:positionV relativeFrom="paragraph">
              <wp:posOffset>10795</wp:posOffset>
            </wp:positionV>
            <wp:extent cx="1211580" cy="891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1580" cy="8915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THE CAMPBELL'S COMPANY</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40"/>
          </w:cols>
          <w:pgMar w:left="320" w:top="1013" w:right="339" w:bottom="1440" w:gutter="0" w:footer="0" w:header="0"/>
        </w:sectPr>
      </w:pPr>
    </w:p>
    <w:p>
      <w:pPr>
        <w:spacing w:after="0" w:line="21"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6"/>
          <w:szCs w:val="16"/>
          <w:b w:val="1"/>
          <w:bCs w:val="1"/>
          <w:color w:val="auto"/>
        </w:rPr>
        <w:t>New Jersey</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21-0419870</w:t>
      </w:r>
    </w:p>
    <w:p>
      <w:pPr>
        <w:spacing w:after="0" w:line="30" w:lineRule="exact"/>
        <w:rPr>
          <w:sz w:val="24"/>
          <w:szCs w:val="24"/>
          <w:color w:val="auto"/>
        </w:rPr>
      </w:pPr>
    </w:p>
    <w:p>
      <w:pPr>
        <w:sectPr>
          <w:pgSz w:w="11900" w:h="16838" w:orient="portrait"/>
          <w:cols w:equalWidth="0" w:num="2">
            <w:col w:w="7260" w:space="720"/>
            <w:col w:w="3260"/>
          </w:cols>
          <w:pgMar w:left="320" w:top="1013" w:right="339"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(I.R.S. Employer Identification No.)</w:t>
      </w:r>
    </w:p>
    <w:p>
      <w:pPr>
        <w:spacing w:after="0" w:line="117" w:lineRule="exact"/>
        <w:rPr>
          <w:sz w:val="24"/>
          <w:szCs w:val="24"/>
          <w:color w:val="auto"/>
        </w:rPr>
      </w:pPr>
    </w:p>
    <w:p>
      <w:pPr>
        <w:sectPr>
          <w:pgSz w:w="11900" w:h="16838" w:orient="portrait"/>
          <w:cols w:equalWidth="0" w:num="2">
            <w:col w:w="6500" w:space="720"/>
            <w:col w:w="4020"/>
          </w:cols>
          <w:pgMar w:left="320" w:top="1013"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1 Campbell Place</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Camden, New Jersey 08103-1799</w:t>
      </w:r>
    </w:p>
    <w:p>
      <w:pPr>
        <w:sectPr>
          <w:pgSz w:w="11900" w:h="16838" w:orient="portrait"/>
          <w:cols w:equalWidth="0" w:num="1">
            <w:col w:w="11240"/>
          </w:cols>
          <w:pgMar w:left="320" w:top="1013" w:right="339" w:bottom="1440" w:gutter="0" w:footer="0" w:header="0"/>
          <w:type w:val="continuous"/>
        </w:sectPr>
      </w:pP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(856) 342-4800</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p>
      <w:pPr>
        <w:sectPr>
          <w:pgSz w:w="11900" w:h="16838" w:orient="portrait"/>
          <w:cols w:equalWidth="0" w:num="1">
            <w:col w:w="11240"/>
          </w:cols>
          <w:pgMar w:left="320" w:top="1013" w:right="339" w:bottom="1440" w:gutter="0" w:footer="0" w:header="0"/>
          <w:type w:val="continuous"/>
        </w:sectPr>
      </w:pPr>
    </w:p>
    <w:p>
      <w:pPr>
        <w:spacing w:after="0" w:line="53"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Trading Symbol(s)</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p>
      <w:pPr>
        <w:spacing w:after="0" w:line="42" w:lineRule="exact"/>
        <w:rPr>
          <w:sz w:val="24"/>
          <w:szCs w:val="24"/>
          <w:color w:val="auto"/>
        </w:rPr>
      </w:pPr>
    </w:p>
    <w:p>
      <w:pPr>
        <w:sectPr>
          <w:pgSz w:w="11900" w:h="16838" w:orient="portrait"/>
          <w:cols w:equalWidth="0" w:num="3">
            <w:col w:w="4260" w:space="720"/>
            <w:col w:w="1800" w:space="720"/>
            <w:col w:w="3740"/>
          </w:cols>
          <w:pgMar w:left="320" w:top="1013" w:right="339"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5"/>
          <w:szCs w:val="15"/>
          <w:color w:val="auto"/>
        </w:rPr>
        <w:t>Capital Stock, par value $.0375</w:t>
      </w:r>
    </w:p>
    <w:p>
      <w:pPr>
        <w:spacing w:after="0" w:line="20" w:lineRule="exact"/>
        <w:rPr>
          <w:sz w:val="24"/>
          <w:szCs w:val="24"/>
          <w:color w:val="auto"/>
        </w:rPr>
      </w:pPr>
      <w:r>
        <w:rPr>
          <w:sz w:val="24"/>
          <w:szCs w:val="24"/>
          <w:color w:val="auto"/>
        </w:rPr>
        <w:br w:type="column"/>
      </w:r>
    </w:p>
    <w:p>
      <w:pPr>
        <w:jc w:val="center"/>
        <w:ind w:right="1500"/>
        <w:spacing w:after="0"/>
        <w:rPr>
          <w:sz w:val="20"/>
          <w:szCs w:val="20"/>
          <w:color w:val="auto"/>
        </w:rPr>
      </w:pPr>
      <w:r>
        <w:rPr>
          <w:rFonts w:ascii="Times New Roman" w:cs="Times New Roman" w:eastAsia="Times New Roman" w:hAnsi="Times New Roman"/>
          <w:sz w:val="15"/>
          <w:szCs w:val="15"/>
          <w:color w:val="auto"/>
        </w:rPr>
        <w:t>CPB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The Nasdaq Stock Market LLC</w:t>
      </w:r>
    </w:p>
    <w:p>
      <w:pPr>
        <w:spacing w:after="0" w:line="200" w:lineRule="exact"/>
        <w:rPr>
          <w:sz w:val="24"/>
          <w:szCs w:val="24"/>
          <w:color w:val="auto"/>
        </w:rPr>
      </w:pPr>
    </w:p>
    <w:p>
      <w:pPr>
        <w:sectPr>
          <w:pgSz w:w="11900" w:h="16838" w:orient="portrait"/>
          <w:cols w:equalWidth="0" w:num="3">
            <w:col w:w="4740" w:space="720"/>
            <w:col w:w="1800" w:space="720"/>
            <w:col w:w="3260"/>
          </w:cols>
          <w:pgMar w:left="320" w:top="1013" w:right="339" w:bottom="1440" w:gutter="0" w:footer="0" w:header="0"/>
          <w:type w:val="continuous"/>
        </w:sectPr>
      </w:pPr>
    </w:p>
    <w:p>
      <w:pPr>
        <w:spacing w:after="0" w:line="12" w:lineRule="exact"/>
        <w:rPr>
          <w:sz w:val="24"/>
          <w:szCs w:val="24"/>
          <w:color w:val="auto"/>
        </w:rPr>
      </w:pPr>
    </w:p>
    <w:p>
      <w:pPr>
        <w:jc w:val="both"/>
        <w:ind w:firstLine="318"/>
        <w:spacing w:after="0" w:line="256"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200" w:hanging="194"/>
        <w:spacing w:after="0" w:line="184" w:lineRule="exact"/>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46" w:lineRule="exact"/>
        <w:rPr>
          <w:sz w:val="24"/>
          <w:szCs w:val="24"/>
          <w:color w:val="auto"/>
        </w:rPr>
      </w:pPr>
    </w:p>
    <w:p>
      <w:pPr>
        <w:ind w:right="300" w:firstLine="318"/>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0" w:lineRule="exact"/>
        <w:rPr>
          <w:sz w:val="24"/>
          <w:szCs w:val="24"/>
          <w:color w:val="auto"/>
        </w:rPr>
      </w:pPr>
    </w:p>
    <w:p>
      <w:pPr>
        <w:ind w:right="20" w:firstLine="318"/>
        <w:spacing w:after="0" w:line="307"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 w:lineRule="exact"/>
        <w:rPr>
          <w:sz w:val="24"/>
          <w:szCs w:val="24"/>
          <w:color w:val="auto"/>
        </w:rPr>
      </w:pPr>
    </w:p>
    <w:tbl>
      <w:tblPr>
        <w:tblLayout w:type="fixed"/>
        <w:tblInd w:w="1740" w:type="dxa"/>
        <w:tblCellMar>
          <w:top w:w="0" w:type="dxa"/>
          <w:left w:w="0" w:type="dxa"/>
          <w:bottom w:w="0" w:type="dxa"/>
          <w:right w:w="0" w:type="dxa"/>
        </w:tblCellMar>
      </w:tblPr>
      <w:tr>
        <w:trPr>
          <w:trHeight w:val="278"/>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4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29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2"/>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4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29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8"/>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14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2920" w:type="dxa"/>
            <w:vAlign w:val="bottom"/>
          </w:tcPr>
          <w:p>
            <w:pPr>
              <w:spacing w:after="0"/>
              <w:rPr>
                <w:sz w:val="23"/>
                <w:szCs w:val="23"/>
                <w:color w:val="auto"/>
              </w:rPr>
            </w:pPr>
          </w:p>
        </w:tc>
        <w:tc>
          <w:tcPr>
            <w:tcW w:w="520" w:type="dxa"/>
            <w:vAlign w:val="bottom"/>
          </w:tcPr>
          <w:p>
            <w:pPr>
              <w:spacing w:after="0"/>
              <w:rPr>
                <w:sz w:val="23"/>
                <w:szCs w:val="23"/>
                <w:color w:val="auto"/>
              </w:rPr>
            </w:pPr>
          </w:p>
        </w:tc>
      </w:tr>
    </w:tbl>
    <w:p>
      <w:pPr>
        <w:spacing w:after="0" w:line="100" w:lineRule="exact"/>
        <w:rPr>
          <w:sz w:val="24"/>
          <w:szCs w:val="24"/>
          <w:color w:val="auto"/>
        </w:rPr>
      </w:pPr>
    </w:p>
    <w:p>
      <w:pPr>
        <w:ind w:firstLine="318"/>
        <w:spacing w:after="0" w:line="21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64" w:lineRule="exact"/>
        <w:rPr>
          <w:sz w:val="24"/>
          <w:szCs w:val="24"/>
          <w:color w:val="auto"/>
        </w:rPr>
      </w:pPr>
    </w:p>
    <w:p>
      <w:pPr>
        <w:ind w:left="3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3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There were 298,134,245 shares of capital stock outstanding as of December 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577850</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80" w:type="dxa"/>
            <w:vAlign w:val="bottom"/>
            <w:gridSpan w:val="4"/>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70"/>
        </w:trPr>
        <w:tc>
          <w:tcPr>
            <w:tcW w:w="20" w:type="dxa"/>
            <w:vAlign w:val="bottom"/>
          </w:tcPr>
          <w:p>
            <w:pPr>
              <w:spacing w:after="0"/>
              <w:rPr>
                <w:sz w:val="24"/>
                <w:szCs w:val="24"/>
                <w:color w:val="auto"/>
              </w:rPr>
            </w:pPr>
          </w:p>
        </w:tc>
        <w:tc>
          <w:tcPr>
            <w:tcW w:w="29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6"/>
              </w:rPr>
              <w:t>PART I - FINANCIAL INFORMATION</w:t>
            </w:r>
          </w:p>
        </w:tc>
        <w:tc>
          <w:tcPr>
            <w:tcW w:w="1760" w:type="dxa"/>
            <w:vAlign w:val="bottom"/>
            <w:gridSpan w:val="7"/>
          </w:tcPr>
          <w:p>
            <w:pPr>
              <w:spacing w:after="0"/>
              <w:rPr>
                <w:sz w:val="24"/>
                <w:szCs w:val="24"/>
                <w:color w:val="auto"/>
              </w:rPr>
            </w:pPr>
          </w:p>
        </w:tc>
        <w:tc>
          <w:tcPr>
            <w:tcW w:w="1880" w:type="dxa"/>
            <w:vAlign w:val="bottom"/>
            <w:tcBorders>
              <w:top w:val="single" w:sz="8" w:color="auto"/>
            </w:tcBorders>
            <w:gridSpan w:val="3"/>
          </w:tcPr>
          <w:p>
            <w:pPr>
              <w:spacing w:after="0"/>
              <w:rPr>
                <w:sz w:val="24"/>
                <w:szCs w:val="24"/>
                <w:color w:val="auto"/>
              </w:rPr>
            </w:pPr>
          </w:p>
        </w:tc>
        <w:tc>
          <w:tcPr>
            <w:tcW w:w="1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20" w:type="dxa"/>
            <w:vAlign w:val="bottom"/>
            <w:tcBorders>
              <w:bottom w:val="single" w:sz="8" w:color="0000FF"/>
            </w:tcBorders>
            <w:gridSpan w:val="7"/>
          </w:tcPr>
          <w:p>
            <w:pPr>
              <w:spacing w:after="0" w:line="205" w:lineRule="exact"/>
              <w:rPr>
                <w:sz w:val="20"/>
                <w:szCs w:val="20"/>
                <w:color w:val="auto"/>
              </w:rPr>
            </w:pPr>
            <w:r>
              <w:rPr>
                <w:rFonts w:ascii="Times New Roman" w:cs="Times New Roman" w:eastAsia="Times New Roman" w:hAnsi="Times New Roman"/>
                <w:sz w:val="18"/>
                <w:szCs w:val="18"/>
                <w:color w:val="0000FF"/>
                <w:w w:val="97"/>
              </w:rPr>
              <w:t>Item 1. Financial Statements</w:t>
            </w:r>
          </w:p>
        </w:tc>
        <w:tc>
          <w:tcPr>
            <w:tcW w:w="4840" w:type="dxa"/>
            <w:vAlign w:val="bottom"/>
            <w:gridSpan w:val="12"/>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20" w:type="dxa"/>
            <w:vAlign w:val="bottom"/>
            <w:tcBorders>
              <w:bottom w:val="single" w:sz="8" w:color="0000FF"/>
            </w:tcBorders>
            <w:gridSpan w:val="11"/>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Earnings</w:t>
            </w:r>
          </w:p>
        </w:tc>
        <w:tc>
          <w:tcPr>
            <w:tcW w:w="4040" w:type="dxa"/>
            <w:vAlign w:val="bottom"/>
            <w:gridSpan w:val="7"/>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80" w:type="dxa"/>
            <w:vAlign w:val="bottom"/>
            <w:tcBorders>
              <w:bottom w:val="single" w:sz="8" w:color="0000FF"/>
            </w:tcBorders>
            <w:gridSpan w:val="14"/>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Comprehensive Income</w:t>
            </w:r>
          </w:p>
        </w:tc>
        <w:tc>
          <w:tcPr>
            <w:tcW w:w="2980" w:type="dxa"/>
            <w:vAlign w:val="bottom"/>
            <w:gridSpan w:val="4"/>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4</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Borders>
              <w:bottom w:val="single" w:sz="8" w:color="0000FF"/>
            </w:tcBorders>
            <w:gridSpan w:val="8"/>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Balance Sheets</w:t>
            </w:r>
          </w:p>
        </w:tc>
        <w:tc>
          <w:tcPr>
            <w:tcW w:w="4600" w:type="dxa"/>
            <w:vAlign w:val="bottom"/>
            <w:gridSpan w:val="10"/>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5</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20" w:type="dxa"/>
            <w:vAlign w:val="bottom"/>
            <w:tcBorders>
              <w:bottom w:val="single" w:sz="8" w:color="0000FF"/>
            </w:tcBorders>
            <w:gridSpan w:val="12"/>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Cash Flows</w:t>
            </w:r>
          </w:p>
        </w:tc>
        <w:tc>
          <w:tcPr>
            <w:tcW w:w="3840" w:type="dxa"/>
            <w:vAlign w:val="bottom"/>
            <w:gridSpan w:val="6"/>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6</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60" w:type="dxa"/>
            <w:vAlign w:val="bottom"/>
            <w:gridSpan w:val="18"/>
          </w:tcPr>
          <w:p>
            <w:pPr>
              <w:spacing w:after="0" w:line="205" w:lineRule="exact"/>
              <w:rPr>
                <w:sz w:val="20"/>
                <w:szCs w:val="20"/>
                <w:color w:val="auto"/>
              </w:rPr>
            </w:pPr>
            <w:r>
              <w:rPr>
                <w:rFonts w:ascii="Times New Roman" w:cs="Times New Roman" w:eastAsia="Times New Roman" w:hAnsi="Times New Roman"/>
                <w:sz w:val="18"/>
                <w:szCs w:val="18"/>
                <w:color w:val="0000FF"/>
              </w:rPr>
              <w:t>Consolidated Statements of Equity</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rPr>
              <w:t>7</w:t>
            </w:r>
          </w:p>
        </w:tc>
        <w:tc>
          <w:tcPr>
            <w:tcW w:w="1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00" w:type="dxa"/>
            <w:vAlign w:val="bottom"/>
            <w:tcBorders>
              <w:bottom w:val="single" w:sz="8" w:color="0000FF"/>
            </w:tcBorders>
            <w:gridSpan w:val="13"/>
          </w:tcPr>
          <w:p>
            <w:pPr>
              <w:spacing w:after="0" w:line="205" w:lineRule="exact"/>
              <w:rPr>
                <w:sz w:val="20"/>
                <w:szCs w:val="20"/>
                <w:color w:val="auto"/>
              </w:rPr>
            </w:pPr>
            <w:r>
              <w:rPr>
                <w:rFonts w:ascii="Times New Roman" w:cs="Times New Roman" w:eastAsia="Times New Roman" w:hAnsi="Times New Roman"/>
                <w:sz w:val="18"/>
                <w:szCs w:val="18"/>
                <w:color w:val="0000FF"/>
                <w:w w:val="97"/>
              </w:rPr>
              <w:t>Notes to Consolidated Financial Statements</w:t>
            </w:r>
          </w:p>
        </w:tc>
        <w:tc>
          <w:tcPr>
            <w:tcW w:w="3560" w:type="dxa"/>
            <w:vAlign w:val="bottom"/>
            <w:gridSpan w:val="5"/>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8</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60" w:type="dxa"/>
            <w:vAlign w:val="bottom"/>
            <w:tcBorders>
              <w:bottom w:val="single" w:sz="8" w:color="0000FF"/>
            </w:tcBorders>
            <w:gridSpan w:val="19"/>
          </w:tcPr>
          <w:p>
            <w:pPr>
              <w:spacing w:after="0" w:line="205" w:lineRule="exact"/>
              <w:rPr>
                <w:sz w:val="20"/>
                <w:szCs w:val="20"/>
                <w:color w:val="auto"/>
              </w:rPr>
            </w:pPr>
            <w:r>
              <w:rPr>
                <w:rFonts w:ascii="Times New Roman" w:cs="Times New Roman" w:eastAsia="Times New Roman" w:hAnsi="Times New Roman"/>
                <w:sz w:val="18"/>
                <w:szCs w:val="18"/>
                <w:color w:val="0000FF"/>
                <w:w w:val="97"/>
              </w:rPr>
              <w:t>Item 2. Management's Discussion and Analysis of Financial Condition and Results of Operations</w:t>
            </w:r>
          </w:p>
        </w:tc>
        <w:tc>
          <w:tcPr>
            <w:tcW w:w="2280" w:type="dxa"/>
            <w:vAlign w:val="bottom"/>
          </w:tcPr>
          <w:p>
            <w:pPr>
              <w:spacing w:after="0"/>
              <w:rPr>
                <w:sz w:val="17"/>
                <w:szCs w:val="17"/>
                <w:color w:val="auto"/>
              </w:rPr>
            </w:pPr>
          </w:p>
        </w:tc>
        <w:tc>
          <w:tcPr>
            <w:tcW w:w="180" w:type="dxa"/>
            <w:vAlign w:val="bottom"/>
            <w:tcBorders>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25</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6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Item 3. Quantitative and Qualitative Disclosure About Market Risk</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34</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80" w:type="dxa"/>
            <w:vAlign w:val="bottom"/>
            <w:tcBorders>
              <w:top w:val="single" w:sz="8" w:color="0000FF"/>
              <w:bottom w:val="single" w:sz="8" w:color="0000FF"/>
            </w:tcBorders>
            <w:gridSpan w:val="10"/>
          </w:tcPr>
          <w:p>
            <w:pPr>
              <w:spacing w:after="0" w:line="205" w:lineRule="exact"/>
              <w:rPr>
                <w:sz w:val="20"/>
                <w:szCs w:val="20"/>
                <w:color w:val="auto"/>
              </w:rPr>
            </w:pPr>
            <w:r>
              <w:rPr>
                <w:rFonts w:ascii="Times New Roman" w:cs="Times New Roman" w:eastAsia="Times New Roman" w:hAnsi="Times New Roman"/>
                <w:sz w:val="18"/>
                <w:szCs w:val="18"/>
                <w:color w:val="0000FF"/>
                <w:w w:val="97"/>
              </w:rPr>
              <w:t>Item 4. Controls and Procedures</w:t>
            </w:r>
          </w:p>
        </w:tc>
        <w:tc>
          <w:tcPr>
            <w:tcW w:w="2460" w:type="dxa"/>
            <w:vAlign w:val="bottom"/>
            <w:tcBorders>
              <w:top w:val="single" w:sz="8" w:color="0000FF"/>
            </w:tcBorders>
            <w:gridSpan w:val="6"/>
          </w:tcPr>
          <w:p>
            <w:pPr>
              <w:spacing w:after="0"/>
              <w:rPr>
                <w:sz w:val="17"/>
                <w:szCs w:val="17"/>
                <w:color w:val="auto"/>
              </w:rPr>
            </w:pPr>
          </w:p>
        </w:tc>
        <w:tc>
          <w:tcPr>
            <w:tcW w:w="2120" w:type="dxa"/>
            <w:vAlign w:val="bottom"/>
            <w:gridSpan w:val="3"/>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34</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64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PART II - OTHER INFORMATION</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35</w:t>
            </w:r>
          </w:p>
        </w:tc>
        <w:tc>
          <w:tcPr>
            <w:tcW w:w="1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gridSpan w:val="11"/>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6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Item 1. Legal Proceedings</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35</w:t>
            </w:r>
          </w:p>
        </w:tc>
        <w:tc>
          <w:tcPr>
            <w:tcW w:w="1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6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35</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0" w:type="dxa"/>
            <w:vAlign w:val="bottom"/>
            <w:tcBorders>
              <w:top w:val="single" w:sz="8" w:color="0000FF"/>
            </w:tcBorders>
            <w:gridSpan w:val="17"/>
          </w:tcPr>
          <w:p>
            <w:pPr>
              <w:spacing w:after="0" w:line="205" w:lineRule="exact"/>
              <w:rPr>
                <w:sz w:val="20"/>
                <w:szCs w:val="20"/>
                <w:color w:val="auto"/>
              </w:rPr>
            </w:pPr>
            <w:r>
              <w:rPr>
                <w:rFonts w:ascii="Times New Roman" w:cs="Times New Roman" w:eastAsia="Times New Roman" w:hAnsi="Times New Roman"/>
                <w:sz w:val="18"/>
                <w:szCs w:val="18"/>
                <w:color w:val="0000FF"/>
              </w:rPr>
              <w:t>Item 5. Other Information</w:t>
            </w:r>
          </w:p>
        </w:tc>
        <w:tc>
          <w:tcPr>
            <w:tcW w:w="2060" w:type="dxa"/>
            <w:vAlign w:val="bottom"/>
            <w:gridSpan w:val="2"/>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top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35</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40" w:type="dxa"/>
            <w:vAlign w:val="bottom"/>
            <w:tcBorders>
              <w:top w:val="single" w:sz="8" w:color="0000FF"/>
            </w:tcBorders>
            <w:gridSpan w:val="6"/>
          </w:tcPr>
          <w:p>
            <w:pPr>
              <w:spacing w:after="0" w:line="205" w:lineRule="exact"/>
              <w:rPr>
                <w:sz w:val="20"/>
                <w:szCs w:val="20"/>
                <w:color w:val="auto"/>
              </w:rPr>
            </w:pPr>
            <w:r>
              <w:rPr>
                <w:rFonts w:ascii="Times New Roman" w:cs="Times New Roman" w:eastAsia="Times New Roman" w:hAnsi="Times New Roman"/>
                <w:sz w:val="18"/>
                <w:szCs w:val="18"/>
                <w:color w:val="0000FF"/>
              </w:rPr>
              <w:t>Item 6. Exhibits</w:t>
            </w:r>
          </w:p>
        </w:tc>
        <w:tc>
          <w:tcPr>
            <w:tcW w:w="5020" w:type="dxa"/>
            <w:vAlign w:val="bottom"/>
            <w:gridSpan w:val="13"/>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top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35</w:t>
            </w:r>
          </w:p>
        </w:tc>
        <w:tc>
          <w:tcPr>
            <w:tcW w:w="1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740" w:type="dxa"/>
            <w:vAlign w:val="bottom"/>
            <w:gridSpan w:val="15"/>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680" w:type="dxa"/>
            <w:vAlign w:val="bottom"/>
            <w:tcBorders>
              <w:bottom w:val="single" w:sz="8" w:color="0000FF"/>
            </w:tcBorders>
            <w:gridSpan w:val="4"/>
          </w:tcPr>
          <w:p>
            <w:pPr>
              <w:spacing w:after="0" w:line="205" w:lineRule="exact"/>
              <w:rPr>
                <w:sz w:val="20"/>
                <w:szCs w:val="20"/>
                <w:color w:val="auto"/>
              </w:rPr>
            </w:pPr>
            <w:r>
              <w:rPr>
                <w:rFonts w:ascii="Times New Roman" w:cs="Times New Roman" w:eastAsia="Times New Roman" w:hAnsi="Times New Roman"/>
                <w:sz w:val="18"/>
                <w:szCs w:val="18"/>
                <w:color w:val="0000FF"/>
                <w:w w:val="97"/>
              </w:rPr>
              <w:t>INDEX TO EXHIBITS</w:t>
            </w:r>
          </w:p>
        </w:tc>
        <w:tc>
          <w:tcPr>
            <w:tcW w:w="5960" w:type="dxa"/>
            <w:vAlign w:val="bottom"/>
            <w:gridSpan w:val="16"/>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36</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64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SIGNATURES</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37</w:t>
            </w:r>
          </w:p>
        </w:tc>
        <w:tc>
          <w:tcPr>
            <w:tcW w:w="1120" w:type="dxa"/>
            <w:vAlign w:val="bottom"/>
          </w:tcPr>
          <w:p>
            <w:pPr>
              <w:spacing w:after="0"/>
              <w:rPr>
                <w:sz w:val="17"/>
                <w:szCs w:val="17"/>
                <w:color w:val="auto"/>
              </w:rPr>
            </w:pPr>
          </w:p>
        </w:tc>
      </w:tr>
      <w:tr>
        <w:trPr>
          <w:trHeight w:val="869"/>
        </w:trPr>
        <w:tc>
          <w:tcPr>
            <w:tcW w:w="20" w:type="dxa"/>
            <w:vAlign w:val="bottom"/>
          </w:tcPr>
          <w:p>
            <w:pPr>
              <w:spacing w:after="0"/>
              <w:rPr>
                <w:sz w:val="24"/>
                <w:szCs w:val="24"/>
                <w:color w:val="auto"/>
              </w:rPr>
            </w:pPr>
          </w:p>
        </w:tc>
        <w:tc>
          <w:tcPr>
            <w:tcW w:w="1080" w:type="dxa"/>
            <w:vAlign w:val="bottom"/>
            <w:tcBorders>
              <w:top w:val="single" w:sz="8" w:color="0000FF"/>
            </w:tcBorders>
            <w:gridSpan w:val="3"/>
          </w:tcPr>
          <w:p>
            <w:pPr>
              <w:spacing w:after="0"/>
              <w:rPr>
                <w:sz w:val="24"/>
                <w:szCs w:val="24"/>
                <w:color w:val="auto"/>
              </w:rPr>
            </w:pPr>
          </w:p>
        </w:tc>
        <w:tc>
          <w:tcPr>
            <w:tcW w:w="5460" w:type="dxa"/>
            <w:vAlign w:val="bottom"/>
            <w:gridSpan w:val="16"/>
          </w:tcPr>
          <w:p>
            <w:pPr>
              <w:jc w:val="right"/>
              <w:ind w:right="90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12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2" w:name="page3"/>
    <w:bookmarkEnd w:id="2"/>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CAMPBELL'S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Earnings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6"/>
                <w:szCs w:val="16"/>
                <w:color w:val="auto"/>
              </w:rPr>
            </w:pPr>
          </w:p>
        </w:tc>
      </w:tr>
      <w:tr>
        <w:trPr>
          <w:trHeight w:val="24"/>
        </w:trPr>
        <w:tc>
          <w:tcPr>
            <w:tcW w:w="878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r>
      <w:tr>
        <w:trPr>
          <w:trHeight w:val="186"/>
        </w:trPr>
        <w:tc>
          <w:tcPr>
            <w:tcW w:w="8780" w:type="dxa"/>
            <w:vAlign w:val="bottom"/>
          </w:tcPr>
          <w:p>
            <w:pPr>
              <w:spacing w:after="0"/>
              <w:rPr>
                <w:sz w:val="16"/>
                <w:szCs w:val="16"/>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2, 2025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27, 2024</w:t>
            </w:r>
          </w:p>
        </w:tc>
      </w:tr>
      <w:tr>
        <w:trPr>
          <w:trHeight w:val="225"/>
        </w:trPr>
        <w:tc>
          <w:tcPr>
            <w:tcW w:w="878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4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2,677</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w:t>
            </w:r>
          </w:p>
        </w:tc>
      </w:tr>
      <w:tr>
        <w:trPr>
          <w:trHeight w:val="218"/>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products sold</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 and selling expenses</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253</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Administrative expenses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expenses / (income)</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5"/>
        </w:trPr>
        <w:tc>
          <w:tcPr>
            <w:tcW w:w="8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Restructuring charges</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8"/>
        </w:trPr>
        <w:tc>
          <w:tcPr>
            <w:tcW w:w="8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2,341</w:t>
            </w: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w:t>
            </w:r>
          </w:p>
        </w:tc>
      </w:tr>
      <w:tr>
        <w:trPr>
          <w:trHeight w:val="218"/>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interest and taxes</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25"/>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5"/>
        </w:trPr>
        <w:tc>
          <w:tcPr>
            <w:tcW w:w="8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8"/>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taxes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25"/>
        </w:trPr>
        <w:tc>
          <w:tcPr>
            <w:tcW w:w="8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Taxes on earnings</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8"/>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25"/>
        </w:trPr>
        <w:tc>
          <w:tcPr>
            <w:tcW w:w="8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Less: Net earnings (loss) attributable to noncontrolling interests</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attributable to The Campbell's Company</w:t>
            </w: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w:t>
            </w: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0"/>
        </w:trPr>
        <w:tc>
          <w:tcPr>
            <w:tcW w:w="87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87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Per Share — Basic</w:t>
            </w: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50"/>
        </w:trPr>
        <w:tc>
          <w:tcPr>
            <w:tcW w:w="8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attributable to The Campbell's Company</w:t>
            </w: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0"/>
        </w:trPr>
        <w:tc>
          <w:tcPr>
            <w:tcW w:w="87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8780" w:type="dxa"/>
            <w:vAlign w:val="bottom"/>
            <w:tcBorders>
              <w:bottom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shares outstanding — basic</w:t>
            </w: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298</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298</w:t>
            </w:r>
          </w:p>
        </w:tc>
      </w:tr>
      <w:tr>
        <w:trPr>
          <w:trHeight w:val="20"/>
        </w:trPr>
        <w:tc>
          <w:tcPr>
            <w:tcW w:w="8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18"/>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 Assuming Dilution</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25"/>
        </w:trPr>
        <w:tc>
          <w:tcPr>
            <w:tcW w:w="8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attributable to The Campbell's Company</w:t>
            </w:r>
          </w:p>
        </w:tc>
        <w:tc>
          <w:tcPr>
            <w:tcW w:w="3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0"/>
        </w:trPr>
        <w:tc>
          <w:tcPr>
            <w:tcW w:w="8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43"/>
        </w:trPr>
        <w:tc>
          <w:tcPr>
            <w:tcW w:w="8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assuming dilution</w:t>
            </w:r>
          </w:p>
        </w:tc>
        <w:tc>
          <w:tcPr>
            <w:tcW w:w="3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w:t>
            </w: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0"/>
        </w:trPr>
        <w:tc>
          <w:tcPr>
            <w:tcW w:w="87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THE CAMPBELL'S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Comprehensive Income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4"/>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4"/>
        </w:trPr>
        <w:tc>
          <w:tcPr>
            <w:tcW w:w="5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5"/>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6"/>
        </w:trPr>
        <w:tc>
          <w:tcPr>
            <w:tcW w:w="5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November 2, 2025</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720" w:type="dxa"/>
            <w:vAlign w:val="bottom"/>
            <w:tcBorders>
              <w:bottom w:val="single" w:sz="8" w:color="auto"/>
            </w:tcBorders>
          </w:tcPr>
          <w:p>
            <w:pPr>
              <w:spacing w:after="0"/>
              <w:rPr>
                <w:sz w:val="16"/>
                <w:szCs w:val="16"/>
                <w:color w:val="auto"/>
              </w:rPr>
            </w:pPr>
          </w:p>
        </w:tc>
      </w:tr>
      <w:tr>
        <w:trPr>
          <w:trHeight w:val="134"/>
        </w:trPr>
        <w:tc>
          <w:tcPr>
            <w:tcW w:w="5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ind w:right="102"/>
              <w:spacing w:after="0" w:line="134" w:lineRule="exact"/>
              <w:rPr>
                <w:sz w:val="20"/>
                <w:szCs w:val="20"/>
                <w:color w:val="auto"/>
              </w:rPr>
            </w:pPr>
            <w:r>
              <w:rPr>
                <w:rFonts w:ascii="Times New Roman" w:cs="Times New Roman" w:eastAsia="Times New Roman" w:hAnsi="Times New Roman"/>
                <w:sz w:val="14"/>
                <w:szCs w:val="14"/>
                <w:b w:val="1"/>
                <w:bCs w:val="1"/>
                <w:color w:val="auto"/>
              </w:rPr>
              <w:t>Pre-tax</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w w:val="99"/>
              </w:rPr>
              <w:t>Tax benefit</w:t>
            </w:r>
          </w:p>
        </w:tc>
        <w:tc>
          <w:tcPr>
            <w:tcW w:w="120" w:type="dxa"/>
            <w:vAlign w:val="bottom"/>
          </w:tcPr>
          <w:p>
            <w:pPr>
              <w:spacing w:after="0"/>
              <w:rPr>
                <w:sz w:val="11"/>
                <w:szCs w:val="11"/>
                <w:color w:val="auto"/>
              </w:rPr>
            </w:pPr>
          </w:p>
        </w:tc>
        <w:tc>
          <w:tcPr>
            <w:tcW w:w="700" w:type="dxa"/>
            <w:vAlign w:val="bottom"/>
          </w:tcPr>
          <w:p>
            <w:pPr>
              <w:jc w:val="center"/>
              <w:ind w:right="42"/>
              <w:spacing w:after="0" w:line="134" w:lineRule="exact"/>
              <w:rPr>
                <w:sz w:val="20"/>
                <w:szCs w:val="20"/>
                <w:color w:val="auto"/>
              </w:rPr>
            </w:pPr>
            <w:r>
              <w:rPr>
                <w:rFonts w:ascii="Times New Roman" w:cs="Times New Roman" w:eastAsia="Times New Roman" w:hAnsi="Times New Roman"/>
                <w:sz w:val="14"/>
                <w:szCs w:val="14"/>
                <w:b w:val="1"/>
                <w:bCs w:val="1"/>
                <w:color w:val="auto"/>
                <w:w w:val="97"/>
              </w:rPr>
              <w:t>After-tax</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82"/>
              <w:spacing w:after="0" w:line="134" w:lineRule="exact"/>
              <w:rPr>
                <w:sz w:val="20"/>
                <w:szCs w:val="20"/>
                <w:color w:val="auto"/>
              </w:rPr>
            </w:pPr>
            <w:r>
              <w:rPr>
                <w:rFonts w:ascii="Times New Roman" w:cs="Times New Roman" w:eastAsia="Times New Roman" w:hAnsi="Times New Roman"/>
                <w:sz w:val="14"/>
                <w:szCs w:val="14"/>
                <w:b w:val="1"/>
                <w:bCs w:val="1"/>
                <w:color w:val="auto"/>
              </w:rPr>
              <w:t>Pre-tax</w:t>
            </w:r>
          </w:p>
        </w:tc>
        <w:tc>
          <w:tcPr>
            <w:tcW w:w="100" w:type="dxa"/>
            <w:vAlign w:val="bottom"/>
          </w:tcPr>
          <w:p>
            <w:pPr>
              <w:spacing w:after="0"/>
              <w:rPr>
                <w:sz w:val="11"/>
                <w:szCs w:val="11"/>
                <w:color w:val="auto"/>
              </w:rPr>
            </w:pPr>
          </w:p>
        </w:tc>
        <w:tc>
          <w:tcPr>
            <w:tcW w:w="1060" w:type="dxa"/>
            <w:vAlign w:val="bottom"/>
            <w:gridSpan w:val="4"/>
          </w:tcPr>
          <w:p>
            <w:pPr>
              <w:ind w:left="80"/>
              <w:spacing w:after="0" w:line="134" w:lineRule="exact"/>
              <w:rPr>
                <w:sz w:val="20"/>
                <w:szCs w:val="20"/>
                <w:color w:val="auto"/>
              </w:rPr>
            </w:pPr>
            <w:r>
              <w:rPr>
                <w:rFonts w:ascii="Times New Roman" w:cs="Times New Roman" w:eastAsia="Times New Roman" w:hAnsi="Times New Roman"/>
                <w:sz w:val="14"/>
                <w:szCs w:val="14"/>
                <w:b w:val="1"/>
                <w:bCs w:val="1"/>
                <w:color w:val="auto"/>
              </w:rPr>
              <w:t>Tax benefit</w:t>
            </w:r>
          </w:p>
        </w:tc>
        <w:tc>
          <w:tcPr>
            <w:tcW w:w="720" w:type="dxa"/>
            <w:vAlign w:val="bottom"/>
          </w:tcPr>
          <w:p>
            <w:pPr>
              <w:jc w:val="right"/>
              <w:ind w:right="61"/>
              <w:spacing w:after="0" w:line="134" w:lineRule="exact"/>
              <w:rPr>
                <w:sz w:val="20"/>
                <w:szCs w:val="20"/>
                <w:color w:val="auto"/>
              </w:rPr>
            </w:pPr>
            <w:r>
              <w:rPr>
                <w:rFonts w:ascii="Times New Roman" w:cs="Times New Roman" w:eastAsia="Times New Roman" w:hAnsi="Times New Roman"/>
                <w:sz w:val="14"/>
                <w:szCs w:val="14"/>
                <w:b w:val="1"/>
                <w:bCs w:val="1"/>
                <w:color w:val="auto"/>
              </w:rPr>
              <w:t>After-tax</w:t>
            </w:r>
          </w:p>
        </w:tc>
      </w:tr>
      <w:tr>
        <w:trPr>
          <w:trHeight w:val="191"/>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(expense)</w:t>
            </w:r>
          </w:p>
        </w:tc>
        <w:tc>
          <w:tcPr>
            <w:tcW w:w="12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64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72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1"/>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earnings (loss)</w:t>
            </w: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r>
      <w:tr>
        <w:trPr>
          <w:trHeight w:val="211"/>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Foreign currency translation:</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1"/>
        </w:trPr>
        <w:tc>
          <w:tcPr>
            <w:tcW w:w="5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Cash-flow hedges: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1"/>
        </w:trPr>
        <w:tc>
          <w:tcPr>
            <w:tcW w:w="5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Unrealized gains (losses) arising during the period</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Reclassification adjustment for losses (gains) included in net earnings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1"/>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Pension and other postretirement benefits: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6"/>
        </w:trPr>
        <w:tc>
          <w:tcPr>
            <w:tcW w:w="5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Prior service credit arising during the period</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1"/>
        </w:trPr>
        <w:tc>
          <w:tcPr>
            <w:tcW w:w="57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Reclassification of prior service credit included in net earnings</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2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5"/>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(loss)</w:t>
            </w: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195</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r>
      <w:tr>
        <w:trPr>
          <w:trHeight w:val="205"/>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comprehensive income (loss) attributable to noncontrolling interests</w:t>
            </w: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(loss) attributable to The Campbell's Company</w:t>
            </w: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195</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r>
      <w:tr>
        <w:trPr>
          <w:trHeight w:val="21"/>
        </w:trPr>
        <w:tc>
          <w:tcPr>
            <w:tcW w:w="5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CAMPBELL'S COMPANY</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Balance Sheets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November 2, 2025</w:t>
            </w:r>
          </w:p>
        </w:tc>
        <w:tc>
          <w:tcPr>
            <w:tcW w:w="240" w:type="dxa"/>
            <w:vAlign w:val="bottom"/>
          </w:tcPr>
          <w:p>
            <w:pPr>
              <w:spacing w:after="0"/>
              <w:rPr>
                <w:sz w:val="16"/>
                <w:szCs w:val="16"/>
                <w:color w:val="auto"/>
              </w:rPr>
            </w:pPr>
          </w:p>
        </w:tc>
        <w:tc>
          <w:tcPr>
            <w:tcW w:w="12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August 3, 2025</w:t>
            </w:r>
          </w:p>
        </w:tc>
      </w:tr>
      <w:tr>
        <w:trPr>
          <w:trHeight w:val="24"/>
        </w:trPr>
        <w:tc>
          <w:tcPr>
            <w:tcW w:w="67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5"/>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168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5"/>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768</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r>
      <w:tr>
        <w:trPr>
          <w:trHeight w:val="225"/>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1600" w:type="dxa"/>
            <w:vAlign w:val="bottom"/>
          </w:tcPr>
          <w:p>
            <w:pPr>
              <w:spacing w:after="0"/>
              <w:rPr>
                <w:sz w:val="19"/>
                <w:szCs w:val="19"/>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1,505</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r>
      <w:tr>
        <w:trPr>
          <w:trHeight w:val="225"/>
        </w:trPr>
        <w:tc>
          <w:tcPr>
            <w:tcW w:w="67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16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122</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9"/>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2,563</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w:t>
            </w:r>
          </w:p>
        </w:tc>
      </w:tr>
      <w:tr>
        <w:trPr>
          <w:trHeight w:val="21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Plant assets, net of depreciation</w:t>
            </w:r>
          </w:p>
        </w:tc>
        <w:tc>
          <w:tcPr>
            <w:tcW w:w="16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2,744</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w:t>
            </w: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0" w:type="dxa"/>
            <w:vAlign w:val="bottom"/>
          </w:tcPr>
          <w:p>
            <w:pPr>
              <w:spacing w:after="0"/>
              <w:rPr>
                <w:sz w:val="19"/>
                <w:szCs w:val="19"/>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4,990</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 of amortization</w:t>
            </w:r>
          </w:p>
        </w:tc>
        <w:tc>
          <w:tcPr>
            <w:tcW w:w="16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4,345</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w:t>
            </w:r>
          </w:p>
        </w:tc>
      </w:tr>
      <w:tr>
        <w:trPr>
          <w:trHeight w:val="225"/>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537</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43"/>
        </w:trPr>
        <w:tc>
          <w:tcPr>
            <w:tcW w:w="6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15,179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14,896</w:t>
            </w:r>
          </w:p>
        </w:tc>
      </w:tr>
      <w:tr>
        <w:trPr>
          <w:trHeight w:val="20"/>
        </w:trPr>
        <w:tc>
          <w:tcPr>
            <w:tcW w:w="67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7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5"/>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borrowings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874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25"/>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600" w:type="dxa"/>
            <w:vAlign w:val="bottom"/>
          </w:tcPr>
          <w:p>
            <w:pPr>
              <w:spacing w:after="0"/>
              <w:rPr>
                <w:sz w:val="19"/>
                <w:szCs w:val="19"/>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1,468</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r>
      <w:tr>
        <w:trPr>
          <w:trHeight w:val="225"/>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16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651</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25"/>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Dividends payable</w:t>
            </w:r>
          </w:p>
        </w:tc>
        <w:tc>
          <w:tcPr>
            <w:tcW w:w="1600" w:type="dxa"/>
            <w:vAlign w:val="bottom"/>
          </w:tcPr>
          <w:p>
            <w:pPr>
              <w:spacing w:after="0"/>
              <w:rPr>
                <w:sz w:val="19"/>
                <w:szCs w:val="19"/>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118</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5"/>
        </w:trPr>
        <w:tc>
          <w:tcPr>
            <w:tcW w:w="67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income taxes</w:t>
            </w:r>
          </w:p>
        </w:tc>
        <w:tc>
          <w:tcPr>
            <w:tcW w:w="16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19</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8"/>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3,130</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2,906</w:t>
            </w:r>
          </w:p>
        </w:tc>
      </w:tr>
      <w:tr>
        <w:trPr>
          <w:trHeight w:val="21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6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6,098</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6,095</w:t>
            </w: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1600" w:type="dxa"/>
            <w:vAlign w:val="bottom"/>
          </w:tcPr>
          <w:p>
            <w:pPr>
              <w:spacing w:after="0"/>
              <w:rPr>
                <w:sz w:val="19"/>
                <w:szCs w:val="19"/>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1,380</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r>
      <w:tr>
        <w:trPr>
          <w:trHeight w:val="225"/>
        </w:trPr>
        <w:tc>
          <w:tcPr>
            <w:tcW w:w="6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612</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r>
      <w:tr>
        <w:trPr>
          <w:trHeight w:val="218"/>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11,220</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10,992</w:t>
            </w:r>
          </w:p>
        </w:tc>
      </w:tr>
      <w:tr>
        <w:trPr>
          <w:trHeight w:val="21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color w:val="auto"/>
              </w:rPr>
              <w:t>(Note 15)</w:t>
            </w:r>
          </w:p>
        </w:tc>
        <w:tc>
          <w:tcPr>
            <w:tcW w:w="16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The Campbell's Company shareholders' equity</w:t>
            </w:r>
          </w:p>
        </w:tc>
        <w:tc>
          <w:tcPr>
            <w:tcW w:w="16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5"/>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Preferred stock; authorized 40 shares; none issued</w:t>
            </w:r>
          </w:p>
        </w:tc>
        <w:tc>
          <w:tcPr>
            <w:tcW w:w="16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 stock, $.0375 par value; authorized 560 shares; issued 323 shares</w:t>
            </w:r>
          </w:p>
        </w:tc>
        <w:tc>
          <w:tcPr>
            <w:tcW w:w="1600" w:type="dxa"/>
            <w:vAlign w:val="bottom"/>
          </w:tcPr>
          <w:p>
            <w:pPr>
              <w:spacing w:after="0"/>
              <w:rPr>
                <w:sz w:val="19"/>
                <w:szCs w:val="19"/>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5"/>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379</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25"/>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Earnings retained in the business</w:t>
            </w:r>
          </w:p>
        </w:tc>
        <w:tc>
          <w:tcPr>
            <w:tcW w:w="1600" w:type="dxa"/>
            <w:vAlign w:val="bottom"/>
          </w:tcPr>
          <w:p>
            <w:pPr>
              <w:spacing w:after="0"/>
              <w:rPr>
                <w:sz w:val="19"/>
                <w:szCs w:val="19"/>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4,769</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w:t>
            </w:r>
          </w:p>
        </w:tc>
      </w:tr>
      <w:tr>
        <w:trPr>
          <w:trHeight w:val="225"/>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Capital stock in treasury, at cost</w:t>
            </w:r>
          </w:p>
        </w:tc>
        <w:tc>
          <w:tcPr>
            <w:tcW w:w="16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(1,189)</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r>
      <w:tr>
        <w:trPr>
          <w:trHeight w:val="225"/>
        </w:trPr>
        <w:tc>
          <w:tcPr>
            <w:tcW w:w="6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6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8"/>
        </w:trPr>
        <w:tc>
          <w:tcPr>
            <w:tcW w:w="6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The Campbell's Company shareholders' equity</w:t>
            </w:r>
          </w:p>
        </w:tc>
        <w:tc>
          <w:tcPr>
            <w:tcW w:w="16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3,957</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w:t>
            </w:r>
          </w:p>
        </w:tc>
      </w:tr>
      <w:tr>
        <w:trPr>
          <w:trHeight w:val="218"/>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9"/>
        </w:trPr>
        <w:tc>
          <w:tcPr>
            <w:tcW w:w="6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6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3,959</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w:t>
            </w:r>
          </w:p>
        </w:tc>
      </w:tr>
      <w:tr>
        <w:trPr>
          <w:trHeight w:val="218"/>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15,179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14,896</w:t>
            </w:r>
          </w:p>
        </w:tc>
      </w:tr>
      <w:tr>
        <w:trPr>
          <w:trHeight w:val="20"/>
        </w:trPr>
        <w:tc>
          <w:tcPr>
            <w:tcW w:w="67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73"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THE CAMPBELL'S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6"/>
                <w:szCs w:val="16"/>
                <w:color w:val="auto"/>
              </w:rPr>
            </w:pPr>
          </w:p>
        </w:tc>
      </w:tr>
      <w:tr>
        <w:trPr>
          <w:trHeight w:val="24"/>
        </w:trPr>
        <w:tc>
          <w:tcPr>
            <w:tcW w:w="878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r>
      <w:tr>
        <w:trPr>
          <w:trHeight w:val="186"/>
        </w:trPr>
        <w:tc>
          <w:tcPr>
            <w:tcW w:w="8780" w:type="dxa"/>
            <w:vAlign w:val="bottom"/>
          </w:tcPr>
          <w:p>
            <w:pPr>
              <w:spacing w:after="0"/>
              <w:rPr>
                <w:sz w:val="16"/>
                <w:szCs w:val="16"/>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2, 2025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27, 2024</w:t>
            </w:r>
          </w:p>
        </w:tc>
      </w:tr>
      <w:tr>
        <w:trPr>
          <w:trHeight w:val="212"/>
        </w:trPr>
        <w:tc>
          <w:tcPr>
            <w:tcW w:w="8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w:t>
            </w:r>
          </w:p>
        </w:tc>
        <w:tc>
          <w:tcPr>
            <w:tcW w:w="340" w:type="dxa"/>
            <w:vAlign w:val="bottom"/>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w:t>
            </w:r>
          </w:p>
        </w:tc>
        <w:tc>
          <w:tcPr>
            <w:tcW w:w="100" w:type="dxa"/>
            <w:vAlign w:val="bottom"/>
          </w:tcPr>
          <w:p>
            <w:pPr>
              <w:spacing w:after="0"/>
              <w:rPr>
                <w:sz w:val="19"/>
                <w:szCs w:val="19"/>
                <w:color w:val="auto"/>
              </w:rPr>
            </w:pPr>
          </w:p>
        </w:tc>
        <w:tc>
          <w:tcPr>
            <w:tcW w:w="660" w:type="dxa"/>
            <w:vAlign w:val="bottom"/>
          </w:tcPr>
          <w:p>
            <w:pPr>
              <w:jc w:val="right"/>
              <w:ind w:right="47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earnings to operating cash flow</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Restructuring charges</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Pension and postretirement benefit expense (income)</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sale of business</w:t>
            </w: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working capital, net of divestitures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(191)</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5"/>
        </w:trPr>
        <w:tc>
          <w:tcPr>
            <w:tcW w:w="8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8"/>
        </w:trPr>
        <w:tc>
          <w:tcPr>
            <w:tcW w:w="87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w:t>
            </w: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18"/>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plant assets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routes</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of routes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of businesses</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5"/>
        </w:trPr>
        <w:tc>
          <w:tcPr>
            <w:tcW w:w="8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8"/>
        </w:trPr>
        <w:tc>
          <w:tcPr>
            <w:tcW w:w="87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8"/>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borrowings, including commercial paper</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788</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repayments, including commercial paper</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borrowings</w:t>
            </w:r>
          </w:p>
        </w:tc>
        <w:tc>
          <w:tcPr>
            <w:tcW w:w="3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repayments</w:t>
            </w: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stock purchases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related to tax withholding for stock-based compensation</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5"/>
        </w:trPr>
        <w:tc>
          <w:tcPr>
            <w:tcW w:w="8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8"/>
        </w:trPr>
        <w:tc>
          <w:tcPr>
            <w:tcW w:w="87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19"/>
        </w:trPr>
        <w:tc>
          <w:tcPr>
            <w:tcW w:w="8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8"/>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25"/>
        </w:trPr>
        <w:tc>
          <w:tcPr>
            <w:tcW w:w="8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8"/>
        </w:trPr>
        <w:tc>
          <w:tcPr>
            <w:tcW w:w="8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34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r>
      <w:tr>
        <w:trPr>
          <w:trHeight w:val="20"/>
        </w:trPr>
        <w:tc>
          <w:tcPr>
            <w:tcW w:w="8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CAMPBELL'S COMPANY</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Equity</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gridSpan w:val="7"/>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The Campbell's Company Shareholders’ Equity</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3"/>
          </w:tcPr>
          <w:p>
            <w:pPr>
              <w:jc w:val="right"/>
              <w:ind w:right="329"/>
              <w:spacing w:after="0" w:line="128" w:lineRule="exact"/>
              <w:rPr>
                <w:sz w:val="20"/>
                <w:szCs w:val="20"/>
                <w:color w:val="auto"/>
              </w:rPr>
            </w:pPr>
            <w:r>
              <w:rPr>
                <w:rFonts w:ascii="Times New Roman" w:cs="Times New Roman" w:eastAsia="Times New Roman" w:hAnsi="Times New Roman"/>
                <w:sz w:val="14"/>
                <w:szCs w:val="14"/>
                <w:b w:val="1"/>
                <w:bCs w:val="1"/>
                <w:color w:val="auto"/>
              </w:rPr>
              <w:t>Capital Stock</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center"/>
              <w:ind w:right="69"/>
              <w:spacing w:after="0" w:line="128"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208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vMerge w:val="restart"/>
          </w:tcPr>
          <w:p>
            <w:pPr>
              <w:ind w:left="40"/>
              <w:spacing w:after="0" w:line="144"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5"/>
                <w:szCs w:val="5"/>
                <w:color w:val="auto"/>
              </w:rPr>
            </w:pPr>
          </w:p>
        </w:tc>
        <w:tc>
          <w:tcPr>
            <w:tcW w:w="880" w:type="dxa"/>
            <w:vAlign w:val="bottom"/>
            <w:vMerge w:val="restart"/>
          </w:tcPr>
          <w:p>
            <w:pPr>
              <w:jc w:val="center"/>
              <w:ind w:right="69"/>
              <w:spacing w:after="0" w:line="144" w:lineRule="exact"/>
              <w:rPr>
                <w:sz w:val="20"/>
                <w:szCs w:val="20"/>
                <w:color w:val="auto"/>
              </w:rPr>
            </w:pPr>
            <w:r>
              <w:rPr>
                <w:rFonts w:ascii="Times New Roman" w:cs="Times New Roman" w:eastAsia="Times New Roman" w:hAnsi="Times New Roman"/>
                <w:sz w:val="14"/>
                <w:szCs w:val="14"/>
                <w:b w:val="1"/>
                <w:bCs w:val="1"/>
                <w:color w:val="auto"/>
              </w:rPr>
              <w:t>Retained in</w:t>
            </w:r>
          </w:p>
        </w:tc>
        <w:tc>
          <w:tcPr>
            <w:tcW w:w="1340" w:type="dxa"/>
            <w:vAlign w:val="bottom"/>
            <w:gridSpan w:val="2"/>
            <w:vMerge w:val="restart"/>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2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2080" w:type="dxa"/>
            <w:vAlign w:val="bottom"/>
          </w:tcPr>
          <w:p>
            <w:pPr>
              <w:spacing w:after="0"/>
              <w:rPr>
                <w:sz w:val="5"/>
                <w:szCs w:val="5"/>
                <w:color w:val="auto"/>
              </w:rPr>
            </w:pPr>
          </w:p>
        </w:tc>
        <w:tc>
          <w:tcPr>
            <w:tcW w:w="1540" w:type="dxa"/>
            <w:vAlign w:val="bottom"/>
            <w:gridSpan w:val="3"/>
            <w:vMerge w:val="restart"/>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20" w:type="dxa"/>
            <w:vAlign w:val="bottom"/>
            <w:vMerge w:val="restart"/>
          </w:tcPr>
          <w:p>
            <w:pPr>
              <w:spacing w:after="0"/>
              <w:rPr>
                <w:sz w:val="5"/>
                <w:szCs w:val="5"/>
                <w:color w:val="auto"/>
              </w:rPr>
            </w:pPr>
          </w:p>
        </w:tc>
        <w:tc>
          <w:tcPr>
            <w:tcW w:w="1540" w:type="dxa"/>
            <w:vAlign w:val="bottom"/>
            <w:gridSpan w:val="3"/>
            <w:vMerge w:val="restart"/>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In Treasury</w:t>
            </w:r>
          </w:p>
        </w:tc>
        <w:tc>
          <w:tcPr>
            <w:tcW w:w="2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2080" w:type="dxa"/>
            <w:vAlign w:val="bottom"/>
          </w:tcPr>
          <w:p>
            <w:pPr>
              <w:spacing w:after="0"/>
              <w:rPr>
                <w:sz w:val="10"/>
                <w:szCs w:val="10"/>
                <w:color w:val="auto"/>
              </w:rPr>
            </w:pPr>
          </w:p>
        </w:tc>
        <w:tc>
          <w:tcPr>
            <w:tcW w:w="1540" w:type="dxa"/>
            <w:vAlign w:val="bottom"/>
            <w:tcBorders>
              <w:bottom w:val="single" w:sz="8" w:color="auto"/>
            </w:tcBorders>
            <w:gridSpan w:val="3"/>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540" w:type="dxa"/>
            <w:vAlign w:val="bottom"/>
            <w:tcBorders>
              <w:bottom w:val="single" w:sz="8" w:color="auto"/>
            </w:tcBorders>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0"/>
                <w:szCs w:val="10"/>
                <w:color w:val="auto"/>
              </w:rPr>
            </w:pPr>
          </w:p>
        </w:tc>
        <w:tc>
          <w:tcPr>
            <w:tcW w:w="880" w:type="dxa"/>
            <w:vAlign w:val="bottom"/>
          </w:tcPr>
          <w:p>
            <w:pPr>
              <w:jc w:val="center"/>
              <w:ind w:right="69"/>
              <w:spacing w:after="0" w:line="126" w:lineRule="exact"/>
              <w:rPr>
                <w:sz w:val="20"/>
                <w:szCs w:val="20"/>
                <w:color w:val="auto"/>
              </w:rPr>
            </w:pPr>
            <w:r>
              <w:rPr>
                <w:rFonts w:ascii="Times New Roman" w:cs="Times New Roman" w:eastAsia="Times New Roman" w:hAnsi="Times New Roman"/>
                <w:sz w:val="14"/>
                <w:szCs w:val="14"/>
                <w:b w:val="1"/>
                <w:bCs w:val="1"/>
                <w:color w:val="auto"/>
                <w:w w:val="96"/>
              </w:rPr>
              <w:t>the</w:t>
            </w:r>
          </w:p>
        </w:tc>
        <w:tc>
          <w:tcPr>
            <w:tcW w:w="180" w:type="dxa"/>
            <w:vAlign w:val="bottom"/>
          </w:tcPr>
          <w:p>
            <w:pPr>
              <w:spacing w:after="0"/>
              <w:rPr>
                <w:sz w:val="10"/>
                <w:szCs w:val="10"/>
                <w:color w:val="auto"/>
              </w:rPr>
            </w:pPr>
          </w:p>
        </w:tc>
        <w:tc>
          <w:tcPr>
            <w:tcW w:w="1160" w:type="dxa"/>
            <w:vAlign w:val="bottom"/>
          </w:tcPr>
          <w:p>
            <w:pPr>
              <w:jc w:val="center"/>
              <w:ind w:right="29"/>
              <w:spacing w:after="0" w:line="12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40" w:type="dxa"/>
            <w:vAlign w:val="bottom"/>
          </w:tcPr>
          <w:p>
            <w:pPr>
              <w:spacing w:after="0"/>
              <w:rPr>
                <w:sz w:val="10"/>
                <w:szCs w:val="10"/>
                <w:color w:val="auto"/>
              </w:rPr>
            </w:pPr>
          </w:p>
        </w:tc>
        <w:tc>
          <w:tcPr>
            <w:tcW w:w="1120" w:type="dxa"/>
            <w:vAlign w:val="bottom"/>
          </w:tcPr>
          <w:p>
            <w:pPr>
              <w:jc w:val="right"/>
              <w:ind w:right="109"/>
              <w:spacing w:after="0" w:line="126"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80" w:type="dxa"/>
            <w:vAlign w:val="bottom"/>
          </w:tcPr>
          <w:p>
            <w:pPr>
              <w:spacing w:after="0"/>
              <w:rPr>
                <w:sz w:val="10"/>
                <w:szCs w:val="10"/>
                <w:color w:val="auto"/>
              </w:rPr>
            </w:pPr>
          </w:p>
        </w:tc>
        <w:tc>
          <w:tcPr>
            <w:tcW w:w="820" w:type="dxa"/>
            <w:vAlign w:val="bottom"/>
          </w:tcPr>
          <w:p>
            <w:pPr>
              <w:jc w:val="right"/>
              <w:ind w:right="289"/>
              <w:spacing w:after="0" w:line="126"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20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7"/>
              </w:rPr>
              <w:t>Business</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6"/>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July 28, 2024</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437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4,569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3,796</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218</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0" w:type="dxa"/>
            <w:vAlign w:val="bottom"/>
          </w:tcPr>
          <w:p>
            <w:pPr>
              <w:spacing w:after="0"/>
              <w:rPr>
                <w:sz w:val="1"/>
                <w:szCs w:val="1"/>
                <w:color w:val="auto"/>
              </w:rPr>
            </w:pPr>
          </w:p>
        </w:tc>
      </w:tr>
      <w:tr>
        <w:trPr>
          <w:trHeight w:val="20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1"/>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($.37 per share)</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(111)</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20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purchased</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36"/>
        </w:trPr>
        <w:tc>
          <w:tcPr>
            <w:tcW w:w="208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Treasury stock issued under stock-</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220" w:type="dxa"/>
            <w:vAlign w:val="bottom"/>
          </w:tcPr>
          <w:p>
            <w:pPr>
              <w:spacing w:after="0"/>
              <w:rPr>
                <w:sz w:val="11"/>
                <w:szCs w:val="11"/>
                <w:color w:val="auto"/>
              </w:rPr>
            </w:pPr>
          </w:p>
        </w:tc>
        <w:tc>
          <w:tcPr>
            <w:tcW w:w="860" w:type="dxa"/>
            <w:vAlign w:val="bottom"/>
            <w:vMerge w:val="restart"/>
          </w:tcPr>
          <w:p>
            <w:pPr>
              <w:ind w:left="560"/>
              <w:spacing w:after="0"/>
              <w:rPr>
                <w:sz w:val="20"/>
                <w:szCs w:val="20"/>
                <w:color w:val="auto"/>
              </w:rPr>
            </w:pPr>
            <w:r>
              <w:rPr>
                <w:rFonts w:ascii="Times New Roman" w:cs="Times New Roman" w:eastAsia="Times New Roman" w:hAnsi="Times New Roman"/>
                <w:sz w:val="14"/>
                <w:szCs w:val="14"/>
                <w:color w:val="auto"/>
              </w:rPr>
              <w:t>(44)</w:t>
            </w:r>
          </w:p>
        </w:tc>
        <w:tc>
          <w:tcPr>
            <w:tcW w:w="160" w:type="dxa"/>
            <w:vAlign w:val="bottom"/>
          </w:tcPr>
          <w:p>
            <w:pPr>
              <w:spacing w:after="0"/>
              <w:rPr>
                <w:sz w:val="11"/>
                <w:szCs w:val="11"/>
                <w:color w:val="auto"/>
              </w:rPr>
            </w:pPr>
          </w:p>
        </w:tc>
        <w:tc>
          <w:tcPr>
            <w:tcW w:w="8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(16)</w:t>
            </w: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9"/>
        </w:trPr>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based compensation plans</w:t>
            </w: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October 27, 2024</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393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4,660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3,844</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20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August 3, 2025</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418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4,694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3,904</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earnings (loss)</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194</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194</w:t>
            </w:r>
          </w:p>
        </w:tc>
        <w:tc>
          <w:tcPr>
            <w:tcW w:w="0" w:type="dxa"/>
            <w:vAlign w:val="bottom"/>
          </w:tcPr>
          <w:p>
            <w:pPr>
              <w:spacing w:after="0"/>
              <w:rPr>
                <w:sz w:val="1"/>
                <w:szCs w:val="1"/>
                <w:color w:val="auto"/>
              </w:rPr>
            </w:pPr>
          </w:p>
        </w:tc>
      </w:tr>
      <w:tr>
        <w:trPr>
          <w:trHeight w:val="141"/>
        </w:trPr>
        <w:tc>
          <w:tcPr>
            <w:tcW w:w="208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2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197"/>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($.39 per share)</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(118)</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(118)</w:t>
            </w:r>
          </w:p>
        </w:tc>
        <w:tc>
          <w:tcPr>
            <w:tcW w:w="0" w:type="dxa"/>
            <w:vAlign w:val="bottom"/>
          </w:tcPr>
          <w:p>
            <w:pPr>
              <w:spacing w:after="0"/>
              <w:rPr>
                <w:sz w:val="1"/>
                <w:szCs w:val="1"/>
                <w:color w:val="auto"/>
              </w:rPr>
            </w:pPr>
          </w:p>
        </w:tc>
      </w:tr>
      <w:tr>
        <w:trPr>
          <w:trHeight w:val="205"/>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Treasury stock purchased</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w:t>
            </w:r>
          </w:p>
        </w:tc>
        <w:tc>
          <w:tcPr>
            <w:tcW w:w="0" w:type="dxa"/>
            <w:vAlign w:val="bottom"/>
          </w:tcPr>
          <w:p>
            <w:pPr>
              <w:spacing w:after="0"/>
              <w:rPr>
                <w:sz w:val="1"/>
                <w:szCs w:val="1"/>
                <w:color w:val="auto"/>
              </w:rPr>
            </w:pPr>
          </w:p>
        </w:tc>
      </w:tr>
      <w:tr>
        <w:trPr>
          <w:trHeight w:val="134"/>
        </w:trPr>
        <w:tc>
          <w:tcPr>
            <w:tcW w:w="2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Treasury stock issued under</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1</w:t>
            </w:r>
          </w:p>
        </w:tc>
        <w:tc>
          <w:tcPr>
            <w:tcW w:w="1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42</w:t>
            </w:r>
          </w:p>
        </w:tc>
        <w:tc>
          <w:tcPr>
            <w:tcW w:w="220" w:type="dxa"/>
            <w:vAlign w:val="bottom"/>
          </w:tcPr>
          <w:p>
            <w:pPr>
              <w:spacing w:after="0"/>
              <w:rPr>
                <w:sz w:val="11"/>
                <w:szCs w:val="11"/>
                <w:color w:val="auto"/>
              </w:rPr>
            </w:pPr>
          </w:p>
        </w:tc>
        <w:tc>
          <w:tcPr>
            <w:tcW w:w="86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(39)</w:t>
            </w:r>
          </w:p>
        </w:tc>
        <w:tc>
          <w:tcPr>
            <w:tcW w:w="160" w:type="dxa"/>
            <w:vAlign w:val="bottom"/>
          </w:tcPr>
          <w:p>
            <w:pPr>
              <w:spacing w:after="0"/>
              <w:rPr>
                <w:sz w:val="11"/>
                <w:szCs w:val="11"/>
                <w:color w:val="auto"/>
              </w:rPr>
            </w:pPr>
          </w:p>
        </w:tc>
        <w:tc>
          <w:tcPr>
            <w:tcW w:w="8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w:t>
            </w: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0" w:type="dxa"/>
            <w:vAlign w:val="bottom"/>
          </w:tcPr>
          <w:p>
            <w:pPr>
              <w:spacing w:after="0"/>
              <w:rPr>
                <w:sz w:val="1"/>
                <w:szCs w:val="1"/>
                <w:color w:val="auto"/>
              </w:rPr>
            </w:pPr>
          </w:p>
        </w:tc>
      </w:tr>
      <w:tr>
        <w:trPr>
          <w:trHeight w:val="191"/>
        </w:trPr>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stock-based compensation plans</w:t>
            </w: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November 2, 2025</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(1,189)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379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4,769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w:t>
            </w:r>
          </w:p>
        </w:tc>
        <w:tc>
          <w:tcPr>
            <w:tcW w:w="2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3,959</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755"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Significant Accounting Policies</w:t>
      </w:r>
    </w:p>
    <w:p>
      <w:pPr>
        <w:spacing w:after="0" w:line="87"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In this Form 10-Q, unless otherwise stated, the terms "we," "us," "our" and the "company" refer to The Campbell's Company and its consolidated subsidiaries.</w:t>
      </w:r>
    </w:p>
    <w:p>
      <w:pPr>
        <w:spacing w:after="0" w:line="4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financial statements reflect all adjustments which are, in our opinion, necessary for a fair statement of the results of operations, financial position and cash flows for the indicated periods. The accounting policies we used in preparing these financial statements are substantially consistent with those we applied in our Annual Report on Form 10-K for the year ended August 3, 2025. Certain reclassifications to our previously reported financial information were made to conform to the current-period presentation.</w:t>
      </w:r>
    </w:p>
    <w:p>
      <w:pPr>
        <w:spacing w:after="0" w:line="6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results for the period are not necessarily indicative of the results to be expected for other interim periods or the full year. Our fiscal year ends on the Sunday nearest July 31, which is August 2, 2026. There will be 52 weeks in 2026. There were 53 weeks in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10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guidance to improve income tax disclosures by requiring disaggregated information about a reporting entity’s effective tax rate reconciliation as well as information on income taxes paid. The guidance is effective for annual periods beginning after December 15, 2024. The guidance should be applied on a prospective basis with the option to apply the standard retrospectively. Early adoption is permitted. We are currently evaluating the impact that the new guidance will have on our consolidated financial statements.</w:t>
      </w:r>
    </w:p>
    <w:p>
      <w:pPr>
        <w:spacing w:after="0" w:line="6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November 2024, the FASB issued guidance to improve disclosures by requiring additional details about specific types of expenses (purchases of inventory, employee compensation, depreciation and intangible asset amortization) included in certain expense captions. The guidance requires disclosure of the total amount of selling expenses and, on an annual basis, disclosure of the definition of selling expenses. The guidance is effective for fiscal years beginning after December 15, 2026, and interim periods within fiscal years beginning after December 15, 2027. Early adoption is permitted. The guidance should be applied on a prospective basis with the option to apply the standard retrospectively. We are currently evaluating the impact that the new guidance will have on our consolidated financial statements.</w:t>
      </w:r>
    </w:p>
    <w:p>
      <w:pPr>
        <w:spacing w:after="0" w:line="5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September 2025, the FASB issued guidance to clarify and modernize the accounting for costs related to internal-use software. The guidance eliminates references to various stages of a software development project and clarifies the threshold to apply to begin capitalizing costs. The guidance is effective for fiscal years beginning after December 15, 2027, and interim periods within those fiscal years. The guidance should be applied on a prospective basis with the option to apply the standard retrospectively or using a modified transition approach. Early adoption is permitted. We are currently evaluating the impact that the new guidance will have on our consolidated financial statements.</w:t>
      </w:r>
    </w:p>
    <w:p>
      <w:pPr>
        <w:spacing w:after="0" w:line="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November 2025, the FASB issued guidance to clarify and improve hedge accounting guidance. The guidance, which is intended to more closely align hedge accounting with the economics of an entity’s risk management activities, is effective for fiscal years beginning after December 15, 2026, and interim periods within those fiscal years. Early adoption is permitted. We are currently evaluating the impact that the new guidance will have on our consolidated financial statements.</w:t>
      </w:r>
    </w:p>
    <w:p>
      <w:pPr>
        <w:spacing w:after="0" w:line="6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December 2025, the FASB issued authoritative guidance on the accounting for government grants received by business entities. The guidance defines government grants and establishes recognition, presentation and disclosure requirements. The guidance is effective for fiscal years beginning after December 15, 2028, and interim periods within those fiscal years. The guidance may be applied on a modified transition approach or retrospectively. Early adoption is permitted. We are currently evaluating the impact that the new guidance will have on our consolidated financial statements.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3. Divestitures</w:t>
      </w:r>
    </w:p>
    <w:p>
      <w:pPr>
        <w:spacing w:after="0" w:line="8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August 26, 2024, we completed the sale of our Pop Secret popcorn business for $70 million. We recognized a pre-tax loss on the sale of $25 million, or $19 million after tax. In connection with the sale, we provided certain transition services to support the business. The business had net sales of $9 million through August 26, 2024. Earnings were not material. The results of the business were reflected within the Snacks reportable segment.</w:t>
      </w:r>
    </w:p>
    <w:p>
      <w:pPr>
        <w:spacing w:after="0" w:line="59"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We entered into an agreement to sell our noosa yoghurt business in November 2024. The noosa yoghurt business was purchased as part of the Sovos Brands, Inc. (Sovos Brands) acquisition. In the second quarter of 2025, we recorded $15 million of tax expense related to the sale of the business. We completed the sale on February 24, 2025, for $188 million, subject to certain customary purchase price adjustments, which resulted in $5 million of additional proceeds in the first quarter of 2026. The after-tax loss recorded on the sale in 2025 was $15 million. In connection with the sale, we provided certain transition services to support the business. Net sales of the business were $44 million for the three-month period ended October 27, 2024 and $99 million through February 24, 2025. Earnings were not material in the periods. The results of the business were reflected within the Meals &amp; Beverages segment.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Accumulated Other Comprehensive Income (Loss)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(loss) consisted of the following:</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3600" w:type="dxa"/>
            <w:vAlign w:val="bottom"/>
          </w:tcPr>
          <w:p>
            <w:pPr>
              <w:jc w:val="center"/>
              <w:ind w:left="2049"/>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56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1300" w:type="dxa"/>
            <w:vAlign w:val="bottom"/>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w w:val="99"/>
              </w:rPr>
              <w:t>Total Accumulated</w:t>
            </w:r>
          </w:p>
        </w:tc>
        <w:tc>
          <w:tcPr>
            <w:tcW w:w="0" w:type="dxa"/>
            <w:vAlign w:val="bottom"/>
          </w:tcPr>
          <w:p>
            <w:pPr>
              <w:spacing w:after="0"/>
              <w:rPr>
                <w:sz w:val="1"/>
                <w:szCs w:val="1"/>
                <w:color w:val="auto"/>
              </w:rPr>
            </w:pPr>
          </w:p>
        </w:tc>
      </w:tr>
      <w:tr>
        <w:trPr>
          <w:trHeight w:val="133"/>
        </w:trPr>
        <w:tc>
          <w:tcPr>
            <w:tcW w:w="2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600" w:type="dxa"/>
            <w:vAlign w:val="bottom"/>
          </w:tcPr>
          <w:p>
            <w:pPr>
              <w:jc w:val="center"/>
              <w:ind w:left="2069"/>
              <w:spacing w:after="0" w:line="133"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5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Cash-Flow Hedges</w:t>
            </w:r>
            <w:r>
              <w:rPr>
                <w:rFonts w:ascii="Times New Roman" w:cs="Times New Roman" w:eastAsia="Times New Roman" w:hAnsi="Times New Roman"/>
                <w:sz w:val="18"/>
                <w:szCs w:val="18"/>
                <w:b w:val="1"/>
                <w:bCs w:val="1"/>
                <w:color w:val="auto"/>
                <w:vertAlign w:val="superscript"/>
              </w:rPr>
              <w:t>(2)</w:t>
            </w:r>
          </w:p>
        </w:tc>
        <w:tc>
          <w:tcPr>
            <w:tcW w:w="162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Postretirement Benefit</w:t>
            </w:r>
          </w:p>
        </w:tc>
        <w:tc>
          <w:tcPr>
            <w:tcW w:w="1300" w:type="dxa"/>
            <w:vAlign w:val="bottom"/>
          </w:tcPr>
          <w:p>
            <w:pPr>
              <w:jc w:val="center"/>
              <w:ind w:left="89"/>
              <w:spacing w:after="0" w:line="133"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212"/>
        </w:trPr>
        <w:tc>
          <w:tcPr>
            <w:tcW w:w="2940" w:type="dxa"/>
            <w:vAlign w:val="bottom"/>
            <w:vMerge w:val="continue"/>
          </w:tcPr>
          <w:p>
            <w:pPr>
              <w:spacing w:after="0"/>
              <w:rPr>
                <w:sz w:val="18"/>
                <w:szCs w:val="18"/>
                <w:color w:val="auto"/>
              </w:rPr>
            </w:pPr>
          </w:p>
        </w:tc>
        <w:tc>
          <w:tcPr>
            <w:tcW w:w="3600" w:type="dxa"/>
            <w:vAlign w:val="bottom"/>
          </w:tcPr>
          <w:p>
            <w:pPr>
              <w:jc w:val="center"/>
              <w:ind w:left="2069"/>
              <w:spacing w:after="0"/>
              <w:rPr>
                <w:sz w:val="20"/>
                <w:szCs w:val="20"/>
                <w:color w:val="auto"/>
              </w:rPr>
            </w:pPr>
            <w:r>
              <w:rPr>
                <w:rFonts w:ascii="Times New Roman" w:cs="Times New Roman" w:eastAsia="Times New Roman" w:hAnsi="Times New Roman"/>
                <w:sz w:val="14"/>
                <w:szCs w:val="14"/>
                <w:b w:val="1"/>
                <w:bCs w:val="1"/>
                <w:color w:val="auto"/>
                <w:w w:val="95"/>
              </w:rPr>
              <w:t>Adjustments</w:t>
            </w:r>
            <w:r>
              <w:rPr>
                <w:rFonts w:ascii="Times New Roman" w:cs="Times New Roman" w:eastAsia="Times New Roman" w:hAnsi="Times New Roman"/>
                <w:sz w:val="18"/>
                <w:szCs w:val="18"/>
                <w:b w:val="1"/>
                <w:bCs w:val="1"/>
                <w:color w:val="auto"/>
                <w:w w:val="95"/>
                <w:vertAlign w:val="superscript"/>
              </w:rPr>
              <w:t>(1)</w:t>
            </w:r>
          </w:p>
        </w:tc>
        <w:tc>
          <w:tcPr>
            <w:tcW w:w="1560" w:type="dxa"/>
            <w:vAlign w:val="bottom"/>
            <w:vMerge w:val="continue"/>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Plan Adjustments</w:t>
            </w:r>
            <w:r>
              <w:rPr>
                <w:rFonts w:ascii="Times New Roman" w:cs="Times New Roman" w:eastAsia="Times New Roman" w:hAnsi="Times New Roman"/>
                <w:sz w:val="18"/>
                <w:szCs w:val="18"/>
                <w:b w:val="1"/>
                <w:bCs w:val="1"/>
                <w:color w:val="auto"/>
                <w:w w:val="97"/>
                <w:vertAlign w:val="superscript"/>
              </w:rPr>
              <w:t>(3)</w:t>
            </w:r>
          </w:p>
        </w:tc>
        <w:tc>
          <w:tcPr>
            <w:tcW w:w="1300" w:type="dxa"/>
            <w:vAlign w:val="bottom"/>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7101205" cy="1511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1205" cy="15113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p>
      <w:pPr>
        <w:spacing w:after="0" w:line="8" w:lineRule="exact"/>
        <w:rPr>
          <w:sz w:val="20"/>
          <w:szCs w:val="20"/>
          <w:color w:val="auto"/>
        </w:rPr>
      </w:pPr>
    </w:p>
    <w:p>
      <w:pPr>
        <w:ind w:left="20"/>
        <w:spacing w:after="0"/>
        <w:tabs>
          <w:tab w:leader="none" w:pos="5100" w:val="left"/>
        </w:tabs>
        <w:rPr>
          <w:sz w:val="20"/>
          <w:szCs w:val="20"/>
          <w:color w:val="auto"/>
        </w:rPr>
      </w:pPr>
      <w:r>
        <w:rPr>
          <w:rFonts w:ascii="Times New Roman" w:cs="Times New Roman" w:eastAsia="Times New Roman" w:hAnsi="Times New Roman"/>
          <w:sz w:val="18"/>
          <w:szCs w:val="18"/>
          <w:color w:val="auto"/>
        </w:rPr>
        <w:t>Balance at July 28, 2024</w:t>
      </w:r>
      <w:r>
        <w:rPr>
          <w:sz w:val="20"/>
          <w:szCs w:val="20"/>
          <w:color w:val="auto"/>
        </w:rPr>
        <w:tab/>
      </w:r>
      <w:r>
        <w:rPr>
          <w:rFonts w:ascii="Times New Roman" w:cs="Times New Roman" w:eastAsia="Times New Roman" w:hAnsi="Times New Roman"/>
          <w:sz w:val="18"/>
          <w:szCs w:val="18"/>
          <w:color w:val="auto"/>
        </w:rPr>
        <w:t>$</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p>
      <w:pPr>
        <w:spacing w:after="0" w:line="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Losses (gains) reclassified from accumulated other comprehensive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7101205" cy="260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1205" cy="260985"/>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color w:val="auto"/>
        </w:rPr>
        <w:t>income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6"/>
              </w:rPr>
              <w:t>(10)</w:t>
            </w:r>
          </w:p>
        </w:tc>
        <w:tc>
          <w:tcPr>
            <w:tcW w:w="6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5"/>
        </w:trPr>
        <w:tc>
          <w:tcPr>
            <w:tcW w:w="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05"/>
        </w:trPr>
        <w:tc>
          <w:tcPr>
            <w:tcW w:w="4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-411480</wp:posOffset>
            </wp:positionV>
            <wp:extent cx="9169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520" w:space="720"/>
            <w:col w:w="5000"/>
          </w:cols>
          <w:pgMar w:left="320" w:top="967" w:right="339" w:bottom="144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6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October 27, 2024</w:t>
            </w:r>
          </w:p>
        </w:tc>
        <w:tc>
          <w:tcPr>
            <w:tcW w:w="62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August 3, 2025</w:t>
            </w:r>
          </w:p>
        </w:tc>
        <w:tc>
          <w:tcPr>
            <w:tcW w:w="62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8"/>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Other comprehensive income (loss) before reclassifications</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72"/>
        </w:trPr>
        <w:tc>
          <w:tcPr>
            <w:tcW w:w="5100" w:type="dxa"/>
            <w:vAlign w:val="bottom"/>
            <w:shd w:val="clear" w:color="auto" w:fill="CCEEFF"/>
          </w:tcPr>
          <w:p>
            <w:pPr>
              <w:ind w:left="220"/>
              <w:spacing w:after="0" w:line="172" w:lineRule="exact"/>
              <w:rPr>
                <w:sz w:val="20"/>
                <w:szCs w:val="20"/>
                <w:color w:val="auto"/>
              </w:rPr>
            </w:pPr>
            <w:r>
              <w:rPr>
                <w:rFonts w:ascii="Times New Roman" w:cs="Times New Roman" w:eastAsia="Times New Roman" w:hAnsi="Times New Roman"/>
                <w:sz w:val="18"/>
                <w:szCs w:val="18"/>
                <w:b w:val="1"/>
                <w:bCs w:val="1"/>
                <w:color w:val="auto"/>
              </w:rPr>
              <w:t>Losses (gains) reclassified from accumulated other</w:t>
            </w:r>
          </w:p>
        </w:tc>
        <w:tc>
          <w:tcPr>
            <w:tcW w:w="6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38"/>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620" w:type="dxa"/>
            <w:vAlign w:val="bottom"/>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current-period other comprehensive income (loss)</w:t>
            </w:r>
          </w:p>
        </w:tc>
        <w:tc>
          <w:tcPr>
            <w:tcW w:w="6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Borders>
              <w:bottom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44"/>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November 2, 2025</w:t>
            </w:r>
          </w:p>
        </w:tc>
        <w:tc>
          <w:tcPr>
            <w:tcW w:w="62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5" w:lineRule="exact"/>
        <w:rPr>
          <w:sz w:val="20"/>
          <w:szCs w:val="20"/>
          <w:color w:val="auto"/>
        </w:rPr>
      </w:pPr>
    </w:p>
    <w:p>
      <w:pPr>
        <w:ind w:left="320" w:hanging="314"/>
        <w:spacing w:after="0"/>
        <w:tabs>
          <w:tab w:leader="none" w:pos="32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no tax as of November 2, 2025, August 3, 2025, October 27, 2024 and July 28, 2024.</w:t>
      </w:r>
    </w:p>
    <w:p>
      <w:pPr>
        <w:ind w:left="320" w:hanging="314"/>
        <w:spacing w:after="0" w:line="191" w:lineRule="auto"/>
        <w:tabs>
          <w:tab w:leader="none" w:pos="32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a tax benefit of $2 million as of November 2, 2025, $3 million as of August 3, 2025, and $2 million as of October 27, 2024 and July 28, 2024.</w:t>
      </w:r>
    </w:p>
    <w:p>
      <w:pPr>
        <w:spacing w:after="0" w:line="1" w:lineRule="exact"/>
        <w:rPr>
          <w:rFonts w:ascii="Times New Roman" w:cs="Times New Roman" w:eastAsia="Times New Roman" w:hAnsi="Times New Roman"/>
          <w:sz w:val="23"/>
          <w:szCs w:val="23"/>
          <w:color w:val="auto"/>
          <w:vertAlign w:val="superscript"/>
        </w:rPr>
      </w:pPr>
    </w:p>
    <w:p>
      <w:pPr>
        <w:ind w:left="320" w:right="320" w:hanging="314"/>
        <w:spacing w:after="0" w:line="276" w:lineRule="auto"/>
        <w:tabs>
          <w:tab w:leader="none" w:pos="308"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tax expense of $2 million as of November 2, 2025 and August 3, 2025, $3 million as of October 27, 2024 and $1 million as of July 28, 2024. Amounts related to noncontrolling interests were not material.</w:t>
      </w:r>
    </w:p>
    <w:p>
      <w:pPr>
        <w:spacing w:after="0" w:line="7" w:lineRule="exact"/>
        <w:rPr>
          <w:rFonts w:ascii="Times New Roman" w:cs="Times New Roman" w:eastAsia="Times New Roman" w:hAnsi="Times New Roman"/>
          <w:sz w:val="23"/>
          <w:szCs w:val="23"/>
          <w:color w:val="auto"/>
          <w:vertAlign w:val="superscript"/>
        </w:rPr>
      </w:pPr>
    </w:p>
    <w:p>
      <w:pPr>
        <w:ind w:left="32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amounts reclassified from Accumulated other comprehensive income (loss) consisted of the following: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vMerge w:val="restart"/>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Location of Loss (Gain) Recognized in</w:t>
            </w:r>
          </w:p>
        </w:tc>
        <w:tc>
          <w:tcPr>
            <w:tcW w:w="0" w:type="dxa"/>
            <w:vAlign w:val="bottom"/>
          </w:tcPr>
          <w:p>
            <w:pPr>
              <w:spacing w:after="0"/>
              <w:rPr>
                <w:sz w:val="1"/>
                <w:szCs w:val="1"/>
                <w:color w:val="auto"/>
              </w:rPr>
            </w:pPr>
          </w:p>
        </w:tc>
      </w:tr>
      <w:tr>
        <w:trPr>
          <w:trHeight w:val="113"/>
        </w:trPr>
        <w:tc>
          <w:tcPr>
            <w:tcW w:w="6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2, 2025</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100" w:type="dxa"/>
            <w:vAlign w:val="bottom"/>
          </w:tcPr>
          <w:p>
            <w:pPr>
              <w:spacing w:after="0"/>
              <w:rPr>
                <w:sz w:val="9"/>
                <w:szCs w:val="9"/>
                <w:color w:val="auto"/>
              </w:rPr>
            </w:pPr>
          </w:p>
        </w:tc>
        <w:tc>
          <w:tcPr>
            <w:tcW w:w="2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6220" w:type="dxa"/>
            <w:vAlign w:val="bottom"/>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0" w:type="dxa"/>
            <w:vAlign w:val="bottom"/>
          </w:tcPr>
          <w:p>
            <w:pPr>
              <w:spacing w:after="0"/>
              <w:rPr>
                <w:sz w:val="1"/>
                <w:szCs w:val="1"/>
                <w:color w:val="auto"/>
              </w:rPr>
            </w:pPr>
          </w:p>
        </w:tc>
      </w:tr>
      <w:tr>
        <w:trPr>
          <w:trHeight w:val="212"/>
        </w:trPr>
        <w:tc>
          <w:tcPr>
            <w:tcW w:w="6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(gains) on cash-flow hedges:</w:t>
            </w:r>
          </w:p>
        </w:tc>
        <w:tc>
          <w:tcPr>
            <w:tcW w:w="3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40" w:type="dxa"/>
            <w:vAlign w:val="bottom"/>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76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0" w:type="dxa"/>
            <w:vAlign w:val="bottom"/>
          </w:tcPr>
          <w:p>
            <w:pPr>
              <w:spacing w:after="0"/>
              <w:rPr>
                <w:sz w:val="1"/>
                <w:szCs w:val="1"/>
                <w:color w:val="auto"/>
              </w:rPr>
            </w:pPr>
          </w:p>
        </w:tc>
      </w:tr>
      <w:tr>
        <w:trPr>
          <w:trHeight w:val="225"/>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18"/>
        </w:trPr>
        <w:tc>
          <w:tcPr>
            <w:tcW w:w="6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Total before tax</w:t>
            </w:r>
          </w:p>
        </w:tc>
        <w:tc>
          <w:tcPr>
            <w:tcW w:w="34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760" w:type="dxa"/>
            <w:vAlign w:val="bottom"/>
            <w:tcBorders>
              <w:top w:val="single" w:sz="8" w:color="auto"/>
            </w:tcBorders>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Tax expense (benefit)</w:t>
            </w: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Loss (gain), net of tax</w:t>
            </w: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right"/>
              <w:ind w:right="474"/>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2"/>
        </w:trPr>
        <w:tc>
          <w:tcPr>
            <w:tcW w:w="62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62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shows the changes in the carrying amount of goodwill:</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Meals &amp; Beverages</w:t>
            </w:r>
          </w:p>
        </w:tc>
        <w:tc>
          <w:tcPr>
            <w:tcW w:w="26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Snacks</w:t>
            </w:r>
          </w:p>
        </w:tc>
        <w:tc>
          <w:tcPr>
            <w:tcW w:w="300" w:type="dxa"/>
            <w:vAlign w:val="bottom"/>
          </w:tcPr>
          <w:p>
            <w:pPr>
              <w:spacing w:after="0"/>
              <w:rPr>
                <w:sz w:val="16"/>
                <w:szCs w:val="16"/>
                <w:color w:val="auto"/>
              </w:rPr>
            </w:pPr>
          </w:p>
        </w:tc>
        <w:tc>
          <w:tcPr>
            <w:tcW w:w="10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70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8"/>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balance at August 3, 2025</w:t>
            </w:r>
          </w:p>
        </w:tc>
        <w:tc>
          <w:tcPr>
            <w:tcW w:w="460" w:type="dxa"/>
            <w:vAlign w:val="bottom"/>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w:t>
            </w:r>
          </w:p>
        </w:tc>
      </w:tr>
      <w:tr>
        <w:trPr>
          <w:trHeight w:val="225"/>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translation adjustment</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43"/>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balance at November 2, 2025</w:t>
            </w:r>
          </w:p>
        </w:tc>
        <w:tc>
          <w:tcPr>
            <w:tcW w:w="460" w:type="dxa"/>
            <w:vAlign w:val="bottom"/>
            <w:tcBorders>
              <w:top w:val="single" w:sz="8" w:color="auto"/>
              <w:bottom w:val="single" w:sz="8" w:color="auto"/>
            </w:tcBorders>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4,990</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balance sheet information for intangible assets, excluding goodwill:</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November 2, 2025</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August 3, 2025</w:t>
            </w: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80" w:type="dxa"/>
            <w:vAlign w:val="bottom"/>
          </w:tcPr>
          <w:p>
            <w:pPr>
              <w:spacing w:after="0"/>
              <w:rPr>
                <w:sz w:val="11"/>
                <w:szCs w:val="11"/>
                <w:color w:val="auto"/>
              </w:rPr>
            </w:pP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1"/>
                <w:szCs w:val="11"/>
                <w:color w:val="auto"/>
              </w:rPr>
            </w:pPr>
          </w:p>
        </w:tc>
        <w:tc>
          <w:tcPr>
            <w:tcW w:w="114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1"/>
                <w:szCs w:val="11"/>
                <w:color w:val="auto"/>
              </w:rPr>
            </w:pPr>
          </w:p>
        </w:tc>
        <w:tc>
          <w:tcPr>
            <w:tcW w:w="92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1"/>
                <w:szCs w:val="11"/>
                <w:color w:val="auto"/>
              </w:rPr>
            </w:pPr>
          </w:p>
        </w:tc>
        <w:tc>
          <w:tcPr>
            <w:tcW w:w="90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1"/>
        </w:trPr>
        <w:tc>
          <w:tcPr>
            <w:tcW w:w="34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(377)</w:t>
            </w:r>
          </w:p>
        </w:tc>
        <w:tc>
          <w:tcPr>
            <w:tcW w:w="8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665</w:t>
            </w:r>
          </w:p>
        </w:tc>
        <w:tc>
          <w:tcPr>
            <w:tcW w:w="38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25"/>
        </w:trPr>
        <w:tc>
          <w:tcPr>
            <w:tcW w:w="3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Definite-lived trademarks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9"/>
        </w:trPr>
        <w:tc>
          <w:tcPr>
            <w:tcW w:w="3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1,044</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(377)</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667</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05"/>
        </w:trPr>
        <w:tc>
          <w:tcPr>
            <w:tcW w:w="34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Indefinite-lived trademarks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460" w:type="dxa"/>
            <w:vAlign w:val="bottom"/>
          </w:tcPr>
          <w:p>
            <w:pPr>
              <w:ind w:left="580"/>
              <w:spacing w:after="0"/>
              <w:rPr>
                <w:sz w:val="20"/>
                <w:szCs w:val="20"/>
                <w:color w:val="auto"/>
              </w:rPr>
            </w:pPr>
            <w:r>
              <w:rPr>
                <w:rFonts w:ascii="Times New Roman" w:cs="Times New Roman" w:eastAsia="Times New Roman" w:hAnsi="Times New Roman"/>
                <w:sz w:val="18"/>
                <w:szCs w:val="18"/>
                <w:i w:val="1"/>
                <w:iCs w:val="1"/>
                <w:color w:val="auto"/>
              </w:rPr>
              <w:t>Rao's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0" w:type="dxa"/>
            <w:vAlign w:val="bottom"/>
          </w:tcPr>
          <w:p>
            <w:pPr>
              <w:spacing w:after="0"/>
              <w:rPr>
                <w:sz w:val="1"/>
                <w:szCs w:val="1"/>
                <w:color w:val="auto"/>
              </w:rPr>
            </w:pPr>
          </w:p>
        </w:tc>
      </w:tr>
      <w:tr>
        <w:trPr>
          <w:trHeight w:val="225"/>
        </w:trPr>
        <w:tc>
          <w:tcPr>
            <w:tcW w:w="34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i w:val="1"/>
                <w:iCs w:val="1"/>
                <w:color w:val="auto"/>
              </w:rPr>
              <w:t>Snyder's of Hanover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25"/>
        </w:trPr>
        <w:tc>
          <w:tcPr>
            <w:tcW w:w="3460" w:type="dxa"/>
            <w:vAlign w:val="bottom"/>
          </w:tcPr>
          <w:p>
            <w:pPr>
              <w:ind w:left="580"/>
              <w:spacing w:after="0"/>
              <w:rPr>
                <w:sz w:val="20"/>
                <w:szCs w:val="20"/>
                <w:color w:val="auto"/>
              </w:rPr>
            </w:pPr>
            <w:r>
              <w:rPr>
                <w:rFonts w:ascii="Times New Roman" w:cs="Times New Roman" w:eastAsia="Times New Roman" w:hAnsi="Times New Roman"/>
                <w:sz w:val="18"/>
                <w:szCs w:val="18"/>
                <w:i w:val="1"/>
                <w:iCs w:val="1"/>
                <w:color w:val="auto"/>
              </w:rPr>
              <w:t>Lance</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25"/>
        </w:trPr>
        <w:tc>
          <w:tcPr>
            <w:tcW w:w="34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i w:val="1"/>
                <w:iCs w:val="1"/>
                <w:color w:val="auto"/>
              </w:rPr>
              <w:t>Kettle Brand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25"/>
        </w:trPr>
        <w:tc>
          <w:tcPr>
            <w:tcW w:w="3460" w:type="dxa"/>
            <w:vAlign w:val="bottom"/>
          </w:tcPr>
          <w:p>
            <w:pPr>
              <w:ind w:left="580"/>
              <w:spacing w:after="0"/>
              <w:rPr>
                <w:sz w:val="20"/>
                <w:szCs w:val="20"/>
                <w:color w:val="auto"/>
              </w:rPr>
            </w:pPr>
            <w:r>
              <w:rPr>
                <w:rFonts w:ascii="Times New Roman" w:cs="Times New Roman" w:eastAsia="Times New Roman" w:hAnsi="Times New Roman"/>
                <w:sz w:val="18"/>
                <w:szCs w:val="18"/>
                <w:i w:val="1"/>
                <w:iCs w:val="1"/>
                <w:color w:val="auto"/>
              </w:rPr>
              <w:t>Pace</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25"/>
        </w:trPr>
        <w:tc>
          <w:tcPr>
            <w:tcW w:w="34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i w:val="1"/>
                <w:iCs w:val="1"/>
                <w:color w:val="auto"/>
              </w:rPr>
              <w:t>Pacific Foods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25"/>
        </w:trPr>
        <w:tc>
          <w:tcPr>
            <w:tcW w:w="3460" w:type="dxa"/>
            <w:vAlign w:val="bottom"/>
          </w:tcPr>
          <w:p>
            <w:pPr>
              <w:ind w:left="580"/>
              <w:spacing w:after="0"/>
              <w:rPr>
                <w:sz w:val="20"/>
                <w:szCs w:val="20"/>
                <w:color w:val="auto"/>
              </w:rPr>
            </w:pPr>
            <w:r>
              <w:rPr>
                <w:rFonts w:ascii="Times New Roman" w:cs="Times New Roman" w:eastAsia="Times New Roman" w:hAnsi="Times New Roman"/>
                <w:sz w:val="18"/>
                <w:szCs w:val="18"/>
                <w:i w:val="1"/>
                <w:iCs w:val="1"/>
                <w:color w:val="auto"/>
              </w:rPr>
              <w:t>Cape Cod</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25"/>
        </w:trPr>
        <w:tc>
          <w:tcPr>
            <w:tcW w:w="3460" w:type="dxa"/>
            <w:vAlign w:val="bottom"/>
            <w:shd w:val="clear" w:color="auto" w:fill="CCEEFF"/>
          </w:tcPr>
          <w:p>
            <w:pPr>
              <w:ind w:left="580"/>
              <w:spacing w:after="0" w:line="225" w:lineRule="exact"/>
              <w:rPr>
                <w:sz w:val="20"/>
                <w:szCs w:val="20"/>
                <w:color w:val="auto"/>
              </w:rPr>
            </w:pPr>
            <w:r>
              <w:rPr>
                <w:rFonts w:ascii="Times New Roman" w:cs="Times New Roman" w:eastAsia="Times New Roman" w:hAnsi="Times New Roman"/>
                <w:sz w:val="18"/>
                <w:szCs w:val="18"/>
                <w:color w:val="auto"/>
              </w:rPr>
              <w:t>Various other Snacks</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19"/>
        </w:trPr>
        <w:tc>
          <w:tcPr>
            <w:tcW w:w="3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indefinite-lived trademarks</w:t>
            </w:r>
          </w:p>
        </w:tc>
        <w:tc>
          <w:tcPr>
            <w:tcW w:w="2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3,678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0" w:type="dxa"/>
            <w:vAlign w:val="bottom"/>
          </w:tcPr>
          <w:p>
            <w:pPr>
              <w:spacing w:after="0"/>
              <w:rPr>
                <w:sz w:val="1"/>
                <w:szCs w:val="1"/>
                <w:color w:val="auto"/>
              </w:rPr>
            </w:pPr>
          </w:p>
        </w:tc>
      </w:tr>
      <w:tr>
        <w:trPr>
          <w:trHeight w:val="243"/>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intangible assets</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4,345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65" w:lineRule="exact"/>
        <w:rPr>
          <w:sz w:val="20"/>
          <w:szCs w:val="20"/>
          <w:color w:val="auto"/>
        </w:rPr>
      </w:pPr>
    </w:p>
    <w:p>
      <w:pPr>
        <w:ind w:left="320" w:hanging="314"/>
        <w:spacing w:after="0"/>
        <w:tabs>
          <w:tab w:leader="none" w:pos="32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Includes the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and Allied brands trademarks.</w:t>
      </w:r>
    </w:p>
    <w:p>
      <w:pPr>
        <w:spacing w:after="0" w:line="7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Amortization expense was $11 million for the three-month period ended November 2, 2025, and $20 million for the three-month period ended October 27, 2024. Amortization expense for the three-month period ended October 27, 2024 included accelerated amortization expense of $7 million on customer relationships, which began in the fourth quarter of 2023 due to the loss of certain contract manufacturing customers. As of November 2, 2025, amortizable intangible assets had a weighted-average remaining useful life of 18 years. Amortization expense is estimated to be approximately $40 million per year for each of the next five fiscal years.</w:t>
      </w:r>
    </w:p>
    <w:p>
      <w:pPr>
        <w:spacing w:after="0" w:line="40"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 xml:space="preserve">As of the 2025 annual impairment testing, indefinite-lived trademarks with approximately 10% or less of excess coverage of fair value over carrying value had an aggregate carrying value of $2.587 billion and included the </w:t>
      </w:r>
      <w:r>
        <w:rPr>
          <w:rFonts w:ascii="Times New Roman" w:cs="Times New Roman" w:eastAsia="Times New Roman" w:hAnsi="Times New Roman"/>
          <w:sz w:val="18"/>
          <w:szCs w:val="18"/>
          <w:i w:val="1"/>
          <w:iCs w:val="1"/>
          <w:color w:val="auto"/>
        </w:rPr>
        <w:t>Rao's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Snyder's of Hanover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Pacific Foods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and Allied brands trademarks.</w:t>
      </w:r>
    </w:p>
    <w:p>
      <w:pPr>
        <w:spacing w:after="0" w:line="7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estimates of future cash flows used in determining the fair value of goodwill and intangible assets involve significant management judgment and are based upon assumptions about expected future operating performance, assumed royalty rates, economic conditions, market conditions and cost of capital. Inherent in estimating the future cash flows are uncertainties beyond our control, such as changes in capital markets. The actual cash flows could differ materially from management’s estimates due to changes in business conditions, operating performance and economic conditions, including the potential impact of tariffs.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6. Segment Information</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operating segments, which are also our reportable segments, are as follows:</w:t>
      </w:r>
    </w:p>
    <w:p>
      <w:pPr>
        <w:spacing w:after="0" w:line="98" w:lineRule="exact"/>
        <w:rPr>
          <w:sz w:val="20"/>
          <w:szCs w:val="20"/>
          <w:color w:val="auto"/>
        </w:rPr>
      </w:pPr>
    </w:p>
    <w:p>
      <w:pPr>
        <w:jc w:val="both"/>
        <w:ind w:left="640" w:hanging="316"/>
        <w:spacing w:after="0" w:line="250" w:lineRule="auto"/>
        <w:tabs>
          <w:tab w:leader="none" w:pos="60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Meals &amp; Beverages, which consists of soup, simple meals and beverages products in retail and foodservice in the U.S. and Canada. The segment includes the following products: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condensed and ready-to-serve soups; </w:t>
      </w:r>
      <w:r>
        <w:rPr>
          <w:rFonts w:ascii="Times New Roman" w:cs="Times New Roman" w:eastAsia="Times New Roman" w:hAnsi="Times New Roman"/>
          <w:sz w:val="18"/>
          <w:szCs w:val="18"/>
          <w:i w:val="1"/>
          <w:iCs w:val="1"/>
          <w:color w:val="auto"/>
        </w:rPr>
        <w:t>Swanson</w:t>
      </w:r>
      <w:r>
        <w:rPr>
          <w:rFonts w:ascii="Times New Roman" w:cs="Times New Roman" w:eastAsia="Times New Roman" w:hAnsi="Times New Roman"/>
          <w:sz w:val="18"/>
          <w:szCs w:val="18"/>
          <w:color w:val="auto"/>
        </w:rPr>
        <w:t xml:space="preserve"> broth and stocks; </w:t>
      </w:r>
      <w:r>
        <w:rPr>
          <w:rFonts w:ascii="Times New Roman" w:cs="Times New Roman" w:eastAsia="Times New Roman" w:hAnsi="Times New Roman"/>
          <w:sz w:val="18"/>
          <w:szCs w:val="18"/>
          <w:i w:val="1"/>
          <w:iCs w:val="1"/>
          <w:color w:val="auto"/>
        </w:rPr>
        <w:t>Pacific Foods</w:t>
      </w:r>
      <w:r>
        <w:rPr>
          <w:rFonts w:ascii="Times New Roman" w:cs="Times New Roman" w:eastAsia="Times New Roman" w:hAnsi="Times New Roman"/>
          <w:sz w:val="18"/>
          <w:szCs w:val="18"/>
          <w:color w:val="auto"/>
        </w:rPr>
        <w:t xml:space="preserve"> broth, soups and non-dairy beverages; </w:t>
      </w:r>
      <w:r>
        <w:rPr>
          <w:rFonts w:ascii="Times New Roman" w:cs="Times New Roman" w:eastAsia="Times New Roman" w:hAnsi="Times New Roman"/>
          <w:sz w:val="18"/>
          <w:szCs w:val="18"/>
          <w:i w:val="1"/>
          <w:iCs w:val="1"/>
          <w:color w:val="auto"/>
        </w:rPr>
        <w:t>Prego</w:t>
      </w:r>
      <w:r>
        <w:rPr>
          <w:rFonts w:ascii="Times New Roman" w:cs="Times New Roman" w:eastAsia="Times New Roman" w:hAnsi="Times New Roman"/>
          <w:sz w:val="18"/>
          <w:szCs w:val="18"/>
          <w:color w:val="auto"/>
        </w:rPr>
        <w:t xml:space="preserve"> pasta sauces; </w:t>
      </w:r>
      <w:r>
        <w:rPr>
          <w:rFonts w:ascii="Times New Roman" w:cs="Times New Roman" w:eastAsia="Times New Roman" w:hAnsi="Times New Roman"/>
          <w:sz w:val="18"/>
          <w:szCs w:val="18"/>
          <w:i w:val="1"/>
          <w:iCs w:val="1"/>
          <w:color w:val="auto"/>
        </w:rPr>
        <w:t>Pace</w:t>
      </w:r>
      <w:r>
        <w:rPr>
          <w:rFonts w:ascii="Times New Roman" w:cs="Times New Roman" w:eastAsia="Times New Roman" w:hAnsi="Times New Roman"/>
          <w:sz w:val="18"/>
          <w:szCs w:val="18"/>
          <w:color w:val="auto"/>
        </w:rPr>
        <w:t xml:space="preserve"> Mexican sauces; </w:t>
      </w:r>
      <w:r>
        <w:rPr>
          <w:rFonts w:ascii="Times New Roman" w:cs="Times New Roman" w:eastAsia="Times New Roman" w:hAnsi="Times New Roman"/>
          <w:sz w:val="18"/>
          <w:szCs w:val="18"/>
          <w:i w:val="1"/>
          <w:iCs w:val="1"/>
          <w:color w:val="auto"/>
        </w:rPr>
        <w:t>SpaghettiOs</w:t>
      </w:r>
      <w:r>
        <w:rPr>
          <w:rFonts w:ascii="Times New Roman" w:cs="Times New Roman" w:eastAsia="Times New Roman" w:hAnsi="Times New Roman"/>
          <w:sz w:val="18"/>
          <w:szCs w:val="18"/>
          <w:color w:val="auto"/>
        </w:rPr>
        <w:t xml:space="preserve"> pasta;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gravies, beans and dinner sauces; </w:t>
      </w:r>
      <w:r>
        <w:rPr>
          <w:rFonts w:ascii="Times New Roman" w:cs="Times New Roman" w:eastAsia="Times New Roman" w:hAnsi="Times New Roman"/>
          <w:sz w:val="18"/>
          <w:szCs w:val="18"/>
          <w:i w:val="1"/>
          <w:iCs w:val="1"/>
          <w:color w:val="auto"/>
        </w:rPr>
        <w:t>Swanson</w:t>
      </w:r>
      <w:r>
        <w:rPr>
          <w:rFonts w:ascii="Times New Roman" w:cs="Times New Roman" w:eastAsia="Times New Roman" w:hAnsi="Times New Roman"/>
          <w:sz w:val="18"/>
          <w:szCs w:val="18"/>
          <w:color w:val="auto"/>
        </w:rPr>
        <w:t xml:space="preserve"> canned poultry; </w:t>
      </w:r>
      <w:r>
        <w:rPr>
          <w:rFonts w:ascii="Times New Roman" w:cs="Times New Roman" w:eastAsia="Times New Roman" w:hAnsi="Times New Roman"/>
          <w:sz w:val="18"/>
          <w:szCs w:val="18"/>
          <w:i w:val="1"/>
          <w:iCs w:val="1"/>
          <w:color w:val="auto"/>
        </w:rPr>
        <w:t>V8</w:t>
      </w:r>
      <w:r>
        <w:rPr>
          <w:rFonts w:ascii="Times New Roman" w:cs="Times New Roman" w:eastAsia="Times New Roman" w:hAnsi="Times New Roman"/>
          <w:sz w:val="18"/>
          <w:szCs w:val="18"/>
          <w:color w:val="auto"/>
        </w:rPr>
        <w:t xml:space="preserve"> juices and beverages;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tomato juice; and as of March 12, 2024, </w:t>
      </w:r>
      <w:r>
        <w:rPr>
          <w:rFonts w:ascii="Times New Roman" w:cs="Times New Roman" w:eastAsia="Times New Roman" w:hAnsi="Times New Roman"/>
          <w:sz w:val="18"/>
          <w:szCs w:val="18"/>
          <w:i w:val="1"/>
          <w:iCs w:val="1"/>
          <w:color w:val="auto"/>
        </w:rPr>
        <w:t>Rao's</w:t>
      </w:r>
      <w:r>
        <w:rPr>
          <w:rFonts w:ascii="Times New Roman" w:cs="Times New Roman" w:eastAsia="Times New Roman" w:hAnsi="Times New Roman"/>
          <w:sz w:val="18"/>
          <w:szCs w:val="18"/>
          <w:color w:val="auto"/>
        </w:rPr>
        <w:t xml:space="preserve"> pasta sauces, dry pasta, frozen entrées, frozen pizza and soups; </w:t>
      </w:r>
      <w:r>
        <w:rPr>
          <w:rFonts w:ascii="Times New Roman" w:cs="Times New Roman" w:eastAsia="Times New Roman" w:hAnsi="Times New Roman"/>
          <w:sz w:val="18"/>
          <w:szCs w:val="18"/>
          <w:i w:val="1"/>
          <w:iCs w:val="1"/>
          <w:color w:val="auto"/>
        </w:rPr>
        <w:t>Michael Angelo’s</w:t>
      </w:r>
      <w:r>
        <w:rPr>
          <w:rFonts w:ascii="Times New Roman" w:cs="Times New Roman" w:eastAsia="Times New Roman" w:hAnsi="Times New Roman"/>
          <w:sz w:val="18"/>
          <w:szCs w:val="18"/>
          <w:color w:val="auto"/>
        </w:rPr>
        <w:t xml:space="preserve"> frozen entrées and pasta sauces; and </w:t>
      </w:r>
      <w:r>
        <w:rPr>
          <w:rFonts w:ascii="Times New Roman" w:cs="Times New Roman" w:eastAsia="Times New Roman" w:hAnsi="Times New Roman"/>
          <w:sz w:val="18"/>
          <w:szCs w:val="18"/>
          <w:i w:val="1"/>
          <w:iCs w:val="1"/>
          <w:color w:val="auto"/>
        </w:rPr>
        <w:t>noosa</w:t>
      </w:r>
      <w:r>
        <w:rPr>
          <w:rFonts w:ascii="Times New Roman" w:cs="Times New Roman" w:eastAsia="Times New Roman" w:hAnsi="Times New Roman"/>
          <w:sz w:val="18"/>
          <w:szCs w:val="18"/>
          <w:color w:val="auto"/>
        </w:rPr>
        <w:t xml:space="preserve"> yogurts. The noosa yoghurt business was sold on February 24, 2025. The segment also includes snacking products in foodservice and Canada, and beginning in 2026, the snacking and meals and beverages retail business in Latin America; and</w:t>
      </w:r>
    </w:p>
    <w:p>
      <w:pPr>
        <w:spacing w:after="0" w:line="52" w:lineRule="exact"/>
        <w:rPr>
          <w:rFonts w:ascii="Times New Roman" w:cs="Times New Roman" w:eastAsia="Times New Roman" w:hAnsi="Times New Roman"/>
          <w:sz w:val="18"/>
          <w:szCs w:val="18"/>
          <w:color w:val="auto"/>
        </w:rPr>
      </w:pPr>
    </w:p>
    <w:p>
      <w:pPr>
        <w:jc w:val="both"/>
        <w:ind w:left="640" w:hanging="316"/>
        <w:spacing w:after="0" w:line="283" w:lineRule="auto"/>
        <w:tabs>
          <w:tab w:leader="none" w:pos="609"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Snacks, which consists of Pepperidge Farm cookies, crackers, fresh bakery and frozen products, including </w:t>
      </w:r>
      <w:r>
        <w:rPr>
          <w:rFonts w:ascii="Times New Roman" w:cs="Times New Roman" w:eastAsia="Times New Roman" w:hAnsi="Times New Roman"/>
          <w:sz w:val="17"/>
          <w:szCs w:val="17"/>
          <w:i w:val="1"/>
          <w:iCs w:val="1"/>
          <w:color w:val="auto"/>
        </w:rPr>
        <w:t>Goldfish</w:t>
      </w:r>
      <w:r>
        <w:rPr>
          <w:rFonts w:ascii="Times New Roman" w:cs="Times New Roman" w:eastAsia="Times New Roman" w:hAnsi="Times New Roman"/>
          <w:sz w:val="17"/>
          <w:szCs w:val="17"/>
          <w:color w:val="auto"/>
        </w:rPr>
        <w:t xml:space="preserve"> crackers, </w:t>
      </w:r>
      <w:r>
        <w:rPr>
          <w:rFonts w:ascii="Times New Roman" w:cs="Times New Roman" w:eastAsia="Times New Roman" w:hAnsi="Times New Roman"/>
          <w:sz w:val="17"/>
          <w:szCs w:val="17"/>
          <w:i w:val="1"/>
          <w:iCs w:val="1"/>
          <w:color w:val="auto"/>
        </w:rPr>
        <w:t>Snyder’s of Hanover</w:t>
      </w:r>
      <w:r>
        <w:rPr>
          <w:rFonts w:ascii="Times New Roman" w:cs="Times New Roman" w:eastAsia="Times New Roman" w:hAnsi="Times New Roman"/>
          <w:sz w:val="17"/>
          <w:szCs w:val="17"/>
          <w:color w:val="auto"/>
        </w:rPr>
        <w:t xml:space="preserve"> pretzels, </w:t>
      </w:r>
      <w:r>
        <w:rPr>
          <w:rFonts w:ascii="Times New Roman" w:cs="Times New Roman" w:eastAsia="Times New Roman" w:hAnsi="Times New Roman"/>
          <w:sz w:val="17"/>
          <w:szCs w:val="17"/>
          <w:i w:val="1"/>
          <w:iCs w:val="1"/>
          <w:color w:val="auto"/>
        </w:rPr>
        <w:t>Lance</w:t>
      </w:r>
      <w:r>
        <w:rPr>
          <w:rFonts w:ascii="Times New Roman" w:cs="Times New Roman" w:eastAsia="Times New Roman" w:hAnsi="Times New Roman"/>
          <w:sz w:val="17"/>
          <w:szCs w:val="17"/>
          <w:color w:val="auto"/>
        </w:rPr>
        <w:t xml:space="preserve"> sandwich crackers, </w:t>
      </w:r>
      <w:r>
        <w:rPr>
          <w:rFonts w:ascii="Times New Roman" w:cs="Times New Roman" w:eastAsia="Times New Roman" w:hAnsi="Times New Roman"/>
          <w:sz w:val="17"/>
          <w:szCs w:val="17"/>
          <w:i w:val="1"/>
          <w:iCs w:val="1"/>
          <w:color w:val="auto"/>
        </w:rPr>
        <w:t>Cape Cod</w:t>
      </w:r>
      <w:r>
        <w:rPr>
          <w:rFonts w:ascii="Times New Roman" w:cs="Times New Roman" w:eastAsia="Times New Roman" w:hAnsi="Times New Roman"/>
          <w:sz w:val="17"/>
          <w:szCs w:val="17"/>
          <w:color w:val="auto"/>
        </w:rPr>
        <w:t xml:space="preserve"> potato chips, </w:t>
      </w:r>
      <w:r>
        <w:rPr>
          <w:rFonts w:ascii="Times New Roman" w:cs="Times New Roman" w:eastAsia="Times New Roman" w:hAnsi="Times New Roman"/>
          <w:sz w:val="17"/>
          <w:szCs w:val="17"/>
          <w:i w:val="1"/>
          <w:iCs w:val="1"/>
          <w:color w:val="auto"/>
        </w:rPr>
        <w:t>Kettle Brand</w:t>
      </w:r>
      <w:r>
        <w:rPr>
          <w:rFonts w:ascii="Times New Roman" w:cs="Times New Roman" w:eastAsia="Times New Roman" w:hAnsi="Times New Roman"/>
          <w:sz w:val="17"/>
          <w:szCs w:val="17"/>
          <w:color w:val="auto"/>
        </w:rPr>
        <w:t xml:space="preserve"> potato chips, </w:t>
      </w:r>
      <w:r>
        <w:rPr>
          <w:rFonts w:ascii="Times New Roman" w:cs="Times New Roman" w:eastAsia="Times New Roman" w:hAnsi="Times New Roman"/>
          <w:sz w:val="17"/>
          <w:szCs w:val="17"/>
          <w:i w:val="1"/>
          <w:iCs w:val="1"/>
          <w:color w:val="auto"/>
        </w:rPr>
        <w:t>Late July</w:t>
      </w:r>
      <w:r>
        <w:rPr>
          <w:rFonts w:ascii="Times New Roman" w:cs="Times New Roman" w:eastAsia="Times New Roman" w:hAnsi="Times New Roman"/>
          <w:sz w:val="17"/>
          <w:szCs w:val="17"/>
          <w:color w:val="auto"/>
        </w:rPr>
        <w:t xml:space="preserve"> snacks, </w:t>
      </w:r>
      <w:r>
        <w:rPr>
          <w:rFonts w:ascii="Times New Roman" w:cs="Times New Roman" w:eastAsia="Times New Roman" w:hAnsi="Times New Roman"/>
          <w:sz w:val="17"/>
          <w:szCs w:val="17"/>
          <w:i w:val="1"/>
          <w:iCs w:val="1"/>
          <w:color w:val="auto"/>
        </w:rPr>
        <w:t>Snack Factory</w:t>
      </w:r>
      <w:r>
        <w:rPr>
          <w:rFonts w:ascii="Times New Roman" w:cs="Times New Roman" w:eastAsia="Times New Roman" w:hAnsi="Times New Roman"/>
          <w:sz w:val="17"/>
          <w:szCs w:val="17"/>
          <w:color w:val="auto"/>
        </w:rPr>
        <w:t xml:space="preserve"> pretzel crisps, and other snacking products in retail in the U.S. The segment also included the results of our Pop Secret popcorn business, which was sold on August 26, 2024.</w:t>
      </w:r>
    </w:p>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Through the fourth quarter of 2025, the snacking and meals and beverages retail business in Latin America was managed under our Snacks segment.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Beginning in 2026, the business is managed under our Meals &amp; Beverages segment. Segment results have been adjusted retrospectively to reflect this change.</w:t>
      </w:r>
    </w:p>
    <w:p>
      <w:pPr>
        <w:spacing w:after="0" w:line="88"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 xml:space="preserve">We refer to the following products as our "leadership brands":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condensed and ready-to-serve soups; </w:t>
      </w:r>
      <w:r>
        <w:rPr>
          <w:rFonts w:ascii="Times New Roman" w:cs="Times New Roman" w:eastAsia="Times New Roman" w:hAnsi="Times New Roman"/>
          <w:sz w:val="18"/>
          <w:szCs w:val="18"/>
          <w:i w:val="1"/>
          <w:iCs w:val="1"/>
          <w:color w:val="auto"/>
        </w:rPr>
        <w:t>Chunky</w:t>
      </w:r>
      <w:r>
        <w:rPr>
          <w:rFonts w:ascii="Times New Roman" w:cs="Times New Roman" w:eastAsia="Times New Roman" w:hAnsi="Times New Roman"/>
          <w:sz w:val="18"/>
          <w:szCs w:val="18"/>
          <w:color w:val="auto"/>
        </w:rPr>
        <w:t xml:space="preserve"> soups; </w:t>
      </w:r>
      <w:r>
        <w:rPr>
          <w:rFonts w:ascii="Times New Roman" w:cs="Times New Roman" w:eastAsia="Times New Roman" w:hAnsi="Times New Roman"/>
          <w:sz w:val="18"/>
          <w:szCs w:val="18"/>
          <w:i w:val="1"/>
          <w:iCs w:val="1"/>
          <w:color w:val="auto"/>
        </w:rPr>
        <w:t>Swanson</w:t>
      </w:r>
      <w:r>
        <w:rPr>
          <w:rFonts w:ascii="Times New Roman" w:cs="Times New Roman" w:eastAsia="Times New Roman" w:hAnsi="Times New Roman"/>
          <w:sz w:val="18"/>
          <w:szCs w:val="18"/>
          <w:color w:val="auto"/>
        </w:rPr>
        <w:t xml:space="preserve"> broth, stocks and canned poultry; </w:t>
      </w:r>
      <w:r>
        <w:rPr>
          <w:rFonts w:ascii="Times New Roman" w:cs="Times New Roman" w:eastAsia="Times New Roman" w:hAnsi="Times New Roman"/>
          <w:sz w:val="18"/>
          <w:szCs w:val="18"/>
          <w:i w:val="1"/>
          <w:iCs w:val="1"/>
          <w:color w:val="auto"/>
        </w:rPr>
        <w:t>Pacific Foods</w:t>
      </w:r>
      <w:r>
        <w:rPr>
          <w:rFonts w:ascii="Times New Roman" w:cs="Times New Roman" w:eastAsia="Times New Roman" w:hAnsi="Times New Roman"/>
          <w:sz w:val="18"/>
          <w:szCs w:val="18"/>
          <w:color w:val="auto"/>
        </w:rPr>
        <w:t xml:space="preserve"> broth, soups and non-dairy beverages; </w:t>
      </w:r>
      <w:r>
        <w:rPr>
          <w:rFonts w:ascii="Times New Roman" w:cs="Times New Roman" w:eastAsia="Times New Roman" w:hAnsi="Times New Roman"/>
          <w:sz w:val="18"/>
          <w:szCs w:val="18"/>
          <w:i w:val="1"/>
          <w:iCs w:val="1"/>
          <w:color w:val="auto"/>
        </w:rPr>
        <w:t>Prego</w:t>
      </w:r>
      <w:r>
        <w:rPr>
          <w:rFonts w:ascii="Times New Roman" w:cs="Times New Roman" w:eastAsia="Times New Roman" w:hAnsi="Times New Roman"/>
          <w:sz w:val="18"/>
          <w:szCs w:val="18"/>
          <w:color w:val="auto"/>
        </w:rPr>
        <w:t xml:space="preserve"> pasta sauces; </w:t>
      </w:r>
      <w:r>
        <w:rPr>
          <w:rFonts w:ascii="Times New Roman" w:cs="Times New Roman" w:eastAsia="Times New Roman" w:hAnsi="Times New Roman"/>
          <w:sz w:val="18"/>
          <w:szCs w:val="18"/>
          <w:i w:val="1"/>
          <w:iCs w:val="1"/>
          <w:color w:val="auto"/>
        </w:rPr>
        <w:t>Pace</w:t>
      </w:r>
      <w:r>
        <w:rPr>
          <w:rFonts w:ascii="Times New Roman" w:cs="Times New Roman" w:eastAsia="Times New Roman" w:hAnsi="Times New Roman"/>
          <w:sz w:val="18"/>
          <w:szCs w:val="18"/>
          <w:color w:val="auto"/>
        </w:rPr>
        <w:t xml:space="preserve"> Mexican sauces; </w:t>
      </w:r>
      <w:r>
        <w:rPr>
          <w:rFonts w:ascii="Times New Roman" w:cs="Times New Roman" w:eastAsia="Times New Roman" w:hAnsi="Times New Roman"/>
          <w:sz w:val="18"/>
          <w:szCs w:val="18"/>
          <w:i w:val="1"/>
          <w:iCs w:val="1"/>
          <w:color w:val="auto"/>
        </w:rPr>
        <w:t>V8</w:t>
      </w:r>
      <w:r>
        <w:rPr>
          <w:rFonts w:ascii="Times New Roman" w:cs="Times New Roman" w:eastAsia="Times New Roman" w:hAnsi="Times New Roman"/>
          <w:sz w:val="18"/>
          <w:szCs w:val="18"/>
          <w:color w:val="auto"/>
        </w:rPr>
        <w:t xml:space="preserve"> juices and beverages; </w:t>
      </w:r>
      <w:r>
        <w:rPr>
          <w:rFonts w:ascii="Times New Roman" w:cs="Times New Roman" w:eastAsia="Times New Roman" w:hAnsi="Times New Roman"/>
          <w:sz w:val="18"/>
          <w:szCs w:val="18"/>
          <w:i w:val="1"/>
          <w:iCs w:val="1"/>
          <w:color w:val="auto"/>
        </w:rPr>
        <w:t>Rao's</w:t>
      </w:r>
      <w:r>
        <w:rPr>
          <w:rFonts w:ascii="Times New Roman" w:cs="Times New Roman" w:eastAsia="Times New Roman" w:hAnsi="Times New Roman"/>
          <w:sz w:val="18"/>
          <w:szCs w:val="18"/>
          <w:color w:val="auto"/>
        </w:rPr>
        <w:t xml:space="preserve"> pasta sauces, dry pasta, frozen entrées, frozen pizza and soups; Pepperidge Farm cookies, crackers and fresh bakery; </w:t>
      </w:r>
      <w:r>
        <w:rPr>
          <w:rFonts w:ascii="Times New Roman" w:cs="Times New Roman" w:eastAsia="Times New Roman" w:hAnsi="Times New Roman"/>
          <w:sz w:val="18"/>
          <w:szCs w:val="18"/>
          <w:i w:val="1"/>
          <w:iCs w:val="1"/>
          <w:color w:val="auto"/>
        </w:rPr>
        <w:t>Goldfish</w:t>
      </w:r>
      <w:r>
        <w:rPr>
          <w:rFonts w:ascii="Times New Roman" w:cs="Times New Roman" w:eastAsia="Times New Roman" w:hAnsi="Times New Roman"/>
          <w:sz w:val="18"/>
          <w:szCs w:val="18"/>
          <w:color w:val="auto"/>
        </w:rPr>
        <w:t xml:space="preserve"> crackers; </w:t>
      </w:r>
      <w:r>
        <w:rPr>
          <w:rFonts w:ascii="Times New Roman" w:cs="Times New Roman" w:eastAsia="Times New Roman" w:hAnsi="Times New Roman"/>
          <w:sz w:val="18"/>
          <w:szCs w:val="18"/>
          <w:i w:val="1"/>
          <w:iCs w:val="1"/>
          <w:color w:val="auto"/>
        </w:rPr>
        <w:t>Snyder's of Hanover</w:t>
      </w:r>
      <w:r>
        <w:rPr>
          <w:rFonts w:ascii="Times New Roman" w:cs="Times New Roman" w:eastAsia="Times New Roman" w:hAnsi="Times New Roman"/>
          <w:sz w:val="18"/>
          <w:szCs w:val="18"/>
          <w:color w:val="auto"/>
        </w:rPr>
        <w:t xml:space="preserve"> pretzels; </w:t>
      </w:r>
      <w:r>
        <w:rPr>
          <w:rFonts w:ascii="Times New Roman" w:cs="Times New Roman" w:eastAsia="Times New Roman" w:hAnsi="Times New Roman"/>
          <w:sz w:val="18"/>
          <w:szCs w:val="18"/>
          <w:i w:val="1"/>
          <w:iCs w:val="1"/>
          <w:color w:val="auto"/>
        </w:rPr>
        <w:t>Lance</w:t>
      </w:r>
      <w:r>
        <w:rPr>
          <w:rFonts w:ascii="Times New Roman" w:cs="Times New Roman" w:eastAsia="Times New Roman" w:hAnsi="Times New Roman"/>
          <w:sz w:val="18"/>
          <w:szCs w:val="18"/>
          <w:color w:val="auto"/>
        </w:rPr>
        <w:t xml:space="preserve"> sandwich crackers; </w:t>
      </w:r>
      <w:r>
        <w:rPr>
          <w:rFonts w:ascii="Times New Roman" w:cs="Times New Roman" w:eastAsia="Times New Roman" w:hAnsi="Times New Roman"/>
          <w:sz w:val="18"/>
          <w:szCs w:val="18"/>
          <w:i w:val="1"/>
          <w:iCs w:val="1"/>
          <w:color w:val="auto"/>
        </w:rPr>
        <w:t>Cape Cod</w:t>
      </w:r>
      <w:r>
        <w:rPr>
          <w:rFonts w:ascii="Times New Roman" w:cs="Times New Roman" w:eastAsia="Times New Roman" w:hAnsi="Times New Roman"/>
          <w:sz w:val="18"/>
          <w:szCs w:val="18"/>
          <w:color w:val="auto"/>
        </w:rPr>
        <w:t xml:space="preserve"> potato chips; </w:t>
      </w:r>
      <w:r>
        <w:rPr>
          <w:rFonts w:ascii="Times New Roman" w:cs="Times New Roman" w:eastAsia="Times New Roman" w:hAnsi="Times New Roman"/>
          <w:sz w:val="18"/>
          <w:szCs w:val="18"/>
          <w:i w:val="1"/>
          <w:iCs w:val="1"/>
          <w:color w:val="auto"/>
        </w:rPr>
        <w:t>Kettle Brand</w:t>
      </w:r>
      <w:r>
        <w:rPr>
          <w:rFonts w:ascii="Times New Roman" w:cs="Times New Roman" w:eastAsia="Times New Roman" w:hAnsi="Times New Roman"/>
          <w:sz w:val="18"/>
          <w:szCs w:val="18"/>
          <w:color w:val="auto"/>
        </w:rPr>
        <w:t xml:space="preserve"> potato chips;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snacks; and </w:t>
      </w:r>
      <w:r>
        <w:rPr>
          <w:rFonts w:ascii="Times New Roman" w:cs="Times New Roman" w:eastAsia="Times New Roman" w:hAnsi="Times New Roman"/>
          <w:sz w:val="18"/>
          <w:szCs w:val="18"/>
          <w:i w:val="1"/>
          <w:iCs w:val="1"/>
          <w:color w:val="auto"/>
        </w:rPr>
        <w:t>Snack Factory</w:t>
      </w:r>
      <w:r>
        <w:rPr>
          <w:rFonts w:ascii="Times New Roman" w:cs="Times New Roman" w:eastAsia="Times New Roman" w:hAnsi="Times New Roman"/>
          <w:sz w:val="18"/>
          <w:szCs w:val="18"/>
          <w:color w:val="auto"/>
        </w:rPr>
        <w:t xml:space="preserve"> pretzel crisps.</w:t>
      </w:r>
    </w:p>
    <w:p>
      <w:pPr>
        <w:spacing w:after="0" w:line="46"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chief operating decision maker (CODM) is our President and Chief Executive Officer. Our CODM uses segment operating earnings as the profit measure in evaluating segment performance during the annual plan and forecasting process and in monitoring actual performance versus plan. Segment operating earnings are comprised of earnings before interest, taxes and costs associated with restructuring activities, cost savings and optimization initiatives, impairment charges, accelerated amortization and corporate expenses. Unrealized gains and losses on outstanding undesignated commodity hedging activities are excluded from segment operating earnings and are recorded in Corporate as these open positions represent hedges of future purchases. Upon closing of the contracts, the realized gain or loss is transferred to segment operating earnings, which allows the segments to reflect the economic effects of the hedge without exposure to quarterly volatility of unrealized gains and losses. Only the service cost component of pension and postretirement expense is allocated to segments. All other components of expense, including interest cost, expected return on assets, amortization of prior service credits and recognized actuarial gains and losses are reflected in Corporate and not included in segment operating results. Asset information by segment is not discretely maintained for internal reporting or used in evaluating performance by the CODM.</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4"/>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November 2, 2025</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11"/>
                <w:szCs w:val="11"/>
                <w:color w:val="auto"/>
              </w:rPr>
            </w:pPr>
          </w:p>
        </w:tc>
        <w:tc>
          <w:tcPr>
            <w:tcW w:w="780" w:type="dxa"/>
            <w:vAlign w:val="bottom"/>
          </w:tcPr>
          <w:p>
            <w:pPr>
              <w:jc w:val="right"/>
              <w:ind w:right="117"/>
              <w:spacing w:after="0" w:line="134" w:lineRule="exact"/>
              <w:rPr>
                <w:sz w:val="20"/>
                <w:szCs w:val="20"/>
                <w:color w:val="auto"/>
              </w:rPr>
            </w:pPr>
            <w:r>
              <w:rPr>
                <w:rFonts w:ascii="Times New Roman" w:cs="Times New Roman" w:eastAsia="Times New Roman" w:hAnsi="Times New Roman"/>
                <w:sz w:val="14"/>
                <w:szCs w:val="14"/>
                <w:b w:val="1"/>
                <w:bCs w:val="1"/>
                <w:color w:val="auto"/>
              </w:rPr>
              <w:t>Meals &amp;</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Snacks</w:t>
            </w:r>
          </w:p>
        </w:tc>
        <w:tc>
          <w:tcPr>
            <w:tcW w:w="180" w:type="dxa"/>
            <w:vAlign w:val="bottom"/>
          </w:tcPr>
          <w:p>
            <w:pPr>
              <w:spacing w:after="0"/>
              <w:rPr>
                <w:sz w:val="11"/>
                <w:szCs w:val="11"/>
                <w:color w:val="auto"/>
              </w:rPr>
            </w:pPr>
          </w:p>
        </w:tc>
        <w:tc>
          <w:tcPr>
            <w:tcW w:w="72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98"/>
              <w:spacing w:after="0" w:line="134" w:lineRule="exact"/>
              <w:rPr>
                <w:sz w:val="20"/>
                <w:szCs w:val="20"/>
                <w:color w:val="auto"/>
              </w:rPr>
            </w:pPr>
            <w:r>
              <w:rPr>
                <w:rFonts w:ascii="Times New Roman" w:cs="Times New Roman" w:eastAsia="Times New Roman" w:hAnsi="Times New Roman"/>
                <w:sz w:val="14"/>
                <w:szCs w:val="14"/>
                <w:b w:val="1"/>
                <w:bCs w:val="1"/>
                <w:color w:val="auto"/>
              </w:rPr>
              <w:t>Meals &amp;</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Snacks</w:t>
            </w:r>
          </w:p>
        </w:tc>
        <w:tc>
          <w:tcPr>
            <w:tcW w:w="200" w:type="dxa"/>
            <w:vAlign w:val="bottom"/>
          </w:tcPr>
          <w:p>
            <w:pPr>
              <w:spacing w:after="0"/>
              <w:rPr>
                <w:sz w:val="11"/>
                <w:szCs w:val="11"/>
                <w:color w:val="auto"/>
              </w:rPr>
            </w:pPr>
          </w:p>
        </w:tc>
        <w:tc>
          <w:tcPr>
            <w:tcW w:w="68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53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Beverages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w w:val="98"/>
              </w:rPr>
              <w:t>Beverages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0" w:type="dxa"/>
            <w:vAlign w:val="bottom"/>
          </w:tcPr>
          <w:p>
            <w:pPr>
              <w:spacing w:after="0"/>
              <w:rPr>
                <w:sz w:val="1"/>
                <w:szCs w:val="1"/>
                <w:color w:val="auto"/>
              </w:rPr>
            </w:pPr>
          </w:p>
        </w:tc>
      </w:tr>
      <w:tr>
        <w:trPr>
          <w:trHeight w:val="225"/>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6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2"/>
                <w:szCs w:val="22"/>
                <w:color w:val="auto"/>
                <w:vertAlign w:val="superscript"/>
              </w:rPr>
              <w:t>(1)</w:t>
            </w: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Segment operating earnings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05"/>
        </w:trPr>
        <w:tc>
          <w:tcPr>
            <w:tcW w:w="53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Corporate expense (income)</w:t>
            </w:r>
            <w:r>
              <w:rPr>
                <w:rFonts w:ascii="Times New Roman" w:cs="Times New Roman" w:eastAsia="Times New Roman" w:hAnsi="Times New Roman"/>
                <w:sz w:val="22"/>
                <w:szCs w:val="22"/>
                <w:color w:val="auto"/>
                <w:vertAlign w:val="superscript"/>
              </w:rPr>
              <w:t>(2)</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81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5"/>
        </w:trPr>
        <w:tc>
          <w:tcPr>
            <w:tcW w:w="5360" w:type="dxa"/>
            <w:vAlign w:val="bottom"/>
            <w:tcBorders>
              <w:bottom w:val="single" w:sz="8" w:color="CCEEFF"/>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2"/>
                <w:szCs w:val="22"/>
                <w:color w:val="auto"/>
                <w:vertAlign w:val="superscript"/>
              </w:rPr>
              <w:t>(3)</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interest and taxes</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18"/>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5"/>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8"/>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taxes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vMerge w:val="restart"/>
          </w:tcPr>
          <w:p>
            <w:pPr>
              <w:jc w:val="right"/>
              <w:ind w:right="477"/>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2"/>
        </w:trPr>
        <w:tc>
          <w:tcPr>
            <w:tcW w:w="5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3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6"/>
        </w:trPr>
        <w:tc>
          <w:tcPr>
            <w:tcW w:w="8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5"/>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4"/>
        </w:trPr>
        <w:tc>
          <w:tcPr>
            <w:tcW w:w="8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5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November 2, 2025</w:t>
            </w:r>
          </w:p>
        </w:tc>
        <w:tc>
          <w:tcPr>
            <w:tcW w:w="120" w:type="dxa"/>
            <w:vAlign w:val="bottom"/>
          </w:tcPr>
          <w:p>
            <w:pPr>
              <w:spacing w:after="0"/>
              <w:rPr>
                <w:sz w:val="16"/>
                <w:szCs w:val="16"/>
                <w:color w:val="auto"/>
              </w:rPr>
            </w:pPr>
          </w:p>
        </w:tc>
        <w:tc>
          <w:tcPr>
            <w:tcW w:w="11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0" w:type="dxa"/>
            <w:vAlign w:val="bottom"/>
          </w:tcPr>
          <w:p>
            <w:pPr>
              <w:spacing w:after="0"/>
              <w:rPr>
                <w:sz w:val="1"/>
                <w:szCs w:val="1"/>
                <w:color w:val="auto"/>
              </w:rPr>
            </w:pPr>
          </w:p>
        </w:tc>
      </w:tr>
      <w:tr>
        <w:trPr>
          <w:trHeight w:val="212"/>
        </w:trPr>
        <w:tc>
          <w:tcPr>
            <w:tcW w:w="8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Meals &amp; Beverages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Snacks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5"/>
        </w:trPr>
        <w:tc>
          <w:tcPr>
            <w:tcW w:w="8520" w:type="dxa"/>
            <w:vAlign w:val="bottom"/>
            <w:tcBorders>
              <w:bottom w:val="single" w:sz="8" w:color="CCEEFF"/>
            </w:tcBorders>
          </w:tcPr>
          <w:p>
            <w:pPr>
              <w:ind w:left="140"/>
              <w:spacing w:after="0" w:line="225"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2"/>
                <w:szCs w:val="22"/>
                <w:color w:val="auto"/>
                <w:vertAlign w:val="superscript"/>
              </w:rPr>
              <w:t>(4)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8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0" w:type="dxa"/>
            <w:vAlign w:val="bottom"/>
            <w:gridSpan w:val="5"/>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4"/>
        </w:trPr>
        <w:tc>
          <w:tcPr>
            <w:tcW w:w="8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5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November 2, 2025</w:t>
            </w:r>
          </w:p>
        </w:tc>
        <w:tc>
          <w:tcPr>
            <w:tcW w:w="120" w:type="dxa"/>
            <w:vAlign w:val="bottom"/>
          </w:tcPr>
          <w:p>
            <w:pPr>
              <w:spacing w:after="0"/>
              <w:rPr>
                <w:sz w:val="16"/>
                <w:szCs w:val="16"/>
                <w:color w:val="auto"/>
              </w:rPr>
            </w:pPr>
          </w:p>
        </w:tc>
        <w:tc>
          <w:tcPr>
            <w:tcW w:w="11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0" w:type="dxa"/>
            <w:vAlign w:val="bottom"/>
          </w:tcPr>
          <w:p>
            <w:pPr>
              <w:spacing w:after="0"/>
              <w:rPr>
                <w:sz w:val="1"/>
                <w:szCs w:val="1"/>
                <w:color w:val="auto"/>
              </w:rPr>
            </w:pPr>
          </w:p>
        </w:tc>
      </w:tr>
      <w:tr>
        <w:trPr>
          <w:trHeight w:val="212"/>
        </w:trPr>
        <w:tc>
          <w:tcPr>
            <w:tcW w:w="8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Meals &amp; Beverages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Snacks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5"/>
        </w:trPr>
        <w:tc>
          <w:tcPr>
            <w:tcW w:w="8520" w:type="dxa"/>
            <w:vAlign w:val="bottom"/>
            <w:tcBorders>
              <w:bottom w:val="single" w:sz="8" w:color="CCEEFF"/>
            </w:tcBorders>
          </w:tcPr>
          <w:p>
            <w:pPr>
              <w:ind w:left="140"/>
              <w:spacing w:after="0" w:line="225"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2"/>
                <w:szCs w:val="22"/>
                <w:color w:val="auto"/>
                <w:vertAlign w:val="superscript"/>
              </w:rPr>
              <w:t>(4)</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98" w:lineRule="exact"/>
        <w:rPr>
          <w:sz w:val="20"/>
          <w:szCs w:val="20"/>
          <w:color w:val="auto"/>
        </w:rPr>
      </w:pPr>
    </w:p>
    <w:p>
      <w:pPr>
        <w:ind w:left="320" w:hanging="314"/>
        <w:spacing w:after="0" w:line="225" w:lineRule="auto"/>
        <w:tabs>
          <w:tab w:leader="none" w:pos="30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segment items for each of the reportable segments include marketing and selling expenses, administrative expenses, research and development expenses and expense for amortization of intangible assets.</w:t>
      </w:r>
    </w:p>
    <w:p>
      <w:pPr>
        <w:spacing w:after="0" w:line="61" w:lineRule="exact"/>
        <w:rPr>
          <w:rFonts w:ascii="Times New Roman" w:cs="Times New Roman" w:eastAsia="Times New Roman" w:hAnsi="Times New Roman"/>
          <w:sz w:val="23"/>
          <w:szCs w:val="23"/>
          <w:color w:val="auto"/>
          <w:vertAlign w:val="superscript"/>
        </w:rPr>
      </w:pPr>
    </w:p>
    <w:p>
      <w:pPr>
        <w:jc w:val="both"/>
        <w:ind w:left="320" w:hanging="314"/>
        <w:spacing w:after="0" w:line="241" w:lineRule="auto"/>
        <w:tabs>
          <w:tab w:leader="none" w:pos="30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unallocated items. Costs related to cost savings and optimization initiatives were $31 million and $29 million in the three-month periods ended November 2, 2025 and October 27, 2024, respectively. Unrealized mark-to-market adjustments on outstanding undesignated commodity hedges were losses of $2 million in the three-month period ended November 2, 2025, and gains of $4 million in the three-month period ended October 27, 2024. Litigation expenses related to the Plum baby food and snacks business, which was divested on May 3, 2021, and certain other litigation matters were $10 million in the three-month period ended November 2, 2025, and $1 million in the three-month period ended October 27, 2024. Insurance recoveries of $1 million related to a cybersecurity incident were included in the three-month periods ended November 2, 2025 and October 27, 2024. Costs associated with a pending acquisition were $2 million in the three-month period ended November 2, 2025. A loss on the sale of our Pop Secret popcorn business of $25 million was included in the three-month period ended October 27, 2024. Accelerated amortization expense related to customer relationship intangible assets was $7 million in the three-month period ended October 27, 2024. A postretirement actuarial loss of $2 million was included in the three-month period ended October 27, 2024.</w:t>
      </w:r>
    </w:p>
    <w:p>
      <w:pPr>
        <w:spacing w:after="0" w:line="43" w:lineRule="exact"/>
        <w:rPr>
          <w:rFonts w:ascii="Times New Roman" w:cs="Times New Roman" w:eastAsia="Times New Roman" w:hAnsi="Times New Roman"/>
          <w:sz w:val="23"/>
          <w:szCs w:val="23"/>
          <w:color w:val="auto"/>
          <w:vertAlign w:val="superscript"/>
        </w:rPr>
      </w:pPr>
    </w:p>
    <w:p>
      <w:pPr>
        <w:ind w:left="320" w:hanging="314"/>
        <w:spacing w:after="0"/>
        <w:tabs>
          <w:tab w:leader="none" w:pos="32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7 for additional information.</w:t>
      </w:r>
    </w:p>
    <w:p>
      <w:pPr>
        <w:spacing w:after="0" w:line="73" w:lineRule="exact"/>
        <w:rPr>
          <w:rFonts w:ascii="Times New Roman" w:cs="Times New Roman" w:eastAsia="Times New Roman" w:hAnsi="Times New Roman"/>
          <w:sz w:val="23"/>
          <w:szCs w:val="23"/>
          <w:color w:val="auto"/>
          <w:vertAlign w:val="superscript"/>
        </w:rPr>
      </w:pPr>
    </w:p>
    <w:p>
      <w:pPr>
        <w:ind w:left="320" w:right="4420" w:hanging="314"/>
        <w:spacing w:after="0" w:line="273" w:lineRule="auto"/>
        <w:tabs>
          <w:tab w:leader="none" w:pos="30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primarily corporate offices and enterprise-wide information technology systems. Our net sales based on product categories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4"/>
        </w:trPr>
        <w:tc>
          <w:tcPr>
            <w:tcW w:w="8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November 2, 2025</w:t>
            </w:r>
          </w:p>
        </w:tc>
        <w:tc>
          <w:tcPr>
            <w:tcW w:w="120" w:type="dxa"/>
            <w:vAlign w:val="bottom"/>
          </w:tcPr>
          <w:p>
            <w:pPr>
              <w:spacing w:after="0"/>
              <w:rPr>
                <w:sz w:val="16"/>
                <w:szCs w:val="16"/>
                <w:color w:val="auto"/>
              </w:rPr>
            </w:pPr>
          </w:p>
        </w:tc>
        <w:tc>
          <w:tcPr>
            <w:tcW w:w="11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0" w:type="dxa"/>
            <w:vAlign w:val="bottom"/>
          </w:tcPr>
          <w:p>
            <w:pPr>
              <w:spacing w:after="0"/>
              <w:rPr>
                <w:sz w:val="1"/>
                <w:szCs w:val="1"/>
                <w:color w:val="auto"/>
              </w:rPr>
            </w:pPr>
          </w:p>
        </w:tc>
      </w:tr>
      <w:tr>
        <w:trPr>
          <w:trHeight w:val="212"/>
        </w:trPr>
        <w:tc>
          <w:tcPr>
            <w:tcW w:w="8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Soup</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Snacks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0" w:type="dxa"/>
            <w:vAlign w:val="bottom"/>
          </w:tcPr>
          <w:p>
            <w:pPr>
              <w:spacing w:after="0"/>
              <w:rPr>
                <w:sz w:val="1"/>
                <w:szCs w:val="1"/>
                <w:color w:val="auto"/>
              </w:rPr>
            </w:pPr>
          </w:p>
        </w:tc>
      </w:tr>
      <w:tr>
        <w:trPr>
          <w:trHeight w:val="225"/>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simple meals</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Beverages</w:t>
            </w: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Soup includes various soup, broths and stock products. Snacks include cookies, pretzels, crackers, popcorn, potato chips, tortilla chips and other salty snacks and baked products. Other simple meals include sauces, yogurts, pasta, frozen entrées, canned poultry, frozen pizza, gravies and beans. Beverages include </w:t>
      </w:r>
      <w:r>
        <w:rPr>
          <w:rFonts w:ascii="Times New Roman" w:cs="Times New Roman" w:eastAsia="Times New Roman" w:hAnsi="Times New Roman"/>
          <w:sz w:val="18"/>
          <w:szCs w:val="18"/>
          <w:i w:val="1"/>
          <w:iCs w:val="1"/>
          <w:color w:val="auto"/>
        </w:rPr>
        <w:t>V8</w:t>
      </w:r>
      <w:r>
        <w:rPr>
          <w:rFonts w:ascii="Times New Roman" w:cs="Times New Roman" w:eastAsia="Times New Roman" w:hAnsi="Times New Roman"/>
          <w:sz w:val="18"/>
          <w:szCs w:val="18"/>
          <w:color w:val="auto"/>
        </w:rPr>
        <w:t xml:space="preserve"> juices and beverages,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tomato juice and </w:t>
      </w:r>
      <w:r>
        <w:rPr>
          <w:rFonts w:ascii="Times New Roman" w:cs="Times New Roman" w:eastAsia="Times New Roman" w:hAnsi="Times New Roman"/>
          <w:sz w:val="18"/>
          <w:szCs w:val="18"/>
          <w:i w:val="1"/>
          <w:iCs w:val="1"/>
          <w:color w:val="auto"/>
        </w:rPr>
        <w:t>Pacific Foods</w:t>
      </w:r>
      <w:r>
        <w:rPr>
          <w:rFonts w:ascii="Times New Roman" w:cs="Times New Roman" w:eastAsia="Times New Roman" w:hAnsi="Times New Roman"/>
          <w:sz w:val="18"/>
          <w:szCs w:val="18"/>
          <w:color w:val="auto"/>
        </w:rPr>
        <w:t xml:space="preserve"> non-dairy beverages.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2" w:name="page13"/>
    <w:bookmarkEnd w:id="12"/>
    <w:p>
      <w:pPr>
        <w:ind w:right="4800" w:firstLine="6"/>
        <w:spacing w:after="0" w:line="354" w:lineRule="auto"/>
        <w:tabs>
          <w:tab w:leader="none" w:pos="177"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Restructuring Charges, Cost Savings Initiatives and Other Optimization Initiatives </w:t>
      </w:r>
      <w:r>
        <w:rPr>
          <w:rFonts w:ascii="Times New Roman" w:cs="Times New Roman" w:eastAsia="Times New Roman" w:hAnsi="Times New Roman"/>
          <w:sz w:val="18"/>
          <w:szCs w:val="18"/>
          <w:b w:val="1"/>
          <w:bCs w:val="1"/>
          <w:i w:val="1"/>
          <w:iCs w:val="1"/>
          <w:color w:val="auto"/>
        </w:rPr>
        <w:t>2025 Cost Savings Initiatives</w:t>
      </w:r>
    </w:p>
    <w:p>
      <w:pPr>
        <w:spacing w:after="0" w:line="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September 10, 2024, we announced plans to implement cost savings initiatives beginning in 2025, including initiatives to further optimize our supply chain and manufacturing network, optimization of our information technology infrastructure and targeted cost management. We also identified additional opportunities for cost synergies as we integrated Sovos Brands. As of July 28, 2024, we substantially completed our previous multi-year cost savings initiatives and Snyder's-Lance, Inc. cost transformation program and integration and had identified initial opportunities for cost synergies as we integrated Sovos Brands. Certain initiatives from those programs have been incorporated into our 2025 cost savings initiatives. Cost estimates for the 2025 initiatives, as well as timing for certain activities, are continuing to be developed.</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the pre-tax charges recorded in the Consolidated Statements of Earnings related to these initiatives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40" w:type="dxa"/>
            <w:vAlign w:val="bottom"/>
            <w:gridSpan w:val="4"/>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vMerge w:val="restart"/>
          </w:tcPr>
          <w:p>
            <w:pPr>
              <w:jc w:val="right"/>
              <w:ind w:right="157"/>
              <w:spacing w:after="0" w:line="159" w:lineRule="exact"/>
              <w:rPr>
                <w:sz w:val="20"/>
                <w:szCs w:val="20"/>
                <w:color w:val="auto"/>
              </w:rPr>
            </w:pPr>
            <w:r>
              <w:rPr>
                <w:rFonts w:ascii="Times New Roman" w:cs="Times New Roman" w:eastAsia="Times New Roman" w:hAnsi="Times New Roman"/>
                <w:sz w:val="14"/>
                <w:szCs w:val="14"/>
                <w:b w:val="1"/>
                <w:bCs w:val="1"/>
                <w:color w:val="auto"/>
              </w:rPr>
              <w:t>Recognized as of</w:t>
            </w:r>
          </w:p>
        </w:tc>
        <w:tc>
          <w:tcPr>
            <w:tcW w:w="0" w:type="dxa"/>
            <w:vAlign w:val="bottom"/>
          </w:tcPr>
          <w:p>
            <w:pPr>
              <w:spacing w:after="0"/>
              <w:rPr>
                <w:sz w:val="1"/>
                <w:szCs w:val="1"/>
                <w:color w:val="auto"/>
              </w:rPr>
            </w:pPr>
          </w:p>
        </w:tc>
      </w:tr>
      <w:tr>
        <w:trPr>
          <w:trHeight w:val="114"/>
        </w:trPr>
        <w:tc>
          <w:tcPr>
            <w:tcW w:w="6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9"/>
                <w:szCs w:val="9"/>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2, 2025</w:t>
            </w:r>
          </w:p>
        </w:tc>
        <w:tc>
          <w:tcPr>
            <w:tcW w:w="160" w:type="dxa"/>
            <w:vAlign w:val="bottom"/>
          </w:tcPr>
          <w:p>
            <w:pPr>
              <w:spacing w:after="0"/>
              <w:rPr>
                <w:sz w:val="9"/>
                <w:szCs w:val="9"/>
                <w:color w:val="auto"/>
              </w:rPr>
            </w:pPr>
          </w:p>
        </w:tc>
        <w:tc>
          <w:tcPr>
            <w:tcW w:w="134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November 2, 2025</w:t>
            </w:r>
          </w:p>
        </w:tc>
        <w:tc>
          <w:tcPr>
            <w:tcW w:w="0" w:type="dxa"/>
            <w:vAlign w:val="bottom"/>
          </w:tcPr>
          <w:p>
            <w:pPr>
              <w:spacing w:after="0"/>
              <w:rPr>
                <w:sz w:val="1"/>
                <w:szCs w:val="1"/>
                <w:color w:val="auto"/>
              </w:rPr>
            </w:pPr>
          </w:p>
        </w:tc>
      </w:tr>
      <w:tr>
        <w:trPr>
          <w:trHeight w:val="224"/>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5"/>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5"/>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5"/>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and selling expenses</w:t>
            </w:r>
          </w:p>
        </w:tc>
        <w:tc>
          <w:tcPr>
            <w:tcW w:w="16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5"/>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pre-tax charges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
        </w:trPr>
        <w:tc>
          <w:tcPr>
            <w:tcW w:w="65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A summary of the pre-tax costs associated with the initiatives is as follows:</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65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6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right"/>
              <w:ind w:right="197"/>
              <w:spacing w:after="0" w:line="160" w:lineRule="exact"/>
              <w:rPr>
                <w:sz w:val="20"/>
                <w:szCs w:val="20"/>
                <w:color w:val="auto"/>
              </w:rPr>
            </w:pPr>
            <w:r>
              <w:rPr>
                <w:rFonts w:ascii="Times New Roman" w:cs="Times New Roman" w:eastAsia="Times New Roman" w:hAnsi="Times New Roman"/>
                <w:sz w:val="14"/>
                <w:szCs w:val="14"/>
                <w:b w:val="1"/>
                <w:bCs w:val="1"/>
                <w:color w:val="auto"/>
              </w:rPr>
              <w:t>Recognized as of</w:t>
            </w:r>
          </w:p>
        </w:tc>
        <w:tc>
          <w:tcPr>
            <w:tcW w:w="0" w:type="dxa"/>
            <w:vAlign w:val="bottom"/>
          </w:tcPr>
          <w:p>
            <w:pPr>
              <w:spacing w:after="0"/>
              <w:rPr>
                <w:sz w:val="1"/>
                <w:szCs w:val="1"/>
                <w:color w:val="auto"/>
              </w:rPr>
            </w:pPr>
          </w:p>
        </w:tc>
      </w:tr>
      <w:tr>
        <w:trPr>
          <w:trHeight w:val="191"/>
        </w:trPr>
        <w:tc>
          <w:tcPr>
            <w:tcW w:w="656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November 2, 2025</w:t>
            </w:r>
          </w:p>
        </w:tc>
        <w:tc>
          <w:tcPr>
            <w:tcW w:w="0" w:type="dxa"/>
            <w:vAlign w:val="bottom"/>
          </w:tcPr>
          <w:p>
            <w:pPr>
              <w:spacing w:after="0"/>
              <w:rPr>
                <w:sz w:val="1"/>
                <w:szCs w:val="1"/>
                <w:color w:val="auto"/>
              </w:rPr>
            </w:pPr>
          </w:p>
        </w:tc>
      </w:tr>
      <w:tr>
        <w:trPr>
          <w:trHeight w:val="224"/>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pay and benefits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5"/>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impairment/accelerated depreciation</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5"/>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Implementation costs and other related costs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total estimated pre-tax costs for actions that have been identified to date are approximately $230 million, and we expect to incur substantially all of the costs through 2028. These estimates will be updated as the detailed plans are developed.</w:t>
      </w:r>
    </w:p>
    <w:p>
      <w:pPr>
        <w:spacing w:after="0" w:line="3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expect the costs for the actions that have been identified to date to consist of the following: approximately $35 million in severance pay and benefits; approximately $50 million in asset impairment and accelerated depreciation; and approximately $145 million in implementation costs and other related costs. We expect these pre-tax costs to be associated with our segments as follows: Meals &amp; Beverages - approximately 61%; Snacks - approximately 19% and Corporate - approximately 20%.</w:t>
      </w:r>
    </w:p>
    <w:p>
      <w:pPr>
        <w:spacing w:after="0" w:line="6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Of the aggregate $230 million of pre-tax costs identified to date, we expect approximately $175 million will be cash expenditures. In addition, we expect to invest approximately $205 million in capital expenditures, of which we invested $164 million as of November 2, 2025. The capital expenditures primarily relate to optimization of production within our manufacturing network, optimization of information technology infrastructure and applications and implementation of our existing SAP enterprise-resource planning system for Sovos Brands.</w:t>
      </w:r>
    </w:p>
    <w:p>
      <w:pPr>
        <w:spacing w:after="0" w:line="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the restructuring activity and related reserves is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Implementation</w:t>
            </w: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080" w:type="dxa"/>
            <w:vAlign w:val="bottom"/>
          </w:tcPr>
          <w:p>
            <w:pPr>
              <w:spacing w:after="0"/>
              <w:rPr>
                <w:sz w:val="12"/>
                <w:szCs w:val="12"/>
                <w:color w:val="auto"/>
              </w:rPr>
            </w:pPr>
          </w:p>
        </w:tc>
        <w:tc>
          <w:tcPr>
            <w:tcW w:w="1060" w:type="dxa"/>
            <w:vAlign w:val="bottom"/>
            <w:gridSpan w:val="2"/>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Severance Pay</w:t>
            </w:r>
          </w:p>
        </w:tc>
        <w:tc>
          <w:tcPr>
            <w:tcW w:w="100" w:type="dxa"/>
            <w:vAlign w:val="bottom"/>
          </w:tcPr>
          <w:p>
            <w:pPr>
              <w:spacing w:after="0"/>
              <w:rPr>
                <w:sz w:val="12"/>
                <w:szCs w:val="12"/>
                <w:color w:val="auto"/>
              </w:rPr>
            </w:pPr>
          </w:p>
        </w:tc>
        <w:tc>
          <w:tcPr>
            <w:tcW w:w="14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Costs and Other</w:t>
            </w:r>
          </w:p>
        </w:tc>
        <w:tc>
          <w:tcPr>
            <w:tcW w:w="16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Related</w:t>
            </w:r>
          </w:p>
        </w:tc>
        <w:tc>
          <w:tcPr>
            <w:tcW w:w="162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Impairment/Accelerated</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Charges</w:t>
            </w:r>
          </w:p>
        </w:tc>
        <w:tc>
          <w:tcPr>
            <w:tcW w:w="0" w:type="dxa"/>
            <w:vAlign w:val="bottom"/>
          </w:tcPr>
          <w:p>
            <w:pPr>
              <w:spacing w:after="0"/>
              <w:rPr>
                <w:sz w:val="1"/>
                <w:szCs w:val="1"/>
                <w:color w:val="auto"/>
              </w:rPr>
            </w:pPr>
          </w:p>
        </w:tc>
      </w:tr>
      <w:tr>
        <w:trPr>
          <w:trHeight w:val="199"/>
        </w:trPr>
        <w:tc>
          <w:tcPr>
            <w:tcW w:w="60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w w:val="99"/>
              </w:rPr>
              <w:t>and Benefits</w:t>
            </w:r>
          </w:p>
        </w:tc>
        <w:tc>
          <w:tcPr>
            <w:tcW w:w="100" w:type="dxa"/>
            <w:vAlign w:val="bottom"/>
          </w:tcPr>
          <w:p>
            <w:pPr>
              <w:spacing w:after="0"/>
              <w:rPr>
                <w:sz w:val="17"/>
                <w:szCs w:val="17"/>
                <w:color w:val="auto"/>
              </w:rPr>
            </w:pPr>
          </w:p>
        </w:tc>
        <w:tc>
          <w:tcPr>
            <w:tcW w:w="1440" w:type="dxa"/>
            <w:vAlign w:val="bottom"/>
            <w:gridSpan w:val="2"/>
          </w:tcPr>
          <w:p>
            <w:pPr>
              <w:jc w:val="center"/>
              <w:ind w:right="120"/>
              <w:spacing w:after="0" w:line="199" w:lineRule="exact"/>
              <w:rPr>
                <w:sz w:val="20"/>
                <w:szCs w:val="20"/>
                <w:color w:val="auto"/>
              </w:rPr>
            </w:pPr>
            <w:r>
              <w:rPr>
                <w:rFonts w:ascii="Times New Roman" w:cs="Times New Roman" w:eastAsia="Times New Roman" w:hAnsi="Times New Roman"/>
                <w:sz w:val="14"/>
                <w:szCs w:val="14"/>
                <w:b w:val="1"/>
                <w:bCs w:val="1"/>
                <w:color w:val="auto"/>
                <w:w w:val="94"/>
              </w:rPr>
              <w:t>Costs</w:t>
            </w:r>
            <w:r>
              <w:rPr>
                <w:rFonts w:ascii="Times New Roman" w:cs="Times New Roman" w:eastAsia="Times New Roman" w:hAnsi="Times New Roman"/>
                <w:sz w:val="18"/>
                <w:szCs w:val="18"/>
                <w:b w:val="1"/>
                <w:bCs w:val="1"/>
                <w:color w:val="auto"/>
                <w:w w:val="94"/>
                <w:vertAlign w:val="superscript"/>
              </w:rPr>
              <w:t>(3)</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9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080" w:type="dxa"/>
            <w:vAlign w:val="bottom"/>
            <w:tcBorders>
              <w:top w:val="single" w:sz="8" w:color="CCEEFF"/>
            </w:tcBorders>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Accrued balance at August 3, 2025</w:t>
            </w:r>
            <w:r>
              <w:rPr>
                <w:rFonts w:ascii="Times New Roman" w:cs="Times New Roman" w:eastAsia="Times New Roman" w:hAnsi="Times New Roman"/>
                <w:sz w:val="22"/>
                <w:szCs w:val="22"/>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2026 charges</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20" w:type="dxa"/>
            <w:vAlign w:val="bottom"/>
          </w:tcPr>
          <w:p>
            <w:pPr>
              <w:spacing w:after="0"/>
              <w:rPr>
                <w:sz w:val="19"/>
                <w:szCs w:val="19"/>
                <w:color w:val="auto"/>
              </w:rPr>
            </w:pPr>
          </w:p>
        </w:tc>
        <w:tc>
          <w:tcPr>
            <w:tcW w:w="1520" w:type="dxa"/>
            <w:vAlign w:val="bottom"/>
          </w:tcPr>
          <w:p>
            <w:pPr>
              <w:jc w:val="right"/>
              <w:ind w:right="5"/>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9"/>
                <w:szCs w:val="19"/>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0" w:type="dxa"/>
            <w:vAlign w:val="bottom"/>
          </w:tcPr>
          <w:p>
            <w:pPr>
              <w:spacing w:after="0"/>
              <w:rPr>
                <w:sz w:val="1"/>
                <w:szCs w:val="1"/>
                <w:color w:val="auto"/>
              </w:rPr>
            </w:pPr>
          </w:p>
        </w:tc>
      </w:tr>
      <w:tr>
        <w:trPr>
          <w:trHeight w:val="225"/>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2026 cash payments</w:t>
            </w: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080" w:type="dxa"/>
            <w:vAlign w:val="bottom"/>
          </w:tcPr>
          <w:p>
            <w:pPr>
              <w:ind w:left="20"/>
              <w:spacing w:after="0" w:line="219" w:lineRule="exact"/>
              <w:rPr>
                <w:sz w:val="20"/>
                <w:szCs w:val="20"/>
                <w:color w:val="auto"/>
              </w:rPr>
            </w:pPr>
            <w:r>
              <w:rPr>
                <w:rFonts w:ascii="Times New Roman" w:cs="Times New Roman" w:eastAsia="Times New Roman" w:hAnsi="Times New Roman"/>
                <w:sz w:val="18"/>
                <w:szCs w:val="18"/>
                <w:b w:val="1"/>
                <w:bCs w:val="1"/>
                <w:color w:val="auto"/>
              </w:rPr>
              <w:t>Accrued balance at November 2, 2025</w:t>
            </w:r>
            <w:r>
              <w:rPr>
                <w:rFonts w:ascii="Times New Roman" w:cs="Times New Roman" w:eastAsia="Times New Roman" w:hAnsi="Times New Roman"/>
                <w:sz w:val="22"/>
                <w:szCs w:val="22"/>
                <w:b w:val="1"/>
                <w:bCs w:val="1"/>
                <w:color w:val="auto"/>
                <w:vertAlign w:val="superscript"/>
              </w:rPr>
              <w:t>(2)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w:t>
      </w:r>
    </w:p>
    <w:p>
      <w:pPr>
        <w:spacing w:after="0" w:line="30" w:lineRule="exact"/>
        <w:rPr>
          <w:sz w:val="20"/>
          <w:szCs w:val="20"/>
          <w:color w:val="auto"/>
        </w:rPr>
      </w:pPr>
    </w:p>
    <w:p>
      <w:pPr>
        <w:ind w:left="320" w:hanging="314"/>
        <w:spacing w:after="0"/>
        <w:tabs>
          <w:tab w:leader="none" w:pos="32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$14 million of severance pay and benefits recorded in Other liabilities in the Consolidated Balance Sheet.</w:t>
      </w:r>
    </w:p>
    <w:p>
      <w:pPr>
        <w:ind w:left="320" w:hanging="314"/>
        <w:spacing w:after="0" w:line="191" w:lineRule="auto"/>
        <w:tabs>
          <w:tab w:leader="none" w:pos="32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$5 million of severance pay and benefits recorded in Other liabilities in the Consolidated Balance Sheet.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13" w:name="page14"/>
    <w:bookmarkEnd w:id="13"/>
    <w:p>
      <w:pPr>
        <w:ind w:left="320" w:hanging="314"/>
        <w:spacing w:after="0" w:line="225" w:lineRule="auto"/>
        <w:tabs>
          <w:tab w:leader="none" w:pos="30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other costs recognized as incurred that are not reflected in the restructuring reserve in the Consolidated Balance Sheet. The costs are included in Administrative expenses and Cost of products sold in the Consolidated Statements of Earnings.</w:t>
      </w:r>
    </w:p>
    <w:p>
      <w:pPr>
        <w:spacing w:after="0" w:line="75"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8"/>
          <w:szCs w:val="18"/>
          <w:color w:val="auto"/>
        </w:rPr>
        <w:t>Segment operating results do not include restructuring charges, implementation costs and other related costs because we evaluate segment performance excluding such charges. A summary of the pre-tax costs associated with segments is as follows:</w:t>
      </w:r>
    </w:p>
    <w:tbl>
      <w:tblPr>
        <w:tblLayout w:type="fixed"/>
        <w:tblInd w:w="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gridSpan w:val="4"/>
          </w:tcPr>
          <w:p>
            <w:pPr>
              <w:jc w:val="right"/>
              <w:ind w:right="878"/>
              <w:spacing w:after="0"/>
              <w:rPr>
                <w:sz w:val="20"/>
                <w:szCs w:val="20"/>
                <w:color w:val="auto"/>
              </w:rPr>
            </w:pPr>
            <w:r>
              <w:rPr>
                <w:rFonts w:ascii="Times New Roman" w:cs="Times New Roman" w:eastAsia="Times New Roman" w:hAnsi="Times New Roman"/>
                <w:sz w:val="14"/>
                <w:szCs w:val="14"/>
                <w:b w:val="1"/>
                <w:bCs w:val="1"/>
                <w:color w:val="auto"/>
              </w:rPr>
              <w:t>November 2, 2025</w:t>
            </w:r>
          </w:p>
        </w:tc>
        <w:tc>
          <w:tcPr>
            <w:tcW w:w="0" w:type="dxa"/>
            <w:vAlign w:val="bottom"/>
          </w:tcPr>
          <w:p>
            <w:pPr>
              <w:spacing w:after="0"/>
              <w:rPr>
                <w:sz w:val="1"/>
                <w:szCs w:val="1"/>
                <w:color w:val="auto"/>
              </w:rPr>
            </w:pPr>
          </w:p>
        </w:tc>
      </w:tr>
      <w:tr>
        <w:trPr>
          <w:trHeight w:val="24"/>
        </w:trPr>
        <w:tc>
          <w:tcPr>
            <w:tcW w:w="8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0"/>
                <w:szCs w:val="10"/>
                <w:color w:val="auto"/>
              </w:rPr>
            </w:pPr>
          </w:p>
        </w:tc>
        <w:tc>
          <w:tcPr>
            <w:tcW w:w="1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0"/>
                <w:szCs w:val="10"/>
                <w:color w:val="auto"/>
              </w:rPr>
            </w:pPr>
          </w:p>
        </w:tc>
        <w:tc>
          <w:tcPr>
            <w:tcW w:w="1260" w:type="dxa"/>
            <w:vAlign w:val="bottom"/>
          </w:tcPr>
          <w:p>
            <w:pPr>
              <w:jc w:val="right"/>
              <w:ind w:right="98"/>
              <w:spacing w:after="0" w:line="126" w:lineRule="exact"/>
              <w:rPr>
                <w:sz w:val="20"/>
                <w:szCs w:val="20"/>
                <w:color w:val="auto"/>
              </w:rPr>
            </w:pPr>
            <w:r>
              <w:rPr>
                <w:rFonts w:ascii="Times New Roman" w:cs="Times New Roman" w:eastAsia="Times New Roman" w:hAnsi="Times New Roman"/>
                <w:sz w:val="14"/>
                <w:szCs w:val="14"/>
                <w:b w:val="1"/>
                <w:bCs w:val="1"/>
                <w:color w:val="auto"/>
              </w:rPr>
              <w:t>Costs Incurred to</w:t>
            </w:r>
          </w:p>
        </w:tc>
        <w:tc>
          <w:tcPr>
            <w:tcW w:w="0" w:type="dxa"/>
            <w:vAlign w:val="bottom"/>
          </w:tcPr>
          <w:p>
            <w:pPr>
              <w:spacing w:after="0"/>
              <w:rPr>
                <w:sz w:val="1"/>
                <w:szCs w:val="1"/>
                <w:color w:val="auto"/>
              </w:rPr>
            </w:pPr>
          </w:p>
        </w:tc>
      </w:tr>
      <w:tr>
        <w:trPr>
          <w:trHeight w:val="192"/>
        </w:trPr>
        <w:tc>
          <w:tcPr>
            <w:tcW w:w="8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25"/>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5"/>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8"/>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Optimization Initiatives</w:t>
      </w:r>
    </w:p>
    <w:p>
      <w:pPr>
        <w:spacing w:after="0" w:line="10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the second quarter of 2024, we began implementation of an initiative to improve the effectiveness of our Snacks direct-store-delivery route-to-market network. Pursuant to this initiative we will purchase certain Pepperidge Farm and Snyder's-Lance routes where there are opportunities to unlock greater scale in select markets, combine them and sell the combined routes to independent contractor distributors. We expect to execute this program in a staggered rollout and to incur expenses of up to approximately $115 million through 2029. In the three-month period ended November 2, 2025, we incurred $16 million in Marketing and selling expenses related to this initiative. In the three-month period ended October 27, 2024, we incurred $8 million in Marketing and selling expenses related to this initiative. As of November 2, 2025, we have incurred $41 million in Marketing and selling expenses and $1 million in Administrative expenses related to this initiative.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Earnings per Share (EPS)</w:t>
      </w:r>
    </w:p>
    <w:p>
      <w:pPr>
        <w:spacing w:after="0" w:line="10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For the periods presented in the Consolidated Statements of Earnings, the calculations of basic EPS and EPS assuming dilution vary in that the weighted average shares outstanding assuming dilution include the incremental effect of stock options and other share-based payment awards, except when such effect would be antidilutive. The earnings per share calculation for the three-month period ended November 2, 2025 excludes approximately 1 million stock options that would have been antidilutive. The earnings per share calculation for the three-month period ended October 27, 2024 excludes less than 1 million stock options that would have been antidilutive.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Pension and Postretirement Benefits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Components of net periodic benefit expense (income)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gridSpan w:val="3"/>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4"/>
        </w:trPr>
        <w:tc>
          <w:tcPr>
            <w:tcW w:w="62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85"/>
        </w:trPr>
        <w:tc>
          <w:tcPr>
            <w:tcW w:w="62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520" w:type="dxa"/>
            <w:vAlign w:val="bottom"/>
            <w:tcBorders>
              <w:bottom w:val="single" w:sz="8" w:color="auto"/>
            </w:tcBorders>
          </w:tcPr>
          <w:p>
            <w:pPr>
              <w:spacing w:after="0"/>
              <w:rPr>
                <w:sz w:val="16"/>
                <w:szCs w:val="16"/>
                <w:color w:val="auto"/>
              </w:rPr>
            </w:pPr>
          </w:p>
        </w:tc>
      </w:tr>
      <w:tr>
        <w:trPr>
          <w:trHeight w:val="192"/>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2, 2025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100" w:type="dxa"/>
            <w:vAlign w:val="bottom"/>
          </w:tcPr>
          <w:p>
            <w:pPr>
              <w:spacing w:after="0"/>
              <w:rPr>
                <w:sz w:val="16"/>
                <w:szCs w:val="16"/>
                <w:color w:val="auto"/>
              </w:rPr>
            </w:pP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2, 2025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27, 2024</w:t>
            </w:r>
          </w:p>
        </w:tc>
      </w:tr>
      <w:tr>
        <w:trPr>
          <w:trHeight w:val="225"/>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480" w:type="dxa"/>
            <w:vAlign w:val="bottom"/>
            <w:tcBorders>
              <w:top w:val="single" w:sz="8" w:color="auto"/>
            </w:tcBorders>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9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7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losses (gains)</w:t>
            </w:r>
          </w:p>
        </w:tc>
        <w:tc>
          <w:tcPr>
            <w:tcW w:w="4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4"/>
        </w:trPr>
        <w:tc>
          <w:tcPr>
            <w:tcW w:w="6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expense (income)</w:t>
            </w:r>
          </w:p>
        </w:tc>
        <w:tc>
          <w:tcPr>
            <w:tcW w:w="480" w:type="dxa"/>
            <w:vAlign w:val="bottom"/>
            <w:tcBorders>
              <w:top w:val="single" w:sz="8" w:color="auto"/>
              <w:bottom w:val="single" w:sz="8" w:color="auto"/>
            </w:tcBorders>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ind w:right="49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ind w:right="47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actuarial loss for the three-month period ended October 27, 2024 was due to the remeasurement of our postretirement plan due to a plan amendment.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actuarial loss was primarily due to a decrease in the discount rate used to determine the benefit obligation.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lease costs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40" w:type="dxa"/>
            <w:vAlign w:val="bottom"/>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4"/>
        </w:trPr>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380" w:type="dxa"/>
            <w:vAlign w:val="bottom"/>
            <w:vMerge w:val="continue"/>
          </w:tcPr>
          <w:p>
            <w:pPr>
              <w:spacing w:after="0"/>
              <w:rPr>
                <w:sz w:val="16"/>
                <w:szCs w:val="16"/>
                <w:color w:val="auto"/>
              </w:rPr>
            </w:pPr>
          </w:p>
        </w:tc>
        <w:tc>
          <w:tcPr>
            <w:tcW w:w="3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2, 2025</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0" w:type="dxa"/>
            <w:vAlign w:val="bottom"/>
          </w:tcPr>
          <w:p>
            <w:pPr>
              <w:spacing w:after="0"/>
              <w:rPr>
                <w:sz w:val="1"/>
                <w:szCs w:val="1"/>
                <w:color w:val="auto"/>
              </w:rPr>
            </w:pPr>
          </w:p>
        </w:tc>
      </w:tr>
      <w:tr>
        <w:trPr>
          <w:trHeight w:val="225"/>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2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5"/>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 amortization of right-of-use (ROU) assets</w:t>
            </w:r>
          </w:p>
        </w:tc>
        <w:tc>
          <w:tcPr>
            <w:tcW w:w="3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5"/>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 interest on lease liabilities</w:t>
            </w:r>
          </w:p>
        </w:tc>
        <w:tc>
          <w:tcPr>
            <w:tcW w:w="3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3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5"/>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8"/>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8740" w:type="dxa"/>
            <w:vAlign w:val="bottom"/>
            <w:gridSpan w:val="4"/>
            <w:vMerge w:val="restart"/>
          </w:tcPr>
          <w:p>
            <w:pPr>
              <w:ind w:left="320"/>
              <w:spacing w:after="0"/>
              <w:rPr>
                <w:sz w:val="20"/>
                <w:szCs w:val="20"/>
                <w:color w:val="auto"/>
              </w:rPr>
            </w:pPr>
            <w:r>
              <w:rPr>
                <w:rFonts w:ascii="Times New Roman" w:cs="Times New Roman" w:eastAsia="Times New Roman" w:hAnsi="Times New Roman"/>
                <w:sz w:val="18"/>
                <w:szCs w:val="18"/>
                <w:color w:val="auto"/>
              </w:rPr>
              <w:t>The following tables summarize the lease amounts recorded in the Consolidated Balance Sheets:</w:t>
            </w: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8740" w:type="dxa"/>
            <w:vAlign w:val="bottom"/>
            <w:gridSpan w:val="4"/>
            <w:vMerge w:val="continue"/>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380" w:type="dxa"/>
            <w:vAlign w:val="bottom"/>
          </w:tcPr>
          <w:p>
            <w:pPr>
              <w:spacing w:after="0"/>
              <w:rPr>
                <w:sz w:val="17"/>
                <w:szCs w:val="17"/>
                <w:color w:val="auto"/>
              </w:rPr>
            </w:pPr>
          </w:p>
        </w:tc>
        <w:tc>
          <w:tcPr>
            <w:tcW w:w="372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5380" w:type="dxa"/>
            <w:vAlign w:val="bottom"/>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360" w:type="dxa"/>
            <w:vAlign w:val="bottom"/>
            <w:gridSpan w:val="3"/>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2, 2025</w:t>
            </w:r>
          </w:p>
        </w:tc>
        <w:tc>
          <w:tcPr>
            <w:tcW w:w="200" w:type="dxa"/>
            <w:vAlign w:val="bottom"/>
          </w:tcPr>
          <w:p>
            <w:pPr>
              <w:spacing w:after="0"/>
              <w:rPr>
                <w:sz w:val="11"/>
                <w:szCs w:val="11"/>
                <w:color w:val="auto"/>
              </w:rPr>
            </w:pPr>
          </w:p>
        </w:tc>
        <w:tc>
          <w:tcPr>
            <w:tcW w:w="1000" w:type="dxa"/>
            <w:vAlign w:val="bottom"/>
          </w:tcPr>
          <w:p>
            <w:pPr>
              <w:jc w:val="center"/>
              <w:ind w:right="115"/>
              <w:spacing w:after="0" w:line="128" w:lineRule="exact"/>
              <w:rPr>
                <w:sz w:val="20"/>
                <w:szCs w:val="20"/>
                <w:color w:val="auto"/>
              </w:rPr>
            </w:pPr>
            <w:r>
              <w:rPr>
                <w:rFonts w:ascii="Times New Roman" w:cs="Times New Roman" w:eastAsia="Times New Roman" w:hAnsi="Times New Roman"/>
                <w:sz w:val="14"/>
                <w:szCs w:val="14"/>
                <w:b w:val="1"/>
                <w:bCs w:val="1"/>
                <w:color w:val="auto"/>
                <w:w w:val="98"/>
              </w:rPr>
              <w:t>August 3,</w:t>
            </w:r>
          </w:p>
        </w:tc>
        <w:tc>
          <w:tcPr>
            <w:tcW w:w="0" w:type="dxa"/>
            <w:vAlign w:val="bottom"/>
          </w:tcPr>
          <w:p>
            <w:pPr>
              <w:spacing w:after="0"/>
              <w:rPr>
                <w:sz w:val="1"/>
                <w:szCs w:val="1"/>
                <w:color w:val="auto"/>
              </w:rPr>
            </w:pPr>
          </w:p>
        </w:tc>
      </w:tr>
      <w:tr>
        <w:trPr>
          <w:trHeight w:val="191"/>
        </w:trPr>
        <w:tc>
          <w:tcPr>
            <w:tcW w:w="5380" w:type="dxa"/>
            <w:vAlign w:val="bottom"/>
            <w:vMerge w:val="continue"/>
          </w:tcPr>
          <w:p>
            <w:pPr>
              <w:spacing w:after="0"/>
              <w:rPr>
                <w:sz w:val="16"/>
                <w:szCs w:val="16"/>
                <w:color w:val="auto"/>
              </w:rPr>
            </w:pPr>
          </w:p>
        </w:tc>
        <w:tc>
          <w:tcPr>
            <w:tcW w:w="3360" w:type="dxa"/>
            <w:vAlign w:val="bottom"/>
            <w:gridSpan w:val="3"/>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24"/>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net</w:t>
            </w:r>
          </w:p>
        </w:tc>
        <w:tc>
          <w:tcPr>
            <w:tcW w:w="3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25"/>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3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360" w:type="dxa"/>
            <w:vAlign w:val="bottom"/>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5"/>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3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6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3720" w:type="dxa"/>
            <w:vAlign w:val="bottom"/>
            <w:tcBorders>
              <w:bottom w:val="single" w:sz="8" w:color="auto"/>
            </w:tcBorders>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360" w:type="dxa"/>
            <w:vAlign w:val="bottom"/>
            <w:gridSpan w:val="3"/>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2, 2025</w:t>
            </w:r>
          </w:p>
        </w:tc>
        <w:tc>
          <w:tcPr>
            <w:tcW w:w="200" w:type="dxa"/>
            <w:vAlign w:val="bottom"/>
          </w:tcPr>
          <w:p>
            <w:pPr>
              <w:spacing w:after="0"/>
              <w:rPr>
                <w:sz w:val="11"/>
                <w:szCs w:val="11"/>
                <w:color w:val="auto"/>
              </w:rPr>
            </w:pPr>
          </w:p>
        </w:tc>
        <w:tc>
          <w:tcPr>
            <w:tcW w:w="1000" w:type="dxa"/>
            <w:vAlign w:val="bottom"/>
          </w:tcPr>
          <w:p>
            <w:pPr>
              <w:jc w:val="center"/>
              <w:ind w:right="115"/>
              <w:spacing w:after="0" w:line="134" w:lineRule="exact"/>
              <w:rPr>
                <w:sz w:val="20"/>
                <w:szCs w:val="20"/>
                <w:color w:val="auto"/>
              </w:rPr>
            </w:pPr>
            <w:r>
              <w:rPr>
                <w:rFonts w:ascii="Times New Roman" w:cs="Times New Roman" w:eastAsia="Times New Roman" w:hAnsi="Times New Roman"/>
                <w:sz w:val="14"/>
                <w:szCs w:val="14"/>
                <w:b w:val="1"/>
                <w:bCs w:val="1"/>
                <w:color w:val="auto"/>
                <w:w w:val="98"/>
              </w:rPr>
              <w:t>August 3,</w:t>
            </w:r>
          </w:p>
        </w:tc>
        <w:tc>
          <w:tcPr>
            <w:tcW w:w="0" w:type="dxa"/>
            <w:vAlign w:val="bottom"/>
          </w:tcPr>
          <w:p>
            <w:pPr>
              <w:spacing w:after="0"/>
              <w:rPr>
                <w:sz w:val="1"/>
                <w:szCs w:val="1"/>
                <w:color w:val="auto"/>
              </w:rPr>
            </w:pPr>
          </w:p>
        </w:tc>
      </w:tr>
      <w:tr>
        <w:trPr>
          <w:trHeight w:val="191"/>
        </w:trPr>
        <w:tc>
          <w:tcPr>
            <w:tcW w:w="5380" w:type="dxa"/>
            <w:vAlign w:val="bottom"/>
            <w:vMerge w:val="continue"/>
          </w:tcPr>
          <w:p>
            <w:pPr>
              <w:spacing w:after="0"/>
              <w:rPr>
                <w:sz w:val="16"/>
                <w:szCs w:val="16"/>
                <w:color w:val="auto"/>
              </w:rPr>
            </w:pPr>
          </w:p>
        </w:tc>
        <w:tc>
          <w:tcPr>
            <w:tcW w:w="3360" w:type="dxa"/>
            <w:vAlign w:val="bottom"/>
            <w:gridSpan w:val="3"/>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24"/>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net</w:t>
            </w:r>
          </w:p>
        </w:tc>
        <w:tc>
          <w:tcPr>
            <w:tcW w:w="3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Plant assets, net of depreciation</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5"/>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3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Short-term borrowings</w:t>
            </w:r>
          </w:p>
        </w:tc>
        <w:tc>
          <w:tcPr>
            <w:tcW w:w="360" w:type="dxa"/>
            <w:vAlign w:val="bottom"/>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5"/>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3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6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385"/>
        </w:trPr>
        <w:tc>
          <w:tcPr>
            <w:tcW w:w="87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The following table summarizes cash flow and other information related to leases:</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3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40" w:type="dxa"/>
            <w:vAlign w:val="bottom"/>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4"/>
        </w:trPr>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380" w:type="dxa"/>
            <w:vAlign w:val="bottom"/>
            <w:vMerge w:val="continue"/>
          </w:tcPr>
          <w:p>
            <w:pPr>
              <w:spacing w:after="0"/>
              <w:rPr>
                <w:sz w:val="16"/>
                <w:szCs w:val="16"/>
                <w:color w:val="auto"/>
              </w:rPr>
            </w:pPr>
          </w:p>
        </w:tc>
        <w:tc>
          <w:tcPr>
            <w:tcW w:w="3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2, 2025</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0" w:type="dxa"/>
            <w:vAlign w:val="bottom"/>
          </w:tcPr>
          <w:p>
            <w:pPr>
              <w:spacing w:after="0"/>
              <w:rPr>
                <w:sz w:val="1"/>
                <w:szCs w:val="1"/>
                <w:color w:val="auto"/>
              </w:rPr>
            </w:pPr>
          </w:p>
        </w:tc>
      </w:tr>
      <w:tr>
        <w:trPr>
          <w:trHeight w:val="212"/>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5"/>
        </w:trPr>
        <w:tc>
          <w:tcPr>
            <w:tcW w:w="5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3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3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65"/>
        </w:trPr>
        <w:tc>
          <w:tcPr>
            <w:tcW w:w="5380" w:type="dxa"/>
            <w:vAlign w:val="bottom"/>
            <w:shd w:val="clear" w:color="auto" w:fill="CCEEFF"/>
          </w:tcPr>
          <w:p>
            <w:pPr>
              <w:spacing w:after="0"/>
              <w:rPr>
                <w:sz w:val="23"/>
                <w:szCs w:val="23"/>
                <w:color w:val="auto"/>
              </w:rPr>
            </w:pPr>
          </w:p>
        </w:tc>
        <w:tc>
          <w:tcPr>
            <w:tcW w:w="3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obligations:</w:t>
            </w:r>
          </w:p>
        </w:tc>
        <w:tc>
          <w:tcPr>
            <w:tcW w:w="3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3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3"/>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3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Financial Instruments</w:t>
      </w:r>
    </w:p>
    <w:p>
      <w:pPr>
        <w:spacing w:after="0" w:line="10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principal market risks to which we are exposed are changes in foreign currency exchange rates, interest rates and commodity prices. In addition, we are exposed to price changes related to certain deferred compensation obligations. In order to manage these exposures, we follow established risk management policies and procedures, including the use of derivative contracts such as swaps, rate locks, options, forwards and commodity futures. We enter into these derivative contracts for periods consistent with the related underlying exposures, and the contracts do not constitute positions independent of those exposures. We do not enter into derivative contracts for speculative purposes and do not use leveraged instruments. Our derivative programs include instruments that qualify for hedge accounting treatment and instruments that are not designated as accounting hedges.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8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exposed to the risk that counterparties to derivative contracts will fail to meet their contractual obligations. To mitigate counterparty credit risk, we enter into contracts only with carefully selected, leading, credit-worthy financial institutions, and distribute contracts among several financial institutions to reduce the concentration of credit risk. We did not have credit risk-related contingent features in our derivative instruments as of November 2, 2025, or August 3, 2025.</w:t>
      </w:r>
    </w:p>
    <w:p>
      <w:pPr>
        <w:spacing w:after="0" w:line="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are also exposed to credit risk from our customers. During 2025, our largest customer accounted for approximately 21% of our consolidated net sales.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five largest customers accounted for approximately 47% of our consolidated net sales in 2025.</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closely monitor credit risk associated with counterparties and customers.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0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are exposed to foreign currency exchange risk, primarily the Canadian dollar and Euro, related to intercompany transactions and third-party transactions. We utilize foreign exchange forward and option contracts to hedge these exposures. The contracts are either designated as cash-flow hedging instruments or are undesignated. We hedge portions of our forecasted foreign currency transaction exposure with foreign exchange forward contracts for periods typically up to 18 months. The notional amount of foreign exchange forward contracts accounted for as cash-flow hedges was $156 million as of November 2, 2025, and $183 million as of August 3, 2025. Changes in the fair value on the portion of the derivative included in the assessment of hedge effectiveness of cash-flow hedges are recorded in other comprehensive income (loss), until earnings are affected by the variability of cash flows. For derivatives that are designated and qualify as hedging instruments, the initial fair value of hedge components excluded from the assessment of effectiveness is recognized in earnings under a systematic and rational method over the life of the hedging instrument and is presented in the same statement of earnings line item as the earnings effect of the hedged item. Any difference between the change in the fair value of the hedge components excluded from the assessment of effectiveness and the amounts recognized in earnings is recorded as a component of other comprehensive income (loss). The notional amount of foreign exchange forward and option contracts that are not designated as accounting hedges was $338 million as of November 2, 2025, and $413 million as of August 3, 2025.</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89"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manage our exposure to changes in interest rates by optimizing the use of variable-rate and fixed-rate debt. From time to time, we may use interest rate swaps in order to maintain our variable-to-total debt ratio within targeted guidelines. We manage our exposure to interest volatility on future debt issuances by entering into forward starting interest rate swaps or treasury lock contracts to hedge the rate on the interest payments related to the anticipated debt issuance. The forward starting interest rate swaps or treasury lock contracts are either designated as cash-flow hedging instruments or are undesignated. Changes in the fair value on the portion of the derivative included in the assessment of hedge effectiveness of cash-flow hedges are recorded in other comprehensive income (loss), and reclassified into Interest expense over the life of the debt issued. The change in fair value on undesignated instruments is recorded in Interest expense. In conjunction with the issuance of senior unsecured notes on October 2, 2024, due on March 23, 2035, we settled forward starting interest rate swaps with a notional value of $700 million at a gain of less than $1 million. The gain on these instruments was recorded in other comprehensive income (loss) and will be recognized in Interest expense over the life of the debt. There were no forward starting interest rate swaps or treasury lock contracts outstanding as of November 2, 2025 and August 3, 2025.</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10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wheat, diesel fuel, natural gas, soybean oil, cocoa, aluminum, soybean meal and corn. Commodity futures, options and swap contracts are either designated as cash-flow hedging instruments or are undesignated. We hedge a portion of commodity requirements for periods typically up to 18 months. There were no commodity contracts designated as cash-flow hedges as of November 2, 2025, or August 3, 2025. The notional amount of commodity contracts not designated as accounting hedges was $185 million as of November 2, 2025, and $184 million as of August 3, 2025. The change in fair value on undesignated instruments is recorded in Cost of products sold.</w:t>
      </w:r>
    </w:p>
    <w:p>
      <w:pPr>
        <w:spacing w:after="0" w:line="5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have a supply contract under which prices for certain raw materials are established based on anticipated volume requirements over a twelve-month period. Certain prices under the contract are based in part on certain component parts of the raw materials that are in excess of our needs or not required for our operations, thereby creating an embedded derivative requiring bifurcation. We net settle amounts due under the contract with our counterparty. The notional amount was $15 million as of November 2, 2025, and $49 million as of August 3, 2025. The change in fair value on the embedded derivative is recorded in Cost of products sold.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Obligation Price Risk</w:t>
      </w:r>
    </w:p>
    <w:p>
      <w:pPr>
        <w:spacing w:after="0" w:line="8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enter into swap contracts which hedge a portion of exposures relating to the total return of certain deferred compensation obligations. These contracts are not designated as hedges for accounting purposes. Unrealized gains (losses) and settlements are included in Administrative expenses in the Consolidated Statements of Earnings. We enter into these contracts for periods typically not exceeding 12 months. The notional amounts of the contracts were $79 million as of November 2, 2025, and $76 million as of August 3, 2025.</w:t>
      </w:r>
    </w:p>
    <w:p>
      <w:pPr>
        <w:spacing w:after="0" w:line="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summarize the fair value of derivative instruments on a gross basis as recorded in the Consolidated Balance Sheets: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940" w:type="dxa"/>
            <w:vAlign w:val="bottom"/>
            <w:gridSpan w:val="3"/>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30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2, 2025</w:t>
            </w:r>
          </w:p>
        </w:tc>
        <w:tc>
          <w:tcPr>
            <w:tcW w:w="20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August 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780" w:type="dxa"/>
            <w:vAlign w:val="bottom"/>
            <w:vMerge w:val="continue"/>
          </w:tcPr>
          <w:p>
            <w:pPr>
              <w:spacing w:after="0"/>
              <w:rPr>
                <w:sz w:val="16"/>
                <w:szCs w:val="16"/>
                <w:color w:val="auto"/>
              </w:rPr>
            </w:pPr>
          </w:p>
        </w:tc>
        <w:tc>
          <w:tcPr>
            <w:tcW w:w="3940" w:type="dxa"/>
            <w:vAlign w:val="bottom"/>
            <w:gridSpan w:val="3"/>
            <w:vMerge w:val="continue"/>
          </w:tcPr>
          <w:p>
            <w:pPr>
              <w:spacing w:after="0"/>
              <w:rPr>
                <w:sz w:val="16"/>
                <w:szCs w:val="16"/>
                <w:color w:val="auto"/>
              </w:rPr>
            </w:pPr>
          </w:p>
        </w:tc>
        <w:tc>
          <w:tcPr>
            <w:tcW w:w="1300" w:type="dxa"/>
            <w:vAlign w:val="bottom"/>
            <w:gridSpan w:val="5"/>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CCEEFF"/>
            </w:tcBorders>
            <w:shd w:val="clear" w:color="auto" w:fill="CCEEFF"/>
          </w:tcPr>
          <w:p>
            <w:pPr>
              <w:spacing w:after="0"/>
              <w:rPr>
                <w:sz w:val="18"/>
                <w:szCs w:val="18"/>
                <w:color w:val="auto"/>
              </w:rPr>
            </w:pPr>
          </w:p>
        </w:tc>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3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Derivatives designated as hedges:</w:t>
            </w:r>
          </w:p>
        </w:tc>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520" w:type="dxa"/>
            <w:vAlign w:val="bottom"/>
            <w:tcBorders>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tcPr>
          <w:p>
            <w:pPr>
              <w:spacing w:after="0"/>
              <w:rPr>
                <w:sz w:val="19"/>
                <w:szCs w:val="19"/>
                <w:color w:val="auto"/>
              </w:rPr>
            </w:pPr>
          </w:p>
        </w:tc>
        <w:tc>
          <w:tcPr>
            <w:tcW w:w="4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derivatives designated as hedges</w:t>
            </w:r>
          </w:p>
        </w:tc>
        <w:tc>
          <w:tcPr>
            <w:tcW w:w="38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47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Derivatives not designated as hedges:</w:t>
            </w:r>
          </w:p>
        </w:tc>
        <w:tc>
          <w:tcPr>
            <w:tcW w:w="3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520" w:type="dxa"/>
            <w:vAlign w:val="bottom"/>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compensation contracts</w:t>
            </w:r>
          </w:p>
        </w:tc>
        <w:tc>
          <w:tcPr>
            <w:tcW w:w="3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5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4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9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5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derivatives not designated as hedges</w:t>
            </w:r>
          </w:p>
        </w:tc>
        <w:tc>
          <w:tcPr>
            <w:tcW w:w="3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Total asset derivatives</w:t>
            </w:r>
          </w:p>
        </w:tc>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20" w:type="dxa"/>
            <w:vAlign w:val="bottom"/>
          </w:tcPr>
          <w:p>
            <w:pPr>
              <w:spacing w:after="0"/>
              <w:rPr>
                <w:sz w:val="24"/>
                <w:szCs w:val="24"/>
                <w:color w:val="auto"/>
              </w:rPr>
            </w:pPr>
          </w:p>
        </w:tc>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940" w:type="dxa"/>
            <w:vAlign w:val="bottom"/>
            <w:gridSpan w:val="3"/>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30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2, 2025</w:t>
            </w:r>
          </w:p>
        </w:tc>
        <w:tc>
          <w:tcPr>
            <w:tcW w:w="200" w:type="dxa"/>
            <w:vAlign w:val="bottom"/>
          </w:tcPr>
          <w:p>
            <w:pPr>
              <w:spacing w:after="0"/>
              <w:rPr>
                <w:sz w:val="24"/>
                <w:szCs w:val="24"/>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August 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780" w:type="dxa"/>
            <w:vAlign w:val="bottom"/>
            <w:vMerge w:val="continue"/>
          </w:tcPr>
          <w:p>
            <w:pPr>
              <w:spacing w:after="0"/>
              <w:rPr>
                <w:sz w:val="16"/>
                <w:szCs w:val="16"/>
                <w:color w:val="auto"/>
              </w:rPr>
            </w:pPr>
          </w:p>
        </w:tc>
        <w:tc>
          <w:tcPr>
            <w:tcW w:w="3940" w:type="dxa"/>
            <w:vAlign w:val="bottom"/>
            <w:gridSpan w:val="3"/>
            <w:vMerge w:val="continue"/>
          </w:tcPr>
          <w:p>
            <w:pPr>
              <w:spacing w:after="0"/>
              <w:rPr>
                <w:sz w:val="16"/>
                <w:szCs w:val="16"/>
                <w:color w:val="auto"/>
              </w:rPr>
            </w:pPr>
          </w:p>
        </w:tc>
        <w:tc>
          <w:tcPr>
            <w:tcW w:w="1300" w:type="dxa"/>
            <w:vAlign w:val="bottom"/>
            <w:gridSpan w:val="5"/>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3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hedges:</w:t>
            </w:r>
          </w:p>
        </w:tc>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52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derivatives designated as hedges</w:t>
            </w:r>
          </w:p>
        </w:tc>
        <w:tc>
          <w:tcPr>
            <w:tcW w:w="38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gridSpan w:val="2"/>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Derivatives not designated as hedges:</w:t>
            </w:r>
          </w:p>
        </w:tc>
        <w:tc>
          <w:tcPr>
            <w:tcW w:w="3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520" w:type="dxa"/>
            <w:vAlign w:val="bottom"/>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derivatives not designated as hedges</w:t>
            </w:r>
          </w:p>
        </w:tc>
        <w:tc>
          <w:tcPr>
            <w:tcW w:w="38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liability derivatives</w:t>
            </w:r>
          </w:p>
        </w:tc>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We do not offset the fair values of derivative assets and liabilities executed with the same counterparty that are generally subject to enforceable netting agreements. However, if we were to offset and record the asset and liability balances of derivatives on a net basis, the amounts presented in the Consolidated Balance Sheets as of November 2, 2025, and August 3, 2025, would be adjusted as detailed in the following table: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November 2, 2025</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August 3, 2025</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3"/>
          </w:tcPr>
          <w:p>
            <w:pPr>
              <w:jc w:val="center"/>
              <w:ind w:right="100"/>
              <w:spacing w:after="0" w:line="126" w:lineRule="exact"/>
              <w:rPr>
                <w:sz w:val="20"/>
                <w:szCs w:val="20"/>
                <w:color w:val="auto"/>
              </w:rPr>
            </w:pPr>
            <w:r>
              <w:rPr>
                <w:rFonts w:ascii="Times New Roman" w:cs="Times New Roman" w:eastAsia="Times New Roman" w:hAnsi="Times New Roman"/>
                <w:sz w:val="14"/>
                <w:szCs w:val="14"/>
                <w:b w:val="1"/>
                <w:bCs w:val="1"/>
                <w:color w:val="auto"/>
              </w:rPr>
              <w:t>Gross Amounts Not</w:t>
            </w: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3"/>
          </w:tcPr>
          <w:p>
            <w:pPr>
              <w:jc w:val="center"/>
              <w:ind w:right="120"/>
              <w:spacing w:after="0" w:line="126" w:lineRule="exact"/>
              <w:rPr>
                <w:sz w:val="20"/>
                <w:szCs w:val="20"/>
                <w:color w:val="auto"/>
              </w:rPr>
            </w:pPr>
            <w:r>
              <w:rPr>
                <w:rFonts w:ascii="Times New Roman" w:cs="Times New Roman" w:eastAsia="Times New Roman" w:hAnsi="Times New Roman"/>
                <w:sz w:val="14"/>
                <w:szCs w:val="14"/>
                <w:b w:val="1"/>
                <w:bCs w:val="1"/>
                <w:color w:val="auto"/>
                <w:w w:val="99"/>
              </w:rPr>
              <w:t>Gross Amounts Not</w:t>
            </w: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2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20" w:type="dxa"/>
            <w:vAlign w:val="bottom"/>
          </w:tcPr>
          <w:p>
            <w:pPr>
              <w:spacing w:after="0"/>
              <w:rPr>
                <w:sz w:val="11"/>
                <w:szCs w:val="11"/>
                <w:color w:val="auto"/>
              </w:rPr>
            </w:pPr>
          </w:p>
        </w:tc>
        <w:tc>
          <w:tcPr>
            <w:tcW w:w="13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w w:val="99"/>
              </w:rPr>
              <w:t>Subject to Netting</w:t>
            </w:r>
          </w:p>
        </w:tc>
        <w:tc>
          <w:tcPr>
            <w:tcW w:w="180" w:type="dxa"/>
            <w:vAlign w:val="bottom"/>
          </w:tcPr>
          <w:p>
            <w:pPr>
              <w:spacing w:after="0"/>
              <w:rPr>
                <w:sz w:val="11"/>
                <w:szCs w:val="11"/>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Subject to Netting</w:t>
            </w:r>
          </w:p>
        </w:tc>
        <w:tc>
          <w:tcPr>
            <w:tcW w:w="180" w:type="dxa"/>
            <w:vAlign w:val="bottom"/>
          </w:tcPr>
          <w:p>
            <w:pPr>
              <w:spacing w:after="0"/>
              <w:rPr>
                <w:sz w:val="11"/>
                <w:szCs w:val="11"/>
                <w:color w:val="auto"/>
              </w:rPr>
            </w:pPr>
          </w:p>
        </w:tc>
        <w:tc>
          <w:tcPr>
            <w:tcW w:w="1100" w:type="dxa"/>
            <w:vAlign w:val="bottom"/>
            <w:vMerge w:val="restart"/>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86"/>
        </w:trPr>
        <w:tc>
          <w:tcPr>
            <w:tcW w:w="2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2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0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 derivatives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3"/>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liability derivatives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bl>
    <w:p>
      <w:pPr>
        <w:spacing w:after="0" w:line="1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are required to maintain cash margin accounts in connection with funding the settlement of open positions for exchange-traded commodity derivative instruments. A cash margin asset balance of $3 million at November 2, 2025, and a liability balance of less than $1 million at August 3, 2025, were included in Other current assets and Accrued liabilities, respectively,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17" w:name="page18"/>
    <w:bookmarkEnd w:id="17"/>
    <w:p>
      <w:pPr>
        <w:ind w:left="320"/>
        <w:spacing w:after="0"/>
        <w:rPr>
          <w:sz w:val="20"/>
          <w:szCs w:val="20"/>
          <w:color w:val="auto"/>
        </w:rPr>
      </w:pPr>
      <w:r>
        <w:rPr>
          <w:rFonts w:ascii="Times New Roman" w:cs="Times New Roman" w:eastAsia="Times New Roman" w:hAnsi="Times New Roman"/>
          <w:sz w:val="18"/>
          <w:szCs w:val="18"/>
          <w:color w:val="auto"/>
        </w:rPr>
        <w:t>The following table shows the effect of our derivative instruments designated as cash-flow hedges in other comprehensive income (loss) (OCI) and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Earnings:</w:t>
      </w:r>
    </w:p>
    <w:p>
      <w:pPr>
        <w:spacing w:after="0" w:line="2"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gridSpan w:val="3"/>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Total Cash-Flow Hedge</w:t>
            </w:r>
          </w:p>
        </w:tc>
        <w:tc>
          <w:tcPr>
            <w:tcW w:w="420" w:type="dxa"/>
            <w:vAlign w:val="bottom"/>
          </w:tcPr>
          <w:p>
            <w:pPr>
              <w:spacing w:after="0"/>
              <w:rPr>
                <w:sz w:val="13"/>
                <w:szCs w:val="13"/>
                <w:color w:val="auto"/>
              </w:rPr>
            </w:pPr>
          </w:p>
        </w:tc>
      </w:tr>
      <w:tr>
        <w:trPr>
          <w:trHeight w:val="192"/>
        </w:trPr>
        <w:tc>
          <w:tcPr>
            <w:tcW w:w="16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OCI Activity</w:t>
            </w:r>
          </w:p>
        </w:tc>
        <w:tc>
          <w:tcPr>
            <w:tcW w:w="420" w:type="dxa"/>
            <w:vAlign w:val="bottom"/>
            <w:tcBorders>
              <w:bottom w:val="single" w:sz="8" w:color="auto"/>
            </w:tcBorders>
          </w:tcPr>
          <w:p>
            <w:pPr>
              <w:spacing w:after="0"/>
              <w:rPr>
                <w:sz w:val="16"/>
                <w:szCs w:val="16"/>
                <w:color w:val="auto"/>
              </w:rPr>
            </w:pPr>
          </w:p>
        </w:tc>
      </w:tr>
      <w:tr>
        <w:trPr>
          <w:trHeight w:val="192"/>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2, 2025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27, 2024</w:t>
            </w:r>
          </w:p>
        </w:tc>
      </w:tr>
      <w:tr>
        <w:trPr>
          <w:trHeight w:val="172"/>
        </w:trPr>
        <w:tc>
          <w:tcPr>
            <w:tcW w:w="6180" w:type="dxa"/>
            <w:vAlign w:val="bottom"/>
            <w:tcBorders>
              <w:top w:val="single" w:sz="8" w:color="CCEEFF"/>
              <w:left w:val="single" w:sz="8" w:color="CCEEFF"/>
            </w:tcBorders>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15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r>
      <w:tr>
        <w:trPr>
          <w:trHeight w:val="40"/>
        </w:trPr>
        <w:tc>
          <w:tcPr>
            <w:tcW w:w="1620" w:type="dxa"/>
            <w:vAlign w:val="bottom"/>
            <w:tcBorders>
              <w:left w:val="single" w:sz="8" w:color="CCEEFF"/>
            </w:tcBorders>
            <w:shd w:val="clear" w:color="auto" w:fill="000000"/>
          </w:tcPr>
          <w:p>
            <w:pPr>
              <w:spacing w:after="0"/>
              <w:rPr>
                <w:sz w:val="3"/>
                <w:szCs w:val="3"/>
                <w:color w:val="auto"/>
              </w:rPr>
            </w:pPr>
          </w:p>
        </w:tc>
        <w:tc>
          <w:tcPr>
            <w:tcW w:w="456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r>
      <w:tr>
        <w:trPr>
          <w:trHeight w:val="225"/>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OCI derivative gain (loss) at beginning of quarter</w:t>
            </w:r>
          </w:p>
        </w:tc>
        <w:tc>
          <w:tcPr>
            <w:tcW w:w="292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Pr>
          <w:p>
            <w:pPr>
              <w:spacing w:after="0"/>
              <w:rPr>
                <w:sz w:val="19"/>
                <w:szCs w:val="19"/>
                <w:color w:val="auto"/>
              </w:rPr>
            </w:pPr>
          </w:p>
        </w:tc>
        <w:tc>
          <w:tcPr>
            <w:tcW w:w="760" w:type="dxa"/>
            <w:vAlign w:val="bottom"/>
          </w:tcPr>
          <w:p>
            <w:pPr>
              <w:jc w:val="right"/>
              <w:ind w:right="578"/>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5"/>
        </w:trPr>
        <w:tc>
          <w:tcPr>
            <w:tcW w:w="618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portion of changes in fair value recognized in OCI:</w:t>
            </w:r>
          </w:p>
        </w:tc>
        <w:tc>
          <w:tcPr>
            <w:tcW w:w="1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225"/>
        </w:trPr>
        <w:tc>
          <w:tcPr>
            <w:tcW w:w="6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6180" w:type="dxa"/>
            <w:vAlign w:val="bottom"/>
            <w:tcBorders>
              <w:left w:val="single" w:sz="8" w:color="CCEEFF"/>
            </w:tcBorders>
            <w:gridSpan w:val="2"/>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Amount of loss (gain) reclassified from OCI to earnings:</w:t>
            </w:r>
          </w:p>
        </w:tc>
        <w:tc>
          <w:tcPr>
            <w:tcW w:w="2920" w:type="dxa"/>
            <w:vAlign w:val="bottom"/>
            <w:gridSpan w:val="3"/>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Location in Earnings</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r>
      <w:tr>
        <w:trPr>
          <w:trHeight w:val="225"/>
        </w:trPr>
        <w:tc>
          <w:tcPr>
            <w:tcW w:w="6180" w:type="dxa"/>
            <w:vAlign w:val="bottom"/>
            <w:tcBorders>
              <w:top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340" w:type="dxa"/>
            <w:vAlign w:val="bottom"/>
            <w:tcBorders>
              <w:top w:val="single" w:sz="8" w:color="CCEEFF"/>
            </w:tcBorders>
            <w:gridSpan w:val="2"/>
          </w:tcPr>
          <w:p>
            <w:pPr>
              <w:spacing w:after="0"/>
              <w:rPr>
                <w:sz w:val="19"/>
                <w:szCs w:val="19"/>
                <w:color w:val="auto"/>
              </w:rPr>
            </w:pPr>
          </w:p>
        </w:tc>
        <w:tc>
          <w:tcPr>
            <w:tcW w:w="8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180" w:type="dxa"/>
            <w:vAlign w:val="bottom"/>
            <w:tcBorders>
              <w:lef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8"/>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OCI derivative gain (loss) at end of quarter</w:t>
            </w: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78"/>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16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Based on current valuations, the amount expected to be reclassified from OCI into earnings within the next 12 months is a loss of $2 million.</w:t>
      </w:r>
    </w:p>
    <w:p>
      <w:pPr>
        <w:spacing w:after="0" w:line="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shows the total amounts of line items presented in the Consolidated Statements of Earnings in which the effects of derivative instruments designated as cash-flow hedges are recorded and the total effect of hedge activity on these line items:</w:t>
      </w:r>
    </w:p>
    <w:p>
      <w:pPr>
        <w:sectPr>
          <w:pgSz w:w="11900" w:h="16838" w:orient="portrait"/>
          <w:cols w:equalWidth="0" w:num="1">
            <w:col w:w="11240"/>
          </w:cols>
          <w:pgMar w:left="320" w:top="9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Statements of Earnings</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 (gain) on cash-flow hedges:</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Amount of loss (gain) reclassified from OCI to earnings</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00" w:type="dxa"/>
            <w:vAlign w:val="bottom"/>
            <w:tcBorders>
              <w:top w:val="single" w:sz="8" w:color="auto"/>
              <w:bottom w:val="single" w:sz="8" w:color="auto"/>
            </w:tcBorders>
          </w:tcPr>
          <w:p>
            <w:pPr>
              <w:spacing w:after="0"/>
              <w:rPr>
                <w:sz w:val="17"/>
                <w:szCs w:val="17"/>
                <w:color w:val="auto"/>
              </w:rPr>
            </w:pPr>
          </w:p>
        </w:tc>
        <w:tc>
          <w:tcPr>
            <w:tcW w:w="1860" w:type="dxa"/>
            <w:vAlign w:val="bottom"/>
            <w:tcBorders>
              <w:top w:val="single" w:sz="8" w:color="auto"/>
              <w:bottom w:val="single" w:sz="8" w:color="auto"/>
            </w:tcBorders>
            <w:gridSpan w:val="3"/>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November 2, 2025</w:t>
            </w:r>
          </w:p>
        </w:tc>
        <w:tc>
          <w:tcPr>
            <w:tcW w:w="3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400" w:type="dxa"/>
            <w:vAlign w:val="bottom"/>
            <w:tcBorders>
              <w:top w:val="single" w:sz="8" w:color="auto"/>
              <w:bottom w:val="single" w:sz="8" w:color="auto"/>
            </w:tcBorders>
            <w:gridSpan w:val="4"/>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October 27, 2024</w:t>
            </w:r>
          </w:p>
        </w:tc>
      </w:tr>
      <w:tr>
        <w:trPr>
          <w:trHeight w:val="134"/>
        </w:trPr>
        <w:tc>
          <w:tcPr>
            <w:tcW w:w="1280" w:type="dxa"/>
            <w:vAlign w:val="bottom"/>
            <w:gridSpan w:val="3"/>
          </w:tcPr>
          <w:p>
            <w:pPr>
              <w:jc w:val="center"/>
              <w:ind w:right="80"/>
              <w:spacing w:after="0" w:line="134" w:lineRule="exact"/>
              <w:rPr>
                <w:sz w:val="20"/>
                <w:szCs w:val="20"/>
                <w:color w:val="auto"/>
              </w:rPr>
            </w:pPr>
            <w:r>
              <w:rPr>
                <w:rFonts w:ascii="Times New Roman" w:cs="Times New Roman" w:eastAsia="Times New Roman" w:hAnsi="Times New Roman"/>
                <w:sz w:val="14"/>
                <w:szCs w:val="14"/>
                <w:b w:val="1"/>
                <w:bCs w:val="1"/>
                <w:color w:val="auto"/>
              </w:rPr>
              <w:t>Cost of products</w:t>
            </w:r>
          </w:p>
        </w:tc>
        <w:tc>
          <w:tcPr>
            <w:tcW w:w="88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200"/>
              <w:spacing w:after="0" w:line="134" w:lineRule="exact"/>
              <w:rPr>
                <w:sz w:val="20"/>
                <w:szCs w:val="20"/>
                <w:color w:val="auto"/>
              </w:rPr>
            </w:pPr>
            <w:r>
              <w:rPr>
                <w:rFonts w:ascii="Times New Roman" w:cs="Times New Roman" w:eastAsia="Times New Roman" w:hAnsi="Times New Roman"/>
                <w:sz w:val="14"/>
                <w:szCs w:val="14"/>
                <w:b w:val="1"/>
                <w:bCs w:val="1"/>
                <w:color w:val="auto"/>
              </w:rPr>
              <w:t>Cost of products</w:t>
            </w:r>
          </w:p>
        </w:tc>
        <w:tc>
          <w:tcPr>
            <w:tcW w:w="220" w:type="dxa"/>
            <w:vAlign w:val="bottom"/>
          </w:tcPr>
          <w:p>
            <w:pPr>
              <w:spacing w:after="0"/>
              <w:rPr>
                <w:sz w:val="11"/>
                <w:szCs w:val="11"/>
                <w:color w:val="auto"/>
              </w:rPr>
            </w:pPr>
          </w:p>
        </w:tc>
        <w:tc>
          <w:tcPr>
            <w:tcW w:w="980" w:type="dxa"/>
            <w:vAlign w:val="bottom"/>
          </w:tcPr>
          <w:p>
            <w:pPr>
              <w:jc w:val="right"/>
              <w:ind w:right="301"/>
              <w:spacing w:after="0" w:line="134" w:lineRule="exact"/>
              <w:rPr>
                <w:sz w:val="20"/>
                <w:szCs w:val="20"/>
                <w:color w:val="auto"/>
              </w:rPr>
            </w:pPr>
            <w:r>
              <w:rPr>
                <w:rFonts w:ascii="Times New Roman" w:cs="Times New Roman" w:eastAsia="Times New Roman" w:hAnsi="Times New Roman"/>
                <w:sz w:val="14"/>
                <w:szCs w:val="14"/>
                <w:b w:val="1"/>
                <w:bCs w:val="1"/>
                <w:color w:val="auto"/>
              </w:rPr>
              <w:t>Interest</w:t>
            </w:r>
          </w:p>
        </w:tc>
      </w:tr>
      <w:tr>
        <w:trPr>
          <w:trHeight w:val="191"/>
        </w:trPr>
        <w:tc>
          <w:tcPr>
            <w:tcW w:w="300" w:type="dxa"/>
            <w:vAlign w:val="bottom"/>
          </w:tcPr>
          <w:p>
            <w:pPr>
              <w:spacing w:after="0"/>
              <w:rPr>
                <w:sz w:val="16"/>
                <w:szCs w:val="16"/>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sold</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sold</w:t>
            </w:r>
          </w:p>
        </w:tc>
        <w:tc>
          <w:tcPr>
            <w:tcW w:w="220" w:type="dxa"/>
            <w:vAlign w:val="bottom"/>
          </w:tcPr>
          <w:p>
            <w:pPr>
              <w:spacing w:after="0"/>
              <w:rPr>
                <w:sz w:val="16"/>
                <w:szCs w:val="16"/>
                <w:color w:val="auto"/>
              </w:rPr>
            </w:pPr>
          </w:p>
        </w:tc>
        <w:tc>
          <w:tcPr>
            <w:tcW w:w="9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232"/>
        </w:trPr>
        <w:tc>
          <w:tcPr>
            <w:tcW w:w="30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1,885</w:t>
            </w:r>
          </w:p>
        </w:tc>
        <w:tc>
          <w:tcPr>
            <w:tcW w:w="80" w:type="dxa"/>
            <w:vAlign w:val="bottom"/>
          </w:tcPr>
          <w:p>
            <w:pPr>
              <w:spacing w:after="0"/>
              <w:rPr>
                <w:sz w:val="20"/>
                <w:szCs w:val="20"/>
                <w:color w:val="auto"/>
              </w:rPr>
            </w:pPr>
          </w:p>
        </w:tc>
        <w:tc>
          <w:tcPr>
            <w:tcW w:w="880" w:type="dxa"/>
            <w:vAlign w:val="bottom"/>
            <w:tcBorders>
              <w:top w:val="single" w:sz="8" w:color="auto"/>
            </w:tcBorders>
          </w:tcPr>
          <w:p>
            <w:pPr>
              <w:jc w:val="right"/>
              <w:ind w:right="681"/>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708"/>
        </w:trPr>
        <w:tc>
          <w:tcPr>
            <w:tcW w:w="300" w:type="dxa"/>
            <w:vAlign w:val="bottom"/>
          </w:tcPr>
          <w:p>
            <w:pPr>
              <w:jc w:val="right"/>
              <w:ind w:right="11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Pr>
          <w:p>
            <w:pPr>
              <w:spacing w:after="0"/>
              <w:rPr>
                <w:sz w:val="24"/>
                <w:szCs w:val="24"/>
                <w:color w:val="auto"/>
              </w:rPr>
            </w:pPr>
          </w:p>
        </w:tc>
        <w:tc>
          <w:tcPr>
            <w:tcW w:w="880" w:type="dxa"/>
            <w:vAlign w:val="bottom"/>
          </w:tcPr>
          <w:p>
            <w:pPr>
              <w:jc w:val="right"/>
              <w:ind w:right="681"/>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-3919855</wp:posOffset>
            </wp:positionH>
            <wp:positionV relativeFrom="paragraph">
              <wp:posOffset>-605790</wp:posOffset>
            </wp:positionV>
            <wp:extent cx="7134860" cy="151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-286385</wp:posOffset>
            </wp:positionV>
            <wp:extent cx="7134860" cy="142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5460" w:space="720"/>
            <w:col w:w="5060"/>
          </w:cols>
          <w:pgMar w:left="320" w:top="969" w:right="339" w:bottom="1440" w:gutter="0" w:footer="0" w:header="0"/>
          <w:type w:val="continuous"/>
        </w:sect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The amount excluded from effectiveness testing recognized in each line item of earnings using an amortization approach was not material in all periods presented.</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shows the effects of our derivative instruments not designated as hedges in the Consolidated Statements of Earnings: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0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6"/>
                <w:szCs w:val="16"/>
                <w:color w:val="auto"/>
              </w:rPr>
            </w:pPr>
          </w:p>
        </w:tc>
      </w:tr>
      <w:tr>
        <w:trPr>
          <w:trHeight w:val="24"/>
        </w:trPr>
        <w:tc>
          <w:tcPr>
            <w:tcW w:w="340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r>
      <w:tr>
        <w:trPr>
          <w:trHeight w:val="327"/>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5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Location of Loss (Gain) Recognized in Earnings</w:t>
            </w: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2, 2025</w:t>
            </w: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27, 2024</w:t>
            </w:r>
          </w:p>
        </w:tc>
      </w:tr>
      <w:tr>
        <w:trPr>
          <w:trHeight w:val="24"/>
        </w:trPr>
        <w:tc>
          <w:tcPr>
            <w:tcW w:w="3400" w:type="dxa"/>
            <w:vAlign w:val="bottom"/>
            <w:tcBorders>
              <w:bottom w:val="single" w:sz="8" w:color="CCEEFF"/>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8"/>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5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w:t>
            </w:r>
          </w:p>
        </w:tc>
      </w:tr>
      <w:tr>
        <w:trPr>
          <w:trHeight w:val="225"/>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contracts</w:t>
            </w:r>
          </w:p>
        </w:tc>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w:t>
            </w:r>
          </w:p>
        </w:tc>
      </w:tr>
      <w:tr>
        <w:trPr>
          <w:trHeight w:val="218"/>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34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categorize financial assets and liabilities based on the following fair value hierarchy:</w:t>
      </w:r>
    </w:p>
    <w:p>
      <w:pPr>
        <w:spacing w:after="0" w:line="98" w:lineRule="exact"/>
        <w:rPr>
          <w:sz w:val="20"/>
          <w:szCs w:val="20"/>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that reflect quoted prices (unadjusted) for identical assets or liabilities in active markets.</w:t>
      </w:r>
    </w:p>
    <w:p>
      <w:pPr>
        <w:spacing w:after="0" w:line="8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in Level 1 that are observable for the asset or liability through corroboration with observable market data.</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which are valued based on our estimates of assumptions that market participants would use in pricing the asset or liability.</w:t>
      </w:r>
    </w:p>
    <w:p>
      <w:pPr>
        <w:spacing w:after="0" w:line="4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Fair value is defined as the exit price, or the amount that would be received to sell an asset or paid to transfer a liability in an orderly transaction between market participants as of the measurement date. When available, we use unadjusted quoted market prices to measure the fair value and classify such items as Level 1. If quoted market prices are not available, we base fair value upon internally developed models that use current market-based or independently sourced market parameters such as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interest rates and currency rates. Included in the fair value of derivative instruments is an adjustment for credit and nonperformance risk.</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tables present our financial assets and liabilities that are measured at fair value on a recurring basis consistent with the fair value hierarchy:</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20" w:type="dxa"/>
            <w:vAlign w:val="bottom"/>
            <w:gridSpan w:val="8"/>
          </w:tcPr>
          <w:p>
            <w:pPr>
              <w:jc w:val="center"/>
              <w:ind w:left="519"/>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w:t>
            </w: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gridSpan w:val="9"/>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w:t>
            </w: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20" w:type="dxa"/>
            <w:vAlign w:val="bottom"/>
            <w:gridSpan w:val="8"/>
            <w:vMerge w:val="restart"/>
          </w:tcPr>
          <w:p>
            <w:pPr>
              <w:jc w:val="center"/>
              <w:ind w:left="519"/>
              <w:spacing w:after="0" w:line="144" w:lineRule="exact"/>
              <w:rPr>
                <w:sz w:val="20"/>
                <w:szCs w:val="20"/>
                <w:color w:val="auto"/>
              </w:rPr>
            </w:pPr>
            <w:r>
              <w:rPr>
                <w:rFonts w:ascii="Times New Roman" w:cs="Times New Roman" w:eastAsia="Times New Roman" w:hAnsi="Times New Roman"/>
                <w:sz w:val="14"/>
                <w:szCs w:val="14"/>
                <w:b w:val="1"/>
                <w:bCs w:val="1"/>
                <w:color w:val="auto"/>
              </w:rPr>
              <w:t>November 2, 2025 Using</w:t>
            </w: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gridSpan w:val="6"/>
            <w:vMerge w:val="restart"/>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August 3, 2025 Using</w:t>
            </w: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gridSpan w:val="3"/>
            <w:vMerge w:val="restart"/>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as of</w:t>
            </w: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20" w:type="dxa"/>
            <w:vAlign w:val="bottom"/>
            <w:gridSpan w:val="8"/>
            <w:vMerge w:val="continue"/>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gridSpan w:val="3"/>
            <w:vMerge w:val="restart"/>
          </w:tcPr>
          <w:p>
            <w:pPr>
              <w:jc w:val="center"/>
              <w:ind w:right="2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1300" w:type="dxa"/>
            <w:vAlign w:val="bottom"/>
            <w:gridSpan w:val="6"/>
            <w:vMerge w:val="continue"/>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2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gridSpan w:val="6"/>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3"/>
          </w:tcPr>
          <w:p>
            <w:pPr>
              <w:jc w:val="center"/>
              <w:ind w:right="240"/>
              <w:spacing w:after="0" w:line="126"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6"/>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3"/>
          </w:tcPr>
          <w:p>
            <w:pPr>
              <w:jc w:val="center"/>
              <w:ind w:right="280"/>
              <w:spacing w:after="0" w:line="126" w:lineRule="exact"/>
              <w:rPr>
                <w:sz w:val="20"/>
                <w:szCs w:val="20"/>
                <w:color w:val="auto"/>
              </w:rPr>
            </w:pPr>
            <w:r>
              <w:rPr>
                <w:rFonts w:ascii="Times New Roman" w:cs="Times New Roman" w:eastAsia="Times New Roman" w:hAnsi="Times New Roman"/>
                <w:sz w:val="14"/>
                <w:szCs w:val="14"/>
                <w:b w:val="1"/>
                <w:bCs w:val="1"/>
                <w:color w:val="auto"/>
              </w:rPr>
              <w:t>as of</w:t>
            </w:r>
          </w:p>
        </w:tc>
        <w:tc>
          <w:tcPr>
            <w:tcW w:w="2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6"/>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9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August 3, 2025</w:t>
            </w:r>
          </w:p>
        </w:tc>
        <w:tc>
          <w:tcPr>
            <w:tcW w:w="200" w:type="dxa"/>
            <w:vAlign w:val="bottom"/>
          </w:tcPr>
          <w:p>
            <w:pPr>
              <w:spacing w:after="0"/>
              <w:rPr>
                <w:sz w:val="16"/>
                <w:szCs w:val="16"/>
                <w:color w:val="auto"/>
              </w:rPr>
            </w:pPr>
          </w:p>
        </w:tc>
        <w:tc>
          <w:tcPr>
            <w:tcW w:w="86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2"/>
        </w:trPr>
        <w:tc>
          <w:tcPr>
            <w:tcW w:w="40" w:type="dxa"/>
            <w:vAlign w:val="bottom"/>
            <w:tcBorders>
              <w:top w:val="single" w:sz="8" w:color="CCEEFF"/>
              <w:right w:val="single" w:sz="8" w:color="CCEEFF"/>
            </w:tcBorders>
            <w:shd w:val="clear" w:color="auto" w:fill="CCEEFF"/>
          </w:tcPr>
          <w:p>
            <w:pPr>
              <w:spacing w:after="0"/>
              <w:rPr>
                <w:sz w:val="14"/>
                <w:szCs w:val="14"/>
                <w:color w:val="auto"/>
              </w:rPr>
            </w:pPr>
          </w:p>
        </w:tc>
        <w:tc>
          <w:tcPr>
            <w:tcW w:w="1760" w:type="dxa"/>
            <w:vAlign w:val="bottom"/>
            <w:tcBorders>
              <w:top w:val="single" w:sz="8" w:color="CCEEFF"/>
            </w:tcBorders>
            <w:gridSpan w:val="3"/>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auto"/>
              </w:rPr>
              <w:t>Assets</w:t>
            </w: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40" w:type="dxa"/>
            <w:vAlign w:val="bottom"/>
            <w:tcBorders>
              <w:right w:val="single" w:sz="8" w:color="auto"/>
            </w:tcBorders>
            <w:shd w:val="clear" w:color="auto" w:fill="CCEEFF"/>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Pr>
          <w:p>
            <w:pPr>
              <w:spacing w:after="0"/>
              <w:rPr>
                <w:sz w:val="14"/>
                <w:szCs w:val="14"/>
                <w:color w:val="auto"/>
              </w:rPr>
            </w:pPr>
          </w:p>
        </w:tc>
        <w:tc>
          <w:tcPr>
            <w:tcW w:w="1760" w:type="dxa"/>
            <w:vAlign w:val="bottom"/>
            <w:gridSpan w:val="3"/>
          </w:tcPr>
          <w:p>
            <w:pPr>
              <w:ind w:left="100"/>
              <w:spacing w:after="0" w:line="172" w:lineRule="exact"/>
              <w:rPr>
                <w:sz w:val="20"/>
                <w:szCs w:val="20"/>
                <w:color w:val="auto"/>
              </w:rPr>
            </w:pPr>
            <w:r>
              <w:rPr>
                <w:rFonts w:ascii="Times New Roman" w:cs="Times New Roman" w:eastAsia="Times New Roman" w:hAnsi="Times New Roman"/>
                <w:sz w:val="18"/>
                <w:szCs w:val="18"/>
                <w:color w:val="auto"/>
              </w:rPr>
              <w:t>Foreign exchange</w:t>
            </w:r>
          </w:p>
        </w:tc>
        <w:tc>
          <w:tcPr>
            <w:tcW w:w="1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vMerge w:val="restart"/>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1760" w:type="dxa"/>
            <w:vAlign w:val="bottom"/>
            <w:gridSpan w:val="3"/>
          </w:tcPr>
          <w:p>
            <w:pPr>
              <w:ind w:left="100"/>
              <w:spacing w:after="0" w:line="239"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2"/>
                <w:szCs w:val="22"/>
                <w:color w:val="auto"/>
                <w:vertAlign w:val="superscript"/>
              </w:rPr>
              <w:t>(1)</w:t>
            </w:r>
          </w:p>
        </w:tc>
        <w:tc>
          <w:tcPr>
            <w:tcW w:w="140" w:type="dxa"/>
            <w:vAlign w:val="bottom"/>
            <w:gridSpan w:val="2"/>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320" w:type="dxa"/>
            <w:vAlign w:val="bottom"/>
            <w:gridSpan w:val="2"/>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940" w:type="dxa"/>
            <w:vAlign w:val="bottom"/>
            <w:gridSpan w:val="4"/>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4"/>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40" w:type="dxa"/>
            <w:vAlign w:val="bottom"/>
            <w:tcBorders>
              <w:right w:val="single" w:sz="8" w:color="CCEEFF"/>
            </w:tcBorders>
            <w:shd w:val="clear" w:color="auto" w:fill="CCEEFF"/>
          </w:tcPr>
          <w:p>
            <w:pPr>
              <w:spacing w:after="0"/>
              <w:rPr>
                <w:sz w:val="14"/>
                <w:szCs w:val="14"/>
                <w:color w:val="auto"/>
              </w:rPr>
            </w:pPr>
          </w:p>
        </w:tc>
        <w:tc>
          <w:tcPr>
            <w:tcW w:w="1760" w:type="dxa"/>
            <w:vAlign w:val="bottom"/>
            <w:gridSpan w:val="3"/>
            <w:shd w:val="clear" w:color="auto" w:fill="CCEEFF"/>
          </w:tcPr>
          <w:p>
            <w:pPr>
              <w:ind w:left="100"/>
              <w:spacing w:after="0" w:line="172" w:lineRule="exact"/>
              <w:rPr>
                <w:sz w:val="20"/>
                <w:szCs w:val="20"/>
                <w:color w:val="auto"/>
              </w:rPr>
            </w:pPr>
            <w:r>
              <w:rPr>
                <w:rFonts w:ascii="Times New Roman" w:cs="Times New Roman" w:eastAsia="Times New Roman" w:hAnsi="Times New Roman"/>
                <w:sz w:val="18"/>
                <w:szCs w:val="18"/>
                <w:color w:val="auto"/>
              </w:rPr>
              <w:t>Commodity derivative</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CCEEFF"/>
            </w:tcBorders>
            <w:shd w:val="clear" w:color="auto" w:fill="CCEEFF"/>
          </w:tcPr>
          <w:p>
            <w:pPr>
              <w:spacing w:after="0"/>
              <w:rPr>
                <w:sz w:val="20"/>
                <w:szCs w:val="20"/>
                <w:color w:val="auto"/>
              </w:rPr>
            </w:pPr>
          </w:p>
        </w:tc>
        <w:tc>
          <w:tcPr>
            <w:tcW w:w="1760" w:type="dxa"/>
            <w:vAlign w:val="bottom"/>
            <w:gridSpan w:val="3"/>
            <w:shd w:val="clear" w:color="auto" w:fill="CCEEFF"/>
          </w:tcPr>
          <w:p>
            <w:pPr>
              <w:ind w:left="100"/>
              <w:spacing w:after="0" w:line="239"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2"/>
                <w:szCs w:val="22"/>
                <w:color w:val="auto"/>
                <w:vertAlign w:val="superscript"/>
              </w:rPr>
              <w:t>(2)</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1760" w:type="dxa"/>
            <w:vAlign w:val="bottom"/>
            <w:gridSpan w:val="3"/>
          </w:tcPr>
          <w:p>
            <w:pPr>
              <w:ind w:left="100"/>
              <w:spacing w:after="0" w:line="172" w:lineRule="exact"/>
              <w:rPr>
                <w:sz w:val="20"/>
                <w:szCs w:val="20"/>
                <w:color w:val="auto"/>
              </w:rPr>
            </w:pPr>
            <w:r>
              <w:rPr>
                <w:rFonts w:ascii="Times New Roman" w:cs="Times New Roman" w:eastAsia="Times New Roman" w:hAnsi="Times New Roman"/>
                <w:sz w:val="18"/>
                <w:szCs w:val="18"/>
                <w:color w:val="auto"/>
              </w:rPr>
              <w:t>Deferred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1760" w:type="dxa"/>
            <w:vAlign w:val="bottom"/>
            <w:gridSpan w:val="3"/>
          </w:tcPr>
          <w:p>
            <w:pPr>
              <w:ind w:left="100"/>
              <w:spacing w:after="0" w:line="177" w:lineRule="exact"/>
              <w:rPr>
                <w:sz w:val="20"/>
                <w:szCs w:val="20"/>
                <w:color w:val="auto"/>
              </w:rPr>
            </w:pPr>
            <w:r>
              <w:rPr>
                <w:rFonts w:ascii="Times New Roman" w:cs="Times New Roman" w:eastAsia="Times New Roman" w:hAnsi="Times New Roman"/>
                <w:sz w:val="18"/>
                <w:szCs w:val="18"/>
                <w:color w:val="auto"/>
              </w:rPr>
              <w:t>compensation</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1760" w:type="dxa"/>
            <w:vAlign w:val="bottom"/>
            <w:gridSpan w:val="3"/>
          </w:tcPr>
          <w:p>
            <w:pPr>
              <w:ind w:left="100"/>
              <w:spacing w:after="0" w:line="233" w:lineRule="exact"/>
              <w:rPr>
                <w:sz w:val="20"/>
                <w:szCs w:val="20"/>
                <w:color w:val="auto"/>
              </w:rPr>
            </w:pPr>
            <w:r>
              <w:rPr>
                <w:rFonts w:ascii="Times New Roman" w:cs="Times New Roman" w:eastAsia="Times New Roman" w:hAnsi="Times New Roman"/>
                <w:sz w:val="18"/>
                <w:szCs w:val="18"/>
                <w:color w:val="auto"/>
              </w:rPr>
              <w:t>derivative contracts</w:t>
            </w:r>
            <w:r>
              <w:rPr>
                <w:rFonts w:ascii="Times New Roman" w:cs="Times New Roman" w:eastAsia="Times New Roman" w:hAnsi="Times New Roman"/>
                <w:sz w:val="22"/>
                <w:szCs w:val="22"/>
                <w:color w:val="auto"/>
                <w:vertAlign w:val="superscript"/>
              </w:rPr>
              <w:t>(3)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4"/>
            <w:vMerge w:val="continue"/>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40" w:type="dxa"/>
            <w:vAlign w:val="bottom"/>
            <w:tcBorders>
              <w:right w:val="single" w:sz="8" w:color="CCEEFF"/>
            </w:tcBorders>
            <w:shd w:val="clear" w:color="auto" w:fill="CCEEFF"/>
          </w:tcPr>
          <w:p>
            <w:pPr>
              <w:spacing w:after="0"/>
              <w:rPr>
                <w:sz w:val="14"/>
                <w:szCs w:val="14"/>
                <w:color w:val="auto"/>
              </w:rPr>
            </w:pPr>
          </w:p>
        </w:tc>
        <w:tc>
          <w:tcPr>
            <w:tcW w:w="1760" w:type="dxa"/>
            <w:vAlign w:val="bottom"/>
            <w:gridSpan w:val="3"/>
            <w:shd w:val="clear" w:color="auto" w:fill="CCEEFF"/>
          </w:tcPr>
          <w:p>
            <w:pPr>
              <w:ind w:left="100"/>
              <w:spacing w:after="0" w:line="172" w:lineRule="exact"/>
              <w:rPr>
                <w:sz w:val="20"/>
                <w:szCs w:val="20"/>
                <w:color w:val="auto"/>
              </w:rPr>
            </w:pPr>
            <w:r>
              <w:rPr>
                <w:rFonts w:ascii="Times New Roman" w:cs="Times New Roman" w:eastAsia="Times New Roman" w:hAnsi="Times New Roman"/>
                <w:sz w:val="18"/>
                <w:szCs w:val="18"/>
                <w:color w:val="auto"/>
              </w:rPr>
              <w:t>Deferred</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0" w:type="dxa"/>
            <w:vAlign w:val="bottom"/>
            <w:tcBorders>
              <w:right w:val="single" w:sz="8" w:color="CCEEFF"/>
            </w:tcBorders>
            <w:shd w:val="clear" w:color="auto" w:fill="CCEEFF"/>
          </w:tcPr>
          <w:p>
            <w:pPr>
              <w:spacing w:after="0"/>
              <w:rPr>
                <w:sz w:val="15"/>
                <w:szCs w:val="15"/>
                <w:color w:val="auto"/>
              </w:rPr>
            </w:pPr>
          </w:p>
        </w:tc>
        <w:tc>
          <w:tcPr>
            <w:tcW w:w="1760" w:type="dxa"/>
            <w:vAlign w:val="bottom"/>
            <w:gridSpan w:val="3"/>
            <w:shd w:val="clear" w:color="auto" w:fill="CCEEFF"/>
          </w:tcPr>
          <w:p>
            <w:pPr>
              <w:ind w:left="100"/>
              <w:spacing w:after="0" w:line="177" w:lineRule="exact"/>
              <w:rPr>
                <w:sz w:val="20"/>
                <w:szCs w:val="20"/>
                <w:color w:val="auto"/>
              </w:rPr>
            </w:pPr>
            <w:r>
              <w:rPr>
                <w:rFonts w:ascii="Times New Roman" w:cs="Times New Roman" w:eastAsia="Times New Roman" w:hAnsi="Times New Roman"/>
                <w:sz w:val="18"/>
                <w:szCs w:val="18"/>
                <w:color w:val="auto"/>
              </w:rPr>
              <w:t>compensation</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gridSpan w:val="4"/>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5"/>
                <w:szCs w:val="15"/>
                <w:color w:val="auto"/>
              </w:rPr>
            </w:pPr>
          </w:p>
        </w:tc>
        <w:tc>
          <w:tcPr>
            <w:tcW w:w="94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0" w:type="dxa"/>
            <w:vAlign w:val="bottom"/>
            <w:tcBorders>
              <w:right w:val="single" w:sz="8" w:color="CCEEFF"/>
            </w:tcBorders>
            <w:shd w:val="clear" w:color="auto" w:fill="CCEEFF"/>
          </w:tcPr>
          <w:p>
            <w:pPr>
              <w:spacing w:after="0"/>
              <w:rPr>
                <w:sz w:val="20"/>
                <w:szCs w:val="20"/>
                <w:color w:val="auto"/>
              </w:rPr>
            </w:pPr>
          </w:p>
        </w:tc>
        <w:tc>
          <w:tcPr>
            <w:tcW w:w="1760" w:type="dxa"/>
            <w:vAlign w:val="bottom"/>
            <w:gridSpan w:val="3"/>
            <w:shd w:val="clear" w:color="auto" w:fill="CCEEFF"/>
          </w:tcPr>
          <w:p>
            <w:pPr>
              <w:ind w:left="100"/>
              <w:spacing w:after="0" w:line="233" w:lineRule="exact"/>
              <w:rPr>
                <w:sz w:val="20"/>
                <w:szCs w:val="20"/>
                <w:color w:val="auto"/>
              </w:rPr>
            </w:pPr>
            <w:r>
              <w:rPr>
                <w:rFonts w:ascii="Times New Roman" w:cs="Times New Roman" w:eastAsia="Times New Roman" w:hAnsi="Times New Roman"/>
                <w:sz w:val="18"/>
                <w:szCs w:val="18"/>
                <w:color w:val="auto"/>
              </w:rPr>
              <w:t>investments</w:t>
            </w:r>
            <w:r>
              <w:rPr>
                <w:rFonts w:ascii="Times New Roman" w:cs="Times New Roman" w:eastAsia="Times New Roman" w:hAnsi="Times New Roman"/>
                <w:sz w:val="22"/>
                <w:szCs w:val="22"/>
                <w:color w:val="auto"/>
                <w:vertAlign w:val="superscript"/>
              </w:rPr>
              <w:t>(4)</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4"/>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gridSpan w:val="4"/>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40" w:type="dxa"/>
            <w:vAlign w:val="bottom"/>
          </w:tcPr>
          <w:p>
            <w:pPr>
              <w:spacing w:after="0"/>
              <w:rPr>
                <w:sz w:val="19"/>
                <w:szCs w:val="19"/>
                <w:color w:val="auto"/>
              </w:rPr>
            </w:pPr>
          </w:p>
        </w:tc>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Total assets at fair value</w:t>
            </w:r>
          </w:p>
        </w:tc>
        <w:tc>
          <w:tcPr>
            <w:tcW w:w="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8"/>
          </w:tcPr>
          <w:p>
            <w:pPr>
              <w:jc w:val="center"/>
              <w:ind w:left="519"/>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9"/>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20" w:type="dxa"/>
            <w:vAlign w:val="bottom"/>
            <w:gridSpan w:val="8"/>
            <w:vMerge w:val="restart"/>
          </w:tcPr>
          <w:p>
            <w:pPr>
              <w:jc w:val="center"/>
              <w:ind w:left="519"/>
              <w:spacing w:after="0" w:line="146" w:lineRule="exact"/>
              <w:rPr>
                <w:sz w:val="20"/>
                <w:szCs w:val="20"/>
                <w:color w:val="auto"/>
              </w:rPr>
            </w:pPr>
            <w:r>
              <w:rPr>
                <w:rFonts w:ascii="Times New Roman" w:cs="Times New Roman" w:eastAsia="Times New Roman" w:hAnsi="Times New Roman"/>
                <w:sz w:val="14"/>
                <w:szCs w:val="14"/>
                <w:b w:val="1"/>
                <w:bCs w:val="1"/>
                <w:color w:val="auto"/>
              </w:rPr>
              <w:t>November 2, 2025 Using</w:t>
            </w: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gridSpan w:val="6"/>
            <w:vMerge w:val="restart"/>
          </w:tcPr>
          <w:p>
            <w:pPr>
              <w:jc w:val="center"/>
              <w:ind w:right="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August 3, 2025 Using</w:t>
            </w: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gridSpan w:val="3"/>
            <w:vMerge w:val="restart"/>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as of</w:t>
            </w: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20" w:type="dxa"/>
            <w:vAlign w:val="bottom"/>
            <w:gridSpan w:val="8"/>
            <w:vMerge w:val="continue"/>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gridSpan w:val="3"/>
            <w:vMerge w:val="restart"/>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w w:val="96"/>
              </w:rPr>
              <w:t>Fair Value</w:t>
            </w: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1300" w:type="dxa"/>
            <w:vAlign w:val="bottom"/>
            <w:gridSpan w:val="6"/>
            <w:vMerge w:val="continue"/>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2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2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tcPr>
          <w:p>
            <w:pPr>
              <w:jc w:val="center"/>
              <w:ind w:right="220"/>
              <w:spacing w:after="0" w:line="124" w:lineRule="exact"/>
              <w:rPr>
                <w:sz w:val="20"/>
                <w:szCs w:val="20"/>
                <w:color w:val="auto"/>
              </w:rPr>
            </w:pPr>
            <w:r>
              <w:rPr>
                <w:rFonts w:ascii="Times New Roman" w:cs="Times New Roman" w:eastAsia="Times New Roman" w:hAnsi="Times New Roman"/>
                <w:sz w:val="14"/>
                <w:szCs w:val="14"/>
                <w:b w:val="1"/>
                <w:bCs w:val="1"/>
                <w:color w:val="auto"/>
                <w:w w:val="99"/>
              </w:rPr>
              <w:t>November 2,</w:t>
            </w:r>
          </w:p>
        </w:tc>
        <w:tc>
          <w:tcPr>
            <w:tcW w:w="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6"/>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300"/>
              <w:spacing w:after="0" w:line="124" w:lineRule="exact"/>
              <w:rPr>
                <w:sz w:val="20"/>
                <w:szCs w:val="20"/>
                <w:color w:val="auto"/>
              </w:rPr>
            </w:pPr>
            <w:r>
              <w:rPr>
                <w:rFonts w:ascii="Times New Roman" w:cs="Times New Roman" w:eastAsia="Times New Roman" w:hAnsi="Times New Roman"/>
                <w:sz w:val="14"/>
                <w:szCs w:val="14"/>
                <w:b w:val="1"/>
                <w:bCs w:val="1"/>
                <w:color w:val="auto"/>
              </w:rPr>
              <w:t>as of</w:t>
            </w: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7"/>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240" w:type="dxa"/>
            <w:vAlign w:val="bottom"/>
          </w:tcPr>
          <w:p>
            <w:pPr>
              <w:spacing w:after="0"/>
              <w:rPr>
                <w:sz w:val="16"/>
                <w:szCs w:val="16"/>
                <w:color w:val="auto"/>
              </w:rPr>
            </w:pPr>
          </w:p>
        </w:tc>
        <w:tc>
          <w:tcPr>
            <w:tcW w:w="9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August 3, 2025</w:t>
            </w:r>
          </w:p>
        </w:tc>
        <w:tc>
          <w:tcPr>
            <w:tcW w:w="200" w:type="dxa"/>
            <w:vAlign w:val="bottom"/>
          </w:tcPr>
          <w:p>
            <w:pPr>
              <w:spacing w:after="0"/>
              <w:rPr>
                <w:sz w:val="16"/>
                <w:szCs w:val="16"/>
                <w:color w:val="auto"/>
              </w:rPr>
            </w:pPr>
          </w:p>
        </w:tc>
        <w:tc>
          <w:tcPr>
            <w:tcW w:w="86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0" w:type="dxa"/>
            <w:vAlign w:val="bottom"/>
            <w:tcBorders>
              <w:right w:val="single" w:sz="8" w:color="CCEEFF"/>
            </w:tcBorders>
          </w:tcPr>
          <w:p>
            <w:pPr>
              <w:spacing w:after="0"/>
              <w:rPr>
                <w:sz w:val="14"/>
                <w:szCs w:val="14"/>
                <w:color w:val="auto"/>
              </w:rPr>
            </w:pPr>
          </w:p>
        </w:tc>
        <w:tc>
          <w:tcPr>
            <w:tcW w:w="1760" w:type="dxa"/>
            <w:vAlign w:val="bottom"/>
            <w:tcBorders>
              <w:top w:val="single" w:sz="8" w:color="CCEEFF"/>
            </w:tcBorders>
            <w:gridSpan w:val="3"/>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Liabilities</w:t>
            </w: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40" w:type="dxa"/>
            <w:vAlign w:val="bottom"/>
            <w:tcBorders>
              <w:right w:val="single" w:sz="8" w:color="CCEEFF"/>
            </w:tcBorders>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Pr>
          <w:p>
            <w:pPr>
              <w:spacing w:after="0"/>
              <w:rPr>
                <w:sz w:val="15"/>
                <w:szCs w:val="15"/>
                <w:color w:val="auto"/>
              </w:rPr>
            </w:pPr>
          </w:p>
        </w:tc>
        <w:tc>
          <w:tcPr>
            <w:tcW w:w="1760" w:type="dxa"/>
            <w:vAlign w:val="bottom"/>
            <w:gridSpan w:val="3"/>
          </w:tcPr>
          <w:p>
            <w:pPr>
              <w:ind w:left="120"/>
              <w:spacing w:after="0" w:line="177" w:lineRule="exact"/>
              <w:rPr>
                <w:sz w:val="20"/>
                <w:szCs w:val="20"/>
                <w:color w:val="auto"/>
              </w:rPr>
            </w:pPr>
            <w:r>
              <w:rPr>
                <w:rFonts w:ascii="Times New Roman" w:cs="Times New Roman" w:eastAsia="Times New Roman" w:hAnsi="Times New Roman"/>
                <w:sz w:val="18"/>
                <w:szCs w:val="18"/>
                <w:color w:val="auto"/>
              </w:rPr>
              <w:t>Foreign exchange</w:t>
            </w:r>
          </w:p>
        </w:tc>
        <w:tc>
          <w:tcPr>
            <w:tcW w:w="1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1760" w:type="dxa"/>
            <w:vAlign w:val="bottom"/>
            <w:gridSpan w:val="3"/>
          </w:tcPr>
          <w:p>
            <w:pPr>
              <w:ind w:left="120"/>
              <w:spacing w:after="0" w:line="233"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2"/>
                <w:szCs w:val="22"/>
                <w:color w:val="auto"/>
                <w:vertAlign w:val="superscript"/>
              </w:rPr>
              <w:t>(1)</w:t>
            </w:r>
          </w:p>
        </w:tc>
        <w:tc>
          <w:tcPr>
            <w:tcW w:w="140" w:type="dxa"/>
            <w:vAlign w:val="bottom"/>
            <w:gridSpan w:val="2"/>
            <w:vMerge w:val="continue"/>
          </w:tcPr>
          <w:p>
            <w:pPr>
              <w:spacing w:after="0"/>
              <w:rPr>
                <w:sz w:val="20"/>
                <w:szCs w:val="20"/>
                <w:color w:val="auto"/>
              </w:rPr>
            </w:pPr>
          </w:p>
        </w:tc>
        <w:tc>
          <w:tcPr>
            <w:tcW w:w="1060" w:type="dxa"/>
            <w:vAlign w:val="bottom"/>
            <w:gridSpan w:val="3"/>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320" w:type="dxa"/>
            <w:vAlign w:val="bottom"/>
            <w:gridSpan w:val="2"/>
            <w:vMerge w:val="continue"/>
          </w:tcPr>
          <w:p>
            <w:pPr>
              <w:spacing w:after="0"/>
              <w:rPr>
                <w:sz w:val="20"/>
                <w:szCs w:val="20"/>
                <w:color w:val="auto"/>
              </w:rPr>
            </w:pPr>
          </w:p>
        </w:tc>
        <w:tc>
          <w:tcPr>
            <w:tcW w:w="1000" w:type="dxa"/>
            <w:vAlign w:val="bottom"/>
            <w:gridSpan w:val="4"/>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940" w:type="dxa"/>
            <w:vAlign w:val="bottom"/>
            <w:gridSpan w:val="4"/>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4"/>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7"/>
        </w:trPr>
        <w:tc>
          <w:tcPr>
            <w:tcW w:w="40" w:type="dxa"/>
            <w:vAlign w:val="bottom"/>
            <w:tcBorders>
              <w:right w:val="single" w:sz="8" w:color="CCEEFF"/>
            </w:tcBorders>
          </w:tcPr>
          <w:p>
            <w:pPr>
              <w:spacing w:after="0"/>
              <w:rPr>
                <w:sz w:val="15"/>
                <w:szCs w:val="15"/>
                <w:color w:val="auto"/>
              </w:rPr>
            </w:pPr>
          </w:p>
        </w:tc>
        <w:tc>
          <w:tcPr>
            <w:tcW w:w="1760" w:type="dxa"/>
            <w:vAlign w:val="bottom"/>
            <w:gridSpan w:val="3"/>
            <w:shd w:val="clear" w:color="auto" w:fill="CCEEFF"/>
          </w:tcPr>
          <w:p>
            <w:pPr>
              <w:ind w:left="120"/>
              <w:spacing w:after="0" w:line="177" w:lineRule="exact"/>
              <w:rPr>
                <w:sz w:val="20"/>
                <w:szCs w:val="20"/>
                <w:color w:val="auto"/>
              </w:rPr>
            </w:pPr>
            <w:r>
              <w:rPr>
                <w:rFonts w:ascii="Times New Roman" w:cs="Times New Roman" w:eastAsia="Times New Roman" w:hAnsi="Times New Roman"/>
                <w:sz w:val="18"/>
                <w:szCs w:val="18"/>
                <w:color w:val="auto"/>
                <w:w w:val="99"/>
              </w:rPr>
              <w:t>Commodity derivative</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0" w:type="dxa"/>
            <w:vAlign w:val="bottom"/>
            <w:tcBorders>
              <w:right w:val="single" w:sz="8" w:color="CCEEFF"/>
            </w:tcBorders>
          </w:tcPr>
          <w:p>
            <w:pPr>
              <w:spacing w:after="0"/>
              <w:rPr>
                <w:sz w:val="20"/>
                <w:szCs w:val="20"/>
                <w:color w:val="auto"/>
              </w:rPr>
            </w:pPr>
          </w:p>
        </w:tc>
        <w:tc>
          <w:tcPr>
            <w:tcW w:w="1760" w:type="dxa"/>
            <w:vAlign w:val="bottom"/>
            <w:gridSpan w:val="3"/>
            <w:shd w:val="clear" w:color="auto" w:fill="CCEEFF"/>
          </w:tcPr>
          <w:p>
            <w:pPr>
              <w:ind w:left="120"/>
              <w:spacing w:after="0" w:line="233"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2"/>
                <w:szCs w:val="22"/>
                <w:color w:val="auto"/>
                <w:vertAlign w:val="superscript"/>
              </w:rPr>
              <w:t>(2)</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760" w:type="dxa"/>
            <w:vAlign w:val="bottom"/>
            <w:gridSpan w:val="3"/>
          </w:tcPr>
          <w:p>
            <w:pPr>
              <w:ind w:left="120"/>
              <w:spacing w:after="0" w:line="181" w:lineRule="exact"/>
              <w:rPr>
                <w:sz w:val="20"/>
                <w:szCs w:val="20"/>
                <w:color w:val="auto"/>
              </w:rPr>
            </w:pPr>
            <w:r>
              <w:rPr>
                <w:rFonts w:ascii="Times New Roman" w:cs="Times New Roman" w:eastAsia="Times New Roman" w:hAnsi="Times New Roman"/>
                <w:sz w:val="18"/>
                <w:szCs w:val="18"/>
                <w:color w:val="auto"/>
              </w:rPr>
              <w:t>Deferred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1760" w:type="dxa"/>
            <w:vAlign w:val="bottom"/>
            <w:gridSpan w:val="3"/>
          </w:tcPr>
          <w:p>
            <w:pPr>
              <w:ind w:left="120"/>
              <w:spacing w:after="0" w:line="177" w:lineRule="exact"/>
              <w:rPr>
                <w:sz w:val="20"/>
                <w:szCs w:val="20"/>
                <w:color w:val="auto"/>
              </w:rPr>
            </w:pPr>
            <w:r>
              <w:rPr>
                <w:rFonts w:ascii="Times New Roman" w:cs="Times New Roman" w:eastAsia="Times New Roman" w:hAnsi="Times New Roman"/>
                <w:sz w:val="18"/>
                <w:szCs w:val="18"/>
                <w:color w:val="auto"/>
              </w:rPr>
              <w:t>compensation</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gridSpan w:val="2"/>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gridSpan w:val="2"/>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1760" w:type="dxa"/>
            <w:vAlign w:val="bottom"/>
            <w:tcBorders>
              <w:bottom w:val="single" w:sz="8" w:color="CCEEFF"/>
            </w:tcBorders>
            <w:gridSpan w:val="3"/>
          </w:tcPr>
          <w:p>
            <w:pPr>
              <w:ind w:left="120"/>
              <w:spacing w:after="0" w:line="225" w:lineRule="exact"/>
              <w:rPr>
                <w:sz w:val="20"/>
                <w:szCs w:val="20"/>
                <w:color w:val="auto"/>
              </w:rPr>
            </w:pPr>
            <w:r>
              <w:rPr>
                <w:rFonts w:ascii="Times New Roman" w:cs="Times New Roman" w:eastAsia="Times New Roman" w:hAnsi="Times New Roman"/>
                <w:sz w:val="18"/>
                <w:szCs w:val="18"/>
                <w:color w:val="auto"/>
              </w:rPr>
              <w:t>obligation</w:t>
            </w:r>
            <w:r>
              <w:rPr>
                <w:rFonts w:ascii="Times New Roman" w:cs="Times New Roman" w:eastAsia="Times New Roman" w:hAnsi="Times New Roman"/>
                <w:sz w:val="22"/>
                <w:szCs w:val="22"/>
                <w:color w:val="auto"/>
                <w:vertAlign w:val="superscript"/>
              </w:rPr>
              <w:t>(4)</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gridSpan w:val="2"/>
            <w:vMerge w:val="continue"/>
          </w:tcPr>
          <w:p>
            <w:pPr>
              <w:spacing w:after="0"/>
              <w:rPr>
                <w:sz w:val="19"/>
                <w:szCs w:val="19"/>
                <w:color w:val="auto"/>
              </w:rPr>
            </w:pPr>
          </w:p>
        </w:tc>
        <w:tc>
          <w:tcPr>
            <w:tcW w:w="2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gridSpan w:val="2"/>
            <w:vMerge w:val="continue"/>
          </w:tcPr>
          <w:p>
            <w:pPr>
              <w:spacing w:after="0"/>
              <w:rPr>
                <w:sz w:val="19"/>
                <w:szCs w:val="19"/>
                <w:color w:val="auto"/>
              </w:rPr>
            </w:pPr>
          </w:p>
        </w:tc>
        <w:tc>
          <w:tcPr>
            <w:tcW w:w="2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40" w:type="dxa"/>
            <w:vAlign w:val="bottom"/>
            <w:tcBorders>
              <w:right w:val="single" w:sz="8" w:color="CCEEFF"/>
            </w:tcBorders>
          </w:tcPr>
          <w:p>
            <w:pPr>
              <w:spacing w:after="0"/>
              <w:rPr>
                <w:sz w:val="13"/>
                <w:szCs w:val="13"/>
                <w:color w:val="auto"/>
              </w:rPr>
            </w:pPr>
          </w:p>
        </w:tc>
        <w:tc>
          <w:tcPr>
            <w:tcW w:w="1760" w:type="dxa"/>
            <w:vAlign w:val="bottom"/>
            <w:gridSpan w:val="3"/>
            <w:shd w:val="clear" w:color="auto" w:fill="CCEEFF"/>
          </w:tcPr>
          <w:p>
            <w:pPr>
              <w:spacing w:after="0" w:line="160" w:lineRule="exact"/>
              <w:rPr>
                <w:sz w:val="20"/>
                <w:szCs w:val="20"/>
                <w:color w:val="auto"/>
              </w:rPr>
            </w:pPr>
            <w:r>
              <w:rPr>
                <w:rFonts w:ascii="Times New Roman" w:cs="Times New Roman" w:eastAsia="Times New Roman" w:hAnsi="Times New Roman"/>
                <w:sz w:val="18"/>
                <w:szCs w:val="18"/>
                <w:color w:val="auto"/>
              </w:rPr>
              <w:t>Total liabilities at fair</w:t>
            </w:r>
          </w:p>
        </w:tc>
        <w:tc>
          <w:tcPr>
            <w:tcW w:w="1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320" w:type="dxa"/>
            <w:vAlign w:val="bottom"/>
            <w:gridSpan w:val="2"/>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40" w:type="dxa"/>
            <w:vAlign w:val="bottom"/>
            <w:gridSpan w:val="4"/>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CCEEFF"/>
            </w:tcBorders>
          </w:tcPr>
          <w:p>
            <w:pPr>
              <w:spacing w:after="0"/>
              <w:rPr>
                <w:sz w:val="19"/>
                <w:szCs w:val="19"/>
                <w:color w:val="auto"/>
              </w:rPr>
            </w:pPr>
          </w:p>
        </w:tc>
        <w:tc>
          <w:tcPr>
            <w:tcW w:w="1760" w:type="dxa"/>
            <w:vAlign w:val="bottom"/>
            <w:gridSpan w:val="3"/>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value</w:t>
            </w:r>
          </w:p>
        </w:tc>
        <w:tc>
          <w:tcPr>
            <w:tcW w:w="140" w:type="dxa"/>
            <w:vAlign w:val="bottom"/>
            <w:gridSpan w:val="2"/>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340" w:type="dxa"/>
            <w:vAlign w:val="bottom"/>
            <w:gridSpan w:val="4"/>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w:t>
      </w:r>
    </w:p>
    <w:p>
      <w:pPr>
        <w:spacing w:after="0" w:line="30" w:lineRule="exact"/>
        <w:rPr>
          <w:sz w:val="20"/>
          <w:szCs w:val="20"/>
          <w:color w:val="auto"/>
        </w:rPr>
      </w:pPr>
    </w:p>
    <w:p>
      <w:pPr>
        <w:ind w:left="320" w:hanging="314"/>
        <w:spacing w:after="0"/>
        <w:tabs>
          <w:tab w:leader="none" w:pos="32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observable market transactions of spot currency rates and forward rates.</w:t>
      </w:r>
    </w:p>
    <w:p>
      <w:pPr>
        <w:ind w:left="320" w:hanging="314"/>
        <w:spacing w:after="0" w:line="215" w:lineRule="auto"/>
        <w:tabs>
          <w:tab w:leader="none" w:pos="308"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Level 1 and 2 are based on quoted futures exchanges and on observable prices of futures and options transactions in the marketplace. Level 3 is based on unobservable inputs in which there is little or no market data, which requires management’s own assumptions within an internally developed model.</w:t>
      </w:r>
    </w:p>
    <w:p>
      <w:pPr>
        <w:spacing w:after="0" w:line="1" w:lineRule="exact"/>
        <w:rPr>
          <w:rFonts w:ascii="Times New Roman" w:cs="Times New Roman" w:eastAsia="Times New Roman" w:hAnsi="Times New Roman"/>
          <w:sz w:val="23"/>
          <w:szCs w:val="23"/>
          <w:color w:val="auto"/>
          <w:vertAlign w:val="superscript"/>
        </w:rPr>
      </w:pPr>
    </w:p>
    <w:p>
      <w:pPr>
        <w:ind w:left="320" w:hanging="314"/>
        <w:spacing w:after="0" w:line="192" w:lineRule="auto"/>
        <w:tabs>
          <w:tab w:leader="none" w:pos="32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equity and fixed income index swap rates.</w:t>
      </w:r>
    </w:p>
    <w:p>
      <w:pPr>
        <w:spacing w:after="0" w:line="1" w:lineRule="exact"/>
        <w:rPr>
          <w:rFonts w:ascii="Times New Roman" w:cs="Times New Roman" w:eastAsia="Times New Roman" w:hAnsi="Times New Roman"/>
          <w:sz w:val="23"/>
          <w:szCs w:val="23"/>
          <w:color w:val="auto"/>
          <w:vertAlign w:val="superscript"/>
        </w:rPr>
      </w:pPr>
    </w:p>
    <w:p>
      <w:pPr>
        <w:ind w:left="320" w:hanging="314"/>
        <w:spacing w:after="0" w:line="191" w:lineRule="auto"/>
        <w:tabs>
          <w:tab w:leader="none" w:pos="32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the fair value of the participants’ investments.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9" w:name="page20"/>
    <w:bookmarkEnd w:id="19"/>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changes in fair value of Level 3 assets and liabilities: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3"/>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8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720" w:type="dxa"/>
            <w:vAlign w:val="bottom"/>
            <w:vMerge w:val="continue"/>
          </w:tcPr>
          <w:p>
            <w:pPr>
              <w:spacing w:after="0"/>
              <w:rPr>
                <w:sz w:val="16"/>
                <w:szCs w:val="16"/>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2, 2025</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0" w:type="dxa"/>
            <w:vAlign w:val="bottom"/>
          </w:tcPr>
          <w:p>
            <w:pPr>
              <w:spacing w:after="0"/>
              <w:rPr>
                <w:sz w:val="1"/>
                <w:szCs w:val="1"/>
                <w:color w:val="auto"/>
              </w:rPr>
            </w:pPr>
          </w:p>
        </w:tc>
      </w:tr>
      <w:tr>
        <w:trPr>
          <w:trHeight w:val="225"/>
        </w:trPr>
        <w:tc>
          <w:tcPr>
            <w:tcW w:w="8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year</w:t>
            </w:r>
          </w:p>
        </w:tc>
        <w:tc>
          <w:tcPr>
            <w:tcW w:w="340" w:type="dxa"/>
            <w:vAlign w:val="bottom"/>
            <w:tcBorders>
              <w:top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shd w:val="clear" w:color="auto" w:fill="CCEEFF"/>
          </w:tcPr>
          <w:p>
            <w:pPr>
              <w:jc w:val="center"/>
              <w:ind w:left="515"/>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59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25"/>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(losses)</w:t>
            </w:r>
          </w:p>
        </w:tc>
        <w:tc>
          <w:tcPr>
            <w:tcW w:w="340" w:type="dxa"/>
            <w:vAlign w:val="bottom"/>
          </w:tcPr>
          <w:p>
            <w:pPr>
              <w:spacing w:after="0"/>
              <w:rPr>
                <w:sz w:val="19"/>
                <w:szCs w:val="19"/>
                <w:color w:val="auto"/>
              </w:rPr>
            </w:pPr>
          </w:p>
        </w:tc>
        <w:tc>
          <w:tcPr>
            <w:tcW w:w="860" w:type="dxa"/>
            <w:vAlign w:val="bottom"/>
          </w:tcPr>
          <w:p>
            <w:pPr>
              <w:jc w:val="center"/>
              <w:ind w:left="515"/>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(1)</w:t>
            </w:r>
          </w:p>
        </w:tc>
        <w:tc>
          <w:tcPr>
            <w:tcW w:w="0" w:type="dxa"/>
            <w:vAlign w:val="bottom"/>
          </w:tcPr>
          <w:p>
            <w:pPr>
              <w:spacing w:after="0"/>
              <w:rPr>
                <w:sz w:val="1"/>
                <w:szCs w:val="1"/>
                <w:color w:val="auto"/>
              </w:rPr>
            </w:pPr>
          </w:p>
        </w:tc>
      </w:tr>
      <w:tr>
        <w:trPr>
          <w:trHeight w:val="225"/>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ind w:left="535"/>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8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5"/>
              </w:rPr>
              <w:t>(2)</w:t>
            </w:r>
          </w:p>
        </w:tc>
        <w:tc>
          <w:tcPr>
            <w:tcW w:w="0" w:type="dxa"/>
            <w:vAlign w:val="bottom"/>
          </w:tcPr>
          <w:p>
            <w:pPr>
              <w:spacing w:after="0"/>
              <w:rPr>
                <w:sz w:val="1"/>
                <w:szCs w:val="1"/>
                <w:color w:val="auto"/>
              </w:rPr>
            </w:pPr>
          </w:p>
        </w:tc>
      </w:tr>
      <w:tr>
        <w:trPr>
          <w:trHeight w:val="218"/>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at end of quarter</w:t>
            </w:r>
          </w:p>
        </w:tc>
        <w:tc>
          <w:tcPr>
            <w:tcW w:w="34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center"/>
              <w:ind w:left="515"/>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Pr>
          <w:p>
            <w:pPr>
              <w:spacing w:after="0"/>
              <w:rPr>
                <w:sz w:val="19"/>
                <w:szCs w:val="19"/>
                <w:color w:val="auto"/>
              </w:rPr>
            </w:pPr>
          </w:p>
        </w:tc>
        <w:tc>
          <w:tcPr>
            <w:tcW w:w="80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center"/>
              <w:ind w:left="92"/>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8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carrying values of cash and cash equivalents, accounts receivable and accounts payable approximate fair value. Cash equivalents represent fair value as these highly liquid investments have an original maturity of three months or less. There were no cash equivalents with fair value based on level 2 inputs at November 2, 2025 and August 3, 2025.</w:t>
      </w:r>
    </w:p>
    <w:p>
      <w:pPr>
        <w:spacing w:after="0" w:line="5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fair value of short- and long-term debt was $6.71 billion at November 2, 2025, and $6.545 billion at August 3, 2025. The carrying value was $6.972 billion at November 2, 2025, and $6.857 billion at August 3, 2025. The fair value of long-term debt is principally estimated using Level 2 inputs based on quoted market prices or pricing models using current market rates.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Share Repurchases</w:t>
      </w:r>
    </w:p>
    <w:p>
      <w:pPr>
        <w:spacing w:after="0" w:line="10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w:t>
      </w:r>
    </w:p>
    <w:p>
      <w:pPr>
        <w:spacing w:after="0" w:line="5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In September 2024, the Board authorized an anti-dilutive share repurchase program of up to $250 million (September 2024 program) to offset the impact of dilution from shares issued under our stock compensation programs. The September 2024 program has no expiration date, but it may be suspended or discontinued at any time. Repurchases under the September 2024 program may be made in open-market or privately negotiated transactions. The September 2024 program replaced an anti-dilutive share repurchase program of up to $250 million that was approved by the Board in June 2021 and has been terminated.</w:t>
      </w:r>
    </w:p>
    <w:p>
      <w:pPr>
        <w:spacing w:after="0" w:line="35"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During the three-month periods ended November 2, 2025 and October 27, 2024, we repurchased 748 thousand shares at a cost of $24 million and 1.098 million shares at a cost of $54 million, respectively, pursuant to our anti-dilutive share repurchase programs. As of November 2, 2025, approximately $174 million remained available under the September 2024 program and approximately $301 million remained available under the September 2021 program.</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Stock-based Compensation</w:t>
      </w:r>
    </w:p>
    <w:p>
      <w:pPr>
        <w:spacing w:after="0" w:line="8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provide compensation benefits by issuing stock options, unrestricted stock, and restricted stock units (including time-lapse restricted stock units, performance restricted stock units subject to a relative total shareholder return (TSR) modifier, performance restricted stock units and TSR performance restricted stock units. In 2026, we issued time-lapse restricted stock units, unrestricted stock, and performance restricted stock units subject to a TSR modifier. We last issued TSR performance restricted stock units and performance restricted stock units in 2025 and stock options in 2019.</w:t>
      </w:r>
    </w:p>
    <w:p>
      <w:pPr>
        <w:spacing w:after="0" w:line="61"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In connection with the Sovos Brands acquisition, in the third quarter of 2024, we issued time-lapse restricted stock units (Replacement units) in exchange for certain Sovos Brands restricted stock units and performance restricted stock units. The Replacement units were subject to the same terms and conditions of the original Sovos Brands restricted stock units and performance restricted stock units. Certain Replacement units were subject to accelerated vesting.</w:t>
      </w:r>
    </w:p>
    <w:p>
      <w:pPr>
        <w:spacing w:after="0" w:line="40"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8"/>
          <w:szCs w:val="18"/>
          <w:color w:val="auto"/>
        </w:rPr>
        <w:t>In determining stock-based compensation expense, we estimate forfeitures expected to occur. Total pre-tax stock-based compensation expense and tax-related benefits recognized in the Consolidated Statements of Earnings were as follows:</w:t>
      </w: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40" w:type="dxa"/>
            <w:vAlign w:val="bottom"/>
            <w:gridSpan w:val="4"/>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4"/>
        </w:trPr>
        <w:tc>
          <w:tcPr>
            <w:tcW w:w="4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12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480" w:type="dxa"/>
            <w:vAlign w:val="bottom"/>
            <w:vMerge w:val="continue"/>
          </w:tcPr>
          <w:p>
            <w:pPr>
              <w:spacing w:after="0"/>
              <w:rPr>
                <w:sz w:val="16"/>
                <w:szCs w:val="16"/>
                <w:color w:val="auto"/>
              </w:rPr>
            </w:pPr>
          </w:p>
        </w:tc>
        <w:tc>
          <w:tcPr>
            <w:tcW w:w="4120" w:type="dxa"/>
            <w:vAlign w:val="bottom"/>
          </w:tcPr>
          <w:p>
            <w:pPr>
              <w:spacing w:after="0"/>
              <w:rPr>
                <w:sz w:val="16"/>
                <w:szCs w:val="16"/>
                <w:color w:val="auto"/>
              </w:rPr>
            </w:pP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November 2, 2025</w:t>
            </w:r>
          </w:p>
        </w:tc>
        <w:tc>
          <w:tcPr>
            <w:tcW w:w="120" w:type="dxa"/>
            <w:vAlign w:val="bottom"/>
          </w:tcPr>
          <w:p>
            <w:pPr>
              <w:spacing w:after="0"/>
              <w:rPr>
                <w:sz w:val="16"/>
                <w:szCs w:val="16"/>
                <w:color w:val="auto"/>
              </w:rPr>
            </w:pPr>
          </w:p>
        </w:tc>
        <w:tc>
          <w:tcPr>
            <w:tcW w:w="116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0" w:type="dxa"/>
            <w:vAlign w:val="bottom"/>
          </w:tcPr>
          <w:p>
            <w:pPr>
              <w:spacing w:after="0"/>
              <w:rPr>
                <w:sz w:val="1"/>
                <w:szCs w:val="1"/>
                <w:color w:val="auto"/>
              </w:rPr>
            </w:pPr>
          </w:p>
        </w:tc>
      </w:tr>
      <w:tr>
        <w:trPr>
          <w:trHeight w:val="225"/>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pre-tax stock-based compensation expense</w:t>
            </w:r>
          </w:p>
        </w:tc>
        <w:tc>
          <w:tcPr>
            <w:tcW w:w="4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13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Tax-related benefits (expense)</w:t>
            </w:r>
          </w:p>
        </w:tc>
        <w:tc>
          <w:tcPr>
            <w:tcW w:w="45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828"/>
        </w:trPr>
        <w:tc>
          <w:tcPr>
            <w:tcW w:w="4480" w:type="dxa"/>
            <w:vAlign w:val="bottom"/>
          </w:tcPr>
          <w:p>
            <w:pPr>
              <w:spacing w:after="0"/>
              <w:rPr>
                <w:sz w:val="24"/>
                <w:szCs w:val="24"/>
                <w:color w:val="auto"/>
              </w:rPr>
            </w:pPr>
          </w:p>
        </w:tc>
        <w:tc>
          <w:tcPr>
            <w:tcW w:w="4120" w:type="dxa"/>
            <w:vAlign w:val="bottom"/>
          </w:tcPr>
          <w:p>
            <w:pPr>
              <w:jc w:val="right"/>
              <w:ind w:right="2792"/>
              <w:spacing w:after="0"/>
              <w:rPr>
                <w:sz w:val="20"/>
                <w:szCs w:val="20"/>
                <w:color w:val="auto"/>
              </w:rPr>
            </w:pPr>
            <w:r>
              <w:rPr>
                <w:rFonts w:ascii="Times New Roman" w:cs="Times New Roman" w:eastAsia="Times New Roman" w:hAnsi="Times New Roman"/>
                <w:sz w:val="18"/>
                <w:szCs w:val="18"/>
                <w:color w:val="auto"/>
              </w:rPr>
              <w:t>20</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480" w:type="dxa"/>
            <w:vAlign w:val="bottom"/>
            <w:tcBorders>
              <w:bottom w:val="single" w:sz="8" w:color="9A9A9A"/>
            </w:tcBorders>
          </w:tcPr>
          <w:p>
            <w:pPr>
              <w:spacing w:after="0"/>
              <w:rPr>
                <w:sz w:val="9"/>
                <w:szCs w:val="9"/>
                <w:color w:val="auto"/>
              </w:rPr>
            </w:pPr>
          </w:p>
        </w:tc>
        <w:tc>
          <w:tcPr>
            <w:tcW w:w="41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0" w:name="page21"/>
    <w:bookmarkEnd w:id="20"/>
    <w:p>
      <w:pPr>
        <w:ind w:left="320"/>
        <w:spacing w:after="0"/>
        <w:rPr>
          <w:sz w:val="20"/>
          <w:szCs w:val="20"/>
          <w:color w:val="auto"/>
        </w:rPr>
      </w:pPr>
      <w:r>
        <w:rPr>
          <w:rFonts w:ascii="Times New Roman" w:cs="Times New Roman" w:eastAsia="Times New Roman" w:hAnsi="Times New Roman"/>
          <w:sz w:val="18"/>
          <w:szCs w:val="18"/>
          <w:color w:val="auto"/>
        </w:rPr>
        <w:t>The following table summarizes stock option activity:</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162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280" w:type="dxa"/>
            <w:vAlign w:val="bottom"/>
          </w:tcPr>
          <w:p>
            <w:pPr>
              <w:spacing w:after="0"/>
              <w:rPr>
                <w:sz w:val="11"/>
                <w:szCs w:val="11"/>
                <w:color w:val="auto"/>
              </w:rPr>
            </w:pPr>
          </w:p>
        </w:tc>
        <w:tc>
          <w:tcPr>
            <w:tcW w:w="1260" w:type="dxa"/>
            <w:vAlign w:val="bottom"/>
            <w:vMerge w:val="restart"/>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4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left="419"/>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820" w:type="dxa"/>
            <w:vAlign w:val="bottom"/>
          </w:tcPr>
          <w:p>
            <w:pPr>
              <w:spacing w:after="0"/>
              <w:rPr>
                <w:sz w:val="12"/>
                <w:szCs w:val="12"/>
                <w:color w:val="auto"/>
              </w:rPr>
            </w:pPr>
          </w:p>
        </w:tc>
        <w:tc>
          <w:tcPr>
            <w:tcW w:w="16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40" w:type="dxa"/>
            <w:vAlign w:val="bottom"/>
          </w:tcPr>
          <w:p>
            <w:pPr>
              <w:jc w:val="center"/>
              <w:ind w:left="419"/>
              <w:spacing w:after="0" w:line="146"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280" w:type="dxa"/>
            <w:vAlign w:val="bottom"/>
          </w:tcPr>
          <w:p>
            <w:pPr>
              <w:spacing w:after="0"/>
              <w:rPr>
                <w:sz w:val="12"/>
                <w:szCs w:val="12"/>
                <w:color w:val="auto"/>
              </w:rPr>
            </w:pPr>
          </w:p>
        </w:tc>
        <w:tc>
          <w:tcPr>
            <w:tcW w:w="1260" w:type="dxa"/>
            <w:vAlign w:val="bottom"/>
          </w:tcPr>
          <w:p>
            <w:pPr>
              <w:jc w:val="center"/>
              <w:ind w:right="183"/>
              <w:spacing w:after="0" w:line="146"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040" w:type="dxa"/>
            <w:vAlign w:val="bottom"/>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80" w:type="dxa"/>
            <w:vAlign w:val="bottom"/>
          </w:tcPr>
          <w:p>
            <w:pPr>
              <w:spacing w:after="0"/>
              <w:rPr>
                <w:sz w:val="16"/>
                <w:szCs w:val="16"/>
                <w:color w:val="auto"/>
              </w:rPr>
            </w:pPr>
          </w:p>
        </w:tc>
        <w:tc>
          <w:tcPr>
            <w:tcW w:w="1260" w:type="dxa"/>
            <w:vAlign w:val="bottom"/>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152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w w:val="99"/>
              </w:rPr>
              <w:t>(Millions)</w:t>
            </w:r>
          </w:p>
        </w:tc>
        <w:tc>
          <w:tcPr>
            <w:tcW w:w="0" w:type="dxa"/>
            <w:vAlign w:val="bottom"/>
          </w:tcPr>
          <w:p>
            <w:pPr>
              <w:spacing w:after="0"/>
              <w:rPr>
                <w:sz w:val="1"/>
                <w:szCs w:val="1"/>
                <w:color w:val="auto"/>
              </w:rPr>
            </w:pPr>
          </w:p>
        </w:tc>
      </w:tr>
      <w:tr>
        <w:trPr>
          <w:trHeight w:val="232"/>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August 3, 2025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45.33</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Terminated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8"/>
              </w:rPr>
              <w:t>50.21</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November 2, 2025</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44.84</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November 2, 2025</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820" w:type="dxa"/>
            <w:vAlign w:val="bottom"/>
            <w:vMerge w:val="continue"/>
          </w:tcPr>
          <w:p>
            <w:pPr>
              <w:spacing w:after="0"/>
              <w:rPr>
                <w:sz w:val="17"/>
                <w:szCs w:val="17"/>
                <w:color w:val="auto"/>
              </w:rPr>
            </w:pPr>
          </w:p>
        </w:tc>
        <w:tc>
          <w:tcPr>
            <w:tcW w:w="15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839"/>
              <w:spacing w:after="0" w:line="198"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98"/>
              </w:rPr>
              <w:t>44.84</w:t>
            </w:r>
          </w:p>
        </w:tc>
        <w:tc>
          <w:tcPr>
            <w:tcW w:w="120" w:type="dxa"/>
            <w:vAlign w:val="bottom"/>
          </w:tcPr>
          <w:p>
            <w:pPr>
              <w:spacing w:after="0"/>
              <w:rPr>
                <w:sz w:val="17"/>
                <w:szCs w:val="17"/>
                <w:color w:val="auto"/>
              </w:rPr>
            </w:pPr>
          </w:p>
        </w:tc>
        <w:tc>
          <w:tcPr>
            <w:tcW w:w="15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2"/>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ind w:left="10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No options were exercised during the three-month period ended October 27, 2024. We measured the fair value of stock options using the Black-Scholes option pricing model.</w:t>
      </w:r>
    </w:p>
    <w:p>
      <w:pPr>
        <w:spacing w:after="0" w:line="4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expensed stock options on a straight-line basis over the vesting period, except for awards issued to retirement eligible participants, which we expensed on an accelerated basis. As of January 2022, compensation related to stock options was fully expensed.</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time-lapse restricted stock units and performance restricted stock units activity: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3"/>
                <w:szCs w:val="13"/>
                <w:color w:val="auto"/>
              </w:rPr>
            </w:pPr>
          </w:p>
        </w:tc>
        <w:tc>
          <w:tcPr>
            <w:tcW w:w="18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76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91"/>
        </w:trPr>
        <w:tc>
          <w:tcPr>
            <w:tcW w:w="762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91"/>
        </w:trPr>
        <w:tc>
          <w:tcPr>
            <w:tcW w:w="7620" w:type="dxa"/>
            <w:vAlign w:val="bottom"/>
          </w:tcPr>
          <w:p>
            <w:pPr>
              <w:spacing w:after="0"/>
              <w:rPr>
                <w:sz w:val="16"/>
                <w:szCs w:val="16"/>
                <w:color w:val="auto"/>
              </w:rPr>
            </w:pPr>
          </w:p>
        </w:tc>
        <w:tc>
          <w:tcPr>
            <w:tcW w:w="1760" w:type="dxa"/>
            <w:vAlign w:val="bottom"/>
            <w:tcBorders>
              <w:top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August 3, 2025</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0" w:type="dxa"/>
            <w:vAlign w:val="bottom"/>
          </w:tcPr>
          <w:p>
            <w:pPr>
              <w:spacing w:after="0"/>
              <w:rPr>
                <w:sz w:val="1"/>
                <w:szCs w:val="1"/>
                <w:color w:val="auto"/>
              </w:rPr>
            </w:pPr>
          </w:p>
        </w:tc>
      </w:tr>
      <w:tr>
        <w:trPr>
          <w:trHeight w:val="225"/>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0" w:type="dxa"/>
            <w:vAlign w:val="bottom"/>
          </w:tcPr>
          <w:p>
            <w:pPr>
              <w:spacing w:after="0"/>
              <w:rPr>
                <w:sz w:val="1"/>
                <w:szCs w:val="1"/>
                <w:color w:val="auto"/>
              </w:rPr>
            </w:pPr>
          </w:p>
        </w:tc>
      </w:tr>
      <w:tr>
        <w:trPr>
          <w:trHeight w:val="22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45.26</w:t>
            </w:r>
          </w:p>
        </w:tc>
        <w:tc>
          <w:tcPr>
            <w:tcW w:w="0" w:type="dxa"/>
            <w:vAlign w:val="bottom"/>
          </w:tcPr>
          <w:p>
            <w:pPr>
              <w:spacing w:after="0"/>
              <w:rPr>
                <w:sz w:val="1"/>
                <w:szCs w:val="1"/>
                <w:color w:val="auto"/>
              </w:rPr>
            </w:pPr>
          </w:p>
        </w:tc>
      </w:tr>
      <w:tr>
        <w:trPr>
          <w:trHeight w:val="225"/>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0" w:type="dxa"/>
            <w:vAlign w:val="bottom"/>
          </w:tcPr>
          <w:p>
            <w:pPr>
              <w:spacing w:after="0"/>
              <w:rPr>
                <w:sz w:val="1"/>
                <w:szCs w:val="1"/>
                <w:color w:val="auto"/>
              </w:rPr>
            </w:pPr>
          </w:p>
        </w:tc>
      </w:tr>
      <w:tr>
        <w:trPr>
          <w:trHeight w:val="244"/>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November 2, 2025</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determine the fair value of time-lapse restricted stock units based on the quoted price of our stock at the date of grant. We expense time-lapse restricted stock units on a straight-line basis over the vesting period, except for awards issued to retirement-eligible participants and certain Replacement units, which we expense on an accelerated basis.</w:t>
      </w:r>
    </w:p>
    <w:p>
      <w:pPr>
        <w:spacing w:after="0" w:line="4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2022 through 2025, we granted performance restricted stock units that will be earned upon the achievement of our EPS compound annual growth rate goal, measured over a three-year period. The actual number of the performance restricted stock units issued at the vesting date could range from 0% to 200% of the initial grant depending on performance achieved. The fair value of the performance restricted stock units was based upon the quoted price of our stock at the date of grant. We expense performance restricted stock units on a straight-line basis over the service period, except for awards issued to retirement-eligible participants, which we expense on an accelerated basis. We estimate expense based on the number of awards expected to vest. In the first quarter of 2026, recipients of the performance restricted stock units earned 48% of the initial grants based upon performance achieved during a three-year period ended August 3, 2025. In the first quarter of 2025, recipients of the performance restricted stock units earned 100% of the initial grants based upon performance achieved during a three-year period ended July 28, 2024. There were 549 thousand of the performance target grants outstanding at November 2, 2025, with a weighted-average grant-date fair value of $44.35.</w:t>
      </w:r>
    </w:p>
    <w:p>
      <w:pPr>
        <w:spacing w:after="0" w:line="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As of November 2, 2025, total remaining unearned compensation related to nonvested time-lapse restricted stock units and performance restricted stock units was $75 million, which will be amortized over the weighted-average remaining service period of 2.1 years. The fair value of time-lapse and performance restricted stock units vested during the three-month periods ended November 2, 2025, and October 27, 2024, was $31 million and $59 million, respectively. The weighted-average grant-date fair value of the time-lapse and performance restricted stock units granted during the three-month period ended October 27, 2024 was $48.36.</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1" w:name="page22"/>
    <w:bookmarkEnd w:id="21"/>
    <w:p>
      <w:pPr>
        <w:ind w:left="320"/>
        <w:spacing w:after="0"/>
        <w:rPr>
          <w:sz w:val="20"/>
          <w:szCs w:val="20"/>
          <w:color w:val="auto"/>
        </w:rPr>
      </w:pPr>
      <w:r>
        <w:rPr>
          <w:rFonts w:ascii="Times New Roman" w:cs="Times New Roman" w:eastAsia="Times New Roman" w:hAnsi="Times New Roman"/>
          <w:sz w:val="18"/>
          <w:szCs w:val="18"/>
          <w:color w:val="auto"/>
        </w:rPr>
        <w:t>The following table summarizes performance restricted stock units subject to a TSR modifier and TSR performance restricted stock units activity:</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174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92"/>
        </w:trPr>
        <w:tc>
          <w:tcPr>
            <w:tcW w:w="7820" w:type="dxa"/>
            <w:vAlign w:val="bottom"/>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92"/>
        </w:trPr>
        <w:tc>
          <w:tcPr>
            <w:tcW w:w="7820" w:type="dxa"/>
            <w:vAlign w:val="bottom"/>
          </w:tcPr>
          <w:p>
            <w:pPr>
              <w:spacing w:after="0"/>
              <w:rPr>
                <w:sz w:val="16"/>
                <w:szCs w:val="16"/>
                <w:color w:val="auto"/>
              </w:rPr>
            </w:pPr>
          </w:p>
        </w:tc>
        <w:tc>
          <w:tcPr>
            <w:tcW w:w="1640" w:type="dxa"/>
            <w:vAlign w:val="bottom"/>
            <w:tcBorders>
              <w:top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August 3, 2025</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0" w:type="dxa"/>
            <w:vAlign w:val="bottom"/>
          </w:tcPr>
          <w:p>
            <w:pPr>
              <w:spacing w:after="0"/>
              <w:rPr>
                <w:sz w:val="1"/>
                <w:szCs w:val="1"/>
                <w:color w:val="auto"/>
              </w:rPr>
            </w:pPr>
          </w:p>
        </w:tc>
      </w:tr>
      <w:tr>
        <w:trPr>
          <w:trHeight w:val="225"/>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53.74</w:t>
            </w:r>
          </w:p>
        </w:tc>
        <w:tc>
          <w:tcPr>
            <w:tcW w:w="0" w:type="dxa"/>
            <w:vAlign w:val="bottom"/>
          </w:tcPr>
          <w:p>
            <w:pPr>
              <w:spacing w:after="0"/>
              <w:rPr>
                <w:sz w:val="1"/>
                <w:szCs w:val="1"/>
                <w:color w:val="auto"/>
              </w:rPr>
            </w:pPr>
          </w:p>
        </w:tc>
      </w:tr>
      <w:tr>
        <w:trPr>
          <w:trHeight w:val="225"/>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0" w:type="dxa"/>
            <w:vAlign w:val="bottom"/>
          </w:tcPr>
          <w:p>
            <w:pPr>
              <w:spacing w:after="0"/>
              <w:rPr>
                <w:sz w:val="1"/>
                <w:szCs w:val="1"/>
                <w:color w:val="auto"/>
              </w:rPr>
            </w:pPr>
          </w:p>
        </w:tc>
      </w:tr>
      <w:tr>
        <w:trPr>
          <w:trHeight w:val="243"/>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November 2, 2025</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estimated the fair value of performance restricted stock units subject to a TSR modifier and TSR performance restricted stock units at the grant date using a Monte Carlo simulation.</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Weighted-average assumptions used in the Monte Carlo simulation for grants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00" w:type="dxa"/>
            <w:vAlign w:val="bottom"/>
          </w:tcPr>
          <w:p>
            <w:pPr>
              <w:spacing w:after="0"/>
              <w:rPr>
                <w:sz w:val="16"/>
                <w:szCs w:val="16"/>
                <w:color w:val="auto"/>
              </w:rPr>
            </w:pPr>
          </w:p>
        </w:tc>
        <w:tc>
          <w:tcPr>
            <w:tcW w:w="264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4"/>
        </w:trPr>
        <w:tc>
          <w:tcPr>
            <w:tcW w:w="86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6"/>
        </w:trPr>
        <w:tc>
          <w:tcPr>
            <w:tcW w:w="860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November 2, 2025</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27, 2024</w:t>
            </w:r>
          </w:p>
        </w:tc>
      </w:tr>
      <w:tr>
        <w:trPr>
          <w:trHeight w:val="225"/>
        </w:trPr>
        <w:tc>
          <w:tcPr>
            <w:tcW w:w="8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3.68%</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3.52%</w:t>
            </w:r>
          </w:p>
        </w:tc>
      </w:tr>
      <w:tr>
        <w:trPr>
          <w:trHeight w:val="225"/>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4.77%</w:t>
            </w:r>
          </w:p>
        </w:tc>
        <w:tc>
          <w:tcPr>
            <w:tcW w:w="1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3.01%</w:t>
            </w:r>
          </w:p>
        </w:tc>
      </w:tr>
      <w:tr>
        <w:trPr>
          <w:trHeight w:val="225"/>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23.70%</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22.46%</w:t>
            </w:r>
          </w:p>
        </w:tc>
      </w:tr>
      <w:tr>
        <w:trPr>
          <w:trHeight w:val="23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3 years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 years</w:t>
            </w:r>
          </w:p>
        </w:tc>
      </w:tr>
    </w:tbl>
    <w:p>
      <w:pPr>
        <w:spacing w:after="0" w:line="1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2026, we granted performance restricted stock units that will be earned upon the achievement of our annual EPS and organic net sales growth rate goals during a three-year period subject to a relative TSR modifier. The number of units earned based upon the achievement of each growth rate goal may be further increased or reduced based upon our TSR ranking during a three-year period compared to the respective TSR of companies in a performance peer group. The actual number of performance restricted stock units subject to a TSR modifier ultimately issued at the vesting date could range from 0% to 250% of the initial grant depending on performance achieved.</w:t>
      </w:r>
    </w:p>
    <w:p>
      <w:pPr>
        <w:spacing w:after="0" w:line="66"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expense performance restricted stock units subject to a TSR modifier and TSR performance restricted stock units on a straight-line basis over the service period, except for awards issued to retirement eligible participants, which we expense on an accelerated basis. As of November 2, 2025, total remaining unearned compensation related to performance restricted stock units subject to a TSR modifier and TSR performance restricted stock units was $36 million, which will be amortized over the weighted-average remaining service period of 2.1 years. In the first quarter of 2026, recipients of TSR performance restricted stock units earned 50% of the initial grants based upon our TSR ranking in a performance peer group during a three-year period ended August 1, 2025. In the first quarter of 2025, recipients of TSR performance restricted stock units earned 175% of the initial grants based upon our TSR ranking in a performance peer group during a three-year period ended July 26, 2024. As a result, approximately 199 thousand additional shares were awarded. The fair value of TSR performance restricted stock units vested during the three-month periods ended November 2, 2025, and October 27, 2024, was $4 million and $23 million, respectively. The grant-date fair value of the TSR performance restricted stock units granted during the three-month period ended October 27, 2024, was $47.33.</w:t>
      </w:r>
    </w:p>
    <w:p>
      <w:pPr>
        <w:spacing w:after="0" w:line="151" w:lineRule="exact"/>
        <w:rPr>
          <w:sz w:val="20"/>
          <w:szCs w:val="20"/>
          <w:color w:val="auto"/>
        </w:rPr>
      </w:pPr>
    </w:p>
    <w:p>
      <w:pPr>
        <w:ind w:right="8460" w:firstLine="6"/>
        <w:spacing w:after="0" w:line="367" w:lineRule="auto"/>
        <w:tabs>
          <w:tab w:leader="none" w:pos="265"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i w:val="1"/>
          <w:iCs w:val="1"/>
          <w:color w:val="auto"/>
        </w:rPr>
        <w:t>Regulatory and Litigation Matters</w:t>
      </w: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are involved in various pending or threatened legal or regulatory proceedings, including purported class actions, arising from the conduct of business both in the ordinary course and otherwise.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our actual experiences in litigating or resolving through settlement numerous claims over an extended period of time, demonstrates to us that the monetary relief which may be specified in a lawsuit or claim bears little relevance to its merits or disposition value.</w:t>
      </w:r>
    </w:p>
    <w:p>
      <w:pPr>
        <w:spacing w:after="0" w:line="6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Due to the unpredictable nature of litigation, the outcome of a litigation matter and the amount or range of potential loss at particular points in time is normally difficult to ascertain. Uncertainties can include how fact finders will evaluate documentary</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2" w:name="page23"/>
    <w:bookmarkEnd w:id="22"/>
    <w:p>
      <w:pPr>
        <w:jc w:val="both"/>
        <w:spacing w:after="0" w:line="259" w:lineRule="auto"/>
        <w:rPr>
          <w:sz w:val="20"/>
          <w:szCs w:val="20"/>
          <w:color w:val="auto"/>
        </w:rPr>
      </w:pPr>
      <w:r>
        <w:rPr>
          <w:rFonts w:ascii="Times New Roman" w:cs="Times New Roman" w:eastAsia="Times New Roman" w:hAnsi="Times New Roman"/>
          <w:sz w:val="18"/>
          <w:szCs w:val="18"/>
          <w:color w:val="auto"/>
        </w:rPr>
        <w:t>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32" w:lineRule="exact"/>
        <w:rPr>
          <w:sz w:val="20"/>
          <w:szCs w:val="20"/>
          <w:color w:val="auto"/>
        </w:rPr>
      </w:pPr>
    </w:p>
    <w:p>
      <w:pPr>
        <w:jc w:val="both"/>
        <w:ind w:firstLine="318"/>
        <w:spacing w:after="0" w:line="235" w:lineRule="auto"/>
        <w:rPr>
          <w:sz w:val="20"/>
          <w:szCs w:val="20"/>
          <w:color w:val="auto"/>
        </w:rPr>
      </w:pPr>
      <w:r>
        <w:rPr>
          <w:rFonts w:ascii="Times New Roman" w:cs="Times New Roman" w:eastAsia="Times New Roman" w:hAnsi="Times New Roman"/>
          <w:sz w:val="18"/>
          <w:szCs w:val="18"/>
          <w:color w:val="auto"/>
        </w:rPr>
        <w:t>On March 20, 2024, the United States Department of Justice (DOJ), on behalf of the U.S. Environmental Protection Agency, and National Education Law Center, on behalf of Environment America and Lake Erie Waterkeeper, filed lawsuits in the United States District Court for the Northern District of Ohio – Western Division concerning alleged violations of the Clean Water Act relating to alleged contaminant discharges from our Napoleon, Ohio wastewater treatment facility in excess of the facility’s Clean Water Act permit limits. We have and are continuing to take actions to remediate the exceedances and are in settlement discussions with the DOJ and the private environmental groups while litigation proceedings are ongoing. While we cannot predict with certainty the amount of any civil penalty or the timing of the resolution of this matter, we do not expect that the ultimate costs to resolve this matter will have a material adverse effect on our financial condition, results of operations, or cash flows.</w:t>
      </w:r>
    </w:p>
    <w:p>
      <w:pPr>
        <w:spacing w:after="0" w:line="6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establish liabilities for litigation and regulatory loss contingencies when information related to the loss contingencies shows both that it is probable that a loss has been incurred and the amount of the loss can be reasonably estimated. It is possible that some matters could require us to pay damages or make other expenditures or establish accruals in amounts that could not be reasonably estimated as of November 2, 2025. While the potential future charges could be material in a particular quarter or annual period, based on information currently known by us, we do not believe any such charges are likely to have a material adverse effect on our consolidated results of operations or financial condition.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Contingencies</w:t>
      </w:r>
    </w:p>
    <w:p>
      <w:pPr>
        <w:spacing w:after="0" w:line="10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have provided certain indemnifications in connection with divestitures, contracts and other transactions. Certain indemnifications have finite expiration dates. Liabilities recognized based on known exposures related to such matters were not material at November 2,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Supplier Finance Program Obligations</w:t>
      </w:r>
    </w:p>
    <w:p>
      <w:pPr>
        <w:spacing w:after="0" w:line="10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To manage our cash flow and related liquidity, we work with our suppliers to optimize our terms and conditions, including the extension of payment terms. Our current payment terms with our suppliers, which we deem to be commercially reasonable, generally range from 0 to 120 days. We also maintain agreements with third-party administrators that allow participating suppliers to track payment obligations from us, and, at the sole discretion of the supplier, sell those payment obligations to participating financial institutions. Our obligations to our suppliers, including amounts due and scheduled payment terms, are not impacted. Supplier participation in these agreements is voluntary. We have no economic interest in a supplier’s decision to enter into these agreements and no direct financial relationship with the financial institutions regarding these transactions. We have not pledged assets as security or provided any guarantees in connection with these arrangements. The payment of these obligations is included in cash provided by operating activities in the Consolidated Statements of Cash Flows. Our outstanding obligations confirmed as valid under these programs, which are included in Accounts payable on the Consolidated Balance Sheets, were $264 million at November 2, 2025 and $240 million at August 3, 2025.</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17. Supplemental Financial Statement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3"/>
                <w:szCs w:val="13"/>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November 2, 2025</w:t>
            </w:r>
          </w:p>
        </w:tc>
        <w:tc>
          <w:tcPr>
            <w:tcW w:w="120" w:type="dxa"/>
            <w:vAlign w:val="bottom"/>
          </w:tcPr>
          <w:p>
            <w:pPr>
              <w:spacing w:after="0"/>
              <w:rPr>
                <w:sz w:val="13"/>
                <w:szCs w:val="13"/>
                <w:color w:val="auto"/>
              </w:rPr>
            </w:pPr>
          </w:p>
        </w:tc>
        <w:tc>
          <w:tcPr>
            <w:tcW w:w="118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August 3,</w:t>
            </w:r>
          </w:p>
        </w:tc>
        <w:tc>
          <w:tcPr>
            <w:tcW w:w="0" w:type="dxa"/>
            <w:vAlign w:val="bottom"/>
          </w:tcPr>
          <w:p>
            <w:pPr>
              <w:spacing w:after="0"/>
              <w:rPr>
                <w:sz w:val="1"/>
                <w:szCs w:val="1"/>
                <w:color w:val="auto"/>
              </w:rPr>
            </w:pPr>
          </w:p>
        </w:tc>
      </w:tr>
      <w:tr>
        <w:trPr>
          <w:trHeight w:val="191"/>
        </w:trPr>
        <w:tc>
          <w:tcPr>
            <w:tcW w:w="8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11"/>
        </w:trPr>
        <w:tc>
          <w:tcPr>
            <w:tcW w:w="8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Balance Sheets</w:t>
            </w: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Raw materials, containers and supplies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25"/>
        </w:trPr>
        <w:tc>
          <w:tcPr>
            <w:tcW w:w="8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Finished products</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0" w:type="dxa"/>
            <w:vAlign w:val="bottom"/>
          </w:tcPr>
          <w:p>
            <w:pPr>
              <w:spacing w:after="0"/>
              <w:rPr>
                <w:sz w:val="1"/>
                <w:szCs w:val="1"/>
                <w:color w:val="auto"/>
              </w:rPr>
            </w:pPr>
          </w:p>
        </w:tc>
      </w:tr>
      <w:tr>
        <w:trPr>
          <w:trHeight w:val="244"/>
        </w:trPr>
        <w:tc>
          <w:tcPr>
            <w:tcW w:w="8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8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4"/>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4"/>
        </w:trPr>
        <w:tc>
          <w:tcPr>
            <w:tcW w:w="8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November 2, 2025</w:t>
            </w:r>
          </w:p>
        </w:tc>
        <w:tc>
          <w:tcPr>
            <w:tcW w:w="120" w:type="dxa"/>
            <w:vAlign w:val="bottom"/>
          </w:tcPr>
          <w:p>
            <w:pPr>
              <w:spacing w:after="0"/>
              <w:rPr>
                <w:sz w:val="16"/>
                <w:szCs w:val="16"/>
                <w:color w:val="auto"/>
              </w:rPr>
            </w:pPr>
          </w:p>
        </w:tc>
        <w:tc>
          <w:tcPr>
            <w:tcW w:w="118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0" w:type="dxa"/>
            <w:vAlign w:val="bottom"/>
          </w:tcPr>
          <w:p>
            <w:pPr>
              <w:spacing w:after="0"/>
              <w:rPr>
                <w:sz w:val="1"/>
                <w:szCs w:val="1"/>
                <w:color w:val="auto"/>
              </w:rPr>
            </w:pPr>
          </w:p>
        </w:tc>
      </w:tr>
      <w:tr>
        <w:trPr>
          <w:trHeight w:val="212"/>
        </w:trPr>
        <w:tc>
          <w:tcPr>
            <w:tcW w:w="8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Statements of Earnings</w:t>
            </w: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 (income)</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140"/>
              <w:spacing w:after="0" w:line="225" w:lineRule="exact"/>
              <w:rPr>
                <w:sz w:val="20"/>
                <w:szCs w:val="20"/>
                <w:color w:val="auto"/>
              </w:rPr>
            </w:pPr>
            <w:r>
              <w:rPr>
                <w:rFonts w:ascii="Times New Roman" w:cs="Times New Roman" w:eastAsia="Times New Roman" w:hAnsi="Times New Roman"/>
                <w:sz w:val="18"/>
                <w:szCs w:val="18"/>
                <w:color w:val="auto"/>
              </w:rPr>
              <w:t>Amortization of intangible assets</w:t>
            </w:r>
            <w:r>
              <w:rPr>
                <w:rFonts w:ascii="Times New Roman" w:cs="Times New Roman" w:eastAsia="Times New Roman" w:hAnsi="Times New Roman"/>
                <w:sz w:val="22"/>
                <w:szCs w:val="22"/>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5"/>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periodic benefit expense (income) other than the service cost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140"/>
              <w:spacing w:after="0" w:line="225" w:lineRule="exact"/>
              <w:rPr>
                <w:sz w:val="20"/>
                <w:szCs w:val="20"/>
                <w:color w:val="auto"/>
              </w:rPr>
            </w:pPr>
            <w:r>
              <w:rPr>
                <w:rFonts w:ascii="Times New Roman" w:cs="Times New Roman" w:eastAsia="Times New Roman" w:hAnsi="Times New Roman"/>
                <w:sz w:val="18"/>
                <w:szCs w:val="18"/>
                <w:color w:val="auto"/>
              </w:rPr>
              <w:t>Costs associated with acquisition</w:t>
            </w:r>
            <w:r>
              <w:rPr>
                <w:rFonts w:ascii="Times New Roman" w:cs="Times New Roman" w:eastAsia="Times New Roman" w:hAnsi="Times New Roman"/>
                <w:sz w:val="22"/>
                <w:szCs w:val="22"/>
                <w:color w:val="auto"/>
                <w:vertAlign w:val="superscript"/>
              </w:rPr>
              <w:t>(2)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520" w:type="dxa"/>
            <w:vAlign w:val="bottom"/>
          </w:tcPr>
          <w:p>
            <w:pPr>
              <w:ind w:left="140"/>
              <w:spacing w:after="0" w:line="225" w:lineRule="exact"/>
              <w:rPr>
                <w:sz w:val="20"/>
                <w:szCs w:val="20"/>
                <w:color w:val="auto"/>
              </w:rPr>
            </w:pPr>
            <w:r>
              <w:rPr>
                <w:rFonts w:ascii="Times New Roman" w:cs="Times New Roman" w:eastAsia="Times New Roman" w:hAnsi="Times New Roman"/>
                <w:sz w:val="18"/>
                <w:szCs w:val="18"/>
                <w:color w:val="auto"/>
              </w:rPr>
              <w:t>Loss on sale of business</w:t>
            </w:r>
            <w:r>
              <w:rPr>
                <w:rFonts w:ascii="Times New Roman" w:cs="Times New Roman" w:eastAsia="Times New Roman" w:hAnsi="Times New Roman"/>
                <w:sz w:val="22"/>
                <w:szCs w:val="22"/>
                <w:color w:val="auto"/>
                <w:vertAlign w:val="superscript"/>
              </w:rPr>
              <w:t>(3)</w:t>
            </w:r>
          </w:p>
        </w:tc>
        <w:tc>
          <w:tcPr>
            <w:tcW w:w="1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Transition services fees</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8"/>
        </w:trPr>
        <w:tc>
          <w:tcPr>
            <w:tcW w:w="8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58" w:lineRule="exact"/>
        <w:rPr>
          <w:sz w:val="20"/>
          <w:szCs w:val="20"/>
          <w:color w:val="auto"/>
        </w:rPr>
      </w:pPr>
    </w:p>
    <w:p>
      <w:pPr>
        <w:ind w:left="320" w:hanging="314"/>
        <w:spacing w:after="0" w:line="225" w:lineRule="auto"/>
        <w:tabs>
          <w:tab w:leader="none" w:pos="30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accelerated amortization expense related to customer relationship intangible assets of $7 million in the three-month period ended October 27, 2024.</w:t>
      </w:r>
    </w:p>
    <w:p>
      <w:pPr>
        <w:spacing w:after="0" w:line="1" w:lineRule="exact"/>
        <w:rPr>
          <w:rFonts w:ascii="Times New Roman" w:cs="Times New Roman" w:eastAsia="Times New Roman" w:hAnsi="Times New Roman"/>
          <w:sz w:val="23"/>
          <w:szCs w:val="23"/>
          <w:color w:val="auto"/>
          <w:vertAlign w:val="superscript"/>
        </w:rPr>
      </w:pPr>
    </w:p>
    <w:p>
      <w:pPr>
        <w:ind w:left="320" w:hanging="314"/>
        <w:spacing w:after="0"/>
        <w:tabs>
          <w:tab w:leader="none" w:pos="32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18 for additional information.</w:t>
      </w:r>
    </w:p>
    <w:p>
      <w:pPr>
        <w:spacing w:after="0" w:line="53" w:lineRule="exact"/>
        <w:rPr>
          <w:rFonts w:ascii="Times New Roman" w:cs="Times New Roman" w:eastAsia="Times New Roman" w:hAnsi="Times New Roman"/>
          <w:sz w:val="23"/>
          <w:szCs w:val="23"/>
          <w:color w:val="auto"/>
          <w:vertAlign w:val="superscript"/>
        </w:rPr>
      </w:pPr>
    </w:p>
    <w:p>
      <w:pPr>
        <w:ind w:left="320" w:hanging="314"/>
        <w:spacing w:after="0" w:line="191" w:lineRule="auto"/>
        <w:tabs>
          <w:tab w:leader="none" w:pos="32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3 for additional information.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w:t>
      </w:r>
    </w:p>
    <w:p>
      <w:pPr>
        <w:spacing w:after="0" w:line="100"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On December 8, 2025, we entered into purchase agreements to acquire 49% of the issued and outstanding equity interests of La Regina di San Marzano di Antonio Romano S.p.A. (La Regina SPA) and La Regina Atlantica, LLC (La Regina Atlantica, and together with La Regina SPA, La Regina). The aggregate consideration for the transaction is $286 million to be paid in two tranches: (i) $146 million, payable in cash at the closing, and (ii) $140 million payable at our sole discretion in either cash or unregistered shares of our capital stock (not to exceed 19.9% of our outstanding capital stock and voting power prior to issuance) on the first anniversary of the closing. The remaining 51% of the outstanding equity interests of La Regina are subject to a call option granted to us and a put option granted to La Regina. The call option may be exercised from the first anniversary of the closing until the later of the tenth anniversary of the closing and the date of cessation of the material commercial agreements between the parties. The put option may be exercised from three years after the first anniversary of the closing until the tenth anniversary of the closing. The transaction is subject to certain customary conditions, including, among other things</w:t>
      </w:r>
    </w:p>
    <w:p>
      <w:pPr>
        <w:spacing w:after="0" w:line="2" w:lineRule="exact"/>
        <w:rPr>
          <w:sz w:val="20"/>
          <w:szCs w:val="20"/>
          <w:color w:val="auto"/>
        </w:rPr>
      </w:pPr>
    </w:p>
    <w:p>
      <w:pPr>
        <w:jc w:val="both"/>
        <w:ind w:firstLine="6"/>
        <w:spacing w:after="0" w:line="247" w:lineRule="auto"/>
        <w:tabs>
          <w:tab w:leader="none" w:pos="24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representations and warranties of La Regina as of the closing of the transaction, (b) compliance in all material respects with pre-closing obligations and covenants under each of the purchase agreements, and (c) the absence of a material adverse change. Each purchase agreement provides for an outside closing date of June 8, 2026, which we may extend once by up to thirty (30) business days upon prior notice. If the closing conditions have not been satisfied or waived by the outside closing date, each purchase agreement will automatically terminate, subject to certain specified provisions that survive termination.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24" w:name="page25"/>
    <w:bookmarkEnd w:id="24"/>
    <w:p>
      <w:pPr>
        <w:ind w:right="4100"/>
        <w:spacing w:after="0" w:line="347" w:lineRule="auto"/>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 xml:space="preserve"> OVERVIEW</w:t>
      </w:r>
    </w:p>
    <w:p>
      <w:pPr>
        <w:spacing w:after="0" w:line="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is provided as a supplement to, and should be read in conjunction with, the Consolidated Financial Statements and the Notes to the Consolidated Financial Statements in "Part I - Item 1. Financial Statements," and our Form 10-K for the year ended August 3, 2025, including but not limited to "Part I - Item 1A. Risk Factors" and "Part II - Item 7. Management's Discussion and Analysis of Financial Condition and Results of Operations."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Unless otherwise stated, the terms "we," "us," "our" and the "company" refer to The Campbell's Company and its consolidated subsidiaries.</w:t>
      </w:r>
    </w:p>
    <w:p>
      <w:pPr>
        <w:spacing w:after="0" w:line="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are a manufacturer and marketer of high-quality, branded food and beverage products. We operate in a highly competitive industry and experience competition in all of our categories.</w:t>
      </w:r>
    </w:p>
    <w:p>
      <w:pPr>
        <w:spacing w:after="0" w:line="4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August 26, 2024, we completed the sale of our Pop Secret popcorn business. On February 24, 2025, we completed the sale of our noosa yoghurt business. For additional information on the divestitures, see Note 3 to the Consolidated Financial Statements.</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Through the fourth quarter of 2025, the snacking and meals and beverages retail business in Latin America was managed under our Snacks segment.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Beginning in 2026, the business is managed under our Meals &amp; Beverages segment. Segment results have been adjusted retrospectively to reflect this change.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Developments</w:t>
      </w:r>
    </w:p>
    <w:p>
      <w:pPr>
        <w:spacing w:after="0" w:line="10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On December 8, 2025, we entered into purchase agreements to acquire 49% of the issued and outstanding equity interests of La Regina di San Marzano di Antonio Romano S.p.A. (La Regina SPA) and La Regina Atlantica, LLC (La Regina Atlantica, and together with La Regina SPA, La Regina). La Regina currently produces all of our </w:t>
      </w:r>
      <w:r>
        <w:rPr>
          <w:rFonts w:ascii="Times New Roman" w:cs="Times New Roman" w:eastAsia="Times New Roman" w:hAnsi="Times New Roman"/>
          <w:sz w:val="18"/>
          <w:szCs w:val="18"/>
          <w:i w:val="1"/>
          <w:iCs w:val="1"/>
          <w:color w:val="auto"/>
        </w:rPr>
        <w:t>Rao’s</w:t>
      </w:r>
      <w:r>
        <w:rPr>
          <w:rFonts w:ascii="Times New Roman" w:cs="Times New Roman" w:eastAsia="Times New Roman" w:hAnsi="Times New Roman"/>
          <w:sz w:val="18"/>
          <w:szCs w:val="18"/>
          <w:color w:val="auto"/>
        </w:rPr>
        <w:t xml:space="preserve"> tomato-based pasta sauces. The aggregate consideration for the transaction is $286 million to be paid in two tranches. The remaining 51% of the outstanding equity interests of La Regina are subject to a call option granted to us and a put option granted to La Regina. The transaction is subject to certain customary closing conditions. For additional information on this pending transaction, see our Form 8-K filed with the U.S. Securities and Exchange Commission on December 9, 2025, and Note 18 to the Consolidated Financial Statements.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Trends</w:t>
      </w:r>
    </w:p>
    <w:p>
      <w:pPr>
        <w:spacing w:after="0" w:line="10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industry continues to navigate a dynamic operating and regulatory environment driven by commodity cost volatility, supply chain pressures, tariffs and shifting global trade policies, evolving consumer purchasing and spending patterns and other economic uncertainties. Through the first quarter, we experienced significantly elevated input cost inflation and other supply chain costs, primarily driven by the impacts of tariffs. We anticipate continued supply chain productivity and benefits from cost savings initiatives to mitigate some of these costs in 2026. We expect consumer trends to continue to evolve and our volumes to improve over time; however, shifting consumer behaviors may continue to negatively impact our volumes throughout 2026. We will continue to evaluate the evolving macroeconomic environment and take actions to mitigate the impact on our business, consolidated results of operations and financial condition.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Results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This Summary of Results provides significant highlights from the discussion and analysis that follows.</w:t>
      </w:r>
    </w:p>
    <w:p>
      <w:pPr>
        <w:spacing w:after="0" w:line="98" w:lineRule="exact"/>
        <w:rPr>
          <w:sz w:val="20"/>
          <w:szCs w:val="20"/>
          <w:color w:val="auto"/>
        </w:rPr>
      </w:pPr>
    </w:p>
    <w:p>
      <w:pPr>
        <w:ind w:left="64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decreased 3% in the quarter to $2.677 billion primarily due to unfavorable volume/mix and the impact of divestitures, partially offset by favorable net price realization.</w:t>
      </w:r>
    </w:p>
    <w:p>
      <w:pPr>
        <w:spacing w:after="0" w:line="4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as a percent of sales, was 29.6% in 2026 compared to 31.3% in the prior-year quarter. The decrease was primarily due to the impact of cost inflation and other supply chain costs and the gross impact of tariffs, partially offset by benefits from supply chain productivity improvements and favorable net price realization.</w:t>
      </w:r>
    </w:p>
    <w:p>
      <w:pPr>
        <w:spacing w:after="0" w:line="45"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 were $.65 in 2026, compared to $.72 in the prior-year quarter. The current quarter included expenses of $.12 per share and the prior-year quarter included expenses of $.16 per share from items impacting comparability as discussed below.</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Earnings attributable to The Campbell's Company</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items impacted the comparability of net earnings and net earnings per share:</w:t>
      </w:r>
    </w:p>
    <w:p>
      <w:pPr>
        <w:spacing w:after="0" w:line="98" w:lineRule="exact"/>
        <w:rPr>
          <w:sz w:val="20"/>
          <w:szCs w:val="20"/>
          <w:color w:val="auto"/>
        </w:rPr>
      </w:pPr>
    </w:p>
    <w:p>
      <w:pPr>
        <w:jc w:val="both"/>
        <w:ind w:left="640" w:hanging="316"/>
        <w:spacing w:after="0" w:line="252"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implemented several cost savings initiatives in recent years. In the first quarter of 2026, we recorded Restructuring charges of $3 million and implementation costs and other related costs of $8 million in Administrative expenses and $7 million in Cost of products sold related to these initiatives. In the first quarter of 2025, we recorded Restructuring charges of $6 million and implementation costs and other related costs of $11 million in Administrative expenses, $8 million in Cost of products sold, $1 million in Marketing and selling expenses and $1 million in Research and development expenses related to these initiatives.</w:t>
      </w:r>
    </w:p>
    <w:p>
      <w:pPr>
        <w:spacing w:after="0" w:line="66" w:lineRule="exact"/>
        <w:rPr>
          <w:rFonts w:ascii="Times New Roman" w:cs="Times New Roman" w:eastAsia="Times New Roman" w:hAnsi="Times New Roman"/>
          <w:sz w:val="18"/>
          <w:szCs w:val="18"/>
          <w:color w:val="auto"/>
        </w:rPr>
      </w:pPr>
    </w:p>
    <w:p>
      <w:pPr>
        <w:jc w:val="both"/>
        <w:ind w:left="64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2024, we began implementation of an optimization initiative to improve the effectiveness of our Snacks direct-store-delivery route-to-market network. In the first quarter of 2026, we recognized $16 million in Marketing and selling expenses related to this initiative. In the first quarter of 2025, we recognized $8 million in Marketing and selling expenses related to this initiative.</w:t>
      </w:r>
    </w:p>
    <w:p>
      <w:pPr>
        <w:spacing w:after="0" w:line="45" w:lineRule="exact"/>
        <w:rPr>
          <w:rFonts w:ascii="Times New Roman" w:cs="Times New Roman" w:eastAsia="Times New Roman" w:hAnsi="Times New Roman"/>
          <w:sz w:val="18"/>
          <w:szCs w:val="18"/>
          <w:color w:val="auto"/>
        </w:rPr>
      </w:pPr>
    </w:p>
    <w:p>
      <w:pPr>
        <w:jc w:val="both"/>
        <w:ind w:left="6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2026, the total aggregate impact related to the cost savings and optimization initiatives was $34 million ($26 million after tax, or $.09 per share). In the first quarter of 2025, the total aggregate impact related to the cost savings and optimization initiatives was $35 million ($27 million after tax, or $.09 per share). See Note 7 to the Consolidated Financial Statements and "Restructuring Charges, Cost Savings Initiatives and Other Optimization Initiatives" for additional information;</w:t>
      </w:r>
    </w:p>
    <w:p>
      <w:pPr>
        <w:spacing w:after="0" w:line="61"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2026, we recognized losses in Cost of products sold of $2 million ($2 million after tax, or $.01 per share) associated with unrealized mark-to-market adjustments on outstanding undesignated commodity hedges. In the first quarter of 2025, we recognized gains in Cost of products sold of $4 million ($3 million after tax, or $.01 per share) associated with unrealized mark-to-market adjustments on outstanding undesignated commodity hedges;</w:t>
      </w:r>
    </w:p>
    <w:p>
      <w:pPr>
        <w:spacing w:after="0" w:line="61"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2026, we recorded litigation expenses in Administrative expenses of $10 million ($7 million after tax, or $.02 per share) related to the Plum baby food and snacks business (Plum), which was divested on May 3, 2021, and certain other litigation matters. In the first quarter of 2025, we recorded litigation expenses in Administrative expenses of $1 million ($1 million after tax) related to Plum and certain other litigation matters;</w:t>
      </w:r>
    </w:p>
    <w:p>
      <w:pPr>
        <w:spacing w:after="0" w:line="4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2026 and 2025, we recognized insurance recoveries in Administrative expenses of $1 million ($1 million after tax) related to a cybersecurity incident that was identified in the fourth quarter of 2023;</w:t>
      </w:r>
    </w:p>
    <w:p>
      <w:pPr>
        <w:spacing w:after="0" w:line="44"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2026, we recognized costs associated with a pending acquisition in Other expenses / (income) of $2 million ($2 million after tax, or $.01 per share);</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2025, we recognized an actuarial loss in Other expenses / (income) of $2 million ($1 million after tax) related to an interim remeasurement of our postretirement plan due to a plan amendment;</w:t>
      </w:r>
    </w:p>
    <w:p>
      <w:pPr>
        <w:spacing w:after="0" w:line="3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2025, we recorded accelerated amortization expense in Other expenses / (income) of $7 million ($5 million after tax, or $.02 per share) related to customer relationship intangible assets due to the loss of certain contract manufacturing customers, which began in the fourth quarter of 2023; and</w:t>
      </w:r>
    </w:p>
    <w:p>
      <w:pPr>
        <w:spacing w:after="0" w:line="5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2025, we recorded a loss in Other expenses / (income) of $25 million ($19 million after tax, or $.06 per share) on the sale of our Pop Secret popcorn business.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26" w:name="page27"/>
    <w:bookmarkEnd w:id="26"/>
    <w:p>
      <w:pPr>
        <w:ind w:left="320"/>
        <w:spacing w:after="0"/>
        <w:rPr>
          <w:sz w:val="20"/>
          <w:szCs w:val="20"/>
          <w:color w:val="auto"/>
        </w:rPr>
      </w:pPr>
      <w:r>
        <w:rPr>
          <w:rFonts w:ascii="Times New Roman" w:cs="Times New Roman" w:eastAsia="Times New Roman" w:hAnsi="Times New Roman"/>
          <w:sz w:val="18"/>
          <w:szCs w:val="18"/>
          <w:color w:val="auto"/>
        </w:rPr>
        <w:t>The items impacting comparability are summarized below:</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4"/>
        </w:trPr>
        <w:tc>
          <w:tcPr>
            <w:tcW w:w="6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4"/>
          </w:tcPr>
          <w:p>
            <w:pPr>
              <w:spacing w:after="0"/>
              <w:rPr>
                <w:sz w:val="2"/>
                <w:szCs w:val="2"/>
                <w:color w:val="auto"/>
              </w:rPr>
            </w:pPr>
          </w:p>
        </w:tc>
      </w:tr>
      <w:tr>
        <w:trPr>
          <w:trHeight w:val="186"/>
        </w:trPr>
        <w:tc>
          <w:tcPr>
            <w:tcW w:w="6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November 2, 2025</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October 27, 2024</w:t>
            </w:r>
          </w:p>
        </w:tc>
      </w:tr>
      <w:tr>
        <w:trPr>
          <w:trHeight w:val="161"/>
        </w:trPr>
        <w:tc>
          <w:tcPr>
            <w:tcW w:w="6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200" w:type="dxa"/>
            <w:vAlign w:val="bottom"/>
          </w:tcPr>
          <w:p>
            <w:pPr>
              <w:spacing w:after="0"/>
              <w:rPr>
                <w:sz w:val="13"/>
                <w:szCs w:val="13"/>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EPS</w:t>
            </w:r>
          </w:p>
        </w:tc>
        <w:tc>
          <w:tcPr>
            <w:tcW w:w="18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200" w:type="dxa"/>
            <w:vAlign w:val="bottom"/>
          </w:tcPr>
          <w:p>
            <w:pPr>
              <w:spacing w:after="0"/>
              <w:rPr>
                <w:sz w:val="13"/>
                <w:szCs w:val="13"/>
                <w:color w:val="auto"/>
              </w:rPr>
            </w:pPr>
          </w:p>
        </w:tc>
        <w:tc>
          <w:tcPr>
            <w:tcW w:w="80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EPS</w:t>
            </w:r>
          </w:p>
        </w:tc>
      </w:tr>
      <w:tr>
        <w:trPr>
          <w:trHeight w:val="212"/>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Impact</w:t>
            </w:r>
          </w:p>
        </w:tc>
        <w:tc>
          <w:tcPr>
            <w:tcW w:w="200" w:type="dxa"/>
            <w:vAlign w:val="bottom"/>
          </w:tcPr>
          <w:p>
            <w:pPr>
              <w:spacing w:after="0"/>
              <w:rPr>
                <w:sz w:val="18"/>
                <w:szCs w:val="18"/>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8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00" w:type="dxa"/>
            <w:vAlign w:val="bottom"/>
          </w:tcPr>
          <w:p>
            <w:pPr>
              <w:spacing w:after="0"/>
              <w:rPr>
                <w:sz w:val="18"/>
                <w:szCs w:val="18"/>
                <w:color w:val="auto"/>
              </w:rPr>
            </w:pPr>
          </w:p>
        </w:tc>
        <w:tc>
          <w:tcPr>
            <w:tcW w:w="8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Impact</w:t>
            </w:r>
          </w:p>
        </w:tc>
      </w:tr>
      <w:tr>
        <w:trPr>
          <w:trHeight w:val="24"/>
        </w:trPr>
        <w:tc>
          <w:tcPr>
            <w:tcW w:w="6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The Campbell's Company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6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associated with cost savings and optimization initiatives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mark-to-market gains (losses)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Certain litigation expenses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Cybersecurity incident recoveries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associated with acquisition</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 actuarial losses</w:t>
            </w: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Accelerated amortization</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 associated with divestiture</w:t>
            </w: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44"/>
        </w:trPr>
        <w:tc>
          <w:tcPr>
            <w:tcW w:w="6940" w:type="dxa"/>
            <w:vAlign w:val="bottom"/>
            <w:tcBorders>
              <w:top w:val="single" w:sz="8" w:color="CCEEFF"/>
              <w:bottom w:val="single" w:sz="8" w:color="CCEEFF"/>
            </w:tcBorders>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Impact of items on Net earnings</w:t>
            </w:r>
            <w:r>
              <w:rPr>
                <w:rFonts w:ascii="Times New Roman" w:cs="Times New Roman" w:eastAsia="Times New Roman" w:hAnsi="Times New Roman"/>
                <w:sz w:val="22"/>
                <w:szCs w:val="22"/>
                <w:color w:val="auto"/>
                <w:vertAlign w:val="superscript"/>
              </w:rPr>
              <w:t>(1)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w:t>
      </w:r>
    </w:p>
    <w:p>
      <w:pPr>
        <w:spacing w:after="0" w:line="30" w:lineRule="exact"/>
        <w:rPr>
          <w:sz w:val="20"/>
          <w:szCs w:val="20"/>
          <w:color w:val="auto"/>
        </w:rPr>
      </w:pPr>
    </w:p>
    <w:p>
      <w:pPr>
        <w:ind w:left="320" w:hanging="314"/>
        <w:spacing w:after="0"/>
        <w:tabs>
          <w:tab w:leader="none" w:pos="32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Sum of the individual amounts may not add due to rounding.</w:t>
      </w:r>
    </w:p>
    <w:p>
      <w:pPr>
        <w:spacing w:after="0" w:line="6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Net earnings attributable to The Campbell's Company were $194 million ($.65 per share) in the current quarter, compared to $218 million ($.72 per share) in the year-ago quarter. After adjusting for items impacting comparability, earnings decreased primarily due to lower gross profit, partially offset by lower administrative expenses and lower marketing and selling expenses. The estimated net impact of tariffs was approximately $.04 per share in the current quarter. The negative impact from divestitures was approximately $.01 per share in the current quarter.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FIRST-QUARTER DISCUSSION AND ANALYSIS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analysis of net sales by reportable segment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5"/>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7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November 2, 2025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w:t>
            </w:r>
          </w:p>
        </w:tc>
        <w:tc>
          <w:tcPr>
            <w:tcW w:w="0" w:type="dxa"/>
            <w:vAlign w:val="bottom"/>
          </w:tcPr>
          <w:p>
            <w:pPr>
              <w:spacing w:after="0"/>
              <w:rPr>
                <w:sz w:val="1"/>
                <w:szCs w:val="1"/>
                <w:color w:val="auto"/>
              </w:rPr>
            </w:pPr>
          </w:p>
        </w:tc>
      </w:tr>
      <w:tr>
        <w:trPr>
          <w:trHeight w:val="225"/>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20" w:type="dxa"/>
            <w:vAlign w:val="bottom"/>
            <w:tcBorders>
              <w:bottom w:val="single" w:sz="8" w:color="CCEEFF"/>
            </w:tcBorders>
            <w:gridSpan w:val="4"/>
          </w:tcPr>
          <w:p>
            <w:pPr>
              <w:jc w:val="center"/>
              <w:ind w:left="12"/>
              <w:spacing w:after="0"/>
              <w:rPr>
                <w:sz w:val="20"/>
                <w:szCs w:val="20"/>
                <w:color w:val="auto"/>
              </w:rPr>
            </w:pPr>
            <w:r>
              <w:rPr>
                <w:rFonts w:ascii="Times New Roman" w:cs="Times New Roman" w:eastAsia="Times New Roman" w:hAnsi="Times New Roman"/>
                <w:sz w:val="18"/>
                <w:szCs w:val="18"/>
                <w:color w:val="auto"/>
                <w:w w:val="95"/>
              </w:rPr>
              <w:t>(2)</w:t>
            </w:r>
          </w:p>
        </w:tc>
        <w:tc>
          <w:tcPr>
            <w:tcW w:w="0" w:type="dxa"/>
            <w:vAlign w:val="bottom"/>
          </w:tcPr>
          <w:p>
            <w:pPr>
              <w:spacing w:after="0"/>
              <w:rPr>
                <w:sz w:val="1"/>
                <w:szCs w:val="1"/>
                <w:color w:val="auto"/>
              </w:rPr>
            </w:pPr>
          </w:p>
        </w:tc>
      </w:tr>
      <w:tr>
        <w:trPr>
          <w:trHeight w:val="244"/>
        </w:trPr>
        <w:tc>
          <w:tcPr>
            <w:tcW w:w="7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2,677</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1020" w:type="dxa"/>
            <w:vAlign w:val="bottom"/>
            <w:tcBorders>
              <w:bottom w:val="single" w:sz="8" w:color="CCEEFF"/>
            </w:tcBorders>
            <w:gridSpan w:val="4"/>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5"/>
              </w:rPr>
              <w:t>(3)</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An analysis of percent change of net sales by reportable segment follows: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7"/>
        </w:trPr>
        <w:tc>
          <w:tcPr>
            <w:tcW w:w="75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7500" w:type="dxa"/>
            <w:vAlign w:val="bottom"/>
          </w:tcPr>
          <w:p>
            <w:pPr>
              <w:spacing w:after="0"/>
              <w:rPr>
                <w:sz w:val="17"/>
                <w:szCs w:val="17"/>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Meals &amp; Beverages</w:t>
            </w:r>
            <w:r>
              <w:rPr>
                <w:rFonts w:ascii="Times New Roman" w:cs="Times New Roman" w:eastAsia="Times New Roman" w:hAnsi="Times New Roman"/>
                <w:sz w:val="9"/>
                <w:szCs w:val="9"/>
                <w:b w:val="1"/>
                <w:bCs w:val="1"/>
                <w:color w:val="auto"/>
              </w:rPr>
              <w:t>(2)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Snacks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Total</w:t>
            </w:r>
            <w:r>
              <w:rPr>
                <w:rFonts w:ascii="Times New Roman" w:cs="Times New Roman" w:eastAsia="Times New Roman" w:hAnsi="Times New Roman"/>
                <w:sz w:val="9"/>
                <w:szCs w:val="9"/>
                <w:b w:val="1"/>
                <w:bCs w:val="1"/>
                <w:color w:val="auto"/>
                <w:w w:val="98"/>
              </w:rPr>
              <w:t>(2)</w:t>
            </w:r>
          </w:p>
        </w:tc>
        <w:tc>
          <w:tcPr>
            <w:tcW w:w="0" w:type="dxa"/>
            <w:vAlign w:val="bottom"/>
          </w:tcPr>
          <w:p>
            <w:pPr>
              <w:spacing w:after="0"/>
              <w:rPr>
                <w:sz w:val="1"/>
                <w:szCs w:val="1"/>
                <w:color w:val="auto"/>
              </w:rPr>
            </w:pPr>
          </w:p>
        </w:tc>
      </w:tr>
      <w:tr>
        <w:trPr>
          <w:trHeight w:val="24"/>
        </w:trPr>
        <w:tc>
          <w:tcPr>
            <w:tcW w:w="7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Volume/mix</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right="36"/>
              <w:spacing w:after="0"/>
              <w:rPr>
                <w:sz w:val="20"/>
                <w:szCs w:val="20"/>
                <w:color w:val="auto"/>
              </w:rPr>
            </w:pPr>
            <w:r>
              <w:rPr>
                <w:rFonts w:ascii="Times New Roman" w:cs="Times New Roman" w:eastAsia="Times New Roman" w:hAnsi="Times New Roman"/>
                <w:sz w:val="18"/>
                <w:szCs w:val="18"/>
                <w:color w:val="auto"/>
                <w:w w:val="99"/>
              </w:rPr>
              <w:t>(3)%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right="16"/>
              <w:spacing w:after="0"/>
              <w:rPr>
                <w:sz w:val="20"/>
                <w:szCs w:val="20"/>
                <w:color w:val="auto"/>
              </w:rPr>
            </w:pPr>
            <w:r>
              <w:rPr>
                <w:rFonts w:ascii="Times New Roman" w:cs="Times New Roman" w:eastAsia="Times New Roman" w:hAnsi="Times New Roman"/>
                <w:sz w:val="18"/>
                <w:szCs w:val="18"/>
                <w:color w:val="auto"/>
                <w:w w:val="99"/>
              </w:rPr>
              <w:t>(3)%</w:t>
            </w:r>
          </w:p>
        </w:tc>
        <w:tc>
          <w:tcPr>
            <w:tcW w:w="20" w:type="dxa"/>
            <w:vAlign w:val="bottom"/>
            <w:shd w:val="clear" w:color="auto" w:fill="CCEEFF"/>
          </w:tcPr>
          <w:p>
            <w:pPr>
              <w:spacing w:after="0"/>
              <w:rPr>
                <w:sz w:val="19"/>
                <w:szCs w:val="19"/>
                <w:color w:val="auto"/>
              </w:rPr>
            </w:pPr>
          </w:p>
        </w:tc>
        <w:tc>
          <w:tcPr>
            <w:tcW w:w="100" w:type="dxa"/>
            <w:vAlign w:val="bottom"/>
            <w:gridSpan w:val="2"/>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(3)%</w:t>
            </w:r>
          </w:p>
        </w:tc>
        <w:tc>
          <w:tcPr>
            <w:tcW w:w="0" w:type="dxa"/>
            <w:vAlign w:val="bottom"/>
          </w:tcPr>
          <w:p>
            <w:pPr>
              <w:spacing w:after="0"/>
              <w:rPr>
                <w:sz w:val="1"/>
                <w:szCs w:val="1"/>
                <w:color w:val="auto"/>
              </w:rPr>
            </w:pPr>
          </w:p>
        </w:tc>
      </w:tr>
      <w:tr>
        <w:trPr>
          <w:trHeight w:val="225"/>
        </w:trPr>
        <w:tc>
          <w:tcPr>
            <w:tcW w:w="750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Net price realization</w:t>
            </w:r>
            <w:r>
              <w:rPr>
                <w:rFonts w:ascii="Times New Roman" w:cs="Times New Roman" w:eastAsia="Times New Roman" w:hAnsi="Times New Roman"/>
                <w:sz w:val="22"/>
                <w:szCs w:val="22"/>
                <w:color w:val="auto"/>
                <w:vertAlign w:val="superscript"/>
              </w:rPr>
              <w:t>(1)</w:t>
            </w:r>
          </w:p>
        </w:tc>
        <w:tc>
          <w:tcPr>
            <w:tcW w:w="120" w:type="dxa"/>
            <w:vAlign w:val="bottom"/>
          </w:tcPr>
          <w:p>
            <w:pPr>
              <w:spacing w:after="0"/>
              <w:rPr>
                <w:sz w:val="19"/>
                <w:szCs w:val="19"/>
                <w:color w:val="auto"/>
              </w:rPr>
            </w:pPr>
          </w:p>
        </w:tc>
        <w:tc>
          <w:tcPr>
            <w:tcW w:w="1200" w:type="dxa"/>
            <w:vAlign w:val="bottom"/>
          </w:tcPr>
          <w:p>
            <w:pPr>
              <w:jc w:val="center"/>
              <w:ind w:right="36"/>
              <w:spacing w:after="0"/>
              <w:rPr>
                <w:sz w:val="20"/>
                <w:szCs w:val="20"/>
                <w:color w:val="auto"/>
              </w:rPr>
            </w:pPr>
            <w:r>
              <w:rPr>
                <w:rFonts w:ascii="Times New Roman" w:cs="Times New Roman" w:eastAsia="Times New Roman" w:hAnsi="Times New Roman"/>
                <w:sz w:val="18"/>
                <w:szCs w:val="18"/>
                <w:color w:val="auto"/>
                <w:w w:val="88"/>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center"/>
              <w:ind w:right="16"/>
              <w:spacing w:after="0"/>
              <w:rPr>
                <w:sz w:val="20"/>
                <w:szCs w:val="20"/>
                <w:color w:val="auto"/>
              </w:rPr>
            </w:pPr>
            <w:r>
              <w:rPr>
                <w:rFonts w:ascii="Times New Roman" w:cs="Times New Roman" w:eastAsia="Times New Roman" w:hAnsi="Times New Roman"/>
                <w:sz w:val="18"/>
                <w:szCs w:val="18"/>
                <w:color w:val="auto"/>
                <w:w w:val="88"/>
              </w:rPr>
              <w:t>2</w:t>
            </w:r>
          </w:p>
        </w:tc>
        <w:tc>
          <w:tcPr>
            <w:tcW w:w="1020" w:type="dxa"/>
            <w:vAlign w:val="bottom"/>
            <w:gridSpan w:val="4"/>
          </w:tcPr>
          <w:p>
            <w:pPr>
              <w:jc w:val="center"/>
              <w:ind w:left="3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Divestitures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right="36"/>
              <w:spacing w:after="0"/>
              <w:rPr>
                <w:sz w:val="20"/>
                <w:szCs w:val="20"/>
                <w:color w:val="auto"/>
              </w:rPr>
            </w:pPr>
            <w:r>
              <w:rPr>
                <w:rFonts w:ascii="Times New Roman" w:cs="Times New Roman" w:eastAsia="Times New Roman" w:hAnsi="Times New Roman"/>
                <w:sz w:val="18"/>
                <w:szCs w:val="18"/>
                <w:color w:val="auto"/>
                <w:w w:val="95"/>
              </w:rPr>
              <w:t>(3)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right="16"/>
              <w:spacing w:after="0"/>
              <w:rPr>
                <w:sz w:val="20"/>
                <w:szCs w:val="20"/>
                <w:color w:val="auto"/>
              </w:rPr>
            </w:pPr>
            <w:r>
              <w:rPr>
                <w:rFonts w:ascii="Times New Roman" w:cs="Times New Roman" w:eastAsia="Times New Roman" w:hAnsi="Times New Roman"/>
                <w:sz w:val="18"/>
                <w:szCs w:val="18"/>
                <w:color w:val="auto"/>
                <w:w w:val="95"/>
              </w:rPr>
              <w:t>(1)</w:t>
            </w:r>
          </w:p>
        </w:tc>
        <w:tc>
          <w:tcPr>
            <w:tcW w:w="1020" w:type="dxa"/>
            <w:vAlign w:val="bottom"/>
            <w:gridSpan w:val="4"/>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9"/>
        </w:trPr>
        <w:tc>
          <w:tcPr>
            <w:tcW w:w="7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center"/>
              <w:ind w:right="36"/>
              <w:spacing w:after="0"/>
              <w:rPr>
                <w:sz w:val="20"/>
                <w:szCs w:val="20"/>
                <w:color w:val="auto"/>
              </w:rPr>
            </w:pPr>
            <w:r>
              <w:rPr>
                <w:rFonts w:ascii="Times New Roman" w:cs="Times New Roman" w:eastAsia="Times New Roman" w:hAnsi="Times New Roman"/>
                <w:sz w:val="18"/>
                <w:szCs w:val="18"/>
                <w:color w:val="auto"/>
                <w:w w:val="99"/>
              </w:rPr>
              <w:t>(4)%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center"/>
              <w:ind w:right="16"/>
              <w:spacing w:after="0"/>
              <w:rPr>
                <w:sz w:val="20"/>
                <w:szCs w:val="20"/>
                <w:color w:val="auto"/>
              </w:rPr>
            </w:pPr>
            <w:r>
              <w:rPr>
                <w:rFonts w:ascii="Times New Roman" w:cs="Times New Roman" w:eastAsia="Times New Roman" w:hAnsi="Times New Roman"/>
                <w:sz w:val="18"/>
                <w:szCs w:val="18"/>
                <w:color w:val="auto"/>
                <w:w w:val="99"/>
              </w:rPr>
              <w:t>(2)%</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(3)%</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17" w:lineRule="exact"/>
        <w:rPr>
          <w:sz w:val="20"/>
          <w:szCs w:val="20"/>
          <w:color w:val="auto"/>
        </w:rPr>
      </w:pPr>
    </w:p>
    <w:p>
      <w:pPr>
        <w:ind w:left="320" w:hanging="314"/>
        <w:spacing w:after="0"/>
        <w:tabs>
          <w:tab w:leader="none" w:pos="32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revenue reductions from trade promotion and consumer coupon redemption programs.</w:t>
      </w:r>
    </w:p>
    <w:p>
      <w:pPr>
        <w:spacing w:after="0" w:line="53" w:lineRule="exact"/>
        <w:rPr>
          <w:rFonts w:ascii="Times New Roman" w:cs="Times New Roman" w:eastAsia="Times New Roman" w:hAnsi="Times New Roman"/>
          <w:sz w:val="23"/>
          <w:szCs w:val="23"/>
          <w:color w:val="auto"/>
          <w:vertAlign w:val="superscript"/>
        </w:rPr>
      </w:pPr>
    </w:p>
    <w:p>
      <w:pPr>
        <w:ind w:left="320" w:hanging="314"/>
        <w:spacing w:after="0" w:line="191" w:lineRule="auto"/>
        <w:tabs>
          <w:tab w:leader="none" w:pos="32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Sum of the individual amounts does not add due to rounding.</w:t>
      </w:r>
    </w:p>
    <w:p>
      <w:pPr>
        <w:spacing w:after="0" w:line="8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In Meals &amp; Beverages, sales decreased 4%. Excluding the impact from the divestiture of the noosa yoghurt business, sales decreased primarily due to declines in U.S. soup, Canada, </w:t>
      </w:r>
      <w:r>
        <w:rPr>
          <w:rFonts w:ascii="Times New Roman" w:cs="Times New Roman" w:eastAsia="Times New Roman" w:hAnsi="Times New Roman"/>
          <w:sz w:val="18"/>
          <w:szCs w:val="18"/>
          <w:i w:val="1"/>
          <w:iCs w:val="1"/>
          <w:color w:val="auto"/>
        </w:rPr>
        <w:t>SpaghettiOs, Pace</w:t>
      </w:r>
      <w:r>
        <w:rPr>
          <w:rFonts w:ascii="Times New Roman" w:cs="Times New Roman" w:eastAsia="Times New Roman" w:hAnsi="Times New Roman"/>
          <w:sz w:val="18"/>
          <w:szCs w:val="18"/>
          <w:color w:val="auto"/>
        </w:rPr>
        <w:t xml:space="preserve"> Mexican sauces and </w:t>
      </w:r>
      <w:r>
        <w:rPr>
          <w:rFonts w:ascii="Times New Roman" w:cs="Times New Roman" w:eastAsia="Times New Roman" w:hAnsi="Times New Roman"/>
          <w:sz w:val="18"/>
          <w:szCs w:val="18"/>
          <w:i w:val="1"/>
          <w:iCs w:val="1"/>
          <w:color w:val="auto"/>
        </w:rPr>
        <w:t>V8</w:t>
      </w:r>
      <w:r>
        <w:rPr>
          <w:rFonts w:ascii="Times New Roman" w:cs="Times New Roman" w:eastAsia="Times New Roman" w:hAnsi="Times New Roman"/>
          <w:sz w:val="18"/>
          <w:szCs w:val="18"/>
          <w:color w:val="auto"/>
        </w:rPr>
        <w:t xml:space="preserve"> beverages, partially offset by gains in </w:t>
      </w:r>
      <w:r>
        <w:rPr>
          <w:rFonts w:ascii="Times New Roman" w:cs="Times New Roman" w:eastAsia="Times New Roman" w:hAnsi="Times New Roman"/>
          <w:sz w:val="18"/>
          <w:szCs w:val="18"/>
          <w:i w:val="1"/>
          <w:iCs w:val="1"/>
          <w:color w:val="auto"/>
        </w:rPr>
        <w:t>Rao's</w:t>
      </w:r>
      <w:r>
        <w:rPr>
          <w:rFonts w:ascii="Times New Roman" w:cs="Times New Roman" w:eastAsia="Times New Roman" w:hAnsi="Times New Roman"/>
          <w:sz w:val="18"/>
          <w:szCs w:val="18"/>
          <w:color w:val="auto"/>
        </w:rPr>
        <w:t>. Unfavorable volume/mix was partially offset by favorable net price realization. Sales of U.S. soup decreased 2% primarily due to decreases in ready-to-serve soups and condensed soups, partially offset by increases in broth.</w:t>
      </w:r>
    </w:p>
    <w:p>
      <w:pPr>
        <w:spacing w:after="0" w:line="6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 xml:space="preserve">In Snacks, sales decreased 2%. Excluding the impact from the divestiture of the Pop Secret popcorn business, sales decreased primarily due to declines in third-party partner brands and contract manufacturing, </w:t>
      </w:r>
      <w:r>
        <w:rPr>
          <w:rFonts w:ascii="Times New Roman" w:cs="Times New Roman" w:eastAsia="Times New Roman" w:hAnsi="Times New Roman"/>
          <w:sz w:val="18"/>
          <w:szCs w:val="18"/>
          <w:i w:val="1"/>
          <w:iCs w:val="1"/>
          <w:color w:val="auto"/>
        </w:rPr>
        <w:t>Snyder's of Hanover</w:t>
      </w:r>
      <w:r>
        <w:rPr>
          <w:rFonts w:ascii="Times New Roman" w:cs="Times New Roman" w:eastAsia="Times New Roman" w:hAnsi="Times New Roman"/>
          <w:sz w:val="18"/>
          <w:szCs w:val="18"/>
          <w:color w:val="auto"/>
        </w:rPr>
        <w:t xml:space="preserve"> pretzels,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7" w:name="page28"/>
    <w:bookmarkEnd w:id="27"/>
    <w:p>
      <w:pPr>
        <w:spacing w:after="0" w:line="276" w:lineRule="auto"/>
        <w:rPr>
          <w:sz w:val="20"/>
          <w:szCs w:val="20"/>
          <w:color w:val="auto"/>
        </w:rPr>
      </w:pPr>
      <w:r>
        <w:rPr>
          <w:rFonts w:ascii="Times New Roman" w:cs="Times New Roman" w:eastAsia="Times New Roman" w:hAnsi="Times New Roman"/>
          <w:sz w:val="18"/>
          <w:szCs w:val="18"/>
          <w:color w:val="auto"/>
        </w:rPr>
        <w:t xml:space="preserve">fresh bakery, </w:t>
      </w:r>
      <w:r>
        <w:rPr>
          <w:rFonts w:ascii="Times New Roman" w:cs="Times New Roman" w:eastAsia="Times New Roman" w:hAnsi="Times New Roman"/>
          <w:sz w:val="18"/>
          <w:szCs w:val="18"/>
          <w:i w:val="1"/>
          <w:iCs w:val="1"/>
          <w:color w:val="auto"/>
        </w:rPr>
        <w:t>Goldfish</w:t>
      </w:r>
      <w:r>
        <w:rPr>
          <w:rFonts w:ascii="Times New Roman" w:cs="Times New Roman" w:eastAsia="Times New Roman" w:hAnsi="Times New Roman"/>
          <w:sz w:val="18"/>
          <w:szCs w:val="18"/>
          <w:color w:val="auto"/>
        </w:rPr>
        <w:t xml:space="preserve"> crackers and </w:t>
      </w:r>
      <w:r>
        <w:rPr>
          <w:rFonts w:ascii="Times New Roman" w:cs="Times New Roman" w:eastAsia="Times New Roman" w:hAnsi="Times New Roman"/>
          <w:sz w:val="18"/>
          <w:szCs w:val="18"/>
          <w:i w:val="1"/>
          <w:iCs w:val="1"/>
          <w:color w:val="auto"/>
        </w:rPr>
        <w:t>Cape Cod</w:t>
      </w:r>
      <w:r>
        <w:rPr>
          <w:rFonts w:ascii="Times New Roman" w:cs="Times New Roman" w:eastAsia="Times New Roman" w:hAnsi="Times New Roman"/>
          <w:sz w:val="18"/>
          <w:szCs w:val="18"/>
          <w:color w:val="auto"/>
        </w:rPr>
        <w:t xml:space="preserve"> potato chips, partially offset by gains in Pepperidge Farm cookies. Sales were impacted by volume/mix declines, partially offset by favorable net price realization.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02"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Gross profit, defined as Net sales less Cost of products sold, decreased by $75 million in 2026 from 2025. As a percent of sales, gross profit declined to 29.6% in 2026 from 31.3% in 2025, due in part to the negative impact of tariffs.</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170 basis-point decrease in gross profit margin was due to the following factors: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60" w:type="dxa"/>
            <w:vAlign w:val="bottom"/>
          </w:tcPr>
          <w:p>
            <w:pPr>
              <w:spacing w:after="0"/>
              <w:rPr>
                <w:sz w:val="16"/>
                <w:szCs w:val="16"/>
                <w:color w:val="auto"/>
              </w:rPr>
            </w:pPr>
          </w:p>
        </w:tc>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Margin Impact</w:t>
            </w:r>
          </w:p>
        </w:tc>
      </w:tr>
      <w:tr>
        <w:trPr>
          <w:trHeight w:val="24"/>
        </w:trPr>
        <w:tc>
          <w:tcPr>
            <w:tcW w:w="99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9"/>
        </w:trPr>
        <w:tc>
          <w:tcPr>
            <w:tcW w:w="99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Cost inflation, supply chain costs and other factors</w:t>
            </w:r>
            <w:r>
              <w:rPr>
                <w:rFonts w:ascii="Times New Roman" w:cs="Times New Roman" w:eastAsia="Times New Roman" w:hAnsi="Times New Roman"/>
                <w:sz w:val="22"/>
                <w:szCs w:val="22"/>
                <w:color w:val="auto"/>
                <w:vertAlign w:val="superscript"/>
              </w:rPr>
              <w:t>(1)</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(520)</w:t>
            </w:r>
          </w:p>
        </w:tc>
      </w:tr>
      <w:tr>
        <w:trPr>
          <w:trHeight w:val="225"/>
        </w:trPr>
        <w:tc>
          <w:tcPr>
            <w:tcW w:w="996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Volume/mix</w:t>
            </w:r>
            <w:r>
              <w:rPr>
                <w:rFonts w:ascii="Times New Roman" w:cs="Times New Roman" w:eastAsia="Times New Roman" w:hAnsi="Times New Roman"/>
                <w:sz w:val="22"/>
                <w:szCs w:val="22"/>
                <w:color w:val="auto"/>
                <w:vertAlign w:val="superscript"/>
              </w:rPr>
              <w:t>(2)</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r>
      <w:tr>
        <w:trPr>
          <w:trHeight w:val="225"/>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Productivity improvements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270</w:t>
            </w:r>
          </w:p>
        </w:tc>
      </w:tr>
      <w:tr>
        <w:trPr>
          <w:trHeight w:val="225"/>
        </w:trPr>
        <w:tc>
          <w:tcPr>
            <w:tcW w:w="9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price realization</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90</w:t>
            </w:r>
          </w:p>
        </w:tc>
      </w:tr>
      <w:tr>
        <w:trPr>
          <w:trHeight w:val="243"/>
        </w:trPr>
        <w:tc>
          <w:tcPr>
            <w:tcW w:w="99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(170)</w:t>
            </w:r>
          </w:p>
        </w:tc>
      </w:tr>
      <w:tr>
        <w:trPr>
          <w:trHeight w:val="20"/>
        </w:trPr>
        <w:tc>
          <w:tcPr>
            <w:tcW w:w="99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63" w:lineRule="exact"/>
        <w:rPr>
          <w:sz w:val="20"/>
          <w:szCs w:val="20"/>
          <w:color w:val="auto"/>
        </w:rPr>
      </w:pPr>
    </w:p>
    <w:p>
      <w:pPr>
        <w:jc w:val="both"/>
        <w:ind w:left="320" w:hanging="314"/>
        <w:spacing w:after="0" w:line="231" w:lineRule="auto"/>
        <w:tabs>
          <w:tab w:leader="none" w:pos="308"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an estimated negative margin impact of 200 basis points from the gross impact of tariffs, a negative margin impact of 20 basis points from the change in unrealized mark-to-market adjustments on outstanding undesignated commodity hedges, partially offset by a positive margin impact of 20 basis points from the benefit of cost savings initiatives.</w:t>
      </w:r>
    </w:p>
    <w:p>
      <w:pPr>
        <w:spacing w:after="0" w:line="2" w:lineRule="exact"/>
        <w:rPr>
          <w:rFonts w:ascii="Times New Roman" w:cs="Times New Roman" w:eastAsia="Times New Roman" w:hAnsi="Times New Roman"/>
          <w:sz w:val="23"/>
          <w:szCs w:val="23"/>
          <w:color w:val="auto"/>
          <w:vertAlign w:val="superscript"/>
        </w:rPr>
      </w:pPr>
    </w:p>
    <w:p>
      <w:pPr>
        <w:ind w:left="320" w:hanging="314"/>
        <w:spacing w:after="0"/>
        <w:tabs>
          <w:tab w:leader="none" w:pos="32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the impact of operating leverage.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Selling Expenses</w:t>
      </w:r>
    </w:p>
    <w:p>
      <w:pPr>
        <w:spacing w:after="0" w:line="9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Marketing and selling expenses as a percent of sales were 9.5% in 2026 compared to 9.0% in 2025. Marketing and selling expenses increased 1% in 2026 from 2025. The increase was primarily due to higher costs associated with costs savings and optimization initiatives (approximately 3 points) and higher marketing expenses (approximately 2 points), partially offset by lower selling expenses (approximately 2 points); increased benefits from cost savings initiatives (approximately 1 point) and lower incentive compensation (approximately 1 point).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Expenses</w:t>
      </w:r>
    </w:p>
    <w:p>
      <w:pPr>
        <w:spacing w:after="0" w:line="8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Administrative expenses as a percent of sales were 6.2% in 2026 compared to 6.3% in 2025. Administrative expenses decreased 5% in 2026 from 2025. The decrease was primarily due to increased benefits from cost savings initiatives (approximately 3 points); lower incentive compensation (approximately 3 points); lower benefit-related costs (approximately 2 points) and lower costs associated with cost savings initiatives (approximately 2 points), partially offset by higher certain litigation expenses (approximately 5 points).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 (Income)</w:t>
      </w:r>
    </w:p>
    <w:p>
      <w:pPr>
        <w:spacing w:after="0" w:line="10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Other expenses were $9 million in 2026 compared to $43 million in 2025. Other expenses in 2026 included costs associated with a pending acquisition of $2 million. Other expenses in 2025 included a loss of $25 million on the sale of the Pop Secret popcorn business, accelerated amortization expense of $7 million and a postretirement actuarial loss of $2 million.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Earnings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Segment operating earnings decreased 12% in 2026 from 2025.</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analysis of operating earnings by segment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7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2, 2025</w:t>
            </w:r>
          </w:p>
        </w:tc>
        <w:tc>
          <w:tcPr>
            <w:tcW w:w="120" w:type="dxa"/>
            <w:vAlign w:val="bottom"/>
          </w:tcPr>
          <w:p>
            <w:pPr>
              <w:spacing w:after="0"/>
              <w:rPr>
                <w:sz w:val="16"/>
                <w:szCs w:val="16"/>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297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(13)</w:t>
            </w:r>
          </w:p>
        </w:tc>
        <w:tc>
          <w:tcPr>
            <w:tcW w:w="0" w:type="dxa"/>
            <w:vAlign w:val="bottom"/>
          </w:tcPr>
          <w:p>
            <w:pPr>
              <w:spacing w:after="0"/>
              <w:rPr>
                <w:sz w:val="1"/>
                <w:szCs w:val="1"/>
                <w:color w:val="auto"/>
              </w:rPr>
            </w:pPr>
          </w:p>
        </w:tc>
      </w:tr>
      <w:tr>
        <w:trPr>
          <w:trHeight w:val="225"/>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123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136</w:t>
            </w:r>
          </w:p>
        </w:tc>
        <w:tc>
          <w:tcPr>
            <w:tcW w:w="1040" w:type="dxa"/>
            <w:vAlign w:val="bottom"/>
            <w:tcBorders>
              <w:bottom w:val="single" w:sz="8" w:color="CCEEFF"/>
            </w:tcBorders>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3"/>
              </w:rPr>
              <w:t>(10)</w:t>
            </w:r>
          </w:p>
        </w:tc>
        <w:tc>
          <w:tcPr>
            <w:tcW w:w="0" w:type="dxa"/>
            <w:vAlign w:val="bottom"/>
          </w:tcPr>
          <w:p>
            <w:pPr>
              <w:spacing w:after="0"/>
              <w:rPr>
                <w:sz w:val="1"/>
                <w:szCs w:val="1"/>
                <w:color w:val="auto"/>
              </w:rPr>
            </w:pPr>
          </w:p>
        </w:tc>
      </w:tr>
      <w:tr>
        <w:trPr>
          <w:trHeight w:val="218"/>
        </w:trPr>
        <w:tc>
          <w:tcPr>
            <w:tcW w:w="7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420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479</w:t>
            </w:r>
          </w:p>
        </w:tc>
        <w:tc>
          <w:tcPr>
            <w:tcW w:w="10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3"/>
              </w:rPr>
              <w:t>(12)</w:t>
            </w:r>
          </w:p>
        </w:tc>
        <w:tc>
          <w:tcPr>
            <w:tcW w:w="0" w:type="dxa"/>
            <w:vAlign w:val="bottom"/>
          </w:tcPr>
          <w:p>
            <w:pPr>
              <w:spacing w:after="0"/>
              <w:rPr>
                <w:sz w:val="1"/>
                <w:szCs w:val="1"/>
                <w:color w:val="auto"/>
              </w:rPr>
            </w:pPr>
          </w:p>
        </w:tc>
      </w:tr>
      <w:tr>
        <w:trPr>
          <w:trHeight w:val="225"/>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income (expense)</w:t>
            </w:r>
          </w:p>
        </w:tc>
        <w:tc>
          <w:tcPr>
            <w:tcW w:w="100" w:type="dxa"/>
            <w:vAlign w:val="bottom"/>
          </w:tcPr>
          <w:p>
            <w:pPr>
              <w:spacing w:after="0"/>
              <w:rPr>
                <w:sz w:val="19"/>
                <w:szCs w:val="19"/>
                <w:color w:val="auto"/>
              </w:rPr>
            </w:pPr>
          </w:p>
        </w:tc>
        <w:tc>
          <w:tcPr>
            <w:tcW w:w="1220" w:type="dxa"/>
            <w:vAlign w:val="bottom"/>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48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2"/>
                <w:szCs w:val="22"/>
                <w:color w:val="auto"/>
                <w:vertAlign w:val="superscript"/>
              </w:rPr>
              <w:t>(1)</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interest and taxes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336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30" w:lineRule="exact"/>
        <w:rPr>
          <w:sz w:val="20"/>
          <w:szCs w:val="20"/>
          <w:color w:val="auto"/>
        </w:rPr>
      </w:pPr>
    </w:p>
    <w:p>
      <w:pPr>
        <w:ind w:left="320" w:hanging="314"/>
        <w:spacing w:after="0"/>
        <w:tabs>
          <w:tab w:leader="none" w:pos="32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7 to the Consolidated Financial Statements for additional information on restructuring charges.</w:t>
      </w:r>
    </w:p>
    <w:p>
      <w:pPr>
        <w:spacing w:after="0" w:line="67" w:lineRule="exact"/>
        <w:rPr>
          <w:sz w:val="20"/>
          <w:szCs w:val="20"/>
          <w:color w:val="auto"/>
        </w:rPr>
      </w:pPr>
    </w:p>
    <w:p>
      <w:pPr>
        <w:ind w:firstLine="318"/>
        <w:spacing w:after="0" w:line="266" w:lineRule="auto"/>
        <w:rPr>
          <w:sz w:val="20"/>
          <w:szCs w:val="20"/>
          <w:color w:val="auto"/>
        </w:rPr>
      </w:pPr>
      <w:r>
        <w:rPr>
          <w:rFonts w:ascii="Times New Roman" w:cs="Times New Roman" w:eastAsia="Times New Roman" w:hAnsi="Times New Roman"/>
          <w:sz w:val="18"/>
          <w:szCs w:val="18"/>
          <w:color w:val="auto"/>
        </w:rPr>
        <w:t>Operating earnings from Meals &amp; Beverages decreased 13%. The decrease was primarily due to lower gross profit and the impact of the divestiture. Gross profit margin decreased primarily due to the gross impact of tariffs, cost inflation and other</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supply chain costs and unfavorable volume/mix, partially offset by supply chain productivity improvements and favorable net price realization.</w:t>
      </w:r>
    </w:p>
    <w:p>
      <w:pPr>
        <w:spacing w:after="0" w:line="8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Operating earnings from Snacks decreased 10%. The decrease was primarily due to lower gross profit. Gross profit margin decreased primarily due to cost inflation and other supply chain costs, the gross impact of tariffs and unfavorable volume/mix, partially offset by supply chain productivity improvements, favorable net price realization and benefits from cost savings initiatives.</w:t>
      </w:r>
    </w:p>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Corporate expense in 2026 included the following:</w:t>
      </w:r>
    </w:p>
    <w:p>
      <w:pPr>
        <w:spacing w:after="0" w:line="98" w:lineRule="exact"/>
        <w:rPr>
          <w:sz w:val="20"/>
          <w:szCs w:val="20"/>
          <w:color w:val="auto"/>
        </w:rPr>
      </w:pPr>
    </w:p>
    <w:p>
      <w:pPr>
        <w:ind w:left="640" w:hanging="157"/>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$31 million related to costs savings and optimization initiatives;</w:t>
      </w:r>
    </w:p>
    <w:p>
      <w:pPr>
        <w:spacing w:after="0" w:line="84"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of certain litigation expenses, including expenses related to Plum;</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million of unrealized mark-to-market losses on outstanding undesignated commodity hedges;</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million of costs associated with a pending acquisition; and</w:t>
      </w:r>
    </w:p>
    <w:p>
      <w:pPr>
        <w:spacing w:after="0" w:line="84"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million of insurance recoveries related to a cybersecurity incident.</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Corporate expense in 2025 included the following:</w:t>
      </w:r>
    </w:p>
    <w:p>
      <w:pPr>
        <w:spacing w:after="0" w:line="98" w:lineRule="exact"/>
        <w:rPr>
          <w:sz w:val="20"/>
          <w:szCs w:val="20"/>
          <w:color w:val="auto"/>
        </w:rPr>
      </w:pPr>
    </w:p>
    <w:p>
      <w:pPr>
        <w:ind w:left="640" w:hanging="157"/>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$29 million related to cost savings and optimization initiatives;</w:t>
      </w:r>
    </w:p>
    <w:p>
      <w:pPr>
        <w:spacing w:after="0" w:line="84"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loss on the sale of the Pop Secret popcorn business;</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million of accelerated amortization expense;</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million postretirement actuarial loss;</w:t>
      </w:r>
    </w:p>
    <w:p>
      <w:pPr>
        <w:spacing w:after="0" w:line="84"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million of certain litigation expenses, including expenses related to Plum;</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million of unrealized mark-to-market gains on outstanding undesignated commodity hedges; and</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million of insurance recoveries related to a cybersecurity incident.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Interest expense of $81 million in 2026 decreased from $87 million in 2025 primarily due to lower levels of debt.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 on Earnings</w:t>
      </w:r>
    </w:p>
    <w:p>
      <w:pPr>
        <w:spacing w:after="0" w:line="10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effective tax rate was 24.2% in 2026 and 23.2% in 2025. The increase in the effective tax rate was primarily due to excess tax benefits in the prior year and shortfalls in the current year associated with the vesting of stock-based compensation awards, partially offset by the favorable resolution of certain state tax matters in the current year.</w:t>
      </w:r>
    </w:p>
    <w:p>
      <w:pPr>
        <w:spacing w:after="0" w:line="55" w:lineRule="exact"/>
        <w:rPr>
          <w:sz w:val="20"/>
          <w:szCs w:val="20"/>
          <w:color w:val="auto"/>
        </w:rPr>
      </w:pPr>
    </w:p>
    <w:p>
      <w:pPr>
        <w:ind w:right="5240"/>
        <w:spacing w:after="0" w:line="3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Restructuring Charges, Cost Savings Initiatives and Other Optimization Initiatives </w:t>
      </w:r>
      <w:r>
        <w:rPr>
          <w:rFonts w:ascii="Times New Roman" w:cs="Times New Roman" w:eastAsia="Times New Roman" w:hAnsi="Times New Roman"/>
          <w:sz w:val="18"/>
          <w:szCs w:val="18"/>
          <w:i w:val="1"/>
          <w:iCs w:val="1"/>
          <w:color w:val="auto"/>
        </w:rPr>
        <w:t>2025 Cost Savings Initiatives</w:t>
      </w:r>
    </w:p>
    <w:p>
      <w:pPr>
        <w:spacing w:after="0" w:line="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September 10, 2024, we announced plans to implement cost savings initiatives beginning in 2025, including initiatives to further optimize our supply chain and manufacturing network, optimization of our information technology infrastructure and targeted cost management. We also identified additional opportunities for cost synergies as we integrated Sovos Brands, Inc. (Sovos Brands). As of July 28, 2024, we substantially completed our previous multi-year cost savings initiatives and Snyder's-Lance, Inc. cost transformation program and integration and had identified initial opportunities for cost synergies as we integrated Sovos Brands. Certain initiatives from those programs have been incorporated into our 2025 cost savings initiatives. Cost estimates for the 2025 initiatives, as well as timing for certain activities, are continuing to be developed.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9" w:name="page30"/>
    <w:bookmarkEnd w:id="29"/>
    <w:p>
      <w:pPr>
        <w:ind w:left="320"/>
        <w:spacing w:after="0"/>
        <w:rPr>
          <w:sz w:val="20"/>
          <w:szCs w:val="20"/>
          <w:color w:val="auto"/>
        </w:rPr>
      </w:pPr>
      <w:r>
        <w:rPr>
          <w:rFonts w:ascii="Times New Roman" w:cs="Times New Roman" w:eastAsia="Times New Roman" w:hAnsi="Times New Roman"/>
          <w:sz w:val="18"/>
          <w:szCs w:val="18"/>
          <w:color w:val="auto"/>
        </w:rPr>
        <w:t>A summary of the pre-tax charges recorded in the Consolidated Statements of Earnings related to these initiatives is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20" w:type="dxa"/>
            <w:vAlign w:val="bottom"/>
            <w:gridSpan w:val="4"/>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vMerge w:val="restart"/>
          </w:tcPr>
          <w:p>
            <w:pPr>
              <w:jc w:val="right"/>
              <w:ind w:right="157"/>
              <w:spacing w:after="0" w:line="159" w:lineRule="exact"/>
              <w:rPr>
                <w:sz w:val="20"/>
                <w:szCs w:val="20"/>
                <w:color w:val="auto"/>
              </w:rPr>
            </w:pPr>
            <w:r>
              <w:rPr>
                <w:rFonts w:ascii="Times New Roman" w:cs="Times New Roman" w:eastAsia="Times New Roman" w:hAnsi="Times New Roman"/>
                <w:sz w:val="14"/>
                <w:szCs w:val="14"/>
                <w:b w:val="1"/>
                <w:bCs w:val="1"/>
                <w:color w:val="auto"/>
              </w:rPr>
              <w:t>Recognized as of</w:t>
            </w:r>
          </w:p>
        </w:tc>
        <w:tc>
          <w:tcPr>
            <w:tcW w:w="0" w:type="dxa"/>
            <w:vAlign w:val="bottom"/>
          </w:tcPr>
          <w:p>
            <w:pPr>
              <w:spacing w:after="0"/>
              <w:rPr>
                <w:sz w:val="1"/>
                <w:szCs w:val="1"/>
                <w:color w:val="auto"/>
              </w:rPr>
            </w:pPr>
          </w:p>
        </w:tc>
      </w:tr>
      <w:tr>
        <w:trPr>
          <w:trHeight w:val="114"/>
        </w:trPr>
        <w:tc>
          <w:tcPr>
            <w:tcW w:w="6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160" w:type="dxa"/>
            <w:vAlign w:val="bottom"/>
          </w:tcPr>
          <w:p>
            <w:pPr>
              <w:spacing w:after="0"/>
              <w:rPr>
                <w:sz w:val="9"/>
                <w:szCs w:val="9"/>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2, 2025</w:t>
            </w:r>
          </w:p>
        </w:tc>
        <w:tc>
          <w:tcPr>
            <w:tcW w:w="180" w:type="dxa"/>
            <w:vAlign w:val="bottom"/>
          </w:tcPr>
          <w:p>
            <w:pPr>
              <w:spacing w:after="0"/>
              <w:rPr>
                <w:sz w:val="9"/>
                <w:szCs w:val="9"/>
                <w:color w:val="auto"/>
              </w:rPr>
            </w:pPr>
          </w:p>
        </w:tc>
        <w:tc>
          <w:tcPr>
            <w:tcW w:w="130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November 2, 2025</w:t>
            </w:r>
          </w:p>
        </w:tc>
        <w:tc>
          <w:tcPr>
            <w:tcW w:w="0" w:type="dxa"/>
            <w:vAlign w:val="bottom"/>
          </w:tcPr>
          <w:p>
            <w:pPr>
              <w:spacing w:after="0"/>
              <w:rPr>
                <w:sz w:val="1"/>
                <w:szCs w:val="1"/>
                <w:color w:val="auto"/>
              </w:rPr>
            </w:pPr>
          </w:p>
        </w:tc>
      </w:tr>
      <w:tr>
        <w:trPr>
          <w:trHeight w:val="224"/>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5"/>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5"/>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5"/>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and selling expenses</w:t>
            </w:r>
          </w:p>
        </w:tc>
        <w:tc>
          <w:tcPr>
            <w:tcW w:w="16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5"/>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8"/>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pre-tax charges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5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after-tax impact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impact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A summary of the pre-tax costs associated with the initiatives is as follows: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5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right"/>
              <w:ind w:right="197"/>
              <w:spacing w:after="0" w:line="158" w:lineRule="exact"/>
              <w:rPr>
                <w:sz w:val="20"/>
                <w:szCs w:val="20"/>
                <w:color w:val="auto"/>
              </w:rPr>
            </w:pPr>
            <w:r>
              <w:rPr>
                <w:rFonts w:ascii="Times New Roman" w:cs="Times New Roman" w:eastAsia="Times New Roman" w:hAnsi="Times New Roman"/>
                <w:sz w:val="14"/>
                <w:szCs w:val="14"/>
                <w:b w:val="1"/>
                <w:bCs w:val="1"/>
                <w:color w:val="auto"/>
              </w:rPr>
              <w:t>Recognized as of</w:t>
            </w:r>
          </w:p>
        </w:tc>
        <w:tc>
          <w:tcPr>
            <w:tcW w:w="0" w:type="dxa"/>
            <w:vAlign w:val="bottom"/>
          </w:tcPr>
          <w:p>
            <w:pPr>
              <w:spacing w:after="0"/>
              <w:rPr>
                <w:sz w:val="1"/>
                <w:szCs w:val="1"/>
                <w:color w:val="auto"/>
              </w:rPr>
            </w:pPr>
          </w:p>
        </w:tc>
      </w:tr>
      <w:tr>
        <w:trPr>
          <w:trHeight w:val="192"/>
        </w:trPr>
        <w:tc>
          <w:tcPr>
            <w:tcW w:w="656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November 2, 2025</w:t>
            </w:r>
          </w:p>
        </w:tc>
        <w:tc>
          <w:tcPr>
            <w:tcW w:w="0" w:type="dxa"/>
            <w:vAlign w:val="bottom"/>
          </w:tcPr>
          <w:p>
            <w:pPr>
              <w:spacing w:after="0"/>
              <w:rPr>
                <w:sz w:val="1"/>
                <w:szCs w:val="1"/>
                <w:color w:val="auto"/>
              </w:rPr>
            </w:pPr>
          </w:p>
        </w:tc>
      </w:tr>
      <w:tr>
        <w:trPr>
          <w:trHeight w:val="225"/>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pay and benefits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5"/>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impairment/accelerated depreciation</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5"/>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Implementation costs and other related costs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8"/>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total estimated pre-tax costs for actions that have been identified to date are approximately $230 million, and we expect to incur substantially all of the costs through 2028. These estimates will be updated as the detailed plans are developed.</w:t>
      </w:r>
    </w:p>
    <w:p>
      <w:pPr>
        <w:spacing w:after="0" w:line="4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expect the costs for the actions that have been identified to date to consist of the following: approximately $35 million in severance pay and benefits; approximately $50 million in asset impairment and accelerated depreciation; and approximately $145 million in implementation costs and other related costs. We expect these pre-tax costs to be associated with our segments as follows: Meals &amp; Beverages - approximately 61%; Snacks - approximately 19% and Corporate - approximately 20%.</w:t>
      </w:r>
    </w:p>
    <w:p>
      <w:pPr>
        <w:spacing w:after="0" w:line="4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Of the aggregate $230 million of pre-tax costs identified to date, we expect approximately $175 million will be cash expenditures. In addition, we expect to invest approximately $205 million in capital expenditures, of which we invested $164 million as of November 2, 2025. The capital expenditures primarily relate to optimization of production within our manufacturing network, optimization of information technology infrastructure and applications and implementation of our existing SAP enterprise-resource planning system for Sovos Brands.</w:t>
      </w:r>
    </w:p>
    <w:p>
      <w:pPr>
        <w:spacing w:after="0" w:line="6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expect the initiatives, once all phases are implemented, to generate annual ongoing savings of approximately $375 million by the end of 2028. As of November 2, 2025, we have generated total program-to-date pre-tax savings of $160 million.</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Segment operating results do not include restructuring charges, implementation costs and other related costs because we evaluate segment performance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excluding</w:t>
            </w: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such</w:t>
            </w:r>
          </w:p>
        </w:tc>
        <w:tc>
          <w:tcPr>
            <w:tcW w:w="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charges.</w:t>
            </w:r>
          </w:p>
        </w:tc>
        <w:tc>
          <w:tcPr>
            <w:tcW w:w="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summary</w:t>
            </w:r>
          </w:p>
        </w:tc>
        <w:tc>
          <w:tcPr>
            <w:tcW w:w="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w:t>
            </w: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pre-tax</w:t>
            </w: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w:t>
            </w:r>
          </w:p>
        </w:tc>
        <w:tc>
          <w:tcPr>
            <w:tcW w:w="1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associated</w:t>
            </w:r>
          </w:p>
        </w:tc>
        <w:tc>
          <w:tcPr>
            <w:tcW w:w="68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with</w:t>
            </w:r>
          </w:p>
        </w:tc>
        <w:tc>
          <w:tcPr>
            <w:tcW w:w="116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segments</w:t>
            </w:r>
          </w:p>
        </w:tc>
        <w:tc>
          <w:tcPr>
            <w:tcW w:w="2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is</w:t>
            </w:r>
          </w:p>
        </w:tc>
        <w:tc>
          <w:tcPr>
            <w:tcW w:w="4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3"/>
              </w:rPr>
              <w:t>as</w:t>
            </w:r>
          </w:p>
        </w:tc>
        <w:tc>
          <w:tcPr>
            <w:tcW w:w="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4"/>
              </w:rPr>
              <w:t>follows:</w:t>
            </w: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November 2, 2025</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6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00" w:type="dxa"/>
            <w:vAlign w:val="bottom"/>
            <w:tcBorders>
              <w:top w:val="single" w:sz="8" w:color="auto"/>
            </w:tcBorders>
            <w:gridSpan w:val="2"/>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75"/>
              <w:spacing w:after="0" w:line="126" w:lineRule="exact"/>
              <w:rPr>
                <w:sz w:val="20"/>
                <w:szCs w:val="20"/>
                <w:color w:val="auto"/>
              </w:rPr>
            </w:pPr>
            <w:r>
              <w:rPr>
                <w:rFonts w:ascii="Times New Roman" w:cs="Times New Roman" w:eastAsia="Times New Roman" w:hAnsi="Times New Roman"/>
                <w:sz w:val="14"/>
                <w:szCs w:val="14"/>
                <w:b w:val="1"/>
                <w:bCs w:val="1"/>
                <w:color w:val="auto"/>
              </w:rPr>
              <w:t>Costs Incurred to</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90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25"/>
        </w:trPr>
        <w:tc>
          <w:tcPr>
            <w:tcW w:w="15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94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6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Optimization Initiatives</w:t>
      </w:r>
    </w:p>
    <w:p>
      <w:pPr>
        <w:spacing w:after="0" w:line="10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In the second quarter of 2024, we began implementation of an initiative to improve the effectiveness of our Snacks direct-store-delivery route-to-market network. Pursuant to this initiative we will purchase certain Pepperidge Farm and Snyder's-Lance routes where there are opportunities to unlock greater scale in select markets, combine them and sell the combined routes to independent contractor distributors. We expect to execute this program in a staggered rollout and to incur expenses of up to approximately $115 million through 2029. In the three-month period ended November 2, 2025, we incurred $16 million in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0" w:name="page31"/>
    <w:bookmarkEnd w:id="30"/>
    <w:p>
      <w:pPr>
        <w:jc w:val="both"/>
        <w:spacing w:after="0" w:line="259" w:lineRule="auto"/>
        <w:rPr>
          <w:sz w:val="20"/>
          <w:szCs w:val="20"/>
          <w:color w:val="auto"/>
        </w:rPr>
      </w:pPr>
      <w:r>
        <w:rPr>
          <w:rFonts w:ascii="Times New Roman" w:cs="Times New Roman" w:eastAsia="Times New Roman" w:hAnsi="Times New Roman"/>
          <w:sz w:val="18"/>
          <w:szCs w:val="18"/>
          <w:color w:val="auto"/>
        </w:rPr>
        <w:t>Marketing and selling expenses related to this initiative. In the three-month period ended October 27, 2024, we incurred $8 million in Marketing and selling expenses related to this initiative. As of November 2, 2025, we have incurred $41 million in Marketing and selling expenses and $1 million in Administrative expenses related to this initiative.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expect foreseeable liquidity and capital resource requirements to be met through anticipated cash flows from operations; long-term borrowings; short-term borrowings, which may include commercial paper; credit facilities; and cash and cash equivalents. We believe that our sources of financing will be adequate to meet our future requirements.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8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generated cash flows from operations of $224 million in 2026, compared to $225 million in 2025. The decline in 2026 was primarily due to lower cash earnings mostly offset by changes in working capital.</w:t>
      </w:r>
    </w:p>
    <w:p>
      <w:pPr>
        <w:spacing w:after="0" w:line="31" w:lineRule="exact"/>
        <w:rPr>
          <w:sz w:val="20"/>
          <w:szCs w:val="20"/>
          <w:color w:val="auto"/>
        </w:rPr>
      </w:pPr>
    </w:p>
    <w:p>
      <w:pPr>
        <w:jc w:val="both"/>
        <w:ind w:firstLine="318"/>
        <w:spacing w:after="0" w:line="238" w:lineRule="auto"/>
        <w:rPr>
          <w:sz w:val="20"/>
          <w:szCs w:val="20"/>
          <w:color w:val="auto"/>
        </w:rPr>
      </w:pPr>
      <w:r>
        <w:rPr>
          <w:rFonts w:ascii="Times New Roman" w:cs="Times New Roman" w:eastAsia="Times New Roman" w:hAnsi="Times New Roman"/>
          <w:sz w:val="18"/>
          <w:szCs w:val="18"/>
          <w:color w:val="auto"/>
        </w:rPr>
        <w:t>We had negative working capital of $567 million as of November 2, 2025, and $674 million as of August 3, 2025. Current assets were less than current liabilities, which included debt maturing in one year, due to a focus on lowering core working capital requirements. Total debt maturing within one year was $874 million as of November 2, 2025, and $762 million as of August 3, 2025. We have $400 million aggregate principal amount of senior notes maturing in March 2026 that we expect to repay and/or refinance using available resources, which may include cash on hand, accessing the capital markets, commercial paper and/or revolving credit facility.</w:t>
      </w:r>
    </w:p>
    <w:p>
      <w:pPr>
        <w:spacing w:after="0" w:line="60"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As part of our focus to lower core working capital requirements, we have worked with our suppliers to optimize our terms and conditions, including the extension of payment terms. Our current payment terms with our suppliers, which we deem to be commercially reasonable, generally range from 0 to 120 days. We also maintain agreements with third-party administrators that allow participating suppliers to track payment obligations from us, and, at the sole discretion of the supplier, sell those payment obligations to participating financial institutions. Our obligations to our suppliers, including amounts due and scheduled payment terms, are not impacted. Supplier participation in these agreements is voluntary. We have no economic interest in a supplier’s decision to enter into these agreements and no direct financial relationship with the financial institutions regarding these transactions. We have not pledged assets as security or provided any guarantees in connection with these arrangements. The payment of these obligations is included in cash provided by operating activities in the Consolidated Statements of Cash Flows. Our outstanding obligations confirmed as valid under these programs, which are included in Accounts payable on the Consolidated Balance Sheets, were approximately $264 million at November 2, 2025 and $240 million at August 3, 2025.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89" w:lineRule="exact"/>
        <w:rPr>
          <w:sz w:val="20"/>
          <w:szCs w:val="20"/>
          <w:color w:val="auto"/>
        </w:rPr>
      </w:pPr>
    </w:p>
    <w:p>
      <w:pPr>
        <w:jc w:val="both"/>
        <w:ind w:firstLine="318"/>
        <w:spacing w:after="0" w:line="237" w:lineRule="auto"/>
        <w:rPr>
          <w:sz w:val="20"/>
          <w:szCs w:val="20"/>
          <w:color w:val="auto"/>
        </w:rPr>
      </w:pPr>
      <w:r>
        <w:rPr>
          <w:rFonts w:ascii="Times New Roman" w:cs="Times New Roman" w:eastAsia="Times New Roman" w:hAnsi="Times New Roman"/>
          <w:sz w:val="18"/>
          <w:szCs w:val="18"/>
          <w:color w:val="auto"/>
        </w:rPr>
        <w:t>Capital expenditures were $127 million in 2026 and $110 million in 2025. Capital expenditures in 2026 included network optimization for our Meals &amp; Beverages business, information technology projects and wastewater initiatives. Capital expenditures are expected to total approximately $370 million in 2026.</w:t>
      </w:r>
    </w:p>
    <w:p>
      <w:pPr>
        <w:spacing w:after="0" w:line="7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Snacks, we have a direct-store-delivery distribution model that uses independent contractor distributors. From time to time, we purchase and sell routes, including certain routes under our optimization initiatives. The purchase and sale proceeds of the routes are reflected in investing activities.</w:t>
      </w:r>
    </w:p>
    <w:p>
      <w:pPr>
        <w:spacing w:after="0" w:line="4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August 26, 2024, we sold our Pop Secret popcorn business for $70 million. On February 24, 2025, we sold the noosa yoghurt business for $188 million, subject to certain customary purchase price adjustments, which resulted in $5 million of additional proceeds in the first quarter of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Dividend payments were $120 million in 2026 and $116 million in 2025. The regular quarterly dividend paid on our capital stock was $.39 and $.37 per share in the first quarter of 2026 and 2025, respectively. On September 17, 2025, the Board of Directors declared a regular quarterly dividend of $.39 per share payable on November 3, 2025 to shareholders of record at the close of business on October 2, 2025. On November 18, 2025, the Board of Directors declared a regular quarterly dividend of $.39 per share payable on February 2, 2026 to shareholders of record at the close of business on January 8, 2026.</w:t>
      </w:r>
    </w:p>
    <w:p>
      <w:pPr>
        <w:spacing w:after="0" w:line="4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 In September 2024, the Board authorized an anti-dilutive share repurchase program of up to $250 million (September 2024 program) to offset the impact of dilution from shares issued under our stock compensation programs. The September 2024 program has no expiration date, but it may be suspended or discontinued at any time. Repurchases under the September 2024 program may be made in open-market or privately negotiated transactions. The September 2024 program replaced an anti-dilutive share repurchase program of up to $250 million that was approved by the Board in June 2021 and has been terminated. During the three-month periods ended November 2, 2025 and October 27, 2024, we repurchased 748 thousand shares at a cost of $24 million and 1.098 million shares at a cost of $54 million, respectively, pursuant to our anti-dilutive share repurchase programs. As of November 2, 2025, approximately $174 million remained available under the September 2024 program and</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1" w:name="page32"/>
    <w:bookmarkEnd w:id="31"/>
    <w:p>
      <w:pPr>
        <w:spacing w:after="0" w:line="274" w:lineRule="auto"/>
        <w:rPr>
          <w:sz w:val="20"/>
          <w:szCs w:val="20"/>
          <w:color w:val="auto"/>
        </w:rPr>
      </w:pPr>
      <w:r>
        <w:rPr>
          <w:rFonts w:ascii="Times New Roman" w:cs="Times New Roman" w:eastAsia="Times New Roman" w:hAnsi="Times New Roman"/>
          <w:sz w:val="18"/>
          <w:szCs w:val="18"/>
          <w:color w:val="auto"/>
        </w:rPr>
        <w:t>approximately $301 million remained available under the September 2021 program. See Note 13 to the Consolidated Financial Statements and “Unregistered Sales of Equity Securities and Use of Proceeds” for additional information.</w:t>
      </w:r>
    </w:p>
    <w:p>
      <w:pPr>
        <w:spacing w:after="0" w:line="31"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In August 2023, we filed a registration statement with the Securities and Exchange Commission that registered an indeterminate amount of debt securities. Under the registration statement we may issue debt securities from time to time, depending on market conditions.</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October 2, 2024, pursuant to the registration statement, we completed the issuance of senior unsecured notes of $1.15 billion, consisting of:</w:t>
      </w:r>
    </w:p>
    <w:p>
      <w:pPr>
        <w:spacing w:after="0" w:line="98" w:lineRule="exact"/>
        <w:rPr>
          <w:sz w:val="20"/>
          <w:szCs w:val="20"/>
          <w:color w:val="auto"/>
        </w:rPr>
      </w:pPr>
    </w:p>
    <w:p>
      <w:pPr>
        <w:ind w:left="640" w:hanging="316"/>
        <w:spacing w:after="0" w:line="274"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 million aggregate principal amount of notes bearing interest at a fixed rate of 4.75% per annum, due March 23, 2035, with interest payable semi-annually on each of March 23 and September 23 commencing March 23, 2025; and</w:t>
      </w:r>
    </w:p>
    <w:p>
      <w:pPr>
        <w:spacing w:after="0" w:line="3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 million aggregate principal amount of notes bearing interest at a fixed rate of 5.25% per annum, due October 13, 2054, with interest payable semi-annually on each of April 13 and October 13 commencing April 13, 2025.</w:t>
      </w:r>
    </w:p>
    <w:p>
      <w:pPr>
        <w:spacing w:after="0" w:line="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notes contain customary covenants and events of default. If a change of control triggering event occurs, we will be required to offer to purchase the notes at a purchase price equal to 101% of the principal amount plus accrued and unpaid interest, if any, to the purchase date. In October 2024, we used a portion of the net proceeds from the issuance of the notes to repay $200 million of the $400 million outstanding under our 2022 Delayed Draw Term Loan Credit Agreement (the 2022 DDTL Credit Agreement) due November 15, 2025 and a portion of our outstanding commercial paper. In November 2024, we repaid the remaining $200 million outstanding under the 2022 DDTL Credit Agreement. In March 2025, we used a portion of the net proceeds from the issuance of the notes along with cash on hand and the issuance of commercial paper to repay a $1.15 billion aggregate principal amount of senior notes that matured in March 2025.</w:t>
      </w:r>
    </w:p>
    <w:p>
      <w:pPr>
        <w:spacing w:after="0" w:line="6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November 2, 2025, we had $874 million of short-term borrowings due within one year, of which $447 million was comprised of commercial paper borrowings. As of November 2, 2025, we issued $27 million of standby letters of credit.</w:t>
      </w:r>
    </w:p>
    <w:p>
      <w:pPr>
        <w:spacing w:after="0" w:line="3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On April 16, 2024, we entered into a Five-Year Credit Agreement for an unsecured, senior revolving credit facility (the 2024 Revolving Credit Facility Agreement) in an aggregate principal amount equal to $1.85 billion with a maturity date of April 16, 2029 or such later date as extended pursuant to the terms set forth in the 2024 Revolving Credit Facility Agreement. On August 5, 2025, we entered into an Extension Agreement to extend the maturity date of the 2024 Revolving Credit Facility Agreement by one year from April 16, 2029 to April 16, 2030. The 2024 Revolving Credit Facility Agreement remained unused at November 2, 2025, except for $1 million of standby letters of credit that we issued under it. We may increase the 2024 Revolving Credit Facility Agreement commitments up to an additional $500 million, subject to the satisfaction of certain conditions. Loans under the 2024 Revolving Credit Facility Agreement will bear interest at the rates specified in the 2024 Revolving Credit Facility Agreement, which vary based on the type of loan and certain other conditions. The 2024 Revolving Credit Facility Agreement contains customary covenants, including a financial covenant with respect to a minimum consolidated interest coverage ratio of consolidated adjusted EBITDA to consolidated interest expense of not less than 3.25:1.00, and customary events of default for credit facilities of this type. The facility supports our commercial paper program and other general corporate purposes. We expect to continue to access the commercial paper markets, bank credit lines and utilize cash flows from operations to support our short-term liquidity requirements.</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are in compliance with the covenants contained in our credit facilities and debt securities.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87" w:lineRule="exact"/>
        <w:rPr>
          <w:sz w:val="20"/>
          <w:szCs w:val="20"/>
          <w:color w:val="auto"/>
        </w:rPr>
      </w:pPr>
    </w:p>
    <w:p>
      <w:pPr>
        <w:jc w:val="both"/>
        <w:ind w:firstLine="318"/>
        <w:spacing w:after="0" w:line="219" w:lineRule="exact"/>
        <w:rPr>
          <w:sz w:val="20"/>
          <w:szCs w:val="20"/>
          <w:color w:val="auto"/>
        </w:rPr>
      </w:pPr>
      <w:r>
        <w:rPr>
          <w:rFonts w:ascii="Times New Roman" w:cs="Times New Roman" w:eastAsia="Times New Roman" w:hAnsi="Times New Roman"/>
          <w:sz w:val="18"/>
          <w:szCs w:val="18"/>
          <w:color w:val="auto"/>
        </w:rPr>
        <w:t>We prepare our consolidated financial statements in conformity with accounting principles generally accepted in the United States.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the Consolidated Financial Statements in the Annual Report on Form 10-K for the year ended August 3, 2025 (2025 Annual Report on Form 10-K). The accounting policies we used in preparing these financial statements are substantially consistent with those we applied in our 2025 Annual Report on Form 10-K. Our critical accounting estimates are described in Management’s Discussion and Analysis included in the 2025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2 to the Consolidated Financial Statements for information on recent accounting pronouncements.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0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These forward-looking statements reflect our current expectations regarding our future results of operations, economic performance, financial condition and achievements. These forward-looking statements can be identified by words such as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2" w:name="page33"/>
    <w:bookmarkEnd w:id="32"/>
    <w:p>
      <w:pPr>
        <w:jc w:val="both"/>
        <w:spacing w:after="0" w:line="255" w:lineRule="auto"/>
        <w:rPr>
          <w:sz w:val="20"/>
          <w:szCs w:val="20"/>
          <w:color w:val="auto"/>
        </w:rPr>
      </w:pPr>
      <w:r>
        <w:rPr>
          <w:rFonts w:ascii="Times New Roman" w:cs="Times New Roman" w:eastAsia="Times New Roman" w:hAnsi="Times New Roman"/>
          <w:sz w:val="18"/>
          <w:szCs w:val="18"/>
          <w:color w:val="auto"/>
        </w:rPr>
        <w:t>"anticipate," "believe," "estimate," "expect," "intend," "plan," "pursue," "strategy," "target," "will" and similar expressions. One can also identify forward-looking statements by the fact that they do not relate strictly to historical or current facts, and may reflect anticipated cost savings or implementation of our strategic plan. These statements reflect our current plans and expectations and are based on information currently available to us. They rely on several assumptions regarding future events and estimates which could be inaccurate and which are inherently subject to risks and uncertainties.</w:t>
      </w:r>
    </w:p>
    <w:p>
      <w:pPr>
        <w:spacing w:after="0" w:line="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wish to caution the reader that the following important factors and those important factors described in our other Securities and Exchange Commission filings, or in our 2025 Annual Report on Form 10-K, could affect our actual results and could cause such results to vary materially from those expressed in any forward-looking statements made by, or on behalf of, us:</w:t>
      </w:r>
    </w:p>
    <w:p>
      <w:pPr>
        <w:spacing w:after="0" w:line="45" w:lineRule="exact"/>
        <w:rPr>
          <w:sz w:val="20"/>
          <w:szCs w:val="20"/>
          <w:color w:val="auto"/>
        </w:rPr>
      </w:pPr>
    </w:p>
    <w:p>
      <w:pPr>
        <w:ind w:left="640" w:right="160" w:hanging="316"/>
        <w:spacing w:after="0" w:line="258"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or volatility in financial markets, deteriorating economic conditions and other external factors, including the impact and application of new or changes to existing governmental laws, regulations, and policies;</w:t>
      </w:r>
    </w:p>
    <w:p>
      <w:pPr>
        <w:spacing w:after="0" w:line="4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imposed and threatened tariffs by the U.S. and reciprocal tariffs by its trading partners;</w:t>
      </w:r>
    </w:p>
    <w:p>
      <w:pPr>
        <w:spacing w:after="0" w:line="97" w:lineRule="exact"/>
        <w:rPr>
          <w:rFonts w:ascii="Times New Roman" w:cs="Times New Roman" w:eastAsia="Times New Roman" w:hAnsi="Times New Roman"/>
          <w:sz w:val="18"/>
          <w:szCs w:val="18"/>
          <w:color w:val="auto"/>
        </w:rPr>
      </w:pPr>
    </w:p>
    <w:p>
      <w:pPr>
        <w:ind w:left="640" w:right="740" w:hanging="316"/>
        <w:spacing w:after="0" w:line="274"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the availability of, and cost inflation in, supply chain inputs, including labor, raw materials, commodities, packaging and transportation, including those related to tariffs;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or inefficiencies to our supply chain and/or operations, including reliance on key contract manufacturer and supplier relationships;</w:t>
      </w:r>
    </w:p>
    <w:p>
      <w:pPr>
        <w:spacing w:after="0" w:line="71" w:lineRule="exact"/>
        <w:rPr>
          <w:rFonts w:ascii="Times New Roman" w:cs="Times New Roman" w:eastAsia="Times New Roman" w:hAnsi="Times New Roman"/>
          <w:sz w:val="18"/>
          <w:szCs w:val="18"/>
          <w:color w:val="auto"/>
        </w:rPr>
      </w:pPr>
    </w:p>
    <w:p>
      <w:pPr>
        <w:ind w:left="640" w:right="560" w:hanging="316"/>
        <w:spacing w:after="0" w:line="258"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and realize the expected benefits from our strategy, including sales growth in and/or maintenance of our market share position in snacks, soups, sauces and beverages;</w:t>
      </w:r>
    </w:p>
    <w:p>
      <w:pPr>
        <w:spacing w:after="0" w:line="58" w:lineRule="exact"/>
        <w:rPr>
          <w:rFonts w:ascii="Times New Roman" w:cs="Times New Roman" w:eastAsia="Times New Roman" w:hAnsi="Times New Roman"/>
          <w:sz w:val="18"/>
          <w:szCs w:val="18"/>
          <w:color w:val="auto"/>
        </w:rPr>
      </w:pPr>
    </w:p>
    <w:p>
      <w:pPr>
        <w:ind w:left="640" w:right="820" w:hanging="316"/>
        <w:spacing w:after="0" w:line="274"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strong competitive responses to our efforts to leverage brand power with product innovation, promotional programs and new advertising;</w:t>
      </w:r>
    </w:p>
    <w:p>
      <w:pPr>
        <w:spacing w:after="0" w:line="44" w:lineRule="exact"/>
        <w:rPr>
          <w:rFonts w:ascii="Times New Roman" w:cs="Times New Roman" w:eastAsia="Times New Roman" w:hAnsi="Times New Roman"/>
          <w:sz w:val="18"/>
          <w:szCs w:val="18"/>
          <w:color w:val="auto"/>
        </w:rPr>
      </w:pPr>
    </w:p>
    <w:p>
      <w:pPr>
        <w:ind w:left="640" w:right="300" w:hanging="316"/>
        <w:spacing w:after="0" w:line="274"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trade and consumer acceptance of product improvements, shelving initiatives, new products and pricing and promotional strategies;</w:t>
      </w:r>
    </w:p>
    <w:p>
      <w:pPr>
        <w:spacing w:after="0" w:line="3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demand for our products and favorable perception of our brands;</w:t>
      </w:r>
    </w:p>
    <w:p>
      <w:pPr>
        <w:spacing w:after="0" w:line="97" w:lineRule="exact"/>
        <w:rPr>
          <w:rFonts w:ascii="Times New Roman" w:cs="Times New Roman" w:eastAsia="Times New Roman" w:hAnsi="Times New Roman"/>
          <w:sz w:val="18"/>
          <w:szCs w:val="18"/>
          <w:color w:val="auto"/>
        </w:rPr>
      </w:pPr>
    </w:p>
    <w:p>
      <w:pPr>
        <w:ind w:left="640" w:right="120" w:hanging="316"/>
        <w:spacing w:after="0" w:line="274"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cost savings and any other synergies from the Sovos Brands transaction may not be fully realized or may take longer or cost more to be realized than expected, including that the Sovos Brands transaction may not be accretive to the extent anticipated;</w:t>
      </w:r>
    </w:p>
    <w:p>
      <w:pPr>
        <w:spacing w:after="0" w:line="44" w:lineRule="exact"/>
        <w:rPr>
          <w:rFonts w:ascii="Times New Roman" w:cs="Times New Roman" w:eastAsia="Times New Roman" w:hAnsi="Times New Roman"/>
          <w:sz w:val="18"/>
          <w:szCs w:val="18"/>
          <w:color w:val="auto"/>
        </w:rPr>
      </w:pPr>
    </w:p>
    <w:p>
      <w:pPr>
        <w:ind w:left="640" w:right="220" w:hanging="316"/>
        <w:spacing w:after="0" w:line="259"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the La Regina transaction, including that the conditions to the completion of the transaction may not be satisfied, any regulatory approvals required for the transaction may not be obtained on the schedule or terms expected, the closing of the transaction may not occur or be delayed, and benefits from the transaction may not be fully realized or may take longer or cost more to be realized than expected;</w:t>
      </w:r>
    </w:p>
    <w:p>
      <w:pPr>
        <w:spacing w:after="0" w:line="4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projected cost savings and benefits from cost savings initiatives and the integration of recent acquisitions;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effectiveness of our hedging activities and our ability to respond to volatility in commodity prices;</w:t>
      </w:r>
    </w:p>
    <w:p>
      <w:pPr>
        <w:spacing w:after="0" w:line="97" w:lineRule="exact"/>
        <w:rPr>
          <w:rFonts w:ascii="Times New Roman" w:cs="Times New Roman" w:eastAsia="Times New Roman" w:hAnsi="Times New Roman"/>
          <w:sz w:val="18"/>
          <w:szCs w:val="18"/>
          <w:color w:val="auto"/>
        </w:rPr>
      </w:pPr>
    </w:p>
    <w:p>
      <w:pPr>
        <w:ind w:left="640" w:right="860" w:hanging="316"/>
        <w:spacing w:after="0" w:line="274"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changes to our organizational structure and/or business processes, including selling, distribution, manufacturing and information management systems or processes;</w:t>
      </w:r>
    </w:p>
    <w:p>
      <w:pPr>
        <w:spacing w:after="0" w:line="3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inventory management practices by certain of our key customers;</w:t>
      </w:r>
    </w:p>
    <w:p>
      <w:pPr>
        <w:spacing w:after="0" w:line="97" w:lineRule="exact"/>
        <w:rPr>
          <w:rFonts w:ascii="Times New Roman" w:cs="Times New Roman" w:eastAsia="Times New Roman" w:hAnsi="Times New Roman"/>
          <w:sz w:val="18"/>
          <w:szCs w:val="18"/>
          <w:color w:val="auto"/>
        </w:rPr>
      </w:pPr>
    </w:p>
    <w:p>
      <w:pPr>
        <w:ind w:left="640" w:right="200" w:hanging="316"/>
        <w:spacing w:after="0" w:line="274"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changing customer landscape, with value and e-commerce retailers expanding their market presence, while certain of our key customers maintain significance to our business;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and safety issues, including recalls and product liabilities;</w:t>
      </w:r>
    </w:p>
    <w:p>
      <w:pPr>
        <w:spacing w:after="0" w:line="84" w:lineRule="exact"/>
        <w:rPr>
          <w:rFonts w:ascii="Times New Roman" w:cs="Times New Roman" w:eastAsia="Times New Roman" w:hAnsi="Times New Roman"/>
          <w:sz w:val="18"/>
          <w:szCs w:val="18"/>
          <w:color w:val="auto"/>
        </w:rPr>
      </w:pPr>
    </w:p>
    <w:p>
      <w:pPr>
        <w:ind w:left="640" w:right="540" w:hanging="316"/>
        <w:spacing w:after="0" w:line="274"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disruption to the independent contractor distribution models used by certain of our businesses, including as a result of litigation or regulatory actions affecting their independent contractor classification;</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uncertainties of litigation and regulatory actions against us;</w:t>
      </w:r>
    </w:p>
    <w:p>
      <w:pPr>
        <w:spacing w:after="0" w:line="8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failure or security breach of our or our vendors' information technology systems, including ransomware attacks;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to goodwill or other intangible assets;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8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liabilities and costs related to our defined benefit pension plans;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talent;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3" w:name="page34"/>
    <w:bookmarkEnd w:id="33"/>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goals and initiatives related to, and the impacts of, climate change, including from weather-related events;</w:t>
      </w:r>
    </w:p>
    <w:p>
      <w:pPr>
        <w:spacing w:after="0" w:line="8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disruption and diversion of management's attention associated with activist investors;</w:t>
      </w:r>
    </w:p>
    <w:p>
      <w:pPr>
        <w:spacing w:after="0" w:line="8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and ability to pay such indebtedness; and</w:t>
      </w:r>
    </w:p>
    <w:p>
      <w:pPr>
        <w:spacing w:after="0" w:line="97" w:lineRule="exact"/>
        <w:rPr>
          <w:rFonts w:ascii="Times New Roman" w:cs="Times New Roman" w:eastAsia="Times New Roman" w:hAnsi="Times New Roman"/>
          <w:sz w:val="18"/>
          <w:szCs w:val="18"/>
          <w:color w:val="auto"/>
        </w:rPr>
      </w:pPr>
    </w:p>
    <w:p>
      <w:pPr>
        <w:ind w:left="640" w:right="380" w:hanging="316"/>
        <w:spacing w:after="0" w:line="274"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business disruptions or other impacts due to political instability, civil disobedience, terrorism, geopolitical conflicts, extreme weather conditions, natural disasters, pandemics or other outbreaks of disease or other calamities.</w:t>
      </w:r>
    </w:p>
    <w:p>
      <w:pPr>
        <w:spacing w:after="0" w:line="31"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This discussion of uncertainties is by no means exhaustive but is designed to highlight important factors that may impact our outlook. We disclaim any obligation or intent to update forward-looking statements made by us in order to reflect new information, events or circumstances after the date they are made.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 About Market Risk</w:t>
      </w:r>
    </w:p>
    <w:p>
      <w:pPr>
        <w:spacing w:after="0" w:line="102"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For information regarding our exposure to certain market risk, see Item 7A, Quantitative and Qualitative Disclosure About Market Risk, in the 2025 Annual Report on Form 10-K.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15" w:lineRule="exact"/>
        <w:rPr>
          <w:sz w:val="20"/>
          <w:szCs w:val="20"/>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Evaluation of Disclosure Controls and Procedure</w:t>
      </w:r>
    </w:p>
    <w:p>
      <w:pPr>
        <w:spacing w:after="0" w:line="9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under the supervision and with the participation of our management, including the President and Chief Executive Officer and the Executive Vice President and Chief Financial Officer, have evaluated the effectiveness of our disclosure controls and procedures (as such term is defined in Rules 13a-15(e) and 15d-15(e) under the Securities Exchange Act of 1934, as amended) as of November 2, 2025 (Evaluation Date). Based on such evaluation, the President and Chief Executive Officer and the Executive Vice President and Chief Financial Officer have concluded that, as of the Evaluation Date, our disclosure controls and procedures are effective.</w:t>
      </w:r>
    </w:p>
    <w:p>
      <w:pPr>
        <w:spacing w:after="0" w:line="79" w:lineRule="exact"/>
        <w:rPr>
          <w:sz w:val="20"/>
          <w:szCs w:val="20"/>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Internal Control</w:t>
      </w:r>
    </w:p>
    <w:p>
      <w:pPr>
        <w:spacing w:after="0" w:line="8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under the Securities Exchange Act of 1934, as amended) that materially affected, or are likely to materially affect, such internal control over financial reporting during the quarter ended November 2, 2025.</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4" w:name="page35"/>
    <w:bookmarkEnd w:id="34"/>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Information regarding reportable legal proceedings is contained in Note 15 to the Consolidated Financial Statements and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share repurchase activity in the three months ended November 2, 2025 was: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6"/>
        </w:trPr>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6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Shares that may yet</w:t>
            </w:r>
          </w:p>
        </w:tc>
        <w:tc>
          <w:tcPr>
            <w:tcW w:w="0" w:type="dxa"/>
            <w:vAlign w:val="bottom"/>
          </w:tcPr>
          <w:p>
            <w:pPr>
              <w:spacing w:after="0"/>
              <w:rPr>
                <w:sz w:val="1"/>
                <w:szCs w:val="1"/>
                <w:color w:val="auto"/>
              </w:rPr>
            </w:pPr>
          </w:p>
        </w:tc>
      </w:tr>
      <w:tr>
        <w:trPr>
          <w:trHeight w:val="146"/>
        </w:trPr>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6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Total Number</w:t>
            </w:r>
          </w:p>
        </w:tc>
        <w:tc>
          <w:tcPr>
            <w:tcW w:w="140" w:type="dxa"/>
            <w:vAlign w:val="bottom"/>
          </w:tcPr>
          <w:p>
            <w:pPr>
              <w:spacing w:after="0"/>
              <w:rPr>
                <w:sz w:val="12"/>
                <w:szCs w:val="12"/>
                <w:color w:val="auto"/>
              </w:rPr>
            </w:pPr>
          </w:p>
        </w:tc>
        <w:tc>
          <w:tcPr>
            <w:tcW w:w="136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04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6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be Purchased</w:t>
            </w:r>
          </w:p>
        </w:tc>
        <w:tc>
          <w:tcPr>
            <w:tcW w:w="0" w:type="dxa"/>
            <w:vAlign w:val="bottom"/>
          </w:tcPr>
          <w:p>
            <w:pPr>
              <w:spacing w:after="0"/>
              <w:rPr>
                <w:sz w:val="1"/>
                <w:szCs w:val="1"/>
                <w:color w:val="auto"/>
              </w:rPr>
            </w:pPr>
          </w:p>
        </w:tc>
      </w:tr>
      <w:tr>
        <w:trPr>
          <w:trHeight w:val="146"/>
        </w:trPr>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04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6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33"/>
        </w:trPr>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20" w:type="dxa"/>
            <w:vAlign w:val="bottom"/>
            <w:gridSpan w:val="2"/>
          </w:tcPr>
          <w:p>
            <w:pPr>
              <w:jc w:val="center"/>
              <w:ind w:right="380"/>
              <w:spacing w:after="0" w:line="133"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40" w:type="dxa"/>
            <w:vAlign w:val="bottom"/>
          </w:tcPr>
          <w:p>
            <w:pPr>
              <w:spacing w:after="0"/>
              <w:rPr>
                <w:sz w:val="11"/>
                <w:szCs w:val="11"/>
                <w:color w:val="auto"/>
              </w:rPr>
            </w:pPr>
          </w:p>
        </w:tc>
        <w:tc>
          <w:tcPr>
            <w:tcW w:w="1360" w:type="dxa"/>
            <w:vAlign w:val="bottom"/>
            <w:gridSpan w:val="2"/>
          </w:tcPr>
          <w:p>
            <w:pPr>
              <w:jc w:val="center"/>
              <w:ind w:right="540"/>
              <w:spacing w:after="0" w:line="133"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2040" w:type="dxa"/>
            <w:vAlign w:val="bottom"/>
            <w:gridSpan w:val="2"/>
          </w:tcPr>
          <w:p>
            <w:pPr>
              <w:jc w:val="center"/>
              <w:ind w:right="380"/>
              <w:spacing w:after="0" w:line="133"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60" w:type="dxa"/>
            <w:vAlign w:val="bottom"/>
          </w:tcPr>
          <w:p>
            <w:pPr>
              <w:spacing w:after="0"/>
              <w:rPr>
                <w:sz w:val="11"/>
                <w:szCs w:val="11"/>
                <w:color w:val="auto"/>
              </w:rPr>
            </w:pPr>
          </w:p>
        </w:tc>
        <w:tc>
          <w:tcPr>
            <w:tcW w:w="126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146"/>
        </w:trPr>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20" w:type="dxa"/>
            <w:vAlign w:val="bottom"/>
            <w:gridSpan w:val="2"/>
            <w:vMerge w:val="continue"/>
          </w:tcPr>
          <w:p>
            <w:pPr>
              <w:spacing w:after="0"/>
              <w:rPr>
                <w:sz w:val="12"/>
                <w:szCs w:val="12"/>
                <w:color w:val="auto"/>
              </w:rPr>
            </w:pPr>
          </w:p>
        </w:tc>
        <w:tc>
          <w:tcPr>
            <w:tcW w:w="1620" w:type="dxa"/>
            <w:vAlign w:val="bottom"/>
            <w:gridSpan w:val="2"/>
          </w:tcPr>
          <w:p>
            <w:pPr>
              <w:jc w:val="center"/>
              <w:ind w:right="380"/>
              <w:spacing w:after="0" w:line="126" w:lineRule="exact"/>
              <w:rPr>
                <w:sz w:val="20"/>
                <w:szCs w:val="20"/>
                <w:color w:val="auto"/>
              </w:rPr>
            </w:pPr>
            <w:r>
              <w:rPr>
                <w:rFonts w:ascii="Times New Roman" w:cs="Times New Roman" w:eastAsia="Times New Roman" w:hAnsi="Times New Roman"/>
                <w:sz w:val="11"/>
                <w:szCs w:val="11"/>
                <w:b w:val="1"/>
                <w:bCs w:val="1"/>
                <w:color w:val="auto"/>
              </w:rPr>
              <w:t xml:space="preserve">Purchased </w:t>
            </w:r>
            <w:r>
              <w:rPr>
                <w:rFonts w:ascii="Times New Roman" w:cs="Times New Roman" w:eastAsia="Times New Roman" w:hAnsi="Times New Roman"/>
                <w:sz w:val="14"/>
                <w:szCs w:val="14"/>
                <w:b w:val="1"/>
                <w:bCs w:val="1"/>
                <w:color w:val="auto"/>
                <w:vertAlign w:val="superscript"/>
              </w:rPr>
              <w:t>(1)</w:t>
            </w:r>
          </w:p>
        </w:tc>
        <w:tc>
          <w:tcPr>
            <w:tcW w:w="140" w:type="dxa"/>
            <w:vAlign w:val="bottom"/>
          </w:tcPr>
          <w:p>
            <w:pPr>
              <w:spacing w:after="0"/>
              <w:rPr>
                <w:sz w:val="12"/>
                <w:szCs w:val="12"/>
                <w:color w:val="auto"/>
              </w:rPr>
            </w:pPr>
          </w:p>
        </w:tc>
        <w:tc>
          <w:tcPr>
            <w:tcW w:w="1360" w:type="dxa"/>
            <w:vAlign w:val="bottom"/>
            <w:gridSpan w:val="2"/>
          </w:tcPr>
          <w:p>
            <w:pPr>
              <w:jc w:val="center"/>
              <w:ind w:right="540"/>
              <w:spacing w:after="0" w:line="126" w:lineRule="exact"/>
              <w:rPr>
                <w:sz w:val="20"/>
                <w:szCs w:val="20"/>
                <w:color w:val="auto"/>
              </w:rPr>
            </w:pPr>
            <w:r>
              <w:rPr>
                <w:rFonts w:ascii="Times New Roman" w:cs="Times New Roman" w:eastAsia="Times New Roman" w:hAnsi="Times New Roman"/>
                <w:sz w:val="11"/>
                <w:szCs w:val="11"/>
                <w:b w:val="1"/>
                <w:bCs w:val="1"/>
                <w:color w:val="auto"/>
              </w:rPr>
              <w:t xml:space="preserve">Per Share </w:t>
            </w:r>
            <w:r>
              <w:rPr>
                <w:rFonts w:ascii="Times New Roman" w:cs="Times New Roman" w:eastAsia="Times New Roman" w:hAnsi="Times New Roman"/>
                <w:sz w:val="14"/>
                <w:szCs w:val="14"/>
                <w:b w:val="1"/>
                <w:bCs w:val="1"/>
                <w:color w:val="auto"/>
                <w:vertAlign w:val="superscript"/>
              </w:rPr>
              <w:t>(2)</w:t>
            </w:r>
          </w:p>
        </w:tc>
        <w:tc>
          <w:tcPr>
            <w:tcW w:w="2040" w:type="dxa"/>
            <w:vAlign w:val="bottom"/>
            <w:gridSpan w:val="2"/>
          </w:tcPr>
          <w:p>
            <w:pPr>
              <w:jc w:val="center"/>
              <w:ind w:right="380"/>
              <w:spacing w:after="0" w:line="126" w:lineRule="exact"/>
              <w:rPr>
                <w:sz w:val="20"/>
                <w:szCs w:val="20"/>
                <w:color w:val="auto"/>
              </w:rPr>
            </w:pPr>
            <w:r>
              <w:rPr>
                <w:rFonts w:ascii="Times New Roman" w:cs="Times New Roman" w:eastAsia="Times New Roman" w:hAnsi="Times New Roman"/>
                <w:sz w:val="11"/>
                <w:szCs w:val="11"/>
                <w:b w:val="1"/>
                <w:bCs w:val="1"/>
                <w:color w:val="auto"/>
              </w:rPr>
              <w:t xml:space="preserve">Programs </w:t>
            </w:r>
            <w:r>
              <w:rPr>
                <w:rFonts w:ascii="Times New Roman" w:cs="Times New Roman" w:eastAsia="Times New Roman" w:hAnsi="Times New Roman"/>
                <w:sz w:val="14"/>
                <w:szCs w:val="14"/>
                <w:b w:val="1"/>
                <w:bCs w:val="1"/>
                <w:color w:val="auto"/>
                <w:vertAlign w:val="superscript"/>
              </w:rPr>
              <w:t>(3)</w:t>
            </w:r>
          </w:p>
        </w:tc>
        <w:tc>
          <w:tcPr>
            <w:tcW w:w="160" w:type="dxa"/>
            <w:vAlign w:val="bottom"/>
          </w:tcPr>
          <w:p>
            <w:pPr>
              <w:spacing w:after="0"/>
              <w:rPr>
                <w:sz w:val="12"/>
                <w:szCs w:val="12"/>
                <w:color w:val="auto"/>
              </w:rPr>
            </w:pPr>
          </w:p>
        </w:tc>
        <w:tc>
          <w:tcPr>
            <w:tcW w:w="12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rPr>
              <w:t xml:space="preserve">($ in Millions) </w:t>
            </w:r>
            <w:r>
              <w:rPr>
                <w:rFonts w:ascii="Times New Roman" w:cs="Times New Roman" w:eastAsia="Times New Roman" w:hAnsi="Times New Roman"/>
                <w:sz w:val="9"/>
                <w:szCs w:val="9"/>
                <w:b w:val="1"/>
                <w:bCs w:val="1"/>
                <w:color w:val="auto"/>
              </w:rPr>
              <w:t>(3)</w:t>
            </w:r>
          </w:p>
        </w:tc>
        <w:tc>
          <w:tcPr>
            <w:tcW w:w="0" w:type="dxa"/>
            <w:vAlign w:val="bottom"/>
          </w:tcPr>
          <w:p>
            <w:pPr>
              <w:spacing w:after="0"/>
              <w:rPr>
                <w:sz w:val="1"/>
                <w:szCs w:val="1"/>
                <w:color w:val="auto"/>
              </w:rPr>
            </w:pPr>
          </w:p>
        </w:tc>
      </w:tr>
      <w:tr>
        <w:trPr>
          <w:trHeight w:val="33"/>
        </w:trPr>
        <w:tc>
          <w:tcPr>
            <w:tcW w:w="320" w:type="dxa"/>
            <w:vAlign w:val="bottom"/>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0" w:type="dxa"/>
            <w:vAlign w:val="bottom"/>
            <w:tcBorders>
              <w:top w:val="single" w:sz="8" w:color="auto"/>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20" w:type="dxa"/>
            <w:vAlign w:val="bottom"/>
          </w:tcPr>
          <w:p>
            <w:pPr>
              <w:spacing w:after="0"/>
              <w:rPr>
                <w:sz w:val="22"/>
                <w:szCs w:val="22"/>
                <w:color w:val="auto"/>
              </w:rPr>
            </w:pPr>
          </w:p>
        </w:tc>
        <w:tc>
          <w:tcPr>
            <w:tcW w:w="4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8/4/25 - 8/29/25</w:t>
            </w:r>
          </w:p>
        </w:tc>
        <w:tc>
          <w:tcPr>
            <w:tcW w:w="16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4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9/1/25 - 9/30/25</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550,000</w:t>
            </w:r>
          </w:p>
        </w:tc>
        <w:tc>
          <w:tcPr>
            <w:tcW w:w="3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33.13</w:t>
            </w:r>
          </w:p>
        </w:tc>
        <w:tc>
          <w:tcPr>
            <w:tcW w:w="380" w:type="dxa"/>
            <w:vAlign w:val="bottom"/>
          </w:tcPr>
          <w:p>
            <w:pPr>
              <w:spacing w:after="0"/>
              <w:rPr>
                <w:sz w:val="19"/>
                <w:szCs w:val="19"/>
                <w:color w:val="auto"/>
              </w:rPr>
            </w:pPr>
          </w:p>
        </w:tc>
        <w:tc>
          <w:tcPr>
            <w:tcW w:w="166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550,000</w:t>
            </w:r>
          </w:p>
        </w:tc>
        <w:tc>
          <w:tcPr>
            <w:tcW w:w="3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10/1/25 - 10/31/25</w:t>
            </w: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198,000</w:t>
            </w:r>
          </w:p>
        </w:tc>
        <w:tc>
          <w:tcPr>
            <w:tcW w:w="3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31.08</w:t>
            </w:r>
          </w:p>
        </w:tc>
        <w:tc>
          <w:tcPr>
            <w:tcW w:w="38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198,000</w:t>
            </w:r>
          </w:p>
        </w:tc>
        <w:tc>
          <w:tcPr>
            <w:tcW w:w="3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2"/>
        </w:trPr>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748,000</w:t>
            </w:r>
          </w:p>
        </w:tc>
        <w:tc>
          <w:tcPr>
            <w:tcW w:w="3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32.59</w:t>
            </w:r>
          </w:p>
        </w:tc>
        <w:tc>
          <w:tcPr>
            <w:tcW w:w="380" w:type="dxa"/>
            <w:vAlign w:val="bottom"/>
          </w:tcPr>
          <w:p>
            <w:pPr>
              <w:spacing w:after="0"/>
              <w:rPr>
                <w:sz w:val="20"/>
                <w:szCs w:val="20"/>
                <w:color w:val="auto"/>
              </w:rPr>
            </w:pPr>
          </w:p>
        </w:tc>
        <w:tc>
          <w:tcPr>
            <w:tcW w:w="16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8"/>
                <w:szCs w:val="18"/>
                <w:color w:val="auto"/>
              </w:rPr>
              <w:t>748,000</w:t>
            </w:r>
          </w:p>
        </w:tc>
        <w:tc>
          <w:tcPr>
            <w:tcW w:w="3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4760" w:type="dxa"/>
            <w:vAlign w:val="bottom"/>
            <w:gridSpan w:val="4"/>
            <w:vMerge w:val="restart"/>
          </w:tcPr>
          <w:p>
            <w:pPr>
              <w:jc w:val="right"/>
              <w:ind w:right="1900"/>
              <w:spacing w:after="0"/>
              <w:rPr>
                <w:sz w:val="20"/>
                <w:szCs w:val="20"/>
                <w:color w:val="auto"/>
              </w:rPr>
            </w:pPr>
            <w:r>
              <w:rPr>
                <w:rFonts w:ascii="Times New Roman" w:cs="Times New Roman" w:eastAsia="Times New Roman" w:hAnsi="Times New Roman"/>
                <w:sz w:val="16"/>
                <w:szCs w:val="16"/>
                <w:color w:val="auto"/>
                <w:w w:val="98"/>
              </w:rPr>
              <w:t>____________________________________</w:t>
            </w: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4760" w:type="dxa"/>
            <w:vAlign w:val="bottom"/>
            <w:gridSpan w:val="4"/>
            <w:vMerge w:val="continue"/>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320" w:hanging="314"/>
        <w:spacing w:after="0"/>
        <w:tabs>
          <w:tab w:leader="none" w:pos="320"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Shares purchased are as of the trade date.</w:t>
      </w:r>
    </w:p>
    <w:p>
      <w:pPr>
        <w:jc w:val="both"/>
        <w:ind w:left="320" w:right="100" w:hanging="314"/>
        <w:spacing w:after="0" w:line="224" w:lineRule="auto"/>
        <w:tabs>
          <w:tab w:leader="none" w:pos="308"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Average price paid per share is calculated on a settlement basis and excludes commission and excise tax. As of January 1, 2023, our share repurchases in excess of issuances are subject to a 1% excise tax enacted by the Inflation Reduction Act. Any excise tax incurred is recognized as part of the cost basis of the shares acquired in the Consolidated Statements of Equity.</w:t>
      </w:r>
    </w:p>
    <w:p>
      <w:pPr>
        <w:spacing w:after="0" w:line="2" w:lineRule="exact"/>
        <w:rPr>
          <w:rFonts w:ascii="Times New Roman" w:cs="Times New Roman" w:eastAsia="Times New Roman" w:hAnsi="Times New Roman"/>
          <w:sz w:val="23"/>
          <w:szCs w:val="23"/>
          <w:color w:val="auto"/>
          <w:vertAlign w:val="superscript"/>
        </w:rPr>
      </w:pPr>
    </w:p>
    <w:p>
      <w:pPr>
        <w:jc w:val="both"/>
        <w:ind w:left="320" w:right="100" w:hanging="314"/>
        <w:spacing w:after="0" w:line="236" w:lineRule="auto"/>
        <w:tabs>
          <w:tab w:leader="none" w:pos="308"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 In September 2024, the Board authorized an anti-dilutive share repurchase program of up to $250 million (September 2024 program) to offset the impact of dilution from shares issued under our stock compensation programs. The September 2024 program has no expiration date, but it may be suspended or discontinued at any time. Repurchases under the September 2024 program may be made in open-market or privately negotiated transactions. The September 2024 program replaced an anti-dilutive share repurchase program of up to $250 million that was approved by the Board in June 2021 and has been terminated.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89" w:lineRule="exact"/>
        <w:rPr>
          <w:sz w:val="20"/>
          <w:szCs w:val="20"/>
          <w:color w:val="auto"/>
        </w:rPr>
      </w:pPr>
    </w:p>
    <w:p>
      <w:pPr>
        <w:jc w:val="both"/>
        <w:ind w:right="100" w:firstLine="318"/>
        <w:spacing w:after="0" w:line="282" w:lineRule="auto"/>
        <w:rPr>
          <w:sz w:val="20"/>
          <w:szCs w:val="20"/>
          <w:color w:val="auto"/>
        </w:rPr>
      </w:pPr>
      <w:r>
        <w:rPr>
          <w:rFonts w:ascii="Times New Roman" w:cs="Times New Roman" w:eastAsia="Times New Roman" w:hAnsi="Times New Roman"/>
          <w:sz w:val="17"/>
          <w:szCs w:val="17"/>
          <w:color w:val="auto"/>
        </w:rPr>
        <w:t>During the quarter ended November 2, 2025, none of our directors or officers (as defined in Rule 16a-1(f) under the Securities Exchange Act of 1934, as amended) adopted or terminated any contract, instruction or written plan for the purchase or sale of our securities that was intended to satisfy the affirmative defense conditions of Rule 10b5-1(c) or any "non-Rule 10b5-1 trading arrangement" in accordance with Item 408 of Regulation S-K of the Securities Act.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Index to Exhibits, which immediately precedes the signature page, is incorporated by reference into this Report.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967" w:right="239" w:bottom="1440" w:gutter="0" w:footer="0" w:header="0"/>
        </w:sectPr>
      </w:pPr>
    </w:p>
    <w:bookmarkStart w:id="35" w:name="page36"/>
    <w:bookmarkEnd w:id="35"/>
    <w:tbl>
      <w:tblPr>
        <w:tblLayout w:type="fixed"/>
        <w:tblInd w:w="3" w:type="dxa"/>
        <w:tblCellMar>
          <w:top w:w="0" w:type="dxa"/>
          <w:left w:w="0" w:type="dxa"/>
          <w:bottom w:w="0" w:type="dxa"/>
          <w:right w:w="0" w:type="dxa"/>
        </w:tblCellMar>
      </w:tblPr>
      <w:tr>
        <w:trPr>
          <w:trHeight w:val="231"/>
        </w:trPr>
        <w:tc>
          <w:tcPr>
            <w:tcW w:w="1100" w:type="dxa"/>
            <w:vAlign w:val="bottom"/>
          </w:tcPr>
          <w:p>
            <w:pPr>
              <w:spacing w:after="0"/>
              <w:rPr>
                <w:sz w:val="20"/>
                <w:szCs w:val="20"/>
                <w:color w:val="auto"/>
              </w:rPr>
            </w:pPr>
          </w:p>
        </w:tc>
        <w:tc>
          <w:tcPr>
            <w:tcW w:w="9880" w:type="dxa"/>
            <w:vAlign w:val="bottom"/>
            <w:gridSpan w:val="5"/>
          </w:tcPr>
          <w:p>
            <w:pPr>
              <w:ind w:left="3640"/>
              <w:spacing w:after="0"/>
              <w:rPr>
                <w:sz w:val="20"/>
                <w:szCs w:val="20"/>
                <w:color w:val="auto"/>
              </w:rPr>
            </w:pPr>
            <w:r>
              <w:rPr>
                <w:rFonts w:ascii="Times New Roman" w:cs="Times New Roman" w:eastAsia="Times New Roman" w:hAnsi="Times New Roman"/>
                <w:sz w:val="18"/>
                <w:szCs w:val="18"/>
                <w:color w:val="auto"/>
              </w:rPr>
              <w:t>INDEX TO EXHIBITS</w:t>
            </w: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Certification of Mick J. Beekhuizen pursuant to Rule 13a-14(a).</w:t>
            </w:r>
          </w:p>
        </w:tc>
        <w:tc>
          <w:tcPr>
            <w:tcW w:w="5360" w:type="dxa"/>
            <w:vAlign w:val="bottom"/>
            <w:gridSpan w:val="3"/>
          </w:tcPr>
          <w:p>
            <w:pPr>
              <w:spacing w:after="0"/>
              <w:rPr>
                <w:sz w:val="24"/>
                <w:szCs w:val="24"/>
                <w:color w:val="auto"/>
              </w:rPr>
            </w:pPr>
          </w:p>
        </w:tc>
      </w:tr>
      <w:tr>
        <w:trPr>
          <w:trHeight w:val="29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Todd E. Cunfer pursuant to Rule 13a-14(a)</w:t>
            </w:r>
            <w:r>
              <w:rPr>
                <w:rFonts w:ascii="Times New Roman" w:cs="Times New Roman" w:eastAsia="Times New Roman" w:hAnsi="Times New Roman"/>
                <w:sz w:val="18"/>
                <w:szCs w:val="18"/>
                <w:color w:val="000000"/>
              </w:rPr>
              <w:t>.</w:t>
            </w:r>
          </w:p>
        </w:tc>
      </w:tr>
      <w:tr>
        <w:trPr>
          <w:trHeight w:val="20"/>
        </w:trPr>
        <w:tc>
          <w:tcPr>
            <w:tcW w:w="1100" w:type="dxa"/>
            <w:vAlign w:val="bottom"/>
          </w:tcPr>
          <w:p>
            <w:pPr>
              <w:spacing w:after="0" w:line="20" w:lineRule="exact"/>
              <w:rPr>
                <w:sz w:val="1"/>
                <w:szCs w:val="1"/>
                <w:color w:val="auto"/>
              </w:rPr>
            </w:pPr>
          </w:p>
        </w:tc>
        <w:tc>
          <w:tcPr>
            <w:tcW w:w="416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29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Mick J. Beekhuizen pursuant to 18 U.S.C. Section 1350.</w:t>
            </w:r>
          </w:p>
        </w:tc>
      </w:tr>
      <w:tr>
        <w:trPr>
          <w:trHeight w:val="29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1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Certification of Todd E. Cunfer pursuant to 18 U.S.C. Section 1350.</w:t>
            </w:r>
          </w:p>
        </w:tc>
        <w:tc>
          <w:tcPr>
            <w:tcW w:w="476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4800" w:type="dxa"/>
            <w:vAlign w:val="bottom"/>
            <w:gridSpan w:val="3"/>
            <w:shd w:val="clear" w:color="auto" w:fill="0000FF"/>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r>
      <w:tr>
        <w:trPr>
          <w:trHeight w:val="285"/>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7"/>
              </w:rPr>
              <w:t>Inline XBRL Instance Document - the instance document does not appear on the Interactive Data File because its XBRL tags are embedded</w:t>
            </w:r>
          </w:p>
        </w:tc>
      </w:tr>
      <w:tr>
        <w:trPr>
          <w:trHeight w:val="231"/>
        </w:trPr>
        <w:tc>
          <w:tcPr>
            <w:tcW w:w="1100" w:type="dxa"/>
            <w:vAlign w:val="bottom"/>
          </w:tcPr>
          <w:p>
            <w:pPr>
              <w:spacing w:after="0"/>
              <w:rPr>
                <w:sz w:val="20"/>
                <w:szCs w:val="20"/>
                <w:color w:val="auto"/>
              </w:rPr>
            </w:pP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2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Extension Schema Document.</w:t>
            </w: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Extension Calculation Linkbase Document.</w:t>
            </w: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Extension Definition Linkbase Document.</w:t>
            </w: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Extension Label Linkbase Document.</w:t>
            </w: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Extension Presentation Linkbase Document.</w:t>
            </w:r>
          </w:p>
        </w:tc>
      </w:tr>
    </w:tbl>
    <w:p>
      <w:pPr>
        <w:spacing w:after="0" w:line="87" w:lineRule="exact"/>
        <w:rPr>
          <w:sz w:val="20"/>
          <w:szCs w:val="20"/>
          <w:color w:val="auto"/>
        </w:rPr>
      </w:pPr>
    </w:p>
    <w:p>
      <w:pPr>
        <w:ind w:left="1103" w:hanging="1103"/>
        <w:spacing w:after="0"/>
        <w:tabs>
          <w:tab w:leader="none" w:pos="110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Quarterly Report on Form 10-Q, formatted in Inline XBRL (included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6" w:lineRule="exact"/>
        <w:rPr>
          <w:rFonts w:ascii="Times New Roman" w:cs="Times New Roman" w:eastAsia="Times New Roman" w:hAnsi="Times New Roman"/>
          <w:sz w:val="18"/>
          <w:szCs w:val="18"/>
          <w:color w:val="auto"/>
        </w:rPr>
      </w:pPr>
    </w:p>
    <w:p>
      <w:pPr>
        <w:ind w:left="550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69215</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83"/>
          </w:cols>
          <w:pgMar w:left="357" w:top="969" w:right="559" w:bottom="1440" w:gutter="0" w:footer="0" w:header="0"/>
        </w:sectPr>
      </w:pPr>
    </w:p>
    <w:bookmarkStart w:id="36" w:name="page37"/>
    <w:bookmarkEnd w:id="36"/>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13"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9, 2025</w:t>
      </w:r>
    </w:p>
    <w:p>
      <w:pPr>
        <w:spacing w:after="0" w:line="4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THE CAMPBELL'S COMPANY</w:t>
      </w:r>
    </w:p>
    <w:p>
      <w:pPr>
        <w:spacing w:after="0" w:line="23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By: /s/ Todd E. Cunfer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14605</wp:posOffset>
            </wp:positionV>
            <wp:extent cx="37020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702050" cy="8255"/>
                    </a:xfrm>
                    <a:prstGeom prst="rect">
                      <a:avLst/>
                    </a:prstGeom>
                    <a:noFill/>
                  </pic:spPr>
                </pic:pic>
              </a:graphicData>
            </a:graphic>
          </wp:anchor>
        </w:drawing>
      </w:r>
    </w:p>
    <w:p>
      <w:pPr>
        <w:spacing w:after="0" w:line="1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Todd E. Cunfer</w:t>
      </w:r>
    </w:p>
    <w:p>
      <w:pPr>
        <w:spacing w:after="0" w:line="2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2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By: /s/ Kelly L. Palumbo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14605</wp:posOffset>
            </wp:positionV>
            <wp:extent cx="37020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702050" cy="8255"/>
                    </a:xfrm>
                    <a:prstGeom prst="rect">
                      <a:avLst/>
                    </a:prstGeom>
                    <a:noFill/>
                  </pic:spPr>
                </pic:pic>
              </a:graphicData>
            </a:graphic>
          </wp:anchor>
        </w:drawing>
      </w:r>
    </w:p>
    <w:p>
      <w:pPr>
        <w:spacing w:after="0" w:line="1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Kelly L. Palumbo</w:t>
      </w:r>
    </w:p>
    <w:p>
      <w:pPr>
        <w:spacing w:after="0" w:line="2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Senior Vice President, Controller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874" w:right="45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 13a-14(a)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Mick J. Beekhuizen, certify that:</w:t>
      </w:r>
    </w:p>
    <w:p>
      <w:pPr>
        <w:spacing w:after="0" w:line="164" w:lineRule="exact"/>
        <w:rPr>
          <w:sz w:val="20"/>
          <w:szCs w:val="20"/>
          <w:color w:val="auto"/>
        </w:rPr>
      </w:pPr>
    </w:p>
    <w:p>
      <w:pPr>
        <w:ind w:left="380" w:hanging="175"/>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Campbell's Company;</w:t>
      </w:r>
    </w:p>
    <w:p>
      <w:pPr>
        <w:spacing w:after="0" w:line="164" w:lineRule="exact"/>
        <w:rPr>
          <w:rFonts w:ascii="Times New Roman" w:cs="Times New Roman" w:eastAsia="Times New Roman" w:hAnsi="Times New Roman"/>
          <w:sz w:val="18"/>
          <w:szCs w:val="18"/>
          <w:color w:val="auto"/>
        </w:rPr>
      </w:pPr>
    </w:p>
    <w:p>
      <w:pPr>
        <w:ind w:right="460" w:firstLine="205"/>
        <w:spacing w:after="0" w:line="304" w:lineRule="auto"/>
        <w:tabs>
          <w:tab w:leader="none" w:pos="37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Times New Roman" w:cs="Times New Roman" w:eastAsia="Times New Roman" w:hAnsi="Times New Roman"/>
          <w:sz w:val="17"/>
          <w:szCs w:val="17"/>
          <w:color w:val="auto"/>
        </w:rPr>
      </w:pPr>
    </w:p>
    <w:p>
      <w:pPr>
        <w:ind w:right="560" w:firstLine="205"/>
        <w:spacing w:after="0" w:line="274" w:lineRule="auto"/>
        <w:tabs>
          <w:tab w:leader="none" w:pos="3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ind w:right="40" w:firstLine="205"/>
        <w:spacing w:after="0" w:line="259" w:lineRule="auto"/>
        <w:tabs>
          <w:tab w:leader="none" w:pos="37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ind w:right="140" w:firstLine="443"/>
        <w:spacing w:after="0" w:line="259" w:lineRule="auto"/>
        <w:tabs>
          <w:tab w:leader="none" w:pos="61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jc w:val="both"/>
        <w:ind w:right="120" w:firstLine="443"/>
        <w:spacing w:after="0" w:line="259" w:lineRule="auto"/>
        <w:tabs>
          <w:tab w:leader="none" w:pos="62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8"/>
          <w:szCs w:val="18"/>
          <w:color w:val="auto"/>
        </w:rPr>
      </w:pPr>
    </w:p>
    <w:p>
      <w:pPr>
        <w:ind w:right="160" w:firstLine="443"/>
        <w:spacing w:after="0" w:line="274" w:lineRule="auto"/>
        <w:tabs>
          <w:tab w:leader="none" w:pos="61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ind w:right="200" w:firstLine="443"/>
        <w:spacing w:after="0" w:line="259" w:lineRule="auto"/>
        <w:tabs>
          <w:tab w:leader="none" w:pos="62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8"/>
          <w:szCs w:val="18"/>
          <w:color w:val="auto"/>
        </w:rPr>
      </w:pPr>
    </w:p>
    <w:p>
      <w:pPr>
        <w:ind w:right="300" w:firstLine="205"/>
        <w:spacing w:after="0" w:line="274" w:lineRule="auto"/>
        <w:tabs>
          <w:tab w:leader="none" w:pos="37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right="100" w:firstLine="443"/>
        <w:spacing w:after="0" w:line="274" w:lineRule="auto"/>
        <w:tabs>
          <w:tab w:leader="none" w:pos="61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right="140" w:firstLine="443"/>
        <w:spacing w:after="0" w:line="274" w:lineRule="auto"/>
        <w:tabs>
          <w:tab w:leader="none" w:pos="62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9, 2025</w:t>
      </w:r>
    </w:p>
    <w:p>
      <w:pPr>
        <w:spacing w:after="0" w:line="45" w:lineRule="exact"/>
        <w:rPr>
          <w:sz w:val="20"/>
          <w:szCs w:val="20"/>
          <w:color w:val="auto"/>
        </w:rPr>
      </w:pPr>
    </w:p>
    <w:p>
      <w:pPr>
        <w:ind w:left="4200"/>
        <w:spacing w:after="0"/>
        <w:tabs>
          <w:tab w:leader="none" w:pos="4640" w:val="left"/>
        </w:tabs>
        <w:rPr>
          <w:sz w:val="20"/>
          <w:szCs w:val="20"/>
          <w:color w:val="auto"/>
        </w:rPr>
      </w:pPr>
      <w:r>
        <w:rPr>
          <w:rFonts w:ascii="Times New Roman" w:cs="Times New Roman" w:eastAsia="Times New Roman" w:hAnsi="Times New Roman"/>
          <w:sz w:val="18"/>
          <w:szCs w:val="18"/>
          <w:color w:val="auto"/>
        </w:rPr>
        <w:t>By:</w:t>
        <w:tab/>
        <w:t>/s/ Mick J. Beekhuizen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2948305</wp:posOffset>
            </wp:positionH>
            <wp:positionV relativeFrom="paragraph">
              <wp:posOffset>14605</wp:posOffset>
            </wp:positionV>
            <wp:extent cx="31800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p>
      <w:pPr>
        <w:spacing w:after="0" w:line="19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Name:</w:t>
      </w:r>
    </w:p>
    <w:p>
      <w:pPr>
        <w:spacing w:after="0" w:line="2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Mick J. Beekhuizen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ectPr>
          <w:pgSz w:w="11900" w:h="16838" w:orient="portrait"/>
          <w:cols w:equalWidth="0" w:num="2">
            <w:col w:w="5140" w:space="360"/>
            <w:col w:w="5740"/>
          </w:cols>
          <w:pgMar w:left="320" w:top="874" w:right="339" w:bottom="1440" w:gutter="0" w:footer="0" w:header="0"/>
          <w:type w:val="continuous"/>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 13a-14(a)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Todd E. Cunfer, certify that:</w:t>
      </w:r>
    </w:p>
    <w:p>
      <w:pPr>
        <w:spacing w:after="0" w:line="164" w:lineRule="exact"/>
        <w:rPr>
          <w:sz w:val="20"/>
          <w:szCs w:val="20"/>
          <w:color w:val="auto"/>
        </w:rPr>
      </w:pPr>
    </w:p>
    <w:p>
      <w:pPr>
        <w:ind w:left="380" w:hanging="175"/>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Campbell's Company;</w:t>
      </w:r>
    </w:p>
    <w:p>
      <w:pPr>
        <w:spacing w:after="0" w:line="164" w:lineRule="exact"/>
        <w:rPr>
          <w:rFonts w:ascii="Times New Roman" w:cs="Times New Roman" w:eastAsia="Times New Roman" w:hAnsi="Times New Roman"/>
          <w:sz w:val="18"/>
          <w:szCs w:val="18"/>
          <w:color w:val="auto"/>
        </w:rPr>
      </w:pPr>
    </w:p>
    <w:p>
      <w:pPr>
        <w:ind w:right="460" w:firstLine="205"/>
        <w:spacing w:after="0" w:line="304" w:lineRule="auto"/>
        <w:tabs>
          <w:tab w:leader="none" w:pos="37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Times New Roman" w:cs="Times New Roman" w:eastAsia="Times New Roman" w:hAnsi="Times New Roman"/>
          <w:sz w:val="17"/>
          <w:szCs w:val="17"/>
          <w:color w:val="auto"/>
        </w:rPr>
      </w:pPr>
    </w:p>
    <w:p>
      <w:pPr>
        <w:ind w:right="560" w:firstLine="205"/>
        <w:spacing w:after="0" w:line="274" w:lineRule="auto"/>
        <w:tabs>
          <w:tab w:leader="none" w:pos="3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ind w:right="40" w:firstLine="205"/>
        <w:spacing w:after="0" w:line="259" w:lineRule="auto"/>
        <w:tabs>
          <w:tab w:leader="none" w:pos="37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ind w:right="140" w:firstLine="443"/>
        <w:spacing w:after="0" w:line="259" w:lineRule="auto"/>
        <w:tabs>
          <w:tab w:leader="none" w:pos="61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jc w:val="both"/>
        <w:ind w:right="120" w:firstLine="443"/>
        <w:spacing w:after="0" w:line="259" w:lineRule="auto"/>
        <w:tabs>
          <w:tab w:leader="none" w:pos="62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8"/>
          <w:szCs w:val="18"/>
          <w:color w:val="auto"/>
        </w:rPr>
      </w:pPr>
    </w:p>
    <w:p>
      <w:pPr>
        <w:ind w:right="160" w:firstLine="443"/>
        <w:spacing w:after="0" w:line="274" w:lineRule="auto"/>
        <w:tabs>
          <w:tab w:leader="none" w:pos="61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ind w:right="200" w:firstLine="443"/>
        <w:spacing w:after="0" w:line="259" w:lineRule="auto"/>
        <w:tabs>
          <w:tab w:leader="none" w:pos="62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8"/>
          <w:szCs w:val="18"/>
          <w:color w:val="auto"/>
        </w:rPr>
      </w:pPr>
    </w:p>
    <w:p>
      <w:pPr>
        <w:ind w:right="300" w:firstLine="205"/>
        <w:spacing w:after="0" w:line="274" w:lineRule="auto"/>
        <w:tabs>
          <w:tab w:leader="none" w:pos="37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right="100" w:firstLine="443"/>
        <w:spacing w:after="0" w:line="274" w:lineRule="auto"/>
        <w:tabs>
          <w:tab w:leader="none" w:pos="61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right="140" w:firstLine="443"/>
        <w:spacing w:after="0" w:line="274" w:lineRule="auto"/>
        <w:tabs>
          <w:tab w:leader="none" w:pos="62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9, 2025</w:t>
      </w:r>
    </w:p>
    <w:p>
      <w:pPr>
        <w:spacing w:after="0" w:line="204" w:lineRule="exact"/>
        <w:rPr>
          <w:sz w:val="20"/>
          <w:szCs w:val="20"/>
          <w:color w:val="auto"/>
        </w:rPr>
      </w:pPr>
    </w:p>
    <w:p>
      <w:pPr>
        <w:ind w:left="4140"/>
        <w:spacing w:after="0"/>
        <w:tabs>
          <w:tab w:leader="none" w:pos="4580" w:val="left"/>
        </w:tabs>
        <w:rPr>
          <w:sz w:val="20"/>
          <w:szCs w:val="20"/>
          <w:color w:val="auto"/>
        </w:rPr>
      </w:pPr>
      <w:r>
        <w:rPr>
          <w:rFonts w:ascii="Times New Roman" w:cs="Times New Roman" w:eastAsia="Times New Roman" w:hAnsi="Times New Roman"/>
          <w:sz w:val="18"/>
          <w:szCs w:val="18"/>
          <w:color w:val="auto"/>
        </w:rPr>
        <w:t>By:</w:t>
        <w:tab/>
        <w:t>/s/ Todd E. Cunfer</w:t>
      </w:r>
    </w:p>
    <w:p>
      <w:pPr>
        <w:spacing w:after="0" w:line="23" w:lineRule="exact"/>
        <w:rPr>
          <w:sz w:val="20"/>
          <w:szCs w:val="20"/>
          <w:color w:val="auto"/>
        </w:rPr>
      </w:pPr>
    </w:p>
    <w:tbl>
      <w:tblPr>
        <w:tblLayout w:type="fixed"/>
        <w:tblInd w:w="4600" w:type="dxa"/>
        <w:tblCellMar>
          <w:top w:w="0" w:type="dxa"/>
          <w:left w:w="0" w:type="dxa"/>
          <w:bottom w:w="0" w:type="dxa"/>
          <w:right w:w="0" w:type="dxa"/>
        </w:tblCellMar>
      </w:tblPr>
      <w:tr>
        <w:trPr>
          <w:trHeight w:val="213"/>
        </w:trPr>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48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Todd E. Cunfer</w:t>
            </w:r>
          </w:p>
        </w:tc>
      </w:tr>
      <w:tr>
        <w:trPr>
          <w:trHeight w:val="23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ectPr>
          <w:pgSz w:w="11900" w:h="16838" w:orient="portrait"/>
          <w:cols w:equalWidth="0" w:num="1">
            <w:col w:w="11240"/>
          </w:cols>
          <w:pgMar w:left="320" w:top="874"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45" w:lineRule="exact"/>
        <w:rPr>
          <w:sz w:val="20"/>
          <w:szCs w:val="20"/>
          <w:color w:val="auto"/>
        </w:rPr>
      </w:pPr>
    </w:p>
    <w:p>
      <w:pPr>
        <w:ind w:right="180" w:firstLine="199"/>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of The Campbell's Company (the “Company”) on Form 10-Q for the fiscal quarter ended November 2, 2025 (the “Report”), I, Mick J. Beekhuizen, President and Chief Executive Officer of the Company, hereby certify, pursuant to 18 U.S.C. Section 1350, as adopted pursuant to Section 906 of the Sarbanes-Oxley Act of 2002, that, to my knowledge:</w:t>
      </w:r>
    </w:p>
    <w:p>
      <w:pPr>
        <w:spacing w:after="0" w:line="125" w:lineRule="exact"/>
        <w:rPr>
          <w:sz w:val="20"/>
          <w:szCs w:val="20"/>
          <w:color w:val="auto"/>
        </w:rPr>
      </w:pPr>
    </w:p>
    <w:p>
      <w:pPr>
        <w:ind w:left="700" w:hanging="257"/>
        <w:spacing w:after="0"/>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4" w:lineRule="exact"/>
        <w:rPr>
          <w:rFonts w:ascii="Times New Roman" w:cs="Times New Roman" w:eastAsia="Times New Roman" w:hAnsi="Times New Roman"/>
          <w:sz w:val="18"/>
          <w:szCs w:val="18"/>
          <w:color w:val="auto"/>
        </w:rPr>
      </w:pPr>
    </w:p>
    <w:p>
      <w:pPr>
        <w:ind w:left="700" w:hanging="257"/>
        <w:spacing w:after="0"/>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9, 2025</w:t>
      </w:r>
    </w:p>
    <w:p>
      <w:pPr>
        <w:spacing w:after="0" w:line="45" w:lineRule="exact"/>
        <w:rPr>
          <w:sz w:val="20"/>
          <w:szCs w:val="20"/>
          <w:color w:val="auto"/>
        </w:rPr>
      </w:pPr>
    </w:p>
    <w:p>
      <w:pPr>
        <w:ind w:left="4140"/>
        <w:spacing w:after="0"/>
        <w:tabs>
          <w:tab w:leader="none" w:pos="4580" w:val="left"/>
        </w:tabs>
        <w:rPr>
          <w:sz w:val="20"/>
          <w:szCs w:val="20"/>
          <w:color w:val="auto"/>
        </w:rPr>
      </w:pPr>
      <w:r>
        <w:rPr>
          <w:rFonts w:ascii="Times New Roman" w:cs="Times New Roman" w:eastAsia="Times New Roman" w:hAnsi="Times New Roman"/>
          <w:sz w:val="18"/>
          <w:szCs w:val="18"/>
          <w:color w:val="auto"/>
        </w:rPr>
        <w:t>By:</w:t>
        <w:tab/>
        <w:t>/s/ Mick J. Beekhuizen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2906395</wp:posOffset>
            </wp:positionH>
            <wp:positionV relativeFrom="paragraph">
              <wp:posOffset>14605</wp:posOffset>
            </wp:positionV>
            <wp:extent cx="31553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55315" cy="825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p>
      <w:pPr>
        <w:spacing w:after="0" w:line="19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color w:val="auto"/>
        </w:rPr>
        <w:t>Name:</w:t>
      </w:r>
    </w:p>
    <w:p>
      <w:pPr>
        <w:spacing w:after="0" w:line="3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Mick J. Beekhuizen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11" w:lineRule="exact"/>
        <w:rPr>
          <w:sz w:val="20"/>
          <w:szCs w:val="20"/>
          <w:color w:val="auto"/>
        </w:rPr>
      </w:pPr>
    </w:p>
    <w:p>
      <w:pPr>
        <w:sectPr>
          <w:pgSz w:w="11900" w:h="16838" w:orient="portrait"/>
          <w:cols w:equalWidth="0" w:num="2">
            <w:col w:w="5060" w:space="360"/>
            <w:col w:w="5820"/>
          </w:cols>
          <w:pgMar w:left="320" w:top="874" w:right="339"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110"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color w:val="auto"/>
        </w:rPr>
        <w:t>A signed original of this written statement required under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74" w:right="339" w:bottom="1440" w:gutter="0" w:footer="0" w:header="0"/>
          <w:type w:val="continuous"/>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45" w:lineRule="exact"/>
        <w:rPr>
          <w:sz w:val="20"/>
          <w:szCs w:val="20"/>
          <w:color w:val="auto"/>
        </w:rPr>
      </w:pPr>
    </w:p>
    <w:p>
      <w:pPr>
        <w:ind w:right="180" w:firstLine="199"/>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of The Campbell's Company (the “Company”) on Form 10-Q for the fiscal quarter ended November 2, 2025 (the “Report”), I, Todd E. Cunfer, Executive Vice President and Chief Financial Officer of the Company, hereby certify, pursuant to 18 U.S.C. Section 1350, as adopted pursuant to Section 906 of the Sarbanes-Oxley Act of 2002, that, to my knowledge:</w:t>
      </w:r>
    </w:p>
    <w:p>
      <w:pPr>
        <w:spacing w:after="0" w:line="125" w:lineRule="exact"/>
        <w:rPr>
          <w:sz w:val="20"/>
          <w:szCs w:val="20"/>
          <w:color w:val="auto"/>
        </w:rPr>
      </w:pPr>
    </w:p>
    <w:p>
      <w:pPr>
        <w:ind w:left="700" w:hanging="257"/>
        <w:spacing w:after="0"/>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4" w:lineRule="exact"/>
        <w:rPr>
          <w:rFonts w:ascii="Times New Roman" w:cs="Times New Roman" w:eastAsia="Times New Roman" w:hAnsi="Times New Roman"/>
          <w:sz w:val="18"/>
          <w:szCs w:val="18"/>
          <w:color w:val="auto"/>
        </w:rPr>
      </w:pPr>
    </w:p>
    <w:p>
      <w:pPr>
        <w:ind w:left="700" w:hanging="257"/>
        <w:spacing w:after="0"/>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9, 2025</w:t>
      </w:r>
    </w:p>
    <w:p>
      <w:pPr>
        <w:spacing w:after="0" w:line="45" w:lineRule="exact"/>
        <w:rPr>
          <w:sz w:val="20"/>
          <w:szCs w:val="20"/>
          <w:color w:val="auto"/>
        </w:rPr>
      </w:pPr>
    </w:p>
    <w:p>
      <w:pPr>
        <w:ind w:left="4160"/>
        <w:spacing w:after="0"/>
        <w:tabs>
          <w:tab w:leader="none" w:pos="4580" w:val="left"/>
        </w:tabs>
        <w:rPr>
          <w:sz w:val="20"/>
          <w:szCs w:val="20"/>
          <w:color w:val="auto"/>
        </w:rPr>
      </w:pPr>
      <w:r>
        <w:rPr>
          <w:rFonts w:ascii="Times New Roman" w:cs="Times New Roman" w:eastAsia="Times New Roman" w:hAnsi="Times New Roman"/>
          <w:sz w:val="18"/>
          <w:szCs w:val="18"/>
          <w:color w:val="auto"/>
        </w:rPr>
        <w:t>By:</w:t>
        <w:tab/>
        <w:t>/s/ Todd E. Cunfer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2914650</wp:posOffset>
            </wp:positionH>
            <wp:positionV relativeFrom="paragraph">
              <wp:posOffset>14605</wp:posOffset>
            </wp:positionV>
            <wp:extent cx="37776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777615" cy="825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p>
      <w:pPr>
        <w:spacing w:after="0" w:line="19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Name:</w:t>
      </w:r>
    </w:p>
    <w:p>
      <w:pPr>
        <w:spacing w:after="0" w:line="2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Todd E. Cunfer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211" w:lineRule="exact"/>
        <w:rPr>
          <w:sz w:val="20"/>
          <w:szCs w:val="20"/>
          <w:color w:val="auto"/>
        </w:rPr>
      </w:pPr>
    </w:p>
    <w:p>
      <w:pPr>
        <w:sectPr>
          <w:pgSz w:w="11900" w:h="16838" w:orient="portrait"/>
          <w:cols w:equalWidth="0" w:num="2">
            <w:col w:w="5080" w:space="340"/>
            <w:col w:w="5820"/>
          </w:cols>
          <w:pgMar w:left="320" w:top="874" w:right="339"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110"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color w:val="auto"/>
        </w:rPr>
        <w:t>A signed original of this written statement required under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7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decimal"/>
      <w:start w:val="7"/>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1)"/>
      <w:numFmt w:val="decimal"/>
      <w:start w:val="3"/>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1."/>
      <w:numFmt w:val="decimal"/>
      <w:start w:val="15"/>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1)"/>
      <w:numFmt w:val="lowerLetter"/>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1."/>
      <w:numFmt w:val="lowerLetter"/>
      <w:start w:val="1"/>
    </w:lvl>
  </w:abstractNum>
  <w:abstractNum w:abstractNumId="27">
    <w:nsid w:val="7C3DBD3D"/>
    <w:multiLevelType w:val="hybridMultilevel"/>
    <w:lvl w:ilvl="0">
      <w:lvlJc w:val="left"/>
      <w:lvlText w:val="%1."/>
      <w:numFmt w:val="lowerLetter"/>
      <w:start w:val="2"/>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decimal"/>
      <w:start w:val="104"/>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2025-12-09T06:30:49Z</dcterms:created>
  <dcterms:modified xsi:type="dcterms:W3CDTF">2025-12-09T06:30:49Z</dcterms:modified>
</cp:coreProperties>
</file>