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39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ANNUAL REPORT PURSUANT TO SECTION 13 OR 15(d)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225" w:right="239" w:bottom="1440" w:gutter="0" w:footer="0" w:header="0"/>
        </w:sectPr>
      </w:pPr>
    </w:p>
    <w:p>
      <w:pPr>
        <w:spacing w:after="0" w:line="137"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For the Fiscal Year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July 28, 2019</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-2209800</wp:posOffset>
            </wp:positionH>
            <wp:positionV relativeFrom="paragraph">
              <wp:posOffset>34290</wp:posOffset>
            </wp:positionV>
            <wp:extent cx="147510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320" w:space="720"/>
            <w:col w:w="3380"/>
          </w:cols>
          <w:pgMar w:left="240" w:top="22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225"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225"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(856) 342-4800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25" w:right="239" w:bottom="1440" w:gutter="0" w:footer="0" w:header="0"/>
          <w:type w:val="continuous"/>
        </w:sectPr>
      </w:pPr>
    </w:p>
    <w:p>
      <w:pPr>
        <w:spacing w:after="0" w:line="176"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90" w:lineRule="exact"/>
        <w:rPr>
          <w:sz w:val="24"/>
          <w:szCs w:val="24"/>
          <w:color w:val="auto"/>
        </w:rPr>
      </w:pPr>
    </w:p>
    <w:p>
      <w:pPr>
        <w:sectPr>
          <w:pgSz w:w="11900" w:h="16838" w:orient="portrait"/>
          <w:cols w:equalWidth="0" w:num="3">
            <w:col w:w="4360" w:space="720"/>
            <w:col w:w="1240" w:space="440"/>
            <w:col w:w="4660"/>
          </w:cols>
          <w:pgMar w:left="240" w:top="225" w:right="239" w:bottom="1440" w:gutter="0" w:footer="0" w:header="0"/>
          <w:type w:val="continuous"/>
        </w:sectPr>
      </w:pPr>
    </w:p>
    <w:p>
      <w:pPr>
        <w:ind w:left="176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55" w:lineRule="exact"/>
        <w:rPr>
          <w:sz w:val="24"/>
          <w:szCs w:val="24"/>
          <w:color w:val="auto"/>
        </w:rPr>
      </w:pPr>
    </w:p>
    <w:p>
      <w:pPr>
        <w:sectPr>
          <w:pgSz w:w="11900" w:h="16838" w:orient="portrait"/>
          <w:cols w:equalWidth="0" w:num="3">
            <w:col w:w="4820" w:space="720"/>
            <w:col w:w="1280" w:space="720"/>
            <w:col w:w="388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ind w:left="340" w:right="168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 Indicate by check mark if the registrant is not required to file reports pursuant to Section 13 or 15(d) of the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4"/>
          <w:szCs w:val="14"/>
          <w:color w:val="auto"/>
        </w:rPr>
        <w:t>☑</w:t>
      </w:r>
      <w:r>
        <w:rPr>
          <w:rFonts w:ascii="Arial" w:cs="Arial" w:eastAsia="Arial" w:hAnsi="Arial"/>
          <w:sz w:val="16"/>
          <w:szCs w:val="16"/>
          <w:color w:val="auto"/>
        </w:rPr>
        <w:t xml:space="preserve"> No</w:t>
      </w:r>
    </w:p>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333333"/>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225"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225"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5" w:right="239" w:bottom="1440" w:gutter="0" w:footer="0" w:header="0"/>
          <w:type w:val="continuous"/>
        </w:sectPr>
      </w:pPr>
    </w:p>
    <w:p>
      <w:pPr>
        <w:spacing w:after="0" w:line="8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closing price on the New York Stock Exchange on January 25, 2019 (the last business day of the registrant’s most recently completed second fiscal quarter), the aggregate market value of capital stock held by non-affiliates of the registrant was approximately $6,542,735,608. There were 301,186,638 shares of capital stock outstanding as of September 18, 2019.</w:t>
      </w:r>
    </w:p>
    <w:p>
      <w:pPr>
        <w:spacing w:after="0" w:line="1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Portions of the Registrant’s Proxy Statement for the 2019 Annual Meeting of Shareholders are incorporated by reference into Part III.</w:t>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7"/>
                <w:szCs w:val="17"/>
                <w:color w:val="auto"/>
              </w:rPr>
            </w:pPr>
          </w:p>
        </w:tc>
      </w:tr>
      <w:tr>
        <w:trPr>
          <w:trHeight w:val="615"/>
        </w:trPr>
        <w:tc>
          <w:tcPr>
            <w:tcW w:w="4720" w:type="dxa"/>
            <w:vAlign w:val="bottom"/>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9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540" w:type="dxa"/>
            <w:vAlign w:val="bottom"/>
          </w:tcPr>
          <w:p>
            <w:pPr>
              <w:ind w:left="36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6">
              <w:r>
                <w:rPr>
                  <w:rFonts w:ascii="Arial" w:cs="Arial" w:eastAsia="Arial" w:hAnsi="Arial"/>
                  <w:sz w:val="18"/>
                  <w:szCs w:val="18"/>
                  <w:color w:val="0000EE"/>
                </w:rPr>
                <w:t>Item 1A. Risk Factors</w:t>
              </w:r>
            </w:hyperlink>
          </w:p>
        </w:tc>
        <w:tc>
          <w:tcPr>
            <w:tcW w:w="540" w:type="dxa"/>
            <w:vAlign w:val="bottom"/>
          </w:tcPr>
          <w:p>
            <w:pPr>
              <w:ind w:left="36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Item 1B. Unresolved Staff Comments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Item 2. Properties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Item 3. Legal Proceedings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2">
              <w:r>
                <w:rPr>
                  <w:rFonts w:ascii="Arial" w:cs="Arial" w:eastAsia="Arial" w:hAnsi="Arial"/>
                  <w:sz w:val="18"/>
                  <w:szCs w:val="18"/>
                  <w:color w:val="0000EE"/>
                </w:rPr>
                <w:t>Item 4. Mine Safety Disclosures</w:t>
              </w:r>
            </w:hyperlink>
          </w:p>
        </w:tc>
        <w:tc>
          <w:tcPr>
            <w:tcW w:w="540" w:type="dxa"/>
            <w:vAlign w:val="bottom"/>
          </w:tcPr>
          <w:p>
            <w:pPr>
              <w:ind w:left="36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2">
              <w:r>
                <w:rPr>
                  <w:rFonts w:ascii="Arial" w:cs="Arial" w:eastAsia="Arial" w:hAnsi="Arial"/>
                  <w:sz w:val="18"/>
                  <w:szCs w:val="18"/>
                  <w:color w:val="0000EE"/>
                </w:rPr>
                <w:t>Executive Officers of the Company</w:t>
              </w:r>
            </w:hyperlink>
          </w:p>
        </w:tc>
        <w:tc>
          <w:tcPr>
            <w:tcW w:w="540" w:type="dxa"/>
            <w:vAlign w:val="bottom"/>
          </w:tcPr>
          <w:p>
            <w:pPr>
              <w:ind w:left="36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PART 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Item 5. Market for Registrant’s Capital Stock, Related Shareholder Matters and Issuer Purchases of Equity Securities</w:t>
              </w:r>
            </w:hyperlink>
          </w:p>
        </w:tc>
        <w:tc>
          <w:tcPr>
            <w:tcW w:w="540" w:type="dxa"/>
            <w:vAlign w:val="bottom"/>
          </w:tcPr>
          <w:p>
            <w:pPr>
              <w:ind w:left="36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4">
              <w:r>
                <w:rPr>
                  <w:rFonts w:ascii="Arial" w:cs="Arial" w:eastAsia="Arial" w:hAnsi="Arial"/>
                  <w:sz w:val="18"/>
                  <w:szCs w:val="18"/>
                  <w:color w:val="0000EE"/>
                </w:rPr>
                <w:t>Item 6. Selected Financial Data</w:t>
              </w:r>
            </w:hyperlink>
          </w:p>
        </w:tc>
        <w:tc>
          <w:tcPr>
            <w:tcW w:w="540" w:type="dxa"/>
            <w:vAlign w:val="bottom"/>
          </w:tcPr>
          <w:p>
            <w:pPr>
              <w:ind w:left="36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6">
              <w:r>
                <w:rPr>
                  <w:rFonts w:ascii="Arial" w:cs="Arial" w:eastAsia="Arial" w:hAnsi="Arial"/>
                  <w:sz w:val="18"/>
                  <w:szCs w:val="18"/>
                  <w:color w:val="0000EE"/>
                </w:rPr>
                <w:t>Item 7. Management's Discussion and Analysis of Financial Condition and Results of Operations</w:t>
              </w:r>
            </w:hyperlink>
          </w:p>
        </w:tc>
        <w:tc>
          <w:tcPr>
            <w:tcW w:w="540" w:type="dxa"/>
            <w:vAlign w:val="bottom"/>
          </w:tcPr>
          <w:p>
            <w:pPr>
              <w:ind w:left="36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8">
              <w:r>
                <w:rPr>
                  <w:rFonts w:ascii="Arial" w:cs="Arial" w:eastAsia="Arial" w:hAnsi="Arial"/>
                  <w:sz w:val="18"/>
                  <w:szCs w:val="18"/>
                  <w:color w:val="0000EE"/>
                </w:rPr>
                <w:t>Item 7A. Quantitative and Qualitative Disclosure about Market Risk</w:t>
              </w:r>
            </w:hyperlink>
          </w:p>
        </w:tc>
        <w:tc>
          <w:tcPr>
            <w:tcW w:w="540" w:type="dxa"/>
            <w:vAlign w:val="bottom"/>
          </w:tcPr>
          <w:p>
            <w:pPr>
              <w:ind w:left="36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9">
              <w:r>
                <w:rPr>
                  <w:rFonts w:ascii="Arial" w:cs="Arial" w:eastAsia="Arial" w:hAnsi="Arial"/>
                  <w:sz w:val="18"/>
                  <w:szCs w:val="18"/>
                  <w:color w:val="0000EE"/>
                </w:rPr>
                <w:t>Item 8. Financial Statements and Supplementary Data</w:t>
              </w:r>
            </w:hyperlink>
          </w:p>
        </w:tc>
        <w:tc>
          <w:tcPr>
            <w:tcW w:w="540" w:type="dxa"/>
            <w:vAlign w:val="bottom"/>
          </w:tcPr>
          <w:p>
            <w:pPr>
              <w:ind w:left="36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0">
              <w:r>
                <w:rPr>
                  <w:rFonts w:ascii="Arial" w:cs="Arial" w:eastAsia="Arial" w:hAnsi="Arial"/>
                  <w:sz w:val="18"/>
                  <w:szCs w:val="18"/>
                  <w:color w:val="0000EE"/>
                </w:rPr>
                <w:t>Item 9. Changes in and Disagreements with Accountants on Accounting and Financial Disclosure</w:t>
              </w:r>
            </w:hyperlink>
          </w:p>
        </w:tc>
        <w:tc>
          <w:tcPr>
            <w:tcW w:w="540" w:type="dxa"/>
            <w:vAlign w:val="bottom"/>
          </w:tcPr>
          <w:p>
            <w:pPr>
              <w:ind w:left="36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0">
              <w:r>
                <w:rPr>
                  <w:rFonts w:ascii="Arial" w:cs="Arial" w:eastAsia="Arial" w:hAnsi="Arial"/>
                  <w:sz w:val="18"/>
                  <w:szCs w:val="18"/>
                  <w:color w:val="0000EE"/>
                </w:rPr>
                <w:t>Item 9A. Controls and Procedures</w:t>
              </w:r>
            </w:hyperlink>
          </w:p>
        </w:tc>
        <w:tc>
          <w:tcPr>
            <w:tcW w:w="540" w:type="dxa"/>
            <w:vAlign w:val="bottom"/>
          </w:tcPr>
          <w:p>
            <w:pPr>
              <w:ind w:left="36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0">
              <w:r>
                <w:rPr>
                  <w:rFonts w:ascii="Arial" w:cs="Arial" w:eastAsia="Arial" w:hAnsi="Arial"/>
                  <w:sz w:val="18"/>
                  <w:szCs w:val="18"/>
                  <w:color w:val="0000EE"/>
                </w:rPr>
                <w:t>Item 9B. Other Information</w:t>
              </w:r>
            </w:hyperlink>
          </w:p>
        </w:tc>
        <w:tc>
          <w:tcPr>
            <w:tcW w:w="540" w:type="dxa"/>
            <w:vAlign w:val="bottom"/>
          </w:tcPr>
          <w:p>
            <w:pPr>
              <w:ind w:left="36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PART III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0">
              <w:r>
                <w:rPr>
                  <w:rFonts w:ascii="Arial" w:cs="Arial" w:eastAsia="Arial" w:hAnsi="Arial"/>
                  <w:sz w:val="18"/>
                  <w:szCs w:val="18"/>
                  <w:color w:val="0000EE"/>
                </w:rPr>
                <w:t>Item 10. Directors, Executive Officers and Corporate Governance</w:t>
              </w:r>
            </w:hyperlink>
          </w:p>
        </w:tc>
        <w:tc>
          <w:tcPr>
            <w:tcW w:w="540" w:type="dxa"/>
            <w:vAlign w:val="bottom"/>
          </w:tcPr>
          <w:p>
            <w:pPr>
              <w:ind w:left="36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0">
              <w:r>
                <w:rPr>
                  <w:rFonts w:ascii="Arial" w:cs="Arial" w:eastAsia="Arial" w:hAnsi="Arial"/>
                  <w:sz w:val="18"/>
                  <w:szCs w:val="18"/>
                  <w:color w:val="0000EE"/>
                </w:rPr>
                <w:t>Item 11. Executive Compensation</w:t>
              </w:r>
            </w:hyperlink>
          </w:p>
        </w:tc>
        <w:tc>
          <w:tcPr>
            <w:tcW w:w="540" w:type="dxa"/>
            <w:vAlign w:val="bottom"/>
          </w:tcPr>
          <w:p>
            <w:pPr>
              <w:ind w:left="36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1">
              <w:r>
                <w:rPr>
                  <w:rFonts w:ascii="Arial" w:cs="Arial" w:eastAsia="Arial" w:hAnsi="Arial"/>
                  <w:sz w:val="18"/>
                  <w:szCs w:val="18"/>
                  <w:color w:val="0000EE"/>
                </w:rPr>
                <w:t>Item 12. Security Ownership of Certain Beneficial Owners and Management and Related Shareholder Matters</w:t>
              </w:r>
            </w:hyperlink>
          </w:p>
        </w:tc>
        <w:tc>
          <w:tcPr>
            <w:tcW w:w="540" w:type="dxa"/>
            <w:vAlign w:val="bottom"/>
          </w:tcPr>
          <w:p>
            <w:pPr>
              <w:ind w:left="360"/>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91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1">
              <w:r>
                <w:rPr>
                  <w:rFonts w:ascii="Arial" w:cs="Arial" w:eastAsia="Arial" w:hAnsi="Arial"/>
                  <w:sz w:val="18"/>
                  <w:szCs w:val="18"/>
                  <w:color w:val="0000EE"/>
                </w:rPr>
                <w:t>Item 13. Certain Relationships and Related Transactions, and Director Independence</w:t>
              </w:r>
            </w:hyperlink>
          </w:p>
        </w:tc>
        <w:tc>
          <w:tcPr>
            <w:tcW w:w="540" w:type="dxa"/>
            <w:vAlign w:val="bottom"/>
          </w:tcPr>
          <w:p>
            <w:pPr>
              <w:ind w:left="360"/>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91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1">
              <w:r>
                <w:rPr>
                  <w:rFonts w:ascii="Arial" w:cs="Arial" w:eastAsia="Arial" w:hAnsi="Arial"/>
                  <w:sz w:val="18"/>
                  <w:szCs w:val="18"/>
                  <w:color w:val="0000EE"/>
                </w:rPr>
                <w:t>Item 14. Principal Accounting Fees and Services</w:t>
              </w:r>
            </w:hyperlink>
          </w:p>
        </w:tc>
        <w:tc>
          <w:tcPr>
            <w:tcW w:w="540" w:type="dxa"/>
            <w:vAlign w:val="bottom"/>
          </w:tcPr>
          <w:p>
            <w:pPr>
              <w:ind w:left="360"/>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91</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PART IV</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1">
              <w:r>
                <w:rPr>
                  <w:rFonts w:ascii="Arial" w:cs="Arial" w:eastAsia="Arial" w:hAnsi="Arial"/>
                  <w:sz w:val="18"/>
                  <w:szCs w:val="18"/>
                  <w:color w:val="0000EE"/>
                </w:rPr>
                <w:t>Item 15. Exhibits and Financial Statement Schedules</w:t>
              </w:r>
            </w:hyperlink>
          </w:p>
        </w:tc>
        <w:tc>
          <w:tcPr>
            <w:tcW w:w="540" w:type="dxa"/>
            <w:vAlign w:val="bottom"/>
          </w:tcPr>
          <w:p>
            <w:pPr>
              <w:ind w:left="360"/>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91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2">
              <w:r>
                <w:rPr>
                  <w:rFonts w:ascii="Arial" w:cs="Arial" w:eastAsia="Arial" w:hAnsi="Arial"/>
                  <w:sz w:val="18"/>
                  <w:szCs w:val="18"/>
                  <w:color w:val="0000EE"/>
                </w:rPr>
                <w:t>Item 16. Form 10-K Summary</w:t>
              </w:r>
            </w:hyperlink>
          </w:p>
        </w:tc>
        <w:tc>
          <w:tcPr>
            <w:tcW w:w="540" w:type="dxa"/>
            <w:vAlign w:val="bottom"/>
          </w:tcPr>
          <w:p>
            <w:pPr>
              <w:ind w:left="360"/>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92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3">
              <w:r>
                <w:rPr>
                  <w:rFonts w:ascii="Arial" w:cs="Arial" w:eastAsia="Arial" w:hAnsi="Arial"/>
                  <w:sz w:val="18"/>
                  <w:szCs w:val="18"/>
                  <w:color w:val="0000EE"/>
                </w:rPr>
                <w:t>Index to Exhibits</w:t>
              </w:r>
            </w:hyperlink>
          </w:p>
        </w:tc>
        <w:tc>
          <w:tcPr>
            <w:tcW w:w="540" w:type="dxa"/>
            <w:vAlign w:val="bottom"/>
          </w:tcPr>
          <w:p>
            <w:pPr>
              <w:ind w:left="360"/>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540" w:type="dxa"/>
            <w:vAlign w:val="bottom"/>
          </w:tcPr>
          <w:p>
            <w:pPr>
              <w:ind w:left="360"/>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96</w:t>
              </w:r>
            </w:hyperlink>
          </w:p>
        </w:tc>
      </w:tr>
      <w:tr>
        <w:trPr>
          <w:trHeight w:val="918"/>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2015, we acquired the assets of Garden Fresh Gourmet. In 2018, we acquired Pacific Foods of Oregon, LLC and Snyder's-Lance, Inc. (Snyder's-Lance). See Note 4 to the Consolidated Financial Statements for additional information on our recent acquisitions.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2019, we announced our plan to divest our Campbell Fresh operating segment and our international biscuits and snacks operating segment. Within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Campbell Fresh operating segment, we:</w:t>
      </w:r>
    </w:p>
    <w:p>
      <w:pPr>
        <w:spacing w:after="0" w:line="184"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sold our U.S. refrigerated soup business on February 25, 2019;</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sold our Garden Fresh Gourmet business on April 25, 2019;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sold our Bolthouse Farms business on June 16, 2019.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Within our international biscuits and snacks operating segment, we:</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a definitive agreement for the sale of our Kelsen business on July 12, 2019, and completed the sale on September 23, 2019;</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signed a definitive agreement on August 1, 2019, for the sale of our Arnott’s business and certain other international operations, including the simple meals and shelf-stable beverages businesses in Australia and Asia Pacific (the Arnott’s and international operations);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signed a definitive agreement on September 18, 2019, for the sale of our European chips business.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to complete the sales of our pending divestitures in the first half of 2020 and use the net proceeds from the sales to reduce debt. See Note 3 to the Consolidated Financial Statements for additional information on our recently completed and pending divestitures. To support our more focused portfolio, we are pursuing multi-year cost savings initiatives with targeted annualized cost savings of $850 million from continuing operations by the end of 2022, which includes $295 million in synergies and run-rate cost savings from our acquisition of Snyder's-Lance. See "Management's Discussion and Analysis of Financial Condition and Results of Operations" for additional information regarding our cost savings initiatives.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U.S. refrigerated soup business, our Garden Fresh Gourmet business and our Bolthouse Farms business were historically included in the Campbell Fresh segment. Beginning in the third quarter of 2019, we have reflected the results of operations of these businesses as discontinued operations in the Consolidated Statements of Earnings for all periods presented. The assets and liabilities of these businesses have been reflected in assets and liabilities of discontinued operations in the Consolidated Balance Sheet as of July 29, 2018. A portion of the U.S refrigerated soup business historically included in Campbell Fresh was retained, and is now reported in Meals &amp; Beverages.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Beginning in the fourth quarter of 2019, we have reflected the results of operations of our Kelsen business and Arnott’s and international operations (collectively referred to as Campbell International) as discontinued operations in the Consolidated Statements of Earnings for all periods presented. The assets and liabilities of these businesses have been reflected in assets and liabilities of discontinued operations in the Consolidated Balance Sheets as of July 28, 2019, and July 29,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 in prior periods have been adjusted to conform to the current presentation.</w:t>
      </w:r>
    </w:p>
    <w:p>
      <w:pPr>
        <w:sectPr>
          <w:pgSz w:w="11900" w:h="16838" w:orient="portrait"/>
          <w:cols w:equalWidth="0" w:num="1">
            <w:col w:w="11420"/>
          </w:cols>
          <w:pgMar w:left="240" w:top="131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1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segments are aggregated based on similar economic characteristics, products, production processes, types or classes of customers, distribution methods, and regulatory environment. Our reportable segments are:</w:t>
      </w:r>
    </w:p>
    <w:p>
      <w:pPr>
        <w:spacing w:after="0" w:line="116"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non-dairy beverages and other simple meals;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 sauces;</w:t>
      </w:r>
      <w:r>
        <w:rPr>
          <w:rFonts w:ascii="Arial" w:cs="Arial" w:eastAsia="Arial" w:hAnsi="Arial"/>
          <w:sz w:val="18"/>
          <w:szCs w:val="18"/>
          <w:i w:val="1"/>
          <w:iCs w:val="1"/>
          <w:color w:val="auto"/>
        </w:rPr>
        <w:t xml:space="preserve"> Pace </w:t>
      </w:r>
      <w:r>
        <w:rPr>
          <w:rFonts w:ascii="Arial" w:cs="Arial" w:eastAsia="Arial" w:hAnsi="Arial"/>
          <w:sz w:val="18"/>
          <w:szCs w:val="18"/>
          <w:color w:val="auto"/>
        </w:rPr>
        <w:t>Mexican sauces;</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gravies, pasta, beans and dinner sauces;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canned poultry;</w:t>
      </w:r>
      <w:r>
        <w:rPr>
          <w:rFonts w:ascii="Arial" w:cs="Arial" w:eastAsia="Arial" w:hAnsi="Arial"/>
          <w:sz w:val="18"/>
          <w:szCs w:val="18"/>
          <w:i w:val="1"/>
          <w:iCs w:val="1"/>
          <w:color w:val="auto"/>
        </w:rPr>
        <w:t xml:space="preserve"> Plum </w:t>
      </w:r>
      <w:r>
        <w:rPr>
          <w:rFonts w:ascii="Arial" w:cs="Arial" w:eastAsia="Arial" w:hAnsi="Arial"/>
          <w:sz w:val="18"/>
          <w:szCs w:val="18"/>
          <w:color w:val="auto"/>
        </w:rPr>
        <w:t>baby food and snacks;</w:t>
      </w:r>
      <w:r>
        <w:rPr>
          <w:rFonts w:ascii="Arial" w:cs="Arial" w:eastAsia="Arial" w:hAnsi="Arial"/>
          <w:sz w:val="18"/>
          <w:szCs w:val="18"/>
          <w:i w:val="1"/>
          <w:iCs w:val="1"/>
          <w:color w:val="auto"/>
        </w:rPr>
        <w:t xml:space="preserve"> V8 </w:t>
      </w:r>
      <w:r>
        <w:rPr>
          <w:rFonts w:ascii="Arial" w:cs="Arial" w:eastAsia="Arial" w:hAnsi="Arial"/>
          <w:sz w:val="18"/>
          <w:szCs w:val="18"/>
          <w:color w:val="auto"/>
        </w:rPr>
        <w:t>juices and beverages; and</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tomato juice. The segment also includes the simple meals and shelf-stable beverages business in Latin</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w:t>
      </w:r>
    </w:p>
    <w:p>
      <w:pPr>
        <w:spacing w:after="0" w:line="13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Snacks, which consists of Pepperidge Farm cookies, crackers, fresh bakery and frozen products in U.S. retail, including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cookies and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pretzels,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and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potato chips,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w:t>
      </w:r>
      <w:r>
        <w:rPr>
          <w:rFonts w:ascii="Arial" w:cs="Arial" w:eastAsia="Arial" w:hAnsi="Arial"/>
          <w:sz w:val="18"/>
          <w:szCs w:val="18"/>
          <w:i w:val="1"/>
          <w:iCs w:val="1"/>
          <w:color w:val="auto"/>
        </w:rPr>
        <w:t>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Pretzel Crisps, Pop Secret </w:t>
      </w:r>
      <w:r>
        <w:rPr>
          <w:rFonts w:ascii="Arial" w:cs="Arial" w:eastAsia="Arial" w:hAnsi="Arial"/>
          <w:sz w:val="18"/>
          <w:szCs w:val="18"/>
          <w:color w:val="auto"/>
        </w:rPr>
        <w:t>popcorn,</w:t>
      </w:r>
      <w:r>
        <w:rPr>
          <w:rFonts w:ascii="Arial" w:cs="Arial" w:eastAsia="Arial" w:hAnsi="Arial"/>
          <w:sz w:val="18"/>
          <w:szCs w:val="18"/>
          <w:i w:val="1"/>
          <w:iCs w:val="1"/>
          <w:color w:val="auto"/>
        </w:rPr>
        <w:t xml:space="preserve"> Emerald </w:t>
      </w:r>
      <w:r>
        <w:rPr>
          <w:rFonts w:ascii="Arial" w:cs="Arial" w:eastAsia="Arial" w:hAnsi="Arial"/>
          <w:sz w:val="18"/>
          <w:szCs w:val="18"/>
          <w:color w:val="auto"/>
        </w:rPr>
        <w:t>nuts, and other snacking products in the U.S. and Canada. The segment also includes our European</w:t>
      </w:r>
      <w:r>
        <w:rPr>
          <w:rFonts w:ascii="Arial" w:cs="Arial" w:eastAsia="Arial" w:hAnsi="Arial"/>
          <w:sz w:val="18"/>
          <w:szCs w:val="18"/>
          <w:i w:val="1"/>
          <w:iCs w:val="1"/>
          <w:color w:val="auto"/>
        </w:rPr>
        <w:t xml:space="preserve"> </w:t>
      </w:r>
      <w:r>
        <w:rPr>
          <w:rFonts w:ascii="Arial" w:cs="Arial" w:eastAsia="Arial" w:hAnsi="Arial"/>
          <w:sz w:val="18"/>
          <w:szCs w:val="18"/>
          <w:color w:val="auto"/>
        </w:rPr>
        <w:t>chips business.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2020, our business in Latin America is managed as part of the Snacks segment. See Note 7 to the Consolidated Financial Statements and "Management's Discussion and Analysis of Financial Condition and Results of Operations" for additional information regarding our reportable segments.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Ingredients and Packaging</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ingredients and packaging materials required for the manufacture of our food and beverage products are purchased from various suppliers. These items are subject to price fluctuations from a number of factors, including changes in crop size, cattle cycles, crop disease, crop pests, product scarcity, demand for raw materials, commodity market speculation, energy costs, currency fluctuations,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and other factors that may be beyond our control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In addition, certain of the materials required for the manufacture of our products, including steel, have been or may be impacted by tariffs. At this time, we do not anticipate any material restrictions on the availability of ingredients or packaging that would have a significant impact on our businesses. For information on the impact of inflation, see "Management’s Discussion and Analysis of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most of our markets, sales and merchandising activities are conducted through our own sales force and/or third-party brokers and distribution partners. In the U.S., Canada and Latin America, our products are generally resold to consumers through retail food chains, mass discounters, mass merchandisers, club stores, convenience stores, drug stores, dollar stores, e-commerce and other retail, commercial and non-commercial establishments. Each of Pepperidge Farm and Snyder's-Lance also has a direct-store-delivery distribution model that uses independent contractor distributors. We make shipments promptly after acceptance of orders.</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five largest customers accounted for approximately 43% of our consolidated net sales from continuing operations in 2019, 46% in 2018 and 47% in 2017. Our largest customer, Wal-Mart Stores, Inc. and its affiliates, accounted for approximately 20% of our consolidated net sales from continuing operations in 2019, 22% in 2018 and 24% 2017. The Kroger Co. and its affiliates accounted for approximately 9% of our consolidated net sales from continuing operations in 2019 and 10% in 2018 and 2017. Both of our reportable segments sold products to Wal-Mart Stores, Inc. or its affiliates and The Kroger Co. or its affiliates. No other customer accounted for 10% or more of our consolidated net sales.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Technology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of September 18, 2019, we owned over 3,600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w:t>
      </w:r>
      <w:r>
        <w:rPr>
          <w:rFonts w:ascii="Arial" w:cs="Arial" w:eastAsia="Arial" w:hAnsi="Arial"/>
          <w:sz w:val="17"/>
          <w:szCs w:val="17"/>
          <w:i w:val="1"/>
          <w:iCs w:val="1"/>
          <w:color w:val="auto"/>
        </w:rPr>
        <w:t>Chunky</w:t>
      </w:r>
      <w:r>
        <w:rPr>
          <w:rFonts w:ascii="Arial" w:cs="Arial" w:eastAsia="Arial" w:hAnsi="Arial"/>
          <w:sz w:val="17"/>
          <w:szCs w:val="17"/>
          <w:color w:val="auto"/>
        </w:rPr>
        <w:t xml:space="preserve">, </w:t>
      </w:r>
      <w:r>
        <w:rPr>
          <w:rFonts w:ascii="Arial" w:cs="Arial" w:eastAsia="Arial" w:hAnsi="Arial"/>
          <w:sz w:val="17"/>
          <w:szCs w:val="17"/>
          <w:i w:val="1"/>
          <w:iCs w:val="1"/>
          <w:color w:val="auto"/>
        </w:rPr>
        <w:t>Emerald</w:t>
      </w:r>
      <w:r>
        <w:rPr>
          <w:rFonts w:ascii="Arial" w:cs="Arial" w:eastAsia="Arial" w:hAnsi="Arial"/>
          <w:sz w:val="17"/>
          <w:szCs w:val="17"/>
          <w:color w:val="auto"/>
        </w:rPr>
        <w:t xml:space="preserve">,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w:t>
      </w:r>
      <w:r>
        <w:rPr>
          <w:rFonts w:ascii="Arial" w:cs="Arial" w:eastAsia="Arial" w:hAnsi="Arial"/>
          <w:sz w:val="17"/>
          <w:szCs w:val="17"/>
          <w:i w:val="1"/>
          <w:iCs w:val="1"/>
          <w:color w:val="auto"/>
        </w:rPr>
        <w:t>Lance</w:t>
      </w:r>
      <w:r>
        <w:rPr>
          <w:rFonts w:ascii="Arial" w:cs="Arial" w:eastAsia="Arial" w:hAnsi="Arial"/>
          <w:sz w:val="17"/>
          <w:szCs w:val="17"/>
          <w:color w:val="auto"/>
        </w:rPr>
        <w:t xml:space="preserve">, </w:t>
      </w:r>
      <w:r>
        <w:rPr>
          <w:rFonts w:ascii="Arial" w:cs="Arial" w:eastAsia="Arial" w:hAnsi="Arial"/>
          <w:sz w:val="17"/>
          <w:szCs w:val="17"/>
          <w:i w:val="1"/>
          <w:iCs w:val="1"/>
          <w:color w:val="auto"/>
        </w:rPr>
        <w:t>Late July</w:t>
      </w:r>
      <w:r>
        <w:rPr>
          <w:rFonts w:ascii="Arial" w:cs="Arial" w:eastAsia="Arial" w:hAnsi="Arial"/>
          <w:sz w:val="17"/>
          <w:szCs w:val="17"/>
          <w:color w:val="auto"/>
        </w:rPr>
        <w:t xml:space="preserve">, </w:t>
      </w:r>
      <w:r>
        <w:rPr>
          <w:rFonts w:ascii="Arial" w:cs="Arial" w:eastAsia="Arial" w:hAnsi="Arial"/>
          <w:sz w:val="17"/>
          <w:szCs w:val="17"/>
          <w:i w:val="1"/>
          <w:iCs w:val="1"/>
          <w:color w:val="auto"/>
        </w:rPr>
        <w:t>Milano</w:t>
      </w:r>
      <w:r>
        <w:rPr>
          <w:rFonts w:ascii="Arial" w:cs="Arial" w:eastAsia="Arial" w:hAnsi="Arial"/>
          <w:sz w:val="17"/>
          <w:szCs w:val="17"/>
          <w:color w:val="auto"/>
        </w:rPr>
        <w:t>,</w:t>
      </w:r>
      <w:r>
        <w:rPr>
          <w:rFonts w:ascii="Arial" w:cs="Arial" w:eastAsia="Arial" w:hAnsi="Arial"/>
          <w:sz w:val="17"/>
          <w:szCs w:val="17"/>
          <w:i w:val="1"/>
          <w:iCs w:val="1"/>
          <w:color w:val="auto"/>
        </w:rPr>
        <w:t xml:space="preserve"> Pace</w:t>
      </w:r>
      <w:r>
        <w:rPr>
          <w:rFonts w:ascii="Arial" w:cs="Arial" w:eastAsia="Arial" w:hAnsi="Arial"/>
          <w:sz w:val="17"/>
          <w:szCs w:val="17"/>
          <w:color w:val="auto"/>
        </w:rPr>
        <w:t>,</w:t>
      </w:r>
      <w:r>
        <w:rPr>
          <w:rFonts w:ascii="Arial" w:cs="Arial" w:eastAsia="Arial" w:hAnsi="Arial"/>
          <w:sz w:val="17"/>
          <w:szCs w:val="17"/>
          <w:i w:val="1"/>
          <w:iCs w:val="1"/>
          <w:color w:val="auto"/>
        </w:rPr>
        <w:t xml:space="preserve"> Pacific Foods</w:t>
      </w:r>
      <w:r>
        <w:rPr>
          <w:rFonts w:ascii="Arial" w:cs="Arial" w:eastAsia="Arial" w:hAnsi="Arial"/>
          <w:sz w:val="17"/>
          <w:szCs w:val="17"/>
          <w:color w:val="auto"/>
        </w:rPr>
        <w:t>,</w:t>
      </w:r>
      <w:r>
        <w:rPr>
          <w:rFonts w:ascii="Arial" w:cs="Arial" w:eastAsia="Arial" w:hAnsi="Arial"/>
          <w:sz w:val="17"/>
          <w:szCs w:val="17"/>
          <w:i w:val="1"/>
          <w:iCs w:val="1"/>
          <w:color w:val="auto"/>
        </w:rPr>
        <w:t xml:space="preserve"> Pepperidge Farm</w:t>
      </w:r>
      <w:r>
        <w:rPr>
          <w:rFonts w:ascii="Arial" w:cs="Arial" w:eastAsia="Arial" w:hAnsi="Arial"/>
          <w:sz w:val="17"/>
          <w:szCs w:val="17"/>
          <w:color w:val="auto"/>
        </w:rPr>
        <w:t>,</w:t>
      </w:r>
      <w:r>
        <w:rPr>
          <w:rFonts w:ascii="Arial" w:cs="Arial" w:eastAsia="Arial" w:hAnsi="Arial"/>
          <w:sz w:val="17"/>
          <w:szCs w:val="17"/>
          <w:i w:val="1"/>
          <w:iCs w:val="1"/>
          <w:color w:val="auto"/>
        </w:rPr>
        <w:t xml:space="preserve"> Plum</w:t>
      </w:r>
      <w:r>
        <w:rPr>
          <w:rFonts w:ascii="Arial" w:cs="Arial" w:eastAsia="Arial" w:hAnsi="Arial"/>
          <w:sz w:val="17"/>
          <w:szCs w:val="17"/>
          <w:color w:val="auto"/>
        </w:rPr>
        <w:t>,</w:t>
      </w:r>
      <w:r>
        <w:rPr>
          <w:rFonts w:ascii="Arial" w:cs="Arial" w:eastAsia="Arial" w:hAnsi="Arial"/>
          <w:sz w:val="17"/>
          <w:szCs w:val="17"/>
          <w:i w:val="1"/>
          <w:iCs w:val="1"/>
          <w:color w:val="auto"/>
        </w:rPr>
        <w:t xml:space="preserve"> Pop Secret</w:t>
      </w:r>
      <w:r>
        <w:rPr>
          <w:rFonts w:ascii="Arial" w:cs="Arial" w:eastAsia="Arial" w:hAnsi="Arial"/>
          <w:sz w:val="17"/>
          <w:szCs w:val="17"/>
          <w:color w:val="auto"/>
        </w:rPr>
        <w:t>,</w:t>
      </w:r>
      <w:r>
        <w:rPr>
          <w:rFonts w:ascii="Arial" w:cs="Arial" w:eastAsia="Arial" w:hAnsi="Arial"/>
          <w:sz w:val="17"/>
          <w:szCs w:val="17"/>
          <w:i w:val="1"/>
          <w:iCs w:val="1"/>
          <w:color w:val="auto"/>
        </w:rPr>
        <w:t xml:space="preserve"> Prego</w:t>
      </w:r>
      <w:r>
        <w:rPr>
          <w:rFonts w:ascii="Arial" w:cs="Arial" w:eastAsia="Arial" w:hAnsi="Arial"/>
          <w:sz w:val="17"/>
          <w:szCs w:val="17"/>
          <w:color w:val="auto"/>
        </w:rPr>
        <w:t>,</w:t>
      </w:r>
      <w:r>
        <w:rPr>
          <w:rFonts w:ascii="Arial" w:cs="Arial" w:eastAsia="Arial" w:hAnsi="Arial"/>
          <w:sz w:val="17"/>
          <w:szCs w:val="17"/>
          <w:i w:val="1"/>
          <w:iCs w:val="1"/>
          <w:color w:val="auto"/>
        </w:rPr>
        <w:t xml:space="preserve"> Snack Factory Pretzel Crisps</w:t>
      </w:r>
      <w:r>
        <w:rPr>
          <w:rFonts w:ascii="Arial" w:cs="Arial" w:eastAsia="Arial" w:hAnsi="Arial"/>
          <w:sz w:val="17"/>
          <w:szCs w:val="17"/>
          <w:color w:val="auto"/>
        </w:rPr>
        <w:t>,</w:t>
      </w:r>
      <w:r>
        <w:rPr>
          <w:rFonts w:ascii="Arial" w:cs="Arial" w:eastAsia="Arial" w:hAnsi="Arial"/>
          <w:sz w:val="17"/>
          <w:szCs w:val="17"/>
          <w:i w:val="1"/>
          <w:iCs w:val="1"/>
          <w:color w:val="auto"/>
        </w:rPr>
        <w:t xml:space="preserve"> Snyder's of Hanover</w:t>
      </w:r>
      <w:r>
        <w:rPr>
          <w:rFonts w:ascii="Arial" w:cs="Arial" w:eastAsia="Arial" w:hAnsi="Arial"/>
          <w:sz w:val="17"/>
          <w:szCs w:val="17"/>
          <w:color w:val="auto"/>
        </w:rPr>
        <w:t>,</w:t>
      </w:r>
      <w:r>
        <w:rPr>
          <w:rFonts w:ascii="Arial" w:cs="Arial" w:eastAsia="Arial" w:hAnsi="Arial"/>
          <w:sz w:val="17"/>
          <w:szCs w:val="17"/>
          <w:i w:val="1"/>
          <w:iCs w:val="1"/>
          <w:color w:val="auto"/>
        </w:rPr>
        <w:t xml:space="preserve"> Swanson</w:t>
      </w:r>
      <w:r>
        <w:rPr>
          <w:rFonts w:ascii="Arial" w:cs="Arial" w:eastAsia="Arial" w:hAnsi="Arial"/>
          <w:sz w:val="17"/>
          <w:szCs w:val="17"/>
          <w:color w:val="auto"/>
        </w:rPr>
        <w:t>, and</w:t>
      </w:r>
      <w:r>
        <w:rPr>
          <w:rFonts w:ascii="Arial" w:cs="Arial" w:eastAsia="Arial" w:hAnsi="Arial"/>
          <w:sz w:val="17"/>
          <w:szCs w:val="17"/>
          <w:i w:val="1"/>
          <w:iCs w:val="1"/>
          <w:color w:val="auto"/>
        </w:rPr>
        <w:t xml:space="preserve"> V8</w:t>
      </w:r>
      <w:r>
        <w:rPr>
          <w:rFonts w:ascii="Arial" w:cs="Arial" w:eastAsia="Arial" w:hAnsi="Arial"/>
          <w:sz w:val="17"/>
          <w:szCs w:val="17"/>
          <w:color w:val="auto"/>
        </w:rPr>
        <w:t>, are protected</w:t>
      </w:r>
      <w:r>
        <w:rPr>
          <w:rFonts w:ascii="Arial" w:cs="Arial" w:eastAsia="Arial" w:hAnsi="Arial"/>
          <w:sz w:val="17"/>
          <w:szCs w:val="17"/>
          <w:i w:val="1"/>
          <w:iCs w:val="1"/>
          <w:color w:val="auto"/>
        </w:rPr>
        <w:t xml:space="preserve"> </w:t>
      </w:r>
      <w:r>
        <w:rPr>
          <w:rFonts w:ascii="Arial" w:cs="Arial" w:eastAsia="Arial" w:hAnsi="Arial"/>
          <w:sz w:val="17"/>
          <w:szCs w:val="17"/>
          <w:color w:val="auto"/>
        </w:rPr>
        <w:t>by trademark law in the major markets where they are used.</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1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relating to our cash flows from operations and working capital items, see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2019, our aggregate capital expenditures were $384 million. We expect to spend approximately $350 million for capital projects in 2020, which includes capital projects for Campbell International for the anticipated period of ownership. Major capital projects based on planned spend in 2020 include implementation of an SAP enterprise-resource planning system for Snyder's-Lance and a new manufacturing line for our snacks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manufacture and sale of consumer food products is highly regulated. In the U.S., our activities are subject to regulation by various federal government agencies, including the Food and Drug Administration, Department of Agriculture, Federal Trade Commission, Department of Labor, Department of Commerce and Environmental Protection Agency, as well as various state and local agencies. Our business is also regulated by similar agencies outside of the U.S. In addition, the current U.S. administration has implemented and is considering tariffs on certain imported commodities, including steel. In response, other countries have adopted and/or are considering countervailing tariffs on imported food and agriculture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requirements for the operation and design of our facilities that meet or exceed applicable environmental rules and regulations. Of our $384 million in capital expenditures made during 2019, approximately $29 million were for compliance with environmental laws and regulations in the U.S. We further estimate that approximately $13 million of the capital expenditures anticipated during 2020 will be for compliance with U.S. environmental laws and regulations. We believe that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Demand for soup products is seasonal, with the fall and winter months usually accounting for the highest sales volume. Demand for our other products is generally evenly distributed throughout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28, 2019, we had approximately 19,000 employees, which included approximately 4,200 employees of Campbell International.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primary corporate website can be found at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We make available free of charge at this website (under the "Investor Center — Financial Information — SEC Filings" caption) all of our reports (including amendments) filed or furnished pursuant to Section 13(a) or 15(d) of the Securities Exchange Act of 1934, as amended,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1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in all our product categories, which may result in lower sales and margins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and some of our competitors may spend more aggressively on advertising and promotional activities than we do. In addition, reduced barriers to entry and easier access to funding are creating new competition. A strong competitive response from one or more of these competitors to our marketplace efforts, or a continued shift towards private label offerings, could result in us reducing prices, increasing marketing or other expenditures, and/or losing market share, each of which may result in lower sales and margins.</w:t>
      </w:r>
    </w:p>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Finally, if we fail to rapidly develop products in faster-growing and more profitable categories, we could experience reduced demand for our products, or fail to expand margins.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our inability to complete or realize the projected benefits of divestitures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first half of 2020, we expect to complete the sale of our Arnott’s and international operations and use the net proceeds from this divestiture to reduce debt. Our ability to successfully divest this business depends upon, among other things, receiving all necessary regulatory approvals on the terms expected. In addition, any other businesses we decide to divest may depend in part on our ability to identify suitable buyers, negotiate favorable financial and other contractual terms and obtain all necessary regulatory approvals on the terms expected. Potential risks of divestitures may also include diversion of management's attention from other business concerns, loss of key suppliers and/or customers of divested businesses, the inability to separate divested businesses or business units effectively and efficiently from our existing business operations and the inability to reduce or eliminate associated overhead costs. If we are unable to complete or realize the projected benefits of planned and/or future divestitures, we may not be able to reduce our debt as planned and our business or financial results may be adversely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our substantial indebtedness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used the net proceeds from the businesses we sold in 2019 to reduce our debt and expect to use the net proceeds from the sale of Campbell International to further reduce debt. However, as of July 28, 2019, we maintained approximately $8.7 billion of indebtedness, and this level of indebtedness may have important consequences to our business, including but not limited to:</w:t>
      </w:r>
    </w:p>
    <w:p>
      <w:pPr>
        <w:spacing w:after="0" w:line="1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possibility of a downgrade in our credit rating;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exposure to fluctuations in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new financial and other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including undertaking significant capital projects;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as compared to our competitors, to the extent that they are not as highly leveraged;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restricting us from pursuing certain business opportunities, including other acquisitions.</w:t>
      </w:r>
    </w:p>
    <w:p>
      <w:pPr>
        <w:spacing w:after="0" w:line="1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regularly access the commercial paper markets for working capital needs and other general corporate purposes. If our credit ratings are downgraded, we may have difficulty selling additional debt securities or borrowing money in the amounts and on the terms that might be available if our credit ratings were maintained. See "Management's Discussion and Analysis of</w:t>
      </w:r>
    </w:p>
    <w:p>
      <w:pPr>
        <w:sectPr>
          <w:pgSz w:w="11900" w:h="16838" w:orient="portrait"/>
          <w:cols w:equalWidth="0" w:num="1">
            <w:col w:w="11420"/>
          </w:cols>
          <w:pgMar w:left="240" w:top="122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Financial Condition and Results of Operations - Liquidity and Capital Resources" for additional information regarding our indebtedness.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Disruptions in the commercial paper market or other effects of volatile economic conditions on the credit markets may also reduce the amount of commercial paper that we can issue and raise our borrowing costs for both short- and long-term debt offerings. There can be no assurance that we will have access to the capital markets on terms we find acceptable. Limitations on our ability to access the capital markets, a reduction in our liquidity or an increase in our borrowing costs may adversely affect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achieve our targeted cost savings, which may adversely affect our ability to grow margins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pursuing multi-year cost savings initiatives with targeted annualized cost savings of $850 million for continuing operations by the end of 2022, which includes $295 million in synergies and run-rate cost savings from our acquisition of Snyder's-Lance. These initiatives require a substantial amount of management and operational resources. Our management team must successfully execute the administrative and operational changes necessary to achieve the anticipated benefits of these initiatives, including the integration of Snyder's-Lance in an efficient and effective manner. In some respects, our plans to achieve these cost savings continue to be refined. See "Management's Discussion and Analysis of Financial Condition and Results of Operation - Restructuring Charges and Cost Savings Initiatives" for additional information on these initiatives. These and related demands on our resources may divert the organization's attention from other business issues, have adverse effects on existing business relationships with suppliers and customers and impact employee morale. Our success is partly dependent upon properly executing, and realizing cost savings or other benefits from, these often complex initiatives. Any failure to implement our initiatives could adversely affect our ability to grow margins.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increase prices to fully offset increases in the cost of transportation and logistics and prices of raw and packaging materials</w:t>
      </w:r>
    </w:p>
    <w:p>
      <w:pPr>
        <w:spacing w:after="0" w:line="19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cost of distribution has increased recently due to a rise in transportation and logistics costs, driven by excess demand, reduced availability and higher fuel costs. In addition, certain of the materials required for the manufacture of our products, including steel, have been or may be impacted by tariffs.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manufacturer of food and beverage products, the raw and packaging materials used in our business include tomato paste, grains, beef, poultry, dairy, potatoes and other vegetables, steel, glass, paper and resin. Many of these materials are subject to price fluctuations from a number of factors, including but not limited to changes in crop size, cattle cycles, crop disease, crop pests, product scarcity, demand for raw materials, commodity market speculation, energy costs, currency fluctuations, government-sponsored agricultural programs and other government policy, import and export requirements (including tariffs), drought and excessive rain, temperature extremes and other adverse weather events, water scarcity, scarcity of suitable agricultural land, scarcity of organic ingredients and other factors that may be beyond our control. We may not be able to offset any price increases through productivity or price increases or through our commodity hedging activity.</w:t>
      </w:r>
    </w:p>
    <w:p>
      <w:pPr>
        <w:spacing w:after="0" w:line="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try to pass along to customers some or all cost increases through increases in the selling prices of, or decreases in the packaging sizes of, some of our products. Higher product prices or smaller packaging sizes may result in reductions in sales volume. To the extent that price increases or packaging size decreases are not sufficient to offset these increased costs, and/or if they result in significant decreases in sales volume, our business results and financial condition may be adversely affected.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changing customer landscape and the increased significance of some of our customers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businesses are largely concentrated in the traditional retail grocery trade, which has experienced slower growth than other retail channels, such as dollar stores, drug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11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2019, our five largest customers accounted for approximately 43% of our consolidated net sales from continuing operations, with the largest customer, Wal-Mart Stores, Inc. and its affiliates, accounting for approximately 20% of our consolidated net sales from continuing operations. In addition, The Kroger Co. and its affiliates accounted for approximately 9% of our consolidated net sales from continuing operations in 2019.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results may be adversely impacted if consumers do not maintain their favorable perception of our brands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 to our supply chain could adversely affect our business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product or raw material scarcity, adverse weather conditions, natural disasters, fire, terrorism, pandemics, strikes, cybersecurity breaches, government shutdowns, disruptions in logistics, supplier capacity constraints or other events.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food products become adulterated or are mislabeled, we might need to recall those items, and we may experience product liability claims and damage to our reputation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of the carrying value of goodwill or other indefinite-lived intangible assets could adversely affect our financial results and net worth</w:t>
      </w:r>
    </w:p>
    <w:p>
      <w:pPr>
        <w:spacing w:after="0" w:line="1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July 28, 2019, we had goodwill of $4.678 billion and other indefinite-lived intangible assets of $2.753 billion, of which a total of $785 million relates to Campbell International and has been included in Noncurrent assets of discontinued operations.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the reporting unit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 We have, in the most recently completed and prior years, experienced impairment charges. See "Significant Accounting Estimates" and Notes 3 and 6 to the Consolidated Financial Statements for additional information on recent impairments. We may be required in the future to record additional impairment of the carrying value of goodwill or other indefinite-lived intangible assets, which could adversely affect our financial results and net worth.</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rights are valuable, and any inability to protect them could reduce the value of our products and brands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Our failure to obtain or adequately protect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0"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our intellectual property or any change in law that lessens or removes the current legal protections of our intellectual property may diminish our competitiveness and adversely affect our business and financial results.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increased liabilities and costs related to our defined benefit pension plans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or future funding requirements could have a material adverse effect on our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failure or security breach of our information technology systems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logistics, customer service, accounting and administrative functions. If we do not allocate and effectively manage the resources necessary to build, sustain and protect appropriate information technology systems, our business or financial results could be adversely impacted. Furthermore, our information technology systems may be vulnerable to attack or other security breaches (including the access to or acquisition of customer, consumer or other confidential information), service disruptions or other system failures. If we are unable to prevent or adequately respond to and resolve these breaches, disruptions or failures, our operations may be impacted, and we may suffer other adverse consequences such as reputational damage, litigation, remediation costs and/or penalties under various data protection laws and regulations.</w:t>
      </w:r>
    </w:p>
    <w:p>
      <w:pPr>
        <w:spacing w:after="0" w:line="4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To address the risks to our information technology systems and the associated costs, we maintain an information security program that includes updating technology and security policies, cyber insurance, employee training, and monitoring and routine testing of our information technology systems. We believe that these preventative actions provide adequate measures of protection against security breaches and generally reduce our cybersecurity risks. Although we have not experienced a material incident to date, there can be no assurance that these measures will prevent or limit the impact of a future incident. The cost to remediate damages to our information technology systems suffered as a result of a cyber attack could be significant.</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 If these service providers do not perform effectively due to breach or system failure, we may not be able to achieve the expected benefits and our business may be disrupted.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and retain the highly skilled people we need to support our business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 We also recently streamlined our business into a two-division operating model, which could lead to operational challenges and higher employee turnover.</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may be adversely affected by our inability to complete or realize the projected benefits of acquisitions and other strategic transactions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undertake additional acquisitions or other strategic transactions.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1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integrate acquired businesses into our existing operations in a timely and cost-efficient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4" w:right="239" w:bottom="1440" w:gutter="0" w:footer="0" w:header="0"/>
        </w:sectPr>
      </w:pPr>
    </w:p>
    <w:bookmarkStart w:id="9" w:name="page10"/>
    <w:bookmarkEnd w:id="9"/>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 suppliers and/or customers of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anticipated benefits, including revenues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costs of acquired businesses may be greater than expected;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promptly implement an effective control environment;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Conditions and Other General Risk Factors</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Actions of activist shareholders could cause us to incur substantial costs, divert management's attention and resources, and have an adverse effect on our business</w:t>
      </w:r>
    </w:p>
    <w:p>
      <w:pPr>
        <w:spacing w:after="0" w:line="11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were the target of activist shareholder activities in 2019. If these activities continue, our business could be adversely affected because responding to proxy contests and reacting to other actions by activist shareholders can be costly and time-consuming, disruptive to our operations and divert the attention of management and our employees. In addition, perceived uncertainties as to our future direction, strategy or leadership created as a consequence of activist shareholder initiatives may result in the loss of potential business opportunities, harm our ability to attract new investors, customers, employees, suppliers and other strategic partners, and cause our share price to experience periods of volatility or stagnation.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 financial and credit market disruptions and other economic conditions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 and consumer demand for our products may be impacted by weak economic conditions, recession, equity market volatility or other negative economic factors in the U.S. or other nations. Similarly, disruptions in financial and/or credit markets may impact our ability to manage normal commercial relationships with our customers, suppliers and creditors. In addition, changes in tax or interest rates in the U.S. or other nations, whether due to recession, economic disruptions or other reasons, may adversely impact us.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administering regulatory authority announced it intends to phase out London Interbank Offered Rate (LIBOR) by the end of 2021. Our variable rate debt and revolving credit facility use LIBOR as a benchmark for establishing interest rates. While we expect to have paid off our variable-rate debt and replaced or renegotiated our revolving credit facility by the end of 2021, we plan to incur additional indebtedness and/or negotiate new terms that will rely on an alternative method to LIBOR. Any legal or regulatory changes made in response to LIBOR’s future discontinuance may result in, among other things, a sudden or prolonged increase or decrease in LIBOR, a delay in the publication of LIBOR, or changes in the rules or methodologies in LIBOR. In addition, alternative methods to LIBOR may be impossible or impracticable to determine. While we do not expect that the transition from LIBOR and risks related thereto will have a material adverse effect on our financing costs, it is still uncertain at this time.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legal and regulatory proceedings or claims</w:t>
      </w:r>
    </w:p>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 party to a variety of legal and regulatory proceedings and claims arising out of the normal course of business. See Note 19 to the Consolidated Financial Statements for information regarding reportable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particular, the marketing of food products has come under increased scrutiny in recent years, and the food industry has been subject to an increasing number of proceedings and claims relating to alleged false or deceptive marketing under federal, state and foreign laws or regulations. Additionally, the independent contractor distribution model, which is used by Pepperidge Farm and Snyder’s-Lance,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or changes in law could adversely affect our business or financial results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Occupational Safety and Health Administration and the Environmental Protection Agency, as well as various state and local agencies. We are also regulated by similar agencies outside the U.S.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10" w:name="page11"/>
    <w:bookmarkEnd w:id="10"/>
    <w:p>
      <w:pPr>
        <w:jc w:val="both"/>
        <w:ind w:firstLine="324"/>
        <w:spacing w:after="0" w:line="257" w:lineRule="auto"/>
        <w:rPr>
          <w:sz w:val="20"/>
          <w:szCs w:val="20"/>
          <w:color w:val="auto"/>
        </w:rPr>
      </w:pPr>
      <w:r>
        <w:rPr>
          <w:rFonts w:ascii="Arial" w:cs="Arial" w:eastAsia="Arial" w:hAnsi="Arial"/>
          <w:sz w:val="18"/>
          <w:szCs w:val="18"/>
          <w:color w:val="auto"/>
        </w:rPr>
        <w:t>Governmental and administrative bodies within the U.S. are considering a variety of tax, trade and other regulatory reforms. Trade reforms include tariffs on certain materials used in the manufacture of our products and tariffs on certain finished products. Changes in legal or regulatory requirements (such as new food safety requirements and revised regulatory requirements for the labeling of nutrition facts, serving sizes and genetically modified ingredients), or evolving interpretations of existing legal or regulatory requirements, may result in increased compliance cost, capital expenditures and other financial obligations that could adversely affect our business and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 the 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Arizona</w:t>
            </w:r>
          </w:p>
        </w:tc>
        <w:tc>
          <w:tcPr>
            <w:tcW w:w="31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Indiana</w:t>
            </w:r>
          </w:p>
        </w:tc>
        <w:tc>
          <w:tcPr>
            <w:tcW w:w="2960" w:type="dxa"/>
            <w:vAlign w:val="bottom"/>
          </w:tcPr>
          <w:p>
            <w:pPr>
              <w:ind w:left="1220"/>
              <w:spacing w:after="0"/>
              <w:rPr>
                <w:sz w:val="20"/>
                <w:szCs w:val="20"/>
                <w:color w:val="auto"/>
              </w:rPr>
            </w:pPr>
            <w:r>
              <w:rPr>
                <w:rFonts w:ascii="Arial" w:cs="Arial" w:eastAsia="Arial" w:hAnsi="Arial"/>
                <w:sz w:val="18"/>
                <w:szCs w:val="18"/>
                <w:b w:val="1"/>
                <w:bCs w:val="1"/>
                <w:i w:val="1"/>
                <w:iCs w:val="1"/>
                <w:color w:val="auto"/>
              </w:rPr>
              <w:t>Pennsylvania</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Goodyear (S)</w:t>
            </w:r>
          </w:p>
        </w:tc>
        <w:tc>
          <w:tcPr>
            <w:tcW w:w="3160" w:type="dxa"/>
            <w:vAlign w:val="bottom"/>
          </w:tcPr>
          <w:p>
            <w:pPr>
              <w:ind w:left="700"/>
              <w:spacing w:after="0"/>
              <w:rPr>
                <w:sz w:val="20"/>
                <w:szCs w:val="20"/>
                <w:color w:val="auto"/>
              </w:rPr>
            </w:pPr>
            <w:r>
              <w:rPr>
                <w:rFonts w:ascii="Arial" w:cs="Arial" w:eastAsia="Arial" w:hAnsi="Arial"/>
                <w:sz w:val="18"/>
                <w:szCs w:val="18"/>
                <w:color w:val="auto"/>
              </w:rPr>
              <w:t>Jeffersonville (S)</w:t>
            </w:r>
          </w:p>
        </w:tc>
        <w:tc>
          <w:tcPr>
            <w:tcW w:w="2960" w:type="dxa"/>
            <w:vAlign w:val="bottom"/>
          </w:tcPr>
          <w:p>
            <w:pPr>
              <w:ind w:left="1300"/>
              <w:spacing w:after="0"/>
              <w:rPr>
                <w:sz w:val="20"/>
                <w:szCs w:val="20"/>
                <w:color w:val="auto"/>
              </w:rPr>
            </w:pPr>
            <w:r>
              <w:rPr>
                <w:rFonts w:ascii="Arial" w:cs="Arial" w:eastAsia="Arial" w:hAnsi="Arial"/>
                <w:sz w:val="18"/>
                <w:szCs w:val="18"/>
                <w:color w:val="auto"/>
              </w:rPr>
              <w:t>Denver (S)</w:t>
            </w:r>
          </w:p>
        </w:tc>
      </w:tr>
      <w:tr>
        <w:trPr>
          <w:trHeight w:val="270"/>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California</w:t>
            </w:r>
          </w:p>
        </w:tc>
        <w:tc>
          <w:tcPr>
            <w:tcW w:w="31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Massachusetts</w:t>
            </w:r>
          </w:p>
        </w:tc>
        <w:tc>
          <w:tcPr>
            <w:tcW w:w="2960" w:type="dxa"/>
            <w:vAlign w:val="bottom"/>
          </w:tcPr>
          <w:p>
            <w:pPr>
              <w:ind w:left="1300"/>
              <w:spacing w:after="0"/>
              <w:rPr>
                <w:sz w:val="20"/>
                <w:szCs w:val="20"/>
                <w:color w:val="auto"/>
              </w:rPr>
            </w:pPr>
            <w:r>
              <w:rPr>
                <w:rFonts w:ascii="Arial" w:cs="Arial" w:eastAsia="Arial" w:hAnsi="Arial"/>
                <w:sz w:val="18"/>
                <w:szCs w:val="18"/>
                <w:color w:val="auto"/>
              </w:rPr>
              <w:t>Downingtown (S)</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Dixon (MB)</w:t>
            </w:r>
          </w:p>
        </w:tc>
        <w:tc>
          <w:tcPr>
            <w:tcW w:w="3160" w:type="dxa"/>
            <w:vAlign w:val="bottom"/>
          </w:tcPr>
          <w:p>
            <w:pPr>
              <w:ind w:left="700"/>
              <w:spacing w:after="0"/>
              <w:rPr>
                <w:sz w:val="20"/>
                <w:szCs w:val="20"/>
                <w:color w:val="auto"/>
              </w:rPr>
            </w:pPr>
            <w:r>
              <w:rPr>
                <w:rFonts w:ascii="Arial" w:cs="Arial" w:eastAsia="Arial" w:hAnsi="Arial"/>
                <w:sz w:val="18"/>
                <w:szCs w:val="18"/>
                <w:color w:val="auto"/>
              </w:rPr>
              <w:t>Hyannis (S)</w:t>
            </w:r>
          </w:p>
        </w:tc>
        <w:tc>
          <w:tcPr>
            <w:tcW w:w="2960" w:type="dxa"/>
            <w:vAlign w:val="bottom"/>
          </w:tcPr>
          <w:p>
            <w:pPr>
              <w:ind w:left="1300"/>
              <w:spacing w:after="0"/>
              <w:rPr>
                <w:sz w:val="20"/>
                <w:szCs w:val="20"/>
                <w:color w:val="auto"/>
              </w:rPr>
            </w:pPr>
            <w:r>
              <w:rPr>
                <w:rFonts w:ascii="Arial" w:cs="Arial" w:eastAsia="Arial" w:hAnsi="Arial"/>
                <w:sz w:val="18"/>
                <w:szCs w:val="18"/>
                <w:color w:val="auto"/>
              </w:rPr>
              <w:t>Hanover (S)</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Stockton (MB)</w:t>
            </w:r>
          </w:p>
        </w:tc>
        <w:tc>
          <w:tcPr>
            <w:tcW w:w="31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North Carolina</w:t>
            </w:r>
          </w:p>
        </w:tc>
        <w:tc>
          <w:tcPr>
            <w:tcW w:w="2960" w:type="dxa"/>
            <w:vAlign w:val="bottom"/>
          </w:tcPr>
          <w:p>
            <w:pPr>
              <w:ind w:left="1220"/>
              <w:spacing w:after="0"/>
              <w:rPr>
                <w:sz w:val="20"/>
                <w:szCs w:val="20"/>
                <w:color w:val="auto"/>
              </w:rPr>
            </w:pPr>
            <w:r>
              <w:rPr>
                <w:rFonts w:ascii="Arial" w:cs="Arial" w:eastAsia="Arial" w:hAnsi="Arial"/>
                <w:sz w:val="18"/>
                <w:szCs w:val="18"/>
                <w:b w:val="1"/>
                <w:bCs w:val="1"/>
                <w:i w:val="1"/>
                <w:iCs w:val="1"/>
                <w:color w:val="auto"/>
              </w:rPr>
              <w:t>Texas</w:t>
            </w:r>
          </w:p>
        </w:tc>
      </w:tr>
      <w:tr>
        <w:trPr>
          <w:trHeight w:val="270"/>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Connecticut</w:t>
            </w:r>
          </w:p>
        </w:tc>
        <w:tc>
          <w:tcPr>
            <w:tcW w:w="3160" w:type="dxa"/>
            <w:vAlign w:val="bottom"/>
          </w:tcPr>
          <w:p>
            <w:pPr>
              <w:ind w:left="700"/>
              <w:spacing w:after="0"/>
              <w:rPr>
                <w:sz w:val="20"/>
                <w:szCs w:val="20"/>
                <w:color w:val="auto"/>
              </w:rPr>
            </w:pPr>
            <w:r>
              <w:rPr>
                <w:rFonts w:ascii="Arial" w:cs="Arial" w:eastAsia="Arial" w:hAnsi="Arial"/>
                <w:sz w:val="18"/>
                <w:szCs w:val="18"/>
                <w:color w:val="auto"/>
              </w:rPr>
              <w:t>Charlotte (S)</w:t>
            </w:r>
          </w:p>
        </w:tc>
        <w:tc>
          <w:tcPr>
            <w:tcW w:w="2960" w:type="dxa"/>
            <w:vAlign w:val="bottom"/>
          </w:tcPr>
          <w:p>
            <w:pPr>
              <w:ind w:left="1300"/>
              <w:spacing w:after="0"/>
              <w:rPr>
                <w:sz w:val="20"/>
                <w:szCs w:val="20"/>
                <w:color w:val="auto"/>
              </w:rPr>
            </w:pPr>
            <w:r>
              <w:rPr>
                <w:rFonts w:ascii="Arial" w:cs="Arial" w:eastAsia="Arial" w:hAnsi="Arial"/>
                <w:sz w:val="18"/>
                <w:szCs w:val="18"/>
                <w:color w:val="auto"/>
              </w:rPr>
              <w:t>Paris (MB)</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Bloomfield (S)</w:t>
            </w:r>
          </w:p>
        </w:tc>
        <w:tc>
          <w:tcPr>
            <w:tcW w:w="3160" w:type="dxa"/>
            <w:vAlign w:val="bottom"/>
          </w:tcPr>
          <w:p>
            <w:pPr>
              <w:ind w:left="700"/>
              <w:spacing w:after="0"/>
              <w:rPr>
                <w:sz w:val="20"/>
                <w:szCs w:val="20"/>
                <w:color w:val="auto"/>
              </w:rPr>
            </w:pPr>
            <w:r>
              <w:rPr>
                <w:rFonts w:ascii="Arial" w:cs="Arial" w:eastAsia="Arial" w:hAnsi="Arial"/>
                <w:sz w:val="18"/>
                <w:szCs w:val="18"/>
                <w:color w:val="auto"/>
              </w:rPr>
              <w:t>Maxton (MB)</w:t>
            </w:r>
          </w:p>
        </w:tc>
        <w:tc>
          <w:tcPr>
            <w:tcW w:w="2960" w:type="dxa"/>
            <w:vAlign w:val="bottom"/>
          </w:tcPr>
          <w:p>
            <w:pPr>
              <w:ind w:left="1220"/>
              <w:spacing w:after="0"/>
              <w:rPr>
                <w:sz w:val="20"/>
                <w:szCs w:val="20"/>
                <w:color w:val="auto"/>
              </w:rPr>
            </w:pPr>
            <w:r>
              <w:rPr>
                <w:rFonts w:ascii="Arial" w:cs="Arial" w:eastAsia="Arial" w:hAnsi="Arial"/>
                <w:sz w:val="18"/>
                <w:szCs w:val="18"/>
                <w:b w:val="1"/>
                <w:bCs w:val="1"/>
                <w:i w:val="1"/>
                <w:iCs w:val="1"/>
                <w:color w:val="auto"/>
              </w:rPr>
              <w:t>Utah</w:t>
            </w:r>
          </w:p>
        </w:tc>
      </w:tr>
      <w:tr>
        <w:trPr>
          <w:trHeight w:val="270"/>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Florida</w:t>
            </w:r>
          </w:p>
        </w:tc>
        <w:tc>
          <w:tcPr>
            <w:tcW w:w="31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Ohio</w:t>
            </w:r>
          </w:p>
        </w:tc>
        <w:tc>
          <w:tcPr>
            <w:tcW w:w="2960" w:type="dxa"/>
            <w:vAlign w:val="bottom"/>
          </w:tcPr>
          <w:p>
            <w:pPr>
              <w:ind w:left="1300"/>
              <w:spacing w:after="0"/>
              <w:rPr>
                <w:sz w:val="20"/>
                <w:szCs w:val="20"/>
                <w:color w:val="auto"/>
              </w:rPr>
            </w:pPr>
            <w:r>
              <w:rPr>
                <w:rFonts w:ascii="Arial" w:cs="Arial" w:eastAsia="Arial" w:hAnsi="Arial"/>
                <w:sz w:val="18"/>
                <w:szCs w:val="18"/>
                <w:color w:val="auto"/>
              </w:rPr>
              <w:t>Richmond (S)</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Lakeland (S)</w:t>
            </w:r>
          </w:p>
        </w:tc>
        <w:tc>
          <w:tcPr>
            <w:tcW w:w="3160" w:type="dxa"/>
            <w:vAlign w:val="bottom"/>
          </w:tcPr>
          <w:p>
            <w:pPr>
              <w:ind w:left="700"/>
              <w:spacing w:after="0"/>
              <w:rPr>
                <w:sz w:val="20"/>
                <w:szCs w:val="20"/>
                <w:color w:val="auto"/>
              </w:rPr>
            </w:pPr>
            <w:r>
              <w:rPr>
                <w:rFonts w:ascii="Arial" w:cs="Arial" w:eastAsia="Arial" w:hAnsi="Arial"/>
                <w:sz w:val="18"/>
                <w:szCs w:val="18"/>
                <w:color w:val="auto"/>
              </w:rPr>
              <w:t>Ashland (S)</w:t>
            </w:r>
          </w:p>
        </w:tc>
        <w:tc>
          <w:tcPr>
            <w:tcW w:w="2960" w:type="dxa"/>
            <w:vAlign w:val="bottom"/>
          </w:tcPr>
          <w:p>
            <w:pPr>
              <w:ind w:left="1220"/>
              <w:spacing w:after="0"/>
              <w:rPr>
                <w:sz w:val="20"/>
                <w:szCs w:val="20"/>
                <w:color w:val="auto"/>
              </w:rPr>
            </w:pPr>
            <w:r>
              <w:rPr>
                <w:rFonts w:ascii="Arial" w:cs="Arial" w:eastAsia="Arial" w:hAnsi="Arial"/>
                <w:sz w:val="18"/>
                <w:szCs w:val="18"/>
                <w:b w:val="1"/>
                <w:bCs w:val="1"/>
                <w:i w:val="1"/>
                <w:iCs w:val="1"/>
                <w:color w:val="auto"/>
              </w:rPr>
              <w:t>Wisconsin</w:t>
            </w:r>
          </w:p>
        </w:tc>
      </w:tr>
      <w:tr>
        <w:trPr>
          <w:trHeight w:val="270"/>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Georgia</w:t>
            </w:r>
          </w:p>
        </w:tc>
        <w:tc>
          <w:tcPr>
            <w:tcW w:w="3160" w:type="dxa"/>
            <w:vAlign w:val="bottom"/>
          </w:tcPr>
          <w:p>
            <w:pPr>
              <w:ind w:left="700"/>
              <w:spacing w:after="0"/>
              <w:rPr>
                <w:sz w:val="20"/>
                <w:szCs w:val="20"/>
                <w:color w:val="auto"/>
              </w:rPr>
            </w:pPr>
            <w:r>
              <w:rPr>
                <w:rFonts w:ascii="Arial" w:cs="Arial" w:eastAsia="Arial" w:hAnsi="Arial"/>
                <w:sz w:val="18"/>
                <w:szCs w:val="18"/>
                <w:color w:val="auto"/>
              </w:rPr>
              <w:t>Napoleon (MB)</w:t>
            </w:r>
          </w:p>
        </w:tc>
        <w:tc>
          <w:tcPr>
            <w:tcW w:w="2960" w:type="dxa"/>
            <w:vAlign w:val="bottom"/>
          </w:tcPr>
          <w:p>
            <w:pPr>
              <w:ind w:left="1300"/>
              <w:spacing w:after="0"/>
              <w:rPr>
                <w:sz w:val="20"/>
                <w:szCs w:val="20"/>
                <w:color w:val="auto"/>
              </w:rPr>
            </w:pPr>
            <w:r>
              <w:rPr>
                <w:rFonts w:ascii="Arial" w:cs="Arial" w:eastAsia="Arial" w:hAnsi="Arial"/>
                <w:sz w:val="18"/>
                <w:szCs w:val="18"/>
                <w:color w:val="auto"/>
              </w:rPr>
              <w:t>Beloit (S)</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Columbus (S)</w:t>
            </w:r>
          </w:p>
        </w:tc>
        <w:tc>
          <w:tcPr>
            <w:tcW w:w="3160" w:type="dxa"/>
            <w:vAlign w:val="bottom"/>
          </w:tcPr>
          <w:p>
            <w:pPr>
              <w:ind w:left="700"/>
              <w:spacing w:after="0"/>
              <w:rPr>
                <w:sz w:val="20"/>
                <w:szCs w:val="20"/>
                <w:color w:val="auto"/>
              </w:rPr>
            </w:pPr>
            <w:r>
              <w:rPr>
                <w:rFonts w:ascii="Arial" w:cs="Arial" w:eastAsia="Arial" w:hAnsi="Arial"/>
                <w:sz w:val="18"/>
                <w:szCs w:val="18"/>
                <w:color w:val="auto"/>
              </w:rPr>
              <w:t>Willard (S)</w:t>
            </w:r>
          </w:p>
        </w:tc>
        <w:tc>
          <w:tcPr>
            <w:tcW w:w="2960" w:type="dxa"/>
            <w:vAlign w:val="bottom"/>
          </w:tcPr>
          <w:p>
            <w:pPr>
              <w:ind w:left="1300"/>
              <w:spacing w:after="0"/>
              <w:rPr>
                <w:sz w:val="20"/>
                <w:szCs w:val="20"/>
                <w:color w:val="auto"/>
              </w:rPr>
            </w:pPr>
            <w:r>
              <w:rPr>
                <w:rFonts w:ascii="Arial" w:cs="Arial" w:eastAsia="Arial" w:hAnsi="Arial"/>
                <w:sz w:val="18"/>
                <w:szCs w:val="18"/>
                <w:color w:val="auto"/>
              </w:rPr>
              <w:t>Franklin (S)</w:t>
            </w:r>
          </w:p>
        </w:tc>
      </w:tr>
      <w:tr>
        <w:trPr>
          <w:trHeight w:val="270"/>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Illinois</w:t>
            </w:r>
          </w:p>
        </w:tc>
        <w:tc>
          <w:tcPr>
            <w:tcW w:w="31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Oregon</w:t>
            </w:r>
          </w:p>
        </w:tc>
        <w:tc>
          <w:tcPr>
            <w:tcW w:w="2960" w:type="dxa"/>
            <w:vAlign w:val="bottom"/>
          </w:tcPr>
          <w:p>
            <w:pPr>
              <w:ind w:left="1300"/>
              <w:spacing w:after="0"/>
              <w:rPr>
                <w:sz w:val="20"/>
                <w:szCs w:val="20"/>
                <w:color w:val="auto"/>
              </w:rPr>
            </w:pPr>
            <w:r>
              <w:rPr>
                <w:rFonts w:ascii="Arial" w:cs="Arial" w:eastAsia="Arial" w:hAnsi="Arial"/>
                <w:sz w:val="18"/>
                <w:szCs w:val="18"/>
                <w:color w:val="auto"/>
              </w:rPr>
              <w:t>Milwaukee (MB)</w:t>
            </w:r>
          </w:p>
        </w:tc>
      </w:tr>
      <w:tr>
        <w:trPr>
          <w:trHeight w:val="270"/>
        </w:trPr>
        <w:tc>
          <w:tcPr>
            <w:tcW w:w="3500" w:type="dxa"/>
            <w:vAlign w:val="bottom"/>
          </w:tcPr>
          <w:p>
            <w:pPr>
              <w:ind w:left="200"/>
              <w:spacing w:after="0"/>
              <w:rPr>
                <w:sz w:val="20"/>
                <w:szCs w:val="20"/>
                <w:color w:val="auto"/>
              </w:rPr>
            </w:pPr>
            <w:r>
              <w:rPr>
                <w:rFonts w:ascii="Arial" w:cs="Arial" w:eastAsia="Arial" w:hAnsi="Arial"/>
                <w:sz w:val="18"/>
                <w:szCs w:val="18"/>
                <w:color w:val="auto"/>
              </w:rPr>
              <w:t>Downers Grove (S)</w:t>
            </w:r>
          </w:p>
        </w:tc>
        <w:tc>
          <w:tcPr>
            <w:tcW w:w="3160" w:type="dxa"/>
            <w:vAlign w:val="bottom"/>
          </w:tcPr>
          <w:p>
            <w:pPr>
              <w:ind w:left="700"/>
              <w:spacing w:after="0"/>
              <w:rPr>
                <w:sz w:val="20"/>
                <w:szCs w:val="20"/>
                <w:color w:val="auto"/>
              </w:rPr>
            </w:pPr>
            <w:r>
              <w:rPr>
                <w:rFonts w:ascii="Arial" w:cs="Arial" w:eastAsia="Arial" w:hAnsi="Arial"/>
                <w:sz w:val="18"/>
                <w:szCs w:val="18"/>
                <w:color w:val="auto"/>
              </w:rPr>
              <w:t>Salem (S)</w:t>
            </w:r>
          </w:p>
        </w:tc>
        <w:tc>
          <w:tcPr>
            <w:tcW w:w="2960" w:type="dxa"/>
            <w:vAlign w:val="bottom"/>
          </w:tcPr>
          <w:p>
            <w:pPr>
              <w:spacing w:after="0"/>
              <w:rPr>
                <w:sz w:val="23"/>
                <w:szCs w:val="23"/>
                <w:color w:val="auto"/>
              </w:rPr>
            </w:pPr>
          </w:p>
        </w:tc>
      </w:tr>
      <w:tr>
        <w:trPr>
          <w:trHeight w:val="270"/>
        </w:trPr>
        <w:tc>
          <w:tcPr>
            <w:tcW w:w="3500" w:type="dxa"/>
            <w:vAlign w:val="bottom"/>
          </w:tcPr>
          <w:p>
            <w:pPr>
              <w:spacing w:after="0"/>
              <w:rPr>
                <w:sz w:val="23"/>
                <w:szCs w:val="23"/>
                <w:color w:val="auto"/>
              </w:rPr>
            </w:pPr>
          </w:p>
        </w:tc>
        <w:tc>
          <w:tcPr>
            <w:tcW w:w="3160" w:type="dxa"/>
            <w:vAlign w:val="bottom"/>
          </w:tcPr>
          <w:p>
            <w:pPr>
              <w:ind w:left="700"/>
              <w:spacing w:after="0"/>
              <w:rPr>
                <w:sz w:val="20"/>
                <w:szCs w:val="20"/>
                <w:color w:val="auto"/>
              </w:rPr>
            </w:pPr>
            <w:r>
              <w:rPr>
                <w:rFonts w:ascii="Arial" w:cs="Arial" w:eastAsia="Arial" w:hAnsi="Arial"/>
                <w:sz w:val="18"/>
                <w:szCs w:val="18"/>
                <w:color w:val="auto"/>
              </w:rPr>
              <w:t>Tualatin (MB)</w:t>
            </w:r>
          </w:p>
        </w:tc>
        <w:tc>
          <w:tcPr>
            <w:tcW w:w="2960" w:type="dxa"/>
            <w:vAlign w:val="bottom"/>
          </w:tcPr>
          <w:p>
            <w:pPr>
              <w:spacing w:after="0"/>
              <w:rPr>
                <w:sz w:val="23"/>
                <w:szCs w:val="23"/>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i w:val="1"/>
                <w:iCs w:val="1"/>
                <w:color w:val="auto"/>
              </w:rPr>
              <w:t>Outside the U.S.</w:t>
            </w:r>
          </w:p>
        </w:tc>
        <w:tc>
          <w:tcPr>
            <w:tcW w:w="31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8"/>
        </w:trPr>
        <w:tc>
          <w:tcPr>
            <w:tcW w:w="35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Australia</w:t>
            </w:r>
          </w:p>
        </w:tc>
        <w:tc>
          <w:tcPr>
            <w:tcW w:w="316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England</w:t>
            </w:r>
          </w:p>
        </w:tc>
        <w:tc>
          <w:tcPr>
            <w:tcW w:w="2960" w:type="dxa"/>
            <w:vAlign w:val="bottom"/>
          </w:tcPr>
          <w:p>
            <w:pPr>
              <w:ind w:left="1200"/>
              <w:spacing w:after="0"/>
              <w:rPr>
                <w:sz w:val="20"/>
                <w:szCs w:val="20"/>
                <w:color w:val="auto"/>
              </w:rPr>
            </w:pPr>
            <w:r>
              <w:rPr>
                <w:rFonts w:ascii="Arial" w:cs="Arial" w:eastAsia="Arial" w:hAnsi="Arial"/>
                <w:sz w:val="18"/>
                <w:szCs w:val="18"/>
                <w:b w:val="1"/>
                <w:bCs w:val="1"/>
                <w:i w:val="1"/>
                <w:iCs w:val="1"/>
                <w:color w:val="auto"/>
              </w:rPr>
              <w:t>Indonesia</w:t>
            </w:r>
          </w:p>
        </w:tc>
      </w:tr>
      <w:tr>
        <w:trPr>
          <w:trHeight w:val="270"/>
        </w:trPr>
        <w:tc>
          <w:tcPr>
            <w:tcW w:w="3500" w:type="dxa"/>
            <w:vAlign w:val="bottom"/>
          </w:tcPr>
          <w:p>
            <w:pPr>
              <w:ind w:left="220"/>
              <w:spacing w:after="0"/>
              <w:rPr>
                <w:sz w:val="20"/>
                <w:szCs w:val="20"/>
                <w:color w:val="auto"/>
              </w:rPr>
            </w:pPr>
            <w:r>
              <w:rPr>
                <w:rFonts w:ascii="Arial" w:cs="Arial" w:eastAsia="Arial" w:hAnsi="Arial"/>
                <w:sz w:val="18"/>
                <w:szCs w:val="18"/>
                <w:color w:val="auto"/>
              </w:rPr>
              <w:t>Huntingwood*</w:t>
            </w:r>
          </w:p>
        </w:tc>
        <w:tc>
          <w:tcPr>
            <w:tcW w:w="3160" w:type="dxa"/>
            <w:vAlign w:val="bottom"/>
          </w:tcPr>
          <w:p>
            <w:pPr>
              <w:ind w:left="680"/>
              <w:spacing w:after="0"/>
              <w:rPr>
                <w:sz w:val="20"/>
                <w:szCs w:val="20"/>
                <w:color w:val="auto"/>
              </w:rPr>
            </w:pPr>
            <w:r>
              <w:rPr>
                <w:rFonts w:ascii="Arial" w:cs="Arial" w:eastAsia="Arial" w:hAnsi="Arial"/>
                <w:sz w:val="18"/>
                <w:szCs w:val="18"/>
                <w:color w:val="auto"/>
              </w:rPr>
              <w:t>Norwich (S)*</w:t>
            </w:r>
          </w:p>
        </w:tc>
        <w:tc>
          <w:tcPr>
            <w:tcW w:w="2960" w:type="dxa"/>
            <w:vAlign w:val="bottom"/>
          </w:tcPr>
          <w:p>
            <w:pPr>
              <w:ind w:left="1280"/>
              <w:spacing w:after="0"/>
              <w:rPr>
                <w:sz w:val="20"/>
                <w:szCs w:val="20"/>
                <w:color w:val="auto"/>
              </w:rPr>
            </w:pPr>
            <w:r>
              <w:rPr>
                <w:rFonts w:ascii="Arial" w:cs="Arial" w:eastAsia="Arial" w:hAnsi="Arial"/>
                <w:sz w:val="18"/>
                <w:szCs w:val="18"/>
                <w:color w:val="auto"/>
              </w:rPr>
              <w:t>Bekasi*</w:t>
            </w:r>
          </w:p>
        </w:tc>
      </w:tr>
      <w:tr>
        <w:trPr>
          <w:trHeight w:val="270"/>
        </w:trPr>
        <w:tc>
          <w:tcPr>
            <w:tcW w:w="3500" w:type="dxa"/>
            <w:vAlign w:val="bottom"/>
          </w:tcPr>
          <w:p>
            <w:pPr>
              <w:ind w:left="220"/>
              <w:spacing w:after="0"/>
              <w:rPr>
                <w:sz w:val="20"/>
                <w:szCs w:val="20"/>
                <w:color w:val="auto"/>
              </w:rPr>
            </w:pPr>
            <w:r>
              <w:rPr>
                <w:rFonts w:ascii="Arial" w:cs="Arial" w:eastAsia="Arial" w:hAnsi="Arial"/>
                <w:sz w:val="18"/>
                <w:szCs w:val="18"/>
                <w:color w:val="auto"/>
              </w:rPr>
              <w:t>Marleston*</w:t>
            </w:r>
          </w:p>
        </w:tc>
        <w:tc>
          <w:tcPr>
            <w:tcW w:w="3160" w:type="dxa"/>
            <w:vAlign w:val="bottom"/>
          </w:tcPr>
          <w:p>
            <w:pPr>
              <w:ind w:left="680"/>
              <w:spacing w:after="0"/>
              <w:rPr>
                <w:sz w:val="20"/>
                <w:szCs w:val="20"/>
                <w:color w:val="auto"/>
              </w:rPr>
            </w:pPr>
            <w:r>
              <w:rPr>
                <w:rFonts w:ascii="Arial" w:cs="Arial" w:eastAsia="Arial" w:hAnsi="Arial"/>
                <w:sz w:val="18"/>
                <w:szCs w:val="18"/>
                <w:color w:val="auto"/>
              </w:rPr>
              <w:t>Wednesbury (S)*</w:t>
            </w:r>
          </w:p>
        </w:tc>
        <w:tc>
          <w:tcPr>
            <w:tcW w:w="2960" w:type="dxa"/>
            <w:vAlign w:val="bottom"/>
          </w:tcPr>
          <w:p>
            <w:pPr>
              <w:ind w:left="1220"/>
              <w:spacing w:after="0"/>
              <w:rPr>
                <w:sz w:val="20"/>
                <w:szCs w:val="20"/>
                <w:color w:val="auto"/>
              </w:rPr>
            </w:pPr>
            <w:r>
              <w:rPr>
                <w:rFonts w:ascii="Arial" w:cs="Arial" w:eastAsia="Arial" w:hAnsi="Arial"/>
                <w:sz w:val="18"/>
                <w:szCs w:val="18"/>
                <w:b w:val="1"/>
                <w:bCs w:val="1"/>
                <w:i w:val="1"/>
                <w:iCs w:val="1"/>
                <w:color w:val="auto"/>
              </w:rPr>
              <w:t>Malaysia</w:t>
            </w:r>
          </w:p>
        </w:tc>
      </w:tr>
      <w:tr>
        <w:trPr>
          <w:trHeight w:val="270"/>
        </w:trPr>
        <w:tc>
          <w:tcPr>
            <w:tcW w:w="3500" w:type="dxa"/>
            <w:vAlign w:val="bottom"/>
          </w:tcPr>
          <w:p>
            <w:pPr>
              <w:ind w:left="220"/>
              <w:spacing w:after="0"/>
              <w:rPr>
                <w:sz w:val="20"/>
                <w:szCs w:val="20"/>
                <w:color w:val="auto"/>
              </w:rPr>
            </w:pPr>
            <w:r>
              <w:rPr>
                <w:rFonts w:ascii="Arial" w:cs="Arial" w:eastAsia="Arial" w:hAnsi="Arial"/>
                <w:sz w:val="18"/>
                <w:szCs w:val="18"/>
                <w:color w:val="auto"/>
              </w:rPr>
              <w:t>Shepparton*</w:t>
            </w:r>
          </w:p>
        </w:tc>
        <w:tc>
          <w:tcPr>
            <w:tcW w:w="3160" w:type="dxa"/>
            <w:vAlign w:val="bottom"/>
          </w:tcPr>
          <w:p>
            <w:pPr>
              <w:spacing w:after="0"/>
              <w:rPr>
                <w:sz w:val="23"/>
                <w:szCs w:val="23"/>
                <w:color w:val="auto"/>
              </w:rPr>
            </w:pPr>
          </w:p>
        </w:tc>
        <w:tc>
          <w:tcPr>
            <w:tcW w:w="2960" w:type="dxa"/>
            <w:vAlign w:val="bottom"/>
          </w:tcPr>
          <w:p>
            <w:pPr>
              <w:ind w:left="1300"/>
              <w:spacing w:after="0"/>
              <w:rPr>
                <w:sz w:val="20"/>
                <w:szCs w:val="20"/>
                <w:color w:val="auto"/>
              </w:rPr>
            </w:pPr>
            <w:r>
              <w:rPr>
                <w:rFonts w:ascii="Arial" w:cs="Arial" w:eastAsia="Arial" w:hAnsi="Arial"/>
                <w:sz w:val="18"/>
                <w:szCs w:val="18"/>
                <w:color w:val="auto"/>
                <w:w w:val="89"/>
              </w:rPr>
              <w:t>Selangor Darul Ehsan*</w:t>
            </w:r>
          </w:p>
        </w:tc>
      </w:tr>
      <w:tr>
        <w:trPr>
          <w:trHeight w:val="270"/>
        </w:trPr>
        <w:tc>
          <w:tcPr>
            <w:tcW w:w="3500" w:type="dxa"/>
            <w:vAlign w:val="bottom"/>
          </w:tcPr>
          <w:p>
            <w:pPr>
              <w:ind w:left="220"/>
              <w:spacing w:after="0"/>
              <w:rPr>
                <w:sz w:val="20"/>
                <w:szCs w:val="20"/>
                <w:color w:val="auto"/>
              </w:rPr>
            </w:pPr>
            <w:r>
              <w:rPr>
                <w:rFonts w:ascii="Arial" w:cs="Arial" w:eastAsia="Arial" w:hAnsi="Arial"/>
                <w:sz w:val="18"/>
                <w:szCs w:val="18"/>
                <w:color w:val="auto"/>
              </w:rPr>
              <w:t>Virginia*</w:t>
            </w:r>
          </w:p>
        </w:tc>
        <w:tc>
          <w:tcPr>
            <w:tcW w:w="3160" w:type="dxa"/>
            <w:vAlign w:val="bottom"/>
          </w:tcPr>
          <w:p>
            <w:pPr>
              <w:spacing w:after="0"/>
              <w:rPr>
                <w:sz w:val="23"/>
                <w:szCs w:val="23"/>
                <w:color w:val="auto"/>
              </w:rPr>
            </w:pPr>
          </w:p>
        </w:tc>
        <w:tc>
          <w:tcPr>
            <w:tcW w:w="2960" w:type="dxa"/>
            <w:vAlign w:val="bottom"/>
          </w:tcPr>
          <w:p>
            <w:pPr>
              <w:spacing w:after="0"/>
              <w:rPr>
                <w:sz w:val="23"/>
                <w:szCs w:val="23"/>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6"/>
                <w:szCs w:val="16"/>
                <w:color w:val="auto"/>
              </w:rPr>
              <w:t>______________________________</w:t>
            </w:r>
          </w:p>
        </w:tc>
        <w:tc>
          <w:tcPr>
            <w:tcW w:w="316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MB - Meals &amp; Beverages</w:t>
            </w:r>
          </w:p>
        </w:tc>
        <w:tc>
          <w:tcPr>
            <w:tcW w:w="31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 - Snacks</w:t>
            </w:r>
          </w:p>
        </w:tc>
        <w:tc>
          <w:tcPr>
            <w:tcW w:w="31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 - Property part of pending divestitures</w:t>
            </w:r>
          </w:p>
        </w:tc>
        <w:tc>
          <w:tcPr>
            <w:tcW w:w="316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foregoing manufacturing facilities is company-owned, except the Tualatin, Oregon and Selangor Darul Ehsan, Malaysia facilities, which are leased. We also maintain principal business unit offices in Charlotte, North Carolina; Doral, Florida; Hanover, Pennsylvania; Norwalk, Connecticut; Tualatin, Oregon; North Strathfield, Australia; and Toronto, Canada. The principal business unit office in North Strathfield, Australia is included in the pending sale of the Arnott’s and international operations.</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19 to the Consolidated Financial Statements and incorporated herein by reference.</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1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our executive officers as of September 18,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0"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color w:val="auto"/>
        </w:rPr>
        <w:t>Carlos A. Abrams-Rivera, Senior Vice President and President, Campbell Snacks. President, Campbell Snacks (2018-2019). President of Pepperidge Farm (2015-2018). President, Gum &amp; Candy - Latin America of Mondelez International (2015). President, Mondelez Mexico of Mondelez International (2013-2015).</w:t>
      </w:r>
    </w:p>
    <w:p>
      <w:pPr>
        <w:spacing w:after="0" w:line="19" w:lineRule="exact"/>
        <w:rPr>
          <w:sz w:val="20"/>
          <w:szCs w:val="20"/>
          <w:color w:val="auto"/>
        </w:rPr>
      </w:pPr>
    </w:p>
    <w:p>
      <w:pPr>
        <w:jc w:val="both"/>
        <w:ind w:left="40"/>
        <w:spacing w:after="0" w:line="298" w:lineRule="auto"/>
        <w:rPr>
          <w:sz w:val="20"/>
          <w:szCs w:val="20"/>
          <w:color w:val="auto"/>
        </w:rPr>
      </w:pPr>
      <w:r>
        <w:rPr>
          <w:rFonts w:ascii="Arial" w:cs="Arial" w:eastAsia="Arial" w:hAnsi="Arial"/>
          <w:sz w:val="17"/>
          <w:szCs w:val="17"/>
          <w:color w:val="auto"/>
        </w:rPr>
        <w:t>Xavier F. Boza, Senior Vice President and Chief Human Resources Officer. Vice President, Human Resources of Campbell Soup Company (2015 - 2018). Regional Vice President, Human Resources of Kellogg Company (2013 - 2015).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40"/>
        <w:spacing w:after="0" w:line="298" w:lineRule="auto"/>
        <w:rPr>
          <w:sz w:val="20"/>
          <w:szCs w:val="20"/>
          <w:color w:val="auto"/>
        </w:rPr>
      </w:pPr>
      <w:r>
        <w:rPr>
          <w:rFonts w:ascii="Arial" w:cs="Arial" w:eastAsia="Arial" w:hAnsi="Arial"/>
          <w:sz w:val="17"/>
          <w:szCs w:val="17"/>
          <w:color w:val="auto"/>
        </w:rPr>
        <w:t>Mark A. Clouse, President and Chief Executive Officer. Chief Executive Officer of Pinnacle Foods, Inc. (2016 - 2018). Chief Commercial Officer (2016) and Executive Vice President and Chief Growth Officer (2014-2016) of Mondelez International, Inc.</w:t>
      </w:r>
    </w:p>
    <w:p>
      <w:pPr>
        <w:spacing w:after="0" w:line="1"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Adam G. Ciongoli, Senior Vice President and General Counsel. Executive Vice President and General Counsel of Lincoln Financial Group (2012 - 2015).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40"/>
        <w:spacing w:after="0" w:line="277" w:lineRule="auto"/>
        <w:rPr>
          <w:sz w:val="20"/>
          <w:szCs w:val="20"/>
          <w:color w:val="auto"/>
        </w:rPr>
      </w:pPr>
      <w:r>
        <w:rPr>
          <w:rFonts w:ascii="Arial" w:cs="Arial" w:eastAsia="Arial" w:hAnsi="Arial"/>
          <w:sz w:val="18"/>
          <w:szCs w:val="18"/>
          <w:color w:val="auto"/>
        </w:rPr>
        <w:t>Anthony P. DiSilvestro, Senior Vice President and Chief Financial Officer. We have employed Mr. DiSilvestro in an executive or managerial capacity for at least five years.</w:t>
      </w:r>
    </w:p>
    <w:p>
      <w:pPr>
        <w:spacing w:after="0" w:line="8"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Christopher D. Foley, Senior Vice President and President, Campbell Meals &amp; Beverages. We have employed Mr. Foley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40"/>
        <w:spacing w:after="0" w:line="277" w:lineRule="auto"/>
        <w:rPr>
          <w:sz w:val="20"/>
          <w:szCs w:val="20"/>
          <w:color w:val="auto"/>
        </w:rPr>
      </w:pPr>
      <w:r>
        <w:rPr>
          <w:rFonts w:ascii="Arial" w:cs="Arial" w:eastAsia="Arial" w:hAnsi="Arial"/>
          <w:sz w:val="18"/>
          <w:szCs w:val="18"/>
          <w:color w:val="auto"/>
        </w:rPr>
        <w:t>Robert J. Furbee, Senior Vice President, Global Supply Chain. We have employed Mr. Furbee in an executive or managerial capacity for at least five years.</w:t>
      </w:r>
    </w:p>
    <w:p>
      <w:pPr>
        <w:spacing w:after="0" w:line="8"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Craig S. Slavtcheff, Senior Vice President, Global R&amp;D. We have employed Mr. Slavtcheff in an executive or managerial capacity for at least five years.</w:t>
      </w:r>
    </w:p>
    <w:p>
      <w:pPr>
        <w:spacing w:after="0" w:line="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Capital Stock, Related Shareholder Matters and Issuer Purchases of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Registrant’s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Year First</w:t>
      </w:r>
    </w:p>
    <w:p>
      <w:pPr>
        <w:spacing w:after="0" w:line="3"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Appointed</w:t>
      </w:r>
    </w:p>
    <w:p>
      <w:pPr>
        <w:ind w:left="740"/>
        <w:spacing w:after="0"/>
        <w:rPr>
          <w:sz w:val="20"/>
          <w:szCs w:val="20"/>
          <w:color w:val="auto"/>
        </w:rPr>
      </w:pPr>
      <w:r>
        <w:rPr>
          <w:rFonts w:ascii="Arial" w:cs="Arial" w:eastAsia="Arial" w:hAnsi="Arial"/>
          <w:sz w:val="13"/>
          <w:szCs w:val="13"/>
          <w:b w:val="1"/>
          <w:bCs w:val="1"/>
          <w:color w:val="auto"/>
        </w:rPr>
        <w:t>Executive</w:t>
      </w: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u w:val="single" w:color="auto"/>
          <w:color w:val="auto"/>
        </w:rPr>
        <w:t>Officer</w:t>
      </w:r>
    </w:p>
    <w:p>
      <w:pPr>
        <w:spacing w:after="0" w:line="250"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2019</w:t>
      </w:r>
    </w:p>
    <w:p>
      <w:pPr>
        <w:spacing w:after="0" w:line="387"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2018</w:t>
      </w:r>
    </w:p>
    <w:p>
      <w:pPr>
        <w:spacing w:after="0" w:line="279"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2019</w:t>
      </w:r>
    </w:p>
    <w:p>
      <w:pPr>
        <w:spacing w:after="0" w:line="279"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2015</w:t>
      </w:r>
    </w:p>
    <w:p>
      <w:pPr>
        <w:spacing w:after="0" w:line="279"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2004</w:t>
      </w:r>
    </w:p>
    <w:p>
      <w:pPr>
        <w:spacing w:after="0" w:line="279"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2019</w:t>
      </w:r>
    </w:p>
    <w:p>
      <w:pPr>
        <w:spacing w:after="0" w:line="279" w:lineRule="exact"/>
        <w:rPr>
          <w:sz w:val="20"/>
          <w:szCs w:val="20"/>
          <w:color w:val="auto"/>
        </w:rPr>
      </w:pPr>
    </w:p>
    <w:p>
      <w:pPr>
        <w:ind w:left="860" w:hanging="829"/>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2017</w:t>
      </w:r>
    </w:p>
    <w:p>
      <w:pPr>
        <w:spacing w:after="0" w:line="279" w:lineRule="exact"/>
        <w:rPr>
          <w:rFonts w:ascii="Arial" w:cs="Arial" w:eastAsia="Arial" w:hAnsi="Arial"/>
          <w:sz w:val="18"/>
          <w:szCs w:val="18"/>
          <w:color w:val="auto"/>
        </w:rPr>
      </w:pPr>
    </w:p>
    <w:p>
      <w:pPr>
        <w:ind w:left="860" w:hanging="829"/>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2019</w:t>
      </w:r>
    </w:p>
    <w:p>
      <w:pPr>
        <w:spacing w:after="0" w:line="1197" w:lineRule="exact"/>
        <w:rPr>
          <w:sz w:val="20"/>
          <w:szCs w:val="20"/>
          <w:color w:val="auto"/>
        </w:rPr>
      </w:pPr>
    </w:p>
    <w:p>
      <w:pPr>
        <w:sectPr>
          <w:pgSz w:w="11900" w:h="16838" w:orient="portrait"/>
          <w:cols w:equalWidth="0" w:num="2">
            <w:col w:w="9560" w:space="260"/>
            <w:col w:w="1600"/>
          </w:cols>
          <w:pgMar w:left="240" w:top="1310" w:right="239" w:bottom="1440" w:gutter="0" w:footer="0" w:header="0"/>
        </w:sectPr>
      </w:pPr>
    </w:p>
    <w:p>
      <w:pPr>
        <w:jc w:val="both"/>
        <w:ind w:firstLine="324"/>
        <w:spacing w:after="0" w:line="277" w:lineRule="auto"/>
        <w:rPr>
          <w:sz w:val="20"/>
          <w:szCs w:val="20"/>
          <w:color w:val="auto"/>
        </w:rPr>
      </w:pPr>
      <w:r>
        <w:rPr>
          <w:rFonts w:ascii="Arial" w:cs="Arial" w:eastAsia="Arial" w:hAnsi="Arial"/>
          <w:sz w:val="18"/>
          <w:szCs w:val="18"/>
          <w:color w:val="auto"/>
        </w:rPr>
        <w:t>Our capital stock is traded on the New York Stock Exchange under the symbol "CPB." On September 18, 2019, there were 17,529 holders of record of our capital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Shareholders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Performance Graph</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August 1, 2014, in each of our stock, the S&amp;P 500 and the S&amp;P Packaged Foods Group, and that all dividends were reinvested. The total cumulative dollar returns shown on the graph represent the value that such investments would have had on July 28, 2019.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0" w:right="2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1255395</wp:posOffset>
            </wp:positionH>
            <wp:positionV relativeFrom="page">
              <wp:posOffset>791845</wp:posOffset>
            </wp:positionV>
            <wp:extent cx="5257165" cy="343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25716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hanging="92"/>
        <w:spacing w:after="0"/>
        <w:tabs>
          <w:tab w:leader="none" w:pos="10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Stock appreciation plus dividend reinvestment.</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113</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118</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137</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174</w:t>
            </w:r>
          </w:p>
        </w:tc>
      </w:tr>
      <w:tr>
        <w:trPr>
          <w:trHeight w:val="27"/>
        </w:trPr>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Packaged Foods Group</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138</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141</w:t>
            </w:r>
          </w:p>
        </w:tc>
      </w:tr>
      <w:tr>
        <w:trPr>
          <w:trHeight w:val="27"/>
        </w:trPr>
        <w:tc>
          <w:tcPr>
            <w:tcW w:w="58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4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8"/>
                <w:szCs w:val="8"/>
                <w:b w:val="1"/>
                <w:bCs w:val="1"/>
                <w:color w:val="auto"/>
              </w:rPr>
              <w:t>(1)</w:t>
            </w:r>
          </w:p>
        </w:tc>
        <w:tc>
          <w:tcPr>
            <w:tcW w:w="260" w:type="dxa"/>
            <w:vAlign w:val="bottom"/>
          </w:tcPr>
          <w:p>
            <w:pPr>
              <w:spacing w:after="0"/>
              <w:rPr>
                <w:sz w:val="14"/>
                <w:szCs w:val="14"/>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(2)</w:t>
            </w:r>
          </w:p>
        </w:tc>
        <w:tc>
          <w:tcPr>
            <w:tcW w:w="24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(3)</w:t>
            </w:r>
          </w:p>
        </w:tc>
        <w:tc>
          <w:tcPr>
            <w:tcW w:w="240" w:type="dxa"/>
            <w:vAlign w:val="bottom"/>
          </w:tcPr>
          <w:p>
            <w:pPr>
              <w:spacing w:after="0"/>
              <w:rPr>
                <w:sz w:val="14"/>
                <w:szCs w:val="14"/>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(4)</w:t>
            </w:r>
          </w:p>
        </w:tc>
        <w:tc>
          <w:tcPr>
            <w:tcW w:w="280" w:type="dxa"/>
            <w:vAlign w:val="bottom"/>
          </w:tcPr>
          <w:p>
            <w:pPr>
              <w:spacing w:after="0"/>
              <w:rPr>
                <w:sz w:val="14"/>
                <w:szCs w:val="14"/>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vMerge w:val="continue"/>
          </w:tcPr>
          <w:p>
            <w:pPr>
              <w:spacing w:after="0"/>
              <w:rPr>
                <w:sz w:val="22"/>
                <w:szCs w:val="22"/>
                <w:color w:val="auto"/>
              </w:rPr>
            </w:pPr>
          </w:p>
        </w:tc>
        <w:tc>
          <w:tcPr>
            <w:tcW w:w="60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Summary of Operations</w:t>
            </w:r>
          </w:p>
        </w:tc>
        <w:tc>
          <w:tcPr>
            <w:tcW w:w="16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72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70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8,107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5,868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979</w:t>
            </w: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1,010</w:t>
            </w: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1,431</w:t>
            </w: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Earnings before taxes</w:t>
            </w:r>
          </w:p>
        </w:tc>
        <w:tc>
          <w:tcPr>
            <w:tcW w:w="16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625</w:t>
            </w:r>
          </w:p>
        </w:tc>
        <w:tc>
          <w:tcPr>
            <w:tcW w:w="2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1,316</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751</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474</w:t>
            </w: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724</w:t>
            </w: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924</w:t>
            </w: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509</w:t>
            </w: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211</w:t>
            </w: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261</w:t>
            </w: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887</w:t>
            </w: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211</w:t>
            </w:r>
          </w:p>
        </w:tc>
        <w:tc>
          <w:tcPr>
            <w:tcW w:w="2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13,148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14,529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7,726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gridSpan w:val="3"/>
            <w:shd w:val="clear" w:color="auto" w:fill="BFE4FF"/>
          </w:tcPr>
          <w:p>
            <w:pPr>
              <w:ind w:left="20"/>
              <w:spacing w:after="0" w:line="270" w:lineRule="exact"/>
              <w:rPr>
                <w:sz w:val="20"/>
                <w:szCs w:val="20"/>
                <w:color w:val="auto"/>
              </w:rPr>
            </w:pPr>
            <w:r>
              <w:rPr>
                <w:rFonts w:ascii="Arial" w:cs="Arial" w:eastAsia="Arial" w:hAnsi="Arial"/>
                <w:sz w:val="18"/>
                <w:szCs w:val="18"/>
                <w:color w:val="auto"/>
              </w:rPr>
              <w:t>Total debt</w:t>
            </w:r>
            <w:r>
              <w:rPr>
                <w:rFonts w:ascii="Arial" w:cs="Arial" w:eastAsia="Arial" w:hAnsi="Arial"/>
                <w:sz w:val="25"/>
                <w:szCs w:val="25"/>
                <w:color w:val="auto"/>
                <w:vertAlign w:val="superscript"/>
              </w:rPr>
              <w:t>(6)</w:t>
            </w:r>
          </w:p>
        </w:tc>
        <w:tc>
          <w:tcPr>
            <w:tcW w:w="160" w:type="dxa"/>
            <w:vAlign w:val="bottom"/>
            <w:shd w:val="clear" w:color="auto" w:fill="BFE4FF"/>
          </w:tcPr>
          <w:p>
            <w:pPr>
              <w:spacing w:after="0"/>
              <w:rPr>
                <w:sz w:val="23"/>
                <w:szCs w:val="23"/>
                <w:color w:val="auto"/>
              </w:rPr>
            </w:pPr>
          </w:p>
        </w:tc>
        <w:tc>
          <w:tcPr>
            <w:tcW w:w="740" w:type="dxa"/>
            <w:vAlign w:val="bottom"/>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8,712</w:t>
            </w:r>
          </w:p>
        </w:tc>
        <w:tc>
          <w:tcPr>
            <w:tcW w:w="260" w:type="dxa"/>
            <w:vAlign w:val="bottom"/>
            <w:shd w:val="clear" w:color="auto" w:fill="BFE4FF"/>
          </w:tcPr>
          <w:p>
            <w:pPr>
              <w:spacing w:after="0"/>
              <w:rPr>
                <w:sz w:val="23"/>
                <w:szCs w:val="23"/>
                <w:color w:val="auto"/>
              </w:rPr>
            </w:pPr>
          </w:p>
        </w:tc>
        <w:tc>
          <w:tcPr>
            <w:tcW w:w="74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9,894</w:t>
            </w:r>
          </w:p>
        </w:tc>
        <w:tc>
          <w:tcPr>
            <w:tcW w:w="240" w:type="dxa"/>
            <w:vAlign w:val="bottom"/>
            <w:shd w:val="clear" w:color="auto" w:fill="BFE4FF"/>
          </w:tcPr>
          <w:p>
            <w:pPr>
              <w:spacing w:after="0"/>
              <w:rPr>
                <w:sz w:val="23"/>
                <w:szCs w:val="23"/>
                <w:color w:val="auto"/>
              </w:rPr>
            </w:pPr>
          </w:p>
        </w:tc>
        <w:tc>
          <w:tcPr>
            <w:tcW w:w="74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BFE4FF"/>
          </w:tcPr>
          <w:p>
            <w:pPr>
              <w:spacing w:after="0"/>
              <w:rPr>
                <w:sz w:val="23"/>
                <w:szCs w:val="23"/>
                <w:color w:val="auto"/>
              </w:rPr>
            </w:pPr>
          </w:p>
        </w:tc>
        <w:tc>
          <w:tcPr>
            <w:tcW w:w="72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3,533</w:t>
            </w:r>
          </w:p>
        </w:tc>
        <w:tc>
          <w:tcPr>
            <w:tcW w:w="280" w:type="dxa"/>
            <w:vAlign w:val="bottom"/>
            <w:shd w:val="clear" w:color="auto" w:fill="BFE4FF"/>
          </w:tcPr>
          <w:p>
            <w:pPr>
              <w:spacing w:after="0"/>
              <w:rPr>
                <w:sz w:val="23"/>
                <w:szCs w:val="23"/>
                <w:color w:val="auto"/>
              </w:rPr>
            </w:pPr>
          </w:p>
        </w:tc>
        <w:tc>
          <w:tcPr>
            <w:tcW w:w="70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1,112</w:t>
            </w:r>
          </w:p>
        </w:tc>
        <w:tc>
          <w:tcPr>
            <w:tcW w:w="2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1,645</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1,533</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gridSpan w:val="3"/>
          </w:tcPr>
          <w:p>
            <w:pPr>
              <w:ind w:left="20"/>
              <w:spacing w:after="0"/>
              <w:rPr>
                <w:sz w:val="20"/>
                <w:szCs w:val="20"/>
                <w:color w:val="auto"/>
              </w:rPr>
            </w:pPr>
            <w:r>
              <w:rPr>
                <w:rFonts w:ascii="Arial" w:cs="Arial" w:eastAsia="Arial" w:hAnsi="Arial"/>
                <w:sz w:val="18"/>
                <w:szCs w:val="18"/>
                <w:color w:val="auto"/>
                <w:w w:val="95"/>
              </w:rPr>
              <w:t>Earnings from continuing operations attributable to Campbell Soup Company -</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1.57</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basic</w:t>
            </w:r>
          </w:p>
        </w:tc>
        <w:tc>
          <w:tcPr>
            <w:tcW w:w="1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3.03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gridSpan w:val="3"/>
            <w:shd w:val="clear" w:color="auto" w:fill="BFE4FF"/>
          </w:tcPr>
          <w:p>
            <w:pPr>
              <w:ind w:left="20"/>
              <w:spacing w:after="0"/>
              <w:rPr>
                <w:sz w:val="20"/>
                <w:szCs w:val="20"/>
                <w:color w:val="auto"/>
              </w:rPr>
            </w:pPr>
            <w:r>
              <w:rPr>
                <w:rFonts w:ascii="Arial" w:cs="Arial" w:eastAsia="Arial" w:hAnsi="Arial"/>
                <w:sz w:val="18"/>
                <w:szCs w:val="18"/>
                <w:color w:val="auto"/>
                <w:w w:val="95"/>
              </w:rPr>
              <w:t>Earnings from continuing operations attributable to Campbell Soup Company -</w:t>
            </w:r>
          </w:p>
        </w:tc>
        <w:tc>
          <w:tcPr>
            <w:tcW w:w="160" w:type="dxa"/>
            <w:vAlign w:val="bottom"/>
            <w:shd w:val="clear" w:color="auto" w:fill="BFE4FF"/>
          </w:tcPr>
          <w:p>
            <w:pPr>
              <w:spacing w:after="0"/>
              <w:rPr>
                <w:sz w:val="19"/>
                <w:szCs w:val="19"/>
                <w:color w:val="auto"/>
              </w:rPr>
            </w:pPr>
          </w:p>
        </w:tc>
        <w:tc>
          <w:tcPr>
            <w:tcW w:w="740" w:type="dxa"/>
            <w:vAlign w:val="bottom"/>
            <w:vMerge w:val="restart"/>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1.57</w:t>
            </w:r>
          </w:p>
        </w:tc>
        <w:tc>
          <w:tcPr>
            <w:tcW w:w="260" w:type="dxa"/>
            <w:vAlign w:val="bottom"/>
            <w:shd w:val="clear" w:color="auto" w:fill="BFE4FF"/>
          </w:tcPr>
          <w:p>
            <w:pPr>
              <w:spacing w:after="0"/>
              <w:rPr>
                <w:sz w:val="19"/>
                <w:szCs w:val="19"/>
                <w:color w:val="auto"/>
              </w:rPr>
            </w:pPr>
          </w:p>
        </w:tc>
        <w:tc>
          <w:tcPr>
            <w:tcW w:w="74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4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7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assuming dilution</w:t>
            </w:r>
          </w:p>
        </w:tc>
        <w:tc>
          <w:tcPr>
            <w:tcW w:w="16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vMerge w:val="continue"/>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BFE4FF"/>
            </w:tcBorders>
            <w:shd w:val="clear" w:color="auto" w:fill="BFE4FF"/>
          </w:tcPr>
          <w:p>
            <w:pPr>
              <w:spacing w:after="0"/>
              <w:rPr>
                <w:sz w:val="20"/>
                <w:szCs w:val="20"/>
                <w:color w:val="auto"/>
              </w:rPr>
            </w:pPr>
          </w:p>
        </w:tc>
        <w:tc>
          <w:tcPr>
            <w:tcW w:w="7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Net earnings attributable to Campbell Soup Company - basic</w:t>
            </w:r>
          </w:p>
        </w:tc>
        <w:tc>
          <w:tcPr>
            <w:tcW w:w="16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.70</w:t>
            </w:r>
          </w:p>
        </w:tc>
        <w:tc>
          <w:tcPr>
            <w:tcW w:w="2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Net earnings attributable to Campbell Soup Company - assuming dilution</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.70</w:t>
            </w: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2.89</w:t>
            </w: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1.40</w:t>
            </w:r>
          </w:p>
        </w:tc>
        <w:tc>
          <w:tcPr>
            <w:tcW w:w="2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Other Statistics</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384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338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b w:val="1"/>
                <w:bCs w:val="1"/>
                <w:color w:val="auto"/>
              </w:rPr>
              <w:t>301</w:t>
            </w:r>
          </w:p>
        </w:tc>
        <w:tc>
          <w:tcPr>
            <w:tcW w:w="26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309</w:t>
            </w:r>
          </w:p>
        </w:tc>
        <w:tc>
          <w:tcPr>
            <w:tcW w:w="28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302</w:t>
            </w:r>
          </w:p>
        </w:tc>
        <w:tc>
          <w:tcPr>
            <w:tcW w:w="2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 per share amounts below are on a diluted basis)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25, 2019, we sold our U.S. refrigerated soup business, and on April 25, 2019, we sold our Garden Fresh Gourmet business. On June 16, 2019, we sold our Bolthouse Farms business. We have reflected the results of these businesses as discontinued operations in the Consolidated Statements of Earnings for all periods presented. The assets and liabilities of these businesses have been reflected in assets and liabilities of discontinued operations as of July 29, 2018. Within our international biscuits and snacks operating segment, we signed a definitive agreement for the sale of our Kelsen business on July 12, 2019. We also signed a definitive agreement on August 1, 2019, for the sale of our Arnott’s business and certain other international operations, including the simple meals and shelf-stable beverages businesses in Australia and Asia Pacific. We have reflected the results of operations of the Kelsen business and the Arnott’s and international operations (collectively referred to as Campbell International) as discontinued operations in the Consolidated Statements of Earnings for all periods presented. The assets and liabilities of these businesses have been reflected in assets and liabilities of discontinued operations in the Consolidated Balance Sheets as of July 28, 2019, and July 29, 2018.</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2014, the Financial Accounting Standards Board (FASB) issued revised guidance on the recognition of revenue from contracts with customers. We adopted the guidance in the first quarter of 2019 using the modified retrospective method.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FASB issued guidance that changes the presentation of net periodic pension cost and net periodic postretirement benefit cost. The guidance also allows only the service cost component to be eligible for capitalization when applicable (for example, as a cost of internally manufactured inventory). We adopted the guidance in the first quarter of 2018 and retrospectively adjusted prior periods.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We adopted the guidance in 2017 and retrospectively adjusted prior periods.</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10" w:right="239" w:bottom="1440" w:gutter="0" w:footer="0" w:header="0"/>
          <w:type w:val="continuous"/>
        </w:sectPr>
      </w:pPr>
    </w:p>
    <w:bookmarkStart w:id="14" w:name="page15"/>
    <w:bookmarkEnd w:id="14"/>
    <w:p>
      <w:pPr>
        <w:spacing w:after="0" w:line="334" w:lineRule="auto"/>
        <w:rPr>
          <w:sz w:val="20"/>
          <w:szCs w:val="20"/>
          <w:color w:val="auto"/>
        </w:rPr>
      </w:pPr>
      <w:r>
        <w:rPr>
          <w:rFonts w:ascii="Arial" w:cs="Arial" w:eastAsia="Arial" w:hAnsi="Arial"/>
          <w:sz w:val="16"/>
          <w:szCs w:val="16"/>
          <w:color w:val="auto"/>
        </w:rPr>
        <w:t>In April 2015, the FASB issued guidance that requires debt issuance costs to be presented in the balance sheet as a reduction from the carrying value of the associated debt liability, consistent with the presentation of a debt discount. We adopted the guidance in 2016 and retrospectively adjusted prior periods.</w:t>
      </w:r>
    </w:p>
    <w:p>
      <w:pPr>
        <w:spacing w:after="0" w:line="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November 2015, the FASB issued guidance that requires deferred tax liabilities and assets to be classified as noncurrent in the balance sheet. We adopted the guidance in 2016 on a prospective basis and modified the presentation of deferred taxes in the Consolidated Balance Sheet as of July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All fiscal years consisted of 52 weeks.</w:t>
      </w:r>
    </w:p>
    <w:p>
      <w:pPr>
        <w:spacing w:after="0" w:line="90" w:lineRule="exact"/>
        <w:rPr>
          <w:sz w:val="20"/>
          <w:szCs w:val="20"/>
          <w:color w:val="auto"/>
        </w:rPr>
      </w:pPr>
    </w:p>
    <w:p>
      <w:pPr>
        <w:jc w:val="both"/>
        <w:ind w:left="340" w:hanging="332"/>
        <w:spacing w:after="0" w:line="272"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2019 earnings from continuing operations attributable to Campbell Soup Company were impacted by the following: a restructuring charge and costs of $92 million ($.30 per share) associated with restructuring and cost savings initiatives; impairment charges of $13 million ($.04 per share) related to the European chips business; a pension settlement charge of $22 million ($.07 per share); losses of $93 million ($.31 per share) associated with mark-to-market adjustments for defined benefit pension and postretirement plans; and a tax charge of $2 million ($.01 per share) due to the enactment of the Tax Cuts and Jobs Act that was signed into law in December 2017 (the Act). Loss from discontinued operations was impacted by the following: impairment charges of $275 million ($.91 per share) related to Campbell Fresh; expenses of $51 million ($.17 per share) associated with the sale process of the businesses in Campbell Fresh, including losses on the sale of the businesses, and on deferred tax assets that were not realizable; impairment charges of $12 million ($.04 per share) related to Kelsen; costs of $10 million ($.03 per share) associated with the planned divestiture of Campbell International; and losses of $9 million ($.03 per share) associated with mark-to-market adjustments for defined benefit pension plans.</w:t>
      </w:r>
    </w:p>
    <w:p>
      <w:pPr>
        <w:spacing w:after="0" w:line="4" w:lineRule="exact"/>
        <w:rPr>
          <w:rFonts w:ascii="Arial" w:cs="Arial" w:eastAsia="Arial" w:hAnsi="Arial"/>
          <w:sz w:val="22"/>
          <w:szCs w:val="22"/>
          <w:color w:val="auto"/>
          <w:vertAlign w:val="superscript"/>
        </w:rPr>
      </w:pPr>
    </w:p>
    <w:p>
      <w:pPr>
        <w:jc w:val="both"/>
        <w:ind w:left="340" w:hanging="332"/>
        <w:spacing w:after="0" w:line="253" w:lineRule="auto"/>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 xml:space="preserve">The 2018 earnings from continuing operations attributable to Campbell Soup Company were impacted by the following: a restructuring charge and costs of $132 million ($.44 per share) associated with restructuring and cost savings initiatives; gains of $100 million ($.33 per share) associated with mark-to-market adjustments for defined benefit pension and postretirement plans; impairment charges of $41 million ($.14 per share) related to the </w:t>
      </w:r>
      <w:r>
        <w:rPr>
          <w:rFonts w:ascii="Arial" w:cs="Arial" w:eastAsia="Arial" w:hAnsi="Arial"/>
          <w:sz w:val="17"/>
          <w:szCs w:val="17"/>
          <w:i w:val="1"/>
          <w:iCs w:val="1"/>
          <w:color w:val="auto"/>
        </w:rPr>
        <w:t>Plum</w:t>
      </w:r>
      <w:r>
        <w:rPr>
          <w:rFonts w:ascii="Arial" w:cs="Arial" w:eastAsia="Arial" w:hAnsi="Arial"/>
          <w:sz w:val="17"/>
          <w:szCs w:val="17"/>
          <w:color w:val="auto"/>
        </w:rPr>
        <w:t xml:space="preserve"> trademark; transaction and integration costs of $73 million ($.24 per share) associated with the acquisition of Snyder's-Lance; a net tax benefit of $126 million ($.42 per share) due to the enactment of the Act; and a loss of $15 million ($.05 per share) related to the settlement of a legal claim. Loss from discontinued operations was impacted by the following: a restructuring charge and costs of $4 million ($.01 per share) associated with restructuring and cost savings initiatives; impairment charges of $571 million ($1.89 per share) related to the Bolthouse Farms refrigerated beverages and salad dressings reporting unit, the deli reporting unit, and the Bolthouse Farms carrot and carrot ingredients reporting unit; and gains of $3 million ($.01 per share) associated with mark-to-market and curtailment adjustments for defined benefit pension plans.</w:t>
      </w:r>
    </w:p>
    <w:p>
      <w:pPr>
        <w:spacing w:after="0" w:line="5" w:lineRule="exact"/>
        <w:rPr>
          <w:rFonts w:ascii="Arial" w:cs="Arial" w:eastAsia="Arial" w:hAnsi="Arial"/>
          <w:sz w:val="24"/>
          <w:szCs w:val="24"/>
          <w:color w:val="auto"/>
          <w:vertAlign w:val="superscript"/>
        </w:rPr>
      </w:pPr>
    </w:p>
    <w:p>
      <w:pPr>
        <w:jc w:val="both"/>
        <w:ind w:left="340" w:hanging="332"/>
        <w:spacing w:after="0" w:line="269"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2017 earnings from continuing operations attributable to Campbell Soup Company were impacted by the following: a restructuring charge and costs of $30 million ($.10 per share) associated with restructuring and cost savings initiatives; gains of $100 million ($.33 per share) associated with mark-to-market adjustments for defined benefit pension and postretirement plans; and a tax benefit of $52 million ($.17 per share) primarily associated with the sale of intercompany notes receivable to a financial institution. Loss from discontinued operations were impacted by the following: a restructuring charge and costs of $7 million ($.02 per share) associated with restructuring and cost savings initiatives; impairment charges of $180 million ($.59 per share) related to the intangible assets of the Bolthouse Farms carrot and carrot ingredients reporting unit and the Garden Fresh Gourmet reporting unit; a reduction to interest expense of $4 million ($.01 per share) primarily associated with the sale of intercompany notes receivable to a financial institution; and gains of $16 million ($.05 per share) associated with mark-to-market adjustments for defined benefit pension plans.</w:t>
      </w:r>
    </w:p>
    <w:p>
      <w:pPr>
        <w:spacing w:after="0" w:line="1" w:lineRule="exact"/>
        <w:rPr>
          <w:rFonts w:ascii="Arial" w:cs="Arial" w:eastAsia="Arial" w:hAnsi="Arial"/>
          <w:sz w:val="22"/>
          <w:szCs w:val="22"/>
          <w:color w:val="auto"/>
          <w:vertAlign w:val="superscript"/>
        </w:rPr>
      </w:pPr>
    </w:p>
    <w:p>
      <w:pPr>
        <w:jc w:val="both"/>
        <w:ind w:left="340" w:hanging="332"/>
        <w:spacing w:after="0" w:line="248" w:lineRule="auto"/>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2016 earnings from continuing operations attributable to Campbell Soup Company were impacted by the following: a restructuring charge and costs of $49 million ($.16 per share) associated with restructuring and cost savings initiatives; and losses of $187 million ($.60 per share) associated with mark-to-market adjustments for defined benefit pension and postretirement plans. Earnings from discontinued operations were impacted by the following: impairment charges of $127 million ($.41 per share) related to the intangible assets of the Bolthouse Farms carrot and carrot ingredients reporting unit; losses of $13 million ($.04 per share) associated with mark-to-market adjustments for defined benefit pension plans; and a gain of $25 million ($.08 per share) associated with a settlement of a claim related to the Kelsen acquisition.</w:t>
      </w:r>
    </w:p>
    <w:p>
      <w:pPr>
        <w:spacing w:after="0" w:line="1" w:lineRule="exact"/>
        <w:rPr>
          <w:rFonts w:ascii="Arial" w:cs="Arial" w:eastAsia="Arial" w:hAnsi="Arial"/>
          <w:sz w:val="24"/>
          <w:szCs w:val="24"/>
          <w:color w:val="auto"/>
          <w:vertAlign w:val="superscript"/>
        </w:rPr>
      </w:pPr>
    </w:p>
    <w:p>
      <w:pPr>
        <w:jc w:val="both"/>
        <w:ind w:left="340" w:hanging="332"/>
        <w:spacing w:after="0" w:line="232"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2015 earnings from continuing operations attributable to Campbell Soup Company were impacted by the following: a restructuring charge and costs of $76 million ($.24 per share) associated with restructuring and cost savings initiatives and losses of $86 million ($.27 per share) associated with mark-to-market adjustments for defined benefit pension and postretirement plans. Earnings from discontinued operations were impacted by the following: a restructuring charge of $2 million ($.01 per share) associated with restructuring and cost savings initiatives and losses of $1 million associated with mark-to-market adjustments for defined benefit pension plans.</w:t>
      </w:r>
    </w:p>
    <w:p>
      <w:pPr>
        <w:spacing w:after="0" w:line="2" w:lineRule="exact"/>
        <w:rPr>
          <w:rFonts w:ascii="Arial" w:cs="Arial" w:eastAsia="Arial" w:hAnsi="Arial"/>
          <w:sz w:val="25"/>
          <w:szCs w:val="25"/>
          <w:color w:val="auto"/>
          <w:vertAlign w:val="superscript"/>
        </w:rPr>
      </w:pPr>
    </w:p>
    <w:p>
      <w:pPr>
        <w:ind w:left="340" w:right="20" w:hanging="332"/>
        <w:spacing w:after="0" w:line="209"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Total debt includes debt related to discontinued operations. In 2019 and 2018, debt related to discontinued operations was $238 million and $378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should be read in conjunction with the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33" w:right="239" w:bottom="1440" w:gutter="0" w:footer="0" w:header="0"/>
        </w:sectPr>
      </w:pPr>
    </w:p>
    <w:bookmarkStart w:id="15" w:name="page16"/>
    <w:bookmarkEnd w:id="15"/>
    <w:p>
      <w:pPr>
        <w:ind w:right="4140"/>
        <w:spacing w:after="0" w:line="393"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46" w:lineRule="exact"/>
        <w:rPr>
          <w:sz w:val="20"/>
          <w:szCs w:val="20"/>
          <w:color w:val="auto"/>
        </w:rPr>
      </w:pPr>
    </w:p>
    <w:p>
      <w:pPr>
        <w:ind w:right="1040" w:firstLine="324"/>
        <w:spacing w:after="0" w:line="371" w:lineRule="auto"/>
        <w:rPr>
          <w:sz w:val="20"/>
          <w:szCs w:val="20"/>
          <w:color w:val="auto"/>
        </w:rPr>
      </w:pPr>
      <w:r>
        <w:rPr>
          <w:rFonts w:ascii="Arial" w:cs="Arial" w:eastAsia="Arial" w:hAnsi="Arial"/>
          <w:sz w:val="18"/>
          <w:szCs w:val="18"/>
          <w:color w:val="auto"/>
        </w:rPr>
        <w:t xml:space="preserve">Unless otherwise stated, the terms "we," "us," "our" and the "company" refer to Campbell Soup Company and its consolidated subsidiaries. </w:t>
      </w:r>
      <w:r>
        <w:rPr>
          <w:rFonts w:ascii="Arial" w:cs="Arial" w:eastAsia="Arial" w:hAnsi="Arial"/>
          <w:sz w:val="18"/>
          <w:szCs w:val="18"/>
          <w:b w:val="1"/>
          <w:bCs w:val="1"/>
          <w:i w:val="1"/>
          <w:iCs w:val="1"/>
          <w:color w:val="auto"/>
        </w:rPr>
        <w:t>Executive Summary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2019, we announced our plan to divest our Campbell Fresh operating segment and international biscuits and snacks operating segment. Within our Campbell Fresh operating segment, on February 25, 2019, we sold our U.S. refrigerated soup business, and on April 25, 2019, we sold our Garden Fresh Gourmet business. Proceeds were approximately $55 million, subject to customary purchase price adjustments. On June 16, 2019, we also sold our Bolthouse Farms business for approximately $500 million, subject to customary purchase price adjustments. Beginning in the third quarter of 2019, we have reflected the results of operations of these businesses as discontinued operations in the Consolidated Statements of Earnings for all periods presented. The assets and liabilities of these businesses have been reflected in assets and liabilities of discontinued operations in the Consolidated Balance Sheet as of July 29, 2018. A portion of the U.S. refrigerated soup business historically included in Campbell Fresh was retained, and is now reported in Meals &amp; Beverages.</w:t>
      </w:r>
    </w:p>
    <w:p>
      <w:pPr>
        <w:spacing w:after="0" w:line="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Within our international biscuits and snacks operating segment, we signed a definitive agreement for the sale of our Kelsen business on July 12, 2019, and completed the sale on September 23, 2019, for approximately $300 million, subject to customary purchase price adjustments. We also signed a definitive agreement on August 1, 2019, for the sale of our Arnott’s business and certain other international operations, including the simple meals and shelf-stable beverages businesses in Australia and Asia Pacific (the Arnott's and international operations), for $2.2 billion, subject to customary purchase price adjustments. We expect to complete the sale in the first half of 2020. Beginning in the fourth quarter of 2019, we have reflected the results of operations of the Kelsen business and the Arnott’s and international operations (collectively referred to as Campbell International) as discontinued operations in the Consolidated Statements of Earnings for all periods presented. The assets and liabilities of these businesses have been reflected in assets and liabilities of discontinued operations in the Consolidated Balance Sheets as of July 28, 2019, and July 29, 2018. These businesses were historically included in the Global Biscuits and Snacks reportable segment. See Notes 3 and 7 to the Consolidated Financial Statements for additional information on these recently completed and pending divestitures and reportable segments.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on September 18, 2019, we signed a definitive agreement for the sale of our European chips business for £66 million, or approximately $80 million. The sale is subject to customary closing conditions including receiving the relevant regulatory approvals, and we expect to complete the sale in the first quarter of 2020.</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the net proceeds from the businesses we sold in 2019 to reduce our debt and expect to use the net proceeds from the businesses sold in 2020 to further reduce debt.</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simple meals and shelf-stable beverages business in Latin America was managed as part of the Snacks segment in 2018 and the Meals &amp; Beverages segment in 2019. Segment results have been adjusted to conform to the current presentation. In 2020, our Latin America business is managed as part of the Snacks segment. See "Business - Reportable Segments" for a description of the products included in each segment.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strategy is to deliver long-term sustainable growth by focusing on our core brands in two divisions within North America while delivering on the promise of our purpose - </w:t>
      </w:r>
      <w:r>
        <w:rPr>
          <w:rFonts w:ascii="Arial" w:cs="Arial" w:eastAsia="Arial" w:hAnsi="Arial"/>
          <w:sz w:val="18"/>
          <w:szCs w:val="18"/>
          <w:i w:val="1"/>
          <w:iCs w:val="1"/>
          <w:color w:val="auto"/>
        </w:rPr>
        <w:t>Real food that matters for life’s moments</w:t>
      </w:r>
      <w:r>
        <w:rPr>
          <w:rFonts w:ascii="Arial" w:cs="Arial" w:eastAsia="Arial" w:hAnsi="Arial"/>
          <w:sz w:val="18"/>
          <w:szCs w:val="18"/>
          <w:color w:val="auto"/>
        </w:rPr>
        <w:t>.</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revise our consumer and customer engagement models through the development of more defined consumer-oriented portfolio roles for our products and increase prioritizing of retailers, which we believe will create a more profitable growth model. In addition, we expect to increase focus on the growth of our snacks business. We also intend to dedicate additional investment in U.S. soup and support our core brands through a revised marketing and innovation model tailored to specific categories and targeted customers and consumers.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continue pursuing our multi-year cost savings initiatives with targeted annualized cost savings of $850 million for continuing operations by the end of 2022 , which includes $295 million in synergies and run-rate cost savings from our acquisition of Snyder's-Lance, Inc. (Snyder's-Lance). We expect to achieve these additional savings with continued network optimization,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0"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organization consolidation and integration, procurement savings and incremental savings opportunities across several cost categories. See "Restructuring Charges and Cost Savings Initiatives" for additional information on these initiatives.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will pursue a more focused and diverse organization that supports our core brands in North America. In the fourth quarter of 2019, we made an organizational change that streamlined our business into a two-division operating model, with differentiated resources and capabilities that we believe will best support the brands within each division.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businesses are being influenced by a variety of trends that we anticipate will continue in the future, including: changing consumer preferences; a competitive and dynamic retail environment; and cost inflation.</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strategy is designed, in part, to capture growing consumer preferences for snacking and convenience. For example, consumers are changing their eating habits by increasing the type and frequency of snacks they consume. We also expect consumers to continue to seek products that they associate with health and well-being, including naturally functional and organic foods.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Retailers continue to use their buying power and negotiating strength to seek increased promotional programs funded by their suppliers and more favorable terms. We expect consolidations among retailers will continue to create large and sophisticated customers that may further this trend. Retailers also continue to grow and promote store brands that compete with branded products, while other challenger brands drive innovation and engagement that threatens our market share. In addition, our businesses are largely concentrated in the traditional retail grocery trade, which has experienced slower growth than other retail channels, such as dollar stores, drug stores, club stores and e-commerce retailers. We anticipate that alternative retail channels, particularly e-commerce, will continue to grow rapidly.</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of distribution has increased due to a rise in transportation and logistics costs, driven by excess demand, reduced availability and higher fuel costs. In addition, certain ingredients and packaging required for the manufacture of our products, including steel, have been or may be impacted by tariffs and weather-related events. We expect these cost pressures to continue in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noted above, in 2019, we have reflected the results of operations of Campbell Fresh and Campbell International as discontinued operations in the Consolidated Statements of Earnings for all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we adopted new accounting guidance that changes the presentation of net periodic pension cost and net periodic postretirement benefit cost.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2017 were reclassified. See Note 2 to the Consolidated Financial Statements for additional information.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increased 23% in 2019 to $8.107 billion, primarily due to a 23-point benefit from the acquisitions of Snyder's-Lance and Pacific Foods of Oregon, LLC (Pacific Foods).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as a percent of sales, decreased to 33.2% from 35.9% a year ago. The decrease was primarily due to cost inflation and higher supply chain costs, and the dilutive impact of acquisitions, partially offset by productivity improvements.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expense increased to $356 million in 2019 from $183 million, primarily due to higher levels of debt associated with funding the acquisitions discussed above, higher average interest rates on the debt portfolio and an $18 million gain on treasury rate lock contracts in the prior year used to hedge the planned financing of the Snyder's-Lance acquisition.</w:t>
      </w:r>
    </w:p>
    <w:p>
      <w:pPr>
        <w:spacing w:after="0" w:line="12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effective tax rate was 24.2% in 2019, compared to 12.8% in 2018. The prior year included a $126 million net tax benefit related to the remeasurement of deferred tax assets and liabilities and a transition tax on unremitted foreign earnings as a result of the enactment of the Tax Cuts and Jobs Act of 2017 (the Act). See Note 12 to the Consolidated Financial Statements for additional information. After adjusting for this item, the remaining decrease in the effective tax rate was primarily due to the ongoing lower U.S. federal tax rate as a result of the Act.</w:t>
      </w:r>
    </w:p>
    <w:p>
      <w:pPr>
        <w:spacing w:after="0" w:line="11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from continuing operations per share were $1.57 in 2019, compared to $2.40 a year ago. The current and prior year included expenses of $.74 and $.12 per share, respectively, from items impacting comparability as discussed below.</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from discontinued operations per share was $.87 in the 2019, compared to $1.53 a year ago. The current and prior year included expenses of $1.18 and $1.89 per share, respectively, from items impacting comparability as discussed below.</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from operations were $1.398 billion in 2019, compared to $1.305 billion in 2018. The increase was primarily due to improvements in working capital management efforts and higher cash earnings.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1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- 2019 Compared with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71" w:lineRule="exact"/>
        <w:rPr>
          <w:sz w:val="20"/>
          <w:szCs w:val="20"/>
          <w:color w:val="auto"/>
        </w:rPr>
      </w:pPr>
    </w:p>
    <w:p>
      <w:pPr>
        <w:jc w:val="both"/>
        <w:ind w:left="66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2019, we recognized losses of $122 million in Other expenses / (income) ($93 million after tax, or $.31 per share) associated with mark-to-market adjustments for defined benefit pension and postretirement plans. In 2018, we recognized gains of $131 million in Other expenses / (income) ($100 million after tax, or $.33 per share) associated with mark-to-market adjustments for defined benefit pension and postretirement plans;</w:t>
      </w:r>
    </w:p>
    <w:p>
      <w:pPr>
        <w:spacing w:after="0" w:line="92"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2019, we recognized a pre-tax pension settlement charge in Other expenses / (income) of $28 million ($22 million after tax, or $.07 per share) associated with a U.S. pension plan. The settlement resulted from the level of lump sum distributions from the plan's assets in 2019;</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2015, we implemented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 In 2019, we began to include costs associated with the Snyder's-Lance cost transformation program and integration with these initiatives. In 2019, we recorded a pre-tax restructuring charge of $31 million and implementation costs and other related costs of $62 million in Administrative expenses, $18 million in Cost of products sold, $7 million in Marketing and selling expenses, and $3 million in Research and development expenses (aggregate impact of $92 million after tax, or $.30 per share) related to these initiatives. In 2018, we recorded a pre-tax restructuring charge of $42 million and implementation costs and other related costs of $87 million in Administrative expenses, $45 million in Cost of products sold, and $3 million in Marketing and selling expenses (aggregate impact of $132 million after tax, or $.44 per share) related to these initiatives. See Note 8 to the Consolidated Financial Statements and "Restructuring Charges and Cost Savings Initiatives" for additional information;</w:t>
      </w:r>
    </w:p>
    <w:p>
      <w:pPr>
        <w:spacing w:after="0" w:line="120"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2019 and 2018, we reflected the impact on taxes of the enactment of the Act that was signed into law in December 2017. In 2019, we recorded a tax charge of $2 million ($.01 per share) related to a transition tax on unremitted foreign earnings. In 2018, we recorded a tax benefit of $179 million due to the remeasurement of deferred tax assets and liabilities, and a tax charge of $53 million related to a transition tax on unremitted foreign earnings. The net impact was a tax benefit of $126 million ($.42 per share). See Note 12 to the Consolidated Financial Statements and "Taxes on Earnings" for additional information;</w:t>
      </w:r>
    </w:p>
    <w:p>
      <w:pPr>
        <w:spacing w:after="0" w:line="134"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 the fourth quarter of 2019, we performed an assessment on the assets within the European chips business and recorded a non-cash impairment charge of $16 million ($13 million after tax, or $.04 per share) on intangible assets in Other expenses / (income). In the fourth quarter of 2018, we performed an impairment assessment on the </w:t>
      </w:r>
      <w:r>
        <w:rPr>
          <w:rFonts w:ascii="Arial" w:cs="Arial" w:eastAsia="Arial" w:hAnsi="Arial"/>
          <w:sz w:val="16"/>
          <w:szCs w:val="16"/>
          <w:i w:val="1"/>
          <w:iCs w:val="1"/>
          <w:color w:val="auto"/>
        </w:rPr>
        <w:t>Plum</w:t>
      </w:r>
      <w:r>
        <w:rPr>
          <w:rFonts w:ascii="Arial" w:cs="Arial" w:eastAsia="Arial" w:hAnsi="Arial"/>
          <w:sz w:val="16"/>
          <w:szCs w:val="16"/>
          <w:color w:val="auto"/>
        </w:rPr>
        <w:t xml:space="preserve"> trademark. In 2018, sales and operating performance were well below expectations due in part to competitive pressure and reduced margins. In the fourth quarter of 2018, as part of a strategic review initiated by a new leadership team and based on recent performance, we lowered our long-term outlook for future sales. We recorded a non-cash impairment charge of $54 million ($41 million after tax, or $.14 per share) in Other expenses / (income). See Note 6 to the Consolidated Financial Statements for additional information;</w:t>
      </w:r>
    </w:p>
    <w:p>
      <w:pPr>
        <w:spacing w:after="0" w:line="110"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second quarter of 2018, we announced our intent to acquire Snyder's-Lance and on March 26, 2018, the acquisition closed. In 2018, we incurred $120 million of transaction and integration costs, of which $13 million was recorded in Restructuring charges, $12 million in Administrative expenses, $53 million in Other expenses / (income), and $42 million in Cost of products sold associated with an acquisition date fair value adjustment for inventory. We also recorded a gain in Interest expense of $18 million on treasury rate lock contracts used to hedge the planned financing of the acquisition. The aggregate impact was $102 million, $73 million after tax, or $.24 per share; and</w:t>
      </w:r>
    </w:p>
    <w:p>
      <w:pPr>
        <w:spacing w:after="0" w:line="11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2018, we recorded expense of $22 million in Other expenses / (income) ($15 million after tax, or $.05 per share) from a settlement of a legal claim.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2019, we recognized losses of $12 million ($9 million after tax, or $.03 per share) associated with mark-to-market adjustments for defined benefit pension plans. In 2018, we recognized gains of $5 million ($3 million after tax, or $.01 per share) associated with mark-to-market and curtailment adjustments for defined benefit pension plans;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14" w:right="239" w:bottom="1440" w:gutter="0" w:footer="0" w:header="0"/>
        </w:sectPr>
      </w:pPr>
    </w:p>
    <w:bookmarkStart w:id="18" w:name="page19"/>
    <w:bookmarkEnd w:id="18"/>
    <w:p>
      <w:pPr>
        <w:jc w:val="both"/>
        <w:ind w:left="328" w:hanging="328"/>
        <w:spacing w:after="0" w:line="286"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2018, we recorded a pre-tax restructuring charge of $7 million and implementation costs and other related costs of $1 million in Administrative expenses (aggregate impact of $4 million after tax, or $.01 per share) related to the cost savings initiatives discussed above. See Note 8 to the Consolidated Financial Statements and "Restructuring Charges and Cost Savings Initiatives" for additional information;</w:t>
      </w:r>
    </w:p>
    <w:p>
      <w:pPr>
        <w:spacing w:after="0" w:line="111"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fourth quarter of 2019, as part of the company's annual review of intangible assets, we recognized a non-cash impairment charge of $7 million on a trademark and $10 million on goodwill in Kelsen due to a lower long-term outlook for sales and the pending sale of the business. The aggregate impact was $17 million ($12 million after tax, or $.04 per share).</w:t>
      </w:r>
    </w:p>
    <w:p>
      <w:pPr>
        <w:spacing w:after="0" w:line="127" w:lineRule="exact"/>
        <w:rPr>
          <w:rFonts w:ascii="Arial" w:cs="Arial" w:eastAsia="Arial" w:hAnsi="Arial"/>
          <w:sz w:val="18"/>
          <w:szCs w:val="18"/>
          <w:color w:val="auto"/>
        </w:rPr>
      </w:pPr>
    </w:p>
    <w:p>
      <w:pPr>
        <w:jc w:val="both"/>
        <w:ind w:left="328"/>
        <w:spacing w:after="0" w:line="291" w:lineRule="auto"/>
        <w:rPr>
          <w:rFonts w:ascii="Arial" w:cs="Arial" w:eastAsia="Arial" w:hAnsi="Arial"/>
          <w:sz w:val="18"/>
          <w:szCs w:val="18"/>
          <w:color w:val="auto"/>
        </w:rPr>
      </w:pPr>
      <w:r>
        <w:rPr>
          <w:rFonts w:ascii="Arial" w:cs="Arial" w:eastAsia="Arial" w:hAnsi="Arial"/>
          <w:sz w:val="16"/>
          <w:szCs w:val="16"/>
          <w:color w:val="auto"/>
        </w:rPr>
        <w:t>In the second quarter of 2019, interim impairment assessments were performed on the intangible and tangible assets within Campbell Fresh, which included Garden Fresh Gourmet, Bolthouse Farms carrot and carrot ingredients and Bolthouse Farms refrigerated beverages and salad dressings, as we continued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($264 million after tax, or $.88 per share).</w:t>
      </w:r>
    </w:p>
    <w:p>
      <w:pPr>
        <w:spacing w:after="0" w:line="113"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2019, we recorded a non-cash impairment charge of $14 million ($11 million after tax, or $.04 per share) on our U.S. refrigerated soup plant assets.</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In 2019, total non-cash impairment charges recorded were $377 million ($287 million after tax, or $.95 per share).</w:t>
      </w:r>
    </w:p>
    <w:p>
      <w:pPr>
        <w:spacing w:after="0" w:line="90" w:lineRule="exact"/>
        <w:rPr>
          <w:rFonts w:ascii="Arial" w:cs="Arial" w:eastAsia="Arial" w:hAnsi="Arial"/>
          <w:sz w:val="18"/>
          <w:szCs w:val="18"/>
          <w:color w:val="auto"/>
        </w:rPr>
      </w:pPr>
    </w:p>
    <w:p>
      <w:pPr>
        <w:jc w:val="both"/>
        <w:ind w:left="328"/>
        <w:spacing w:after="0" w:line="270" w:lineRule="auto"/>
        <w:rPr>
          <w:rFonts w:ascii="Arial" w:cs="Arial" w:eastAsia="Arial" w:hAnsi="Arial"/>
          <w:sz w:val="18"/>
          <w:szCs w:val="18"/>
          <w:color w:val="auto"/>
        </w:rPr>
      </w:pPr>
      <w:r>
        <w:rPr>
          <w:rFonts w:ascii="Arial" w:cs="Arial" w:eastAsia="Arial" w:hAnsi="Arial"/>
          <w:sz w:val="17"/>
          <w:szCs w:val="17"/>
          <w:color w:val="auto"/>
        </w:rPr>
        <w:t>In the third quarter of 2018, we performed interim impairment assessments within Campbell Fresh on the deli reporting unit, which includes Garden Fresh Gourmet and the U.S. refrigerated soup business, and the Bolthouse Farms refrigerated beverages and salad dressings reporting unit. Within the deli unit, we revised our long-term outlook due to the anticipated loss of refrigerated soup business with certain private label customers, as well as the performance of the business. In addition, the operating performance of the Bolthouse Farms refrigerated beverages and salad dressings reporting unit was below expectations. We revised our long-term outlook for future earnings and cash flows for each of these reporting units. We recorded a non-cash impairment charge of $11 million on the tangible assets and $94 million on the intangible assets ($80 million after tax, or $.27 per share) of the deli reporting unit, and a non-cash impairment charge of $514 million ($417 million after tax, or $1.39 per share) related to the intangible assets of the Bolthouse Farms refrigerated beverages and salad dressings reporting unit. The aggregate impact of the impairment charges was $619 million ($497 million after tax, or $1.65 per share).</w:t>
      </w:r>
    </w:p>
    <w:p>
      <w:pPr>
        <w:spacing w:after="0" w:line="181" w:lineRule="exact"/>
        <w:rPr>
          <w:rFonts w:ascii="Arial" w:cs="Arial" w:eastAsia="Arial" w:hAnsi="Arial"/>
          <w:sz w:val="18"/>
          <w:szCs w:val="18"/>
          <w:color w:val="auto"/>
        </w:rPr>
      </w:pPr>
    </w:p>
    <w:p>
      <w:pPr>
        <w:jc w:val="both"/>
        <w:ind w:left="328"/>
        <w:spacing w:after="0" w:line="264" w:lineRule="auto"/>
        <w:rPr>
          <w:rFonts w:ascii="Arial" w:cs="Arial" w:eastAsia="Arial" w:hAnsi="Arial"/>
          <w:sz w:val="18"/>
          <w:szCs w:val="18"/>
          <w:color w:val="auto"/>
        </w:rPr>
      </w:pPr>
      <w:r>
        <w:rPr>
          <w:rFonts w:ascii="Arial" w:cs="Arial" w:eastAsia="Arial" w:hAnsi="Arial"/>
          <w:sz w:val="18"/>
          <w:szCs w:val="18"/>
          <w:color w:val="auto"/>
        </w:rPr>
        <w:t>In the second quarter of 2018, we performed an interim impairment assessment on the intangible assets of the Bolthouse Farms carrot and carrot ingredients reporting unit as operating performance was below expectations. We revised our outlook for future earnings and cash flows and recorded a non-cash impairment charge of $75 million ($74 million after tax, or $.25 per share).</w:t>
      </w:r>
    </w:p>
    <w:p>
      <w:pPr>
        <w:spacing w:after="0" w:line="127"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In 2018, the total non-cash impairment charges recorded were $694 million ($571 million after tax, or $1.89 per share); and</w:t>
      </w:r>
    </w:p>
    <w:p>
      <w:pPr>
        <w:spacing w:after="0" w:line="90"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2019, we incurred pre-tax expenses of $32 million associated with the sale process of the businesses in Campbell Fresh, including transaction costs. In addition, we recorded tax expense of $29 million as deferred tax assets on Bolthouse Farms were not realizable. The aggregate impact was $51 million after tax, or $.17 per share. In 2019, we also incurred costs of $12 million ($10 million after tax, or $.03 per share) associated with the planned divestiture of Campbell International. The total aggregate impact was $61 million after tax, or $.20 per share.</w:t>
      </w:r>
    </w:p>
    <w:p>
      <w:pPr>
        <w:spacing w:after="0" w:line="31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8"/>
          </w:cols>
          <w:pgMar w:left="572" w:top="1314"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gridSpan w:val="4"/>
            <w:shd w:val="clear" w:color="auto" w:fill="CCEEFF"/>
          </w:tcPr>
          <w:p>
            <w:pPr>
              <w:ind w:left="40"/>
              <w:spacing w:after="0" w:line="257"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Pension settlement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4"/>
        </w:trPr>
        <w:tc>
          <w:tcPr>
            <w:tcW w:w="6980" w:type="dxa"/>
            <w:vAlign w:val="bottom"/>
            <w:gridSpan w:val="4"/>
          </w:tcPr>
          <w:p>
            <w:pPr>
              <w:ind w:left="40"/>
              <w:spacing w:after="0" w:line="264"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Pension benefit mark-to-market and curtailment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Costs associated with divestitures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Impact of items on Loss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980" w:type="dxa"/>
            <w:vAlign w:val="bottom"/>
            <w:gridSpan w:val="4"/>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Sum of the individual amounts may not add due to rounding.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324"/>
        <w:spacing w:after="0" w:line="276" w:lineRule="auto"/>
        <w:rPr>
          <w:sz w:val="20"/>
          <w:szCs w:val="20"/>
          <w:color w:val="auto"/>
        </w:rPr>
      </w:pPr>
      <w:r>
        <w:rPr>
          <w:rFonts w:ascii="Arial" w:cs="Arial" w:eastAsia="Arial" w:hAnsi="Arial"/>
          <w:sz w:val="17"/>
          <w:szCs w:val="17"/>
          <w:color w:val="auto"/>
        </w:rPr>
        <w:t>Earnings from continuing operations were $474 million ($1.57 per share) in 2019, compared to $724 million ($2.40 per share) in 2018. After adjusting for items impacting comparability, earnings decreased reflecting higher interest expense, partly offset by a lower adjusted tax rate as incremental earnings before interest and taxes (EBIT) from the Snyder’s-Lance acquisition were mostly offset by declines in EBIT in the base business.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- 2018 Compared with 2017</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the 2018 items that impacted comparability of Net earnings discussed above, the following items impacted the comparability of net earnings and net earnings per share: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2017, we recognized gains of $156 million in Other expenses / (income) ($100 million after tax, or $.33 per share) associated with mark-to-market adjustments for defined benefit pension and postretirement plans;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2017, we recorded a pre-tax restructuring charge of $11 million and implementation costs and other related costs of $33 million in Administrative expenses and $4 million in Cost of products sold (aggregate impact of $30 million after tax, or $.10 per share) related to the cost savings initiatives discussed above. See Note 8 to the Consolidated Financial Statements and "Restructuring Charges and Cost Savings Initiatives" for additional information; and</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2017, we recorded a tax benefit of $52 million ($.17 per share) in Taxes on earnings primarily related to the sale of intercompany notes receivable to a financial institution, which resulted in the recognition of foreign exchange losses on the notes for tax purposes. See Note 12 to the Consolidated Financial Statements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7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2017, we recognized gains of $22 million ($16 million after tax, or $.05 per share) associated with mark-to-market adjustments for defined benefit pension plans;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jc w:val="both"/>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2017, we recorded a pre-tax restructuring charge of $7 million and implementation costs and other related costs of $3 million in Administrative expenses (aggregate impact of $7 million after tax, or $.02 per share) related to the cost savings initiatives discussed above. See Note 8 to the Consolidated Financial Statements and "Restructuring Charges and Cost Savings Initiatives" for additional information;</w:t>
      </w:r>
    </w:p>
    <w:p>
      <w:pPr>
        <w:spacing w:after="0" w:line="11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 led to a revised outlook for future sales, earnings, and cash flow. We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$.59 per share); and</w:t>
      </w:r>
    </w:p>
    <w:p>
      <w:pPr>
        <w:spacing w:after="0" w:line="1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2017, we recorded a $6 million reduction to interest expense ($4 million after tax, or $.01 per share) related to premiums and fees received on the sale of the intercompany notes receivable discussed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gridSpan w:val="4"/>
            <w:shd w:val="clear" w:color="auto" w:fill="CCEEFF"/>
          </w:tcPr>
          <w:p>
            <w:pPr>
              <w:ind w:left="40"/>
              <w:spacing w:after="0" w:line="257"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9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Sale of notes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Impact of items on Earnings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Pension benefit mark-to-market and curtailment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Sale of notes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Impact of items on Loss from discontinued operations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980" w:type="dxa"/>
            <w:vAlign w:val="bottom"/>
            <w:gridSpan w:val="4"/>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Sum of the individual amounts may not add due to rounding.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324"/>
        <w:spacing w:after="0" w:line="273" w:lineRule="auto"/>
        <w:rPr>
          <w:sz w:val="20"/>
          <w:szCs w:val="20"/>
          <w:color w:val="auto"/>
        </w:rPr>
      </w:pPr>
      <w:r>
        <w:rPr>
          <w:rFonts w:ascii="Arial" w:cs="Arial" w:eastAsia="Arial" w:hAnsi="Arial"/>
          <w:sz w:val="17"/>
          <w:szCs w:val="17"/>
          <w:color w:val="auto"/>
        </w:rPr>
        <w:t>Earnings from continuing operations were $724 million ($2.40 per share) in 2018, compared to $924 million ($3.01 per share) in 2017. After adjusting for items impacting comparability, earnings decreased primarily due to declines on the base business reflecting a lower gross profit performance, and the dilutive impact of acquisitions, partially offset by a lower effective tax rate. Earnings per share benefited from a reduction in the weighted average diluted shares outstanding, reflecting share repurchases. We suspended our share repurchases as of the second quarter of 2018.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ind w:left="213"/>
              <w:spacing w:after="0"/>
              <w:rPr>
                <w:sz w:val="20"/>
                <w:szCs w:val="20"/>
                <w:color w:val="auto"/>
              </w:rPr>
            </w:pPr>
            <w:r>
              <w:rPr>
                <w:rFonts w:ascii="Arial" w:cs="Arial" w:eastAsia="Arial" w:hAnsi="Arial"/>
                <w:sz w:val="14"/>
                <w:szCs w:val="14"/>
                <w:b w:val="1"/>
                <w:bCs w:val="1"/>
                <w:color w:val="auto"/>
                <w:w w:val="93"/>
              </w:rPr>
              <w:t>2019/2018</w:t>
            </w:r>
          </w:p>
        </w:tc>
        <w:tc>
          <w:tcPr>
            <w:tcW w:w="320" w:type="dxa"/>
            <w:vAlign w:val="bottom"/>
            <w:tcBorders>
              <w:bottom w:val="single" w:sz="8" w:color="auto"/>
            </w:tcBorders>
            <w:gridSpan w:val="3"/>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2018/2017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Meals &amp; Beverages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4,305</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5"/>
            <w:shd w:val="clear" w:color="auto" w:fill="CCEEFF"/>
          </w:tcPr>
          <w:p>
            <w:pPr>
              <w:jc w:val="center"/>
              <w:ind w:left="333"/>
              <w:spacing w:after="0"/>
              <w:rPr>
                <w:sz w:val="20"/>
                <w:szCs w:val="20"/>
                <w:color w:val="auto"/>
              </w:rPr>
            </w:pPr>
            <w:r>
              <w:rPr>
                <w:rFonts w:ascii="Arial" w:cs="Arial" w:eastAsia="Arial" w:hAnsi="Arial"/>
                <w:sz w:val="18"/>
                <w:szCs w:val="18"/>
                <w:color w:val="auto"/>
                <w:w w:val="90"/>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Snacks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1"/>
                <w:szCs w:val="21"/>
                <w:color w:val="auto"/>
              </w:rPr>
            </w:pPr>
          </w:p>
        </w:tc>
        <w:tc>
          <w:tcPr>
            <w:tcW w:w="1040" w:type="dxa"/>
            <w:vAlign w:val="bottom"/>
          </w:tcPr>
          <w:p>
            <w:pPr>
              <w:jc w:val="center"/>
              <w:ind w:left="213"/>
              <w:spacing w:after="0"/>
              <w:rPr>
                <w:sz w:val="20"/>
                <w:szCs w:val="20"/>
                <w:color w:val="auto"/>
              </w:rPr>
            </w:pPr>
            <w:r>
              <w:rPr>
                <w:rFonts w:ascii="Arial" w:cs="Arial" w:eastAsia="Arial" w:hAnsi="Arial"/>
                <w:sz w:val="18"/>
                <w:szCs w:val="18"/>
                <w:color w:val="auto"/>
                <w:w w:val="89"/>
              </w:rPr>
              <w:t>64</w:t>
            </w:r>
          </w:p>
        </w:tc>
        <w:tc>
          <w:tcPr>
            <w:tcW w:w="1780" w:type="dxa"/>
            <w:vAlign w:val="bottom"/>
            <w:gridSpan w:val="5"/>
          </w:tcPr>
          <w:p>
            <w:pPr>
              <w:jc w:val="center"/>
              <w:ind w:left="353"/>
              <w:spacing w:after="0"/>
              <w:rPr>
                <w:sz w:val="20"/>
                <w:szCs w:val="20"/>
                <w:color w:val="auto"/>
              </w:rPr>
            </w:pPr>
            <w:r>
              <w:rPr>
                <w:rFonts w:ascii="Arial" w:cs="Arial" w:eastAsia="Arial" w:hAnsi="Arial"/>
                <w:sz w:val="18"/>
                <w:szCs w:val="18"/>
                <w:color w:val="auto"/>
                <w:w w:val="89"/>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8,107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ind w:left="213"/>
              <w:spacing w:after="0"/>
              <w:rPr>
                <w:sz w:val="20"/>
                <w:szCs w:val="20"/>
                <w:color w:val="auto"/>
              </w:rPr>
            </w:pPr>
            <w:r>
              <w:rPr>
                <w:rFonts w:ascii="Arial" w:cs="Arial" w:eastAsia="Arial" w:hAnsi="Arial"/>
                <w:sz w:val="18"/>
                <w:szCs w:val="18"/>
                <w:color w:val="auto"/>
                <w:w w:val="89"/>
              </w:rPr>
              <w:t>23</w:t>
            </w:r>
          </w:p>
        </w:tc>
        <w:tc>
          <w:tcPr>
            <w:tcW w:w="320" w:type="dxa"/>
            <w:vAlign w:val="bottom"/>
            <w:tcBorders>
              <w:top w:val="single" w:sz="8" w:color="auto"/>
            </w:tcBorders>
            <w:gridSpan w:val="3"/>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12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5600" w:type="dxa"/>
            <w:vAlign w:val="bottom"/>
            <w:gridSpan w:val="6"/>
          </w:tcPr>
          <w:p>
            <w:pPr>
              <w:ind w:left="300"/>
              <w:spacing w:after="0"/>
              <w:rPr>
                <w:sz w:val="20"/>
                <w:szCs w:val="20"/>
                <w:color w:val="auto"/>
              </w:rPr>
            </w:pPr>
            <w:r>
              <w:rPr>
                <w:rFonts w:ascii="Arial" w:cs="Arial" w:eastAsia="Arial" w:hAnsi="Arial"/>
                <w:sz w:val="18"/>
                <w:szCs w:val="18"/>
                <w:color w:val="auto"/>
                <w:w w:val="89"/>
              </w:rPr>
              <w:t>An analysis of percent change of net sales by reportable segment follows: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2019 versus 2018</w:t>
            </w: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7"/>
          </w:tcPr>
          <w:p>
            <w:pPr>
              <w:ind w:left="220"/>
              <w:spacing w:after="0"/>
              <w:rPr>
                <w:sz w:val="20"/>
                <w:szCs w:val="20"/>
                <w:color w:val="auto"/>
              </w:rPr>
            </w:pPr>
            <w:r>
              <w:rPr>
                <w:rFonts w:ascii="Arial" w:cs="Arial" w:eastAsia="Arial" w:hAnsi="Arial"/>
                <w:sz w:val="14"/>
                <w:szCs w:val="14"/>
                <w:b w:val="1"/>
                <w:bCs w:val="1"/>
                <w:color w:val="auto"/>
              </w:rPr>
              <w:t>Meals &amp; Beverages</w:t>
            </w:r>
          </w:p>
        </w:tc>
        <w:tc>
          <w:tcPr>
            <w:tcW w:w="1040" w:type="dxa"/>
            <w:vAlign w:val="bottom"/>
          </w:tcPr>
          <w:p>
            <w:pPr>
              <w:jc w:val="center"/>
              <w:ind w:right="273"/>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27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273"/>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93"/>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(Increased)/Decreased Promotional Spending</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273"/>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center"/>
              <w:ind w:right="9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2</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253"/>
              <w:spacing w:after="0"/>
              <w:rPr>
                <w:sz w:val="20"/>
                <w:szCs w:val="20"/>
                <w:color w:val="auto"/>
              </w:rPr>
            </w:pPr>
            <w:r>
              <w:rPr>
                <w:rFonts w:ascii="Arial" w:cs="Arial" w:eastAsia="Arial" w:hAnsi="Arial"/>
                <w:sz w:val="18"/>
                <w:szCs w:val="18"/>
                <w:color w:val="auto"/>
                <w:w w:val="89"/>
              </w:rPr>
              <w:t>61</w:t>
            </w:r>
          </w:p>
        </w:tc>
        <w:tc>
          <w:tcPr>
            <w:tcW w:w="1780" w:type="dxa"/>
            <w:vAlign w:val="bottom"/>
            <w:tcBorders>
              <w:bottom w:val="single" w:sz="8" w:color="CCEEFF"/>
            </w:tcBorders>
            <w:gridSpan w:val="5"/>
            <w:shd w:val="clear" w:color="auto" w:fill="CCEEFF"/>
          </w:tcPr>
          <w:p>
            <w:pPr>
              <w:jc w:val="center"/>
              <w:ind w:left="153"/>
              <w:spacing w:after="0"/>
              <w:rPr>
                <w:sz w:val="20"/>
                <w:szCs w:val="20"/>
                <w:color w:val="auto"/>
              </w:rPr>
            </w:pPr>
            <w:r>
              <w:rPr>
                <w:rFonts w:ascii="Arial" w:cs="Arial" w:eastAsia="Arial" w:hAnsi="Arial"/>
                <w:sz w:val="18"/>
                <w:szCs w:val="18"/>
                <w:color w:val="auto"/>
                <w:w w:val="89"/>
              </w:rPr>
              <w:t>23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ind w:right="273"/>
              <w:spacing w:after="0"/>
              <w:rPr>
                <w:sz w:val="20"/>
                <w:szCs w:val="20"/>
                <w:color w:val="auto"/>
              </w:rPr>
            </w:pPr>
            <w:r>
              <w:rPr>
                <w:rFonts w:ascii="Arial" w:cs="Arial" w:eastAsia="Arial" w:hAnsi="Arial"/>
                <w:sz w:val="18"/>
                <w:szCs w:val="18"/>
                <w:color w:val="auto"/>
                <w:w w:val="88"/>
              </w:rPr>
              <w:t>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8"/>
              </w:rPr>
              <w:t>23%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2018 versus 2017</w:t>
            </w: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40" w:type="dxa"/>
            <w:vAlign w:val="bottom"/>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7"/>
          </w:tcPr>
          <w:p>
            <w:pPr>
              <w:ind w:left="220"/>
              <w:spacing w:after="0"/>
              <w:rPr>
                <w:sz w:val="20"/>
                <w:szCs w:val="20"/>
                <w:color w:val="auto"/>
              </w:rPr>
            </w:pPr>
            <w:r>
              <w:rPr>
                <w:rFonts w:ascii="Arial" w:cs="Arial" w:eastAsia="Arial" w:hAnsi="Arial"/>
                <w:sz w:val="14"/>
                <w:szCs w:val="14"/>
                <w:b w:val="1"/>
                <w:bCs w:val="1"/>
                <w:color w:val="auto"/>
              </w:rPr>
              <w:t>Meals &amp; Beverages</w:t>
            </w:r>
          </w:p>
        </w:tc>
        <w:tc>
          <w:tcPr>
            <w:tcW w:w="1040" w:type="dxa"/>
            <w:vAlign w:val="bottom"/>
          </w:tcPr>
          <w:p>
            <w:pPr>
              <w:jc w:val="center"/>
              <w:ind w:right="273"/>
              <w:spacing w:after="0"/>
              <w:rPr>
                <w:sz w:val="20"/>
                <w:szCs w:val="20"/>
                <w:color w:val="auto"/>
              </w:rPr>
            </w:pPr>
            <w:r>
              <w:rPr>
                <w:rFonts w:ascii="Arial" w:cs="Arial" w:eastAsia="Arial" w:hAnsi="Arial"/>
                <w:sz w:val="14"/>
                <w:szCs w:val="14"/>
                <w:b w:val="1"/>
                <w:bCs w:val="1"/>
                <w:color w:val="auto"/>
                <w:w w:val="89"/>
              </w:rPr>
              <w:t>Snacks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27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273"/>
              <w:spacing w:after="0"/>
              <w:rPr>
                <w:sz w:val="20"/>
                <w:szCs w:val="20"/>
                <w:color w:val="auto"/>
              </w:rPr>
            </w:pPr>
            <w:r>
              <w:rPr>
                <w:rFonts w:ascii="Arial" w:cs="Arial" w:eastAsia="Arial" w:hAnsi="Arial"/>
                <w:sz w:val="18"/>
                <w:szCs w:val="18"/>
                <w:color w:val="auto"/>
                <w:w w:val="92"/>
              </w:rPr>
              <w:t>3%</w:t>
            </w:r>
          </w:p>
        </w:tc>
        <w:tc>
          <w:tcPr>
            <w:tcW w:w="1780" w:type="dxa"/>
            <w:vAlign w:val="bottom"/>
            <w:tcBorders>
              <w:bottom w:val="single" w:sz="8" w:color="CCEEFF"/>
            </w:tcBorders>
            <w:gridSpan w:val="5"/>
            <w:shd w:val="clear" w:color="auto" w:fill="CCEEFF"/>
          </w:tcPr>
          <w:p>
            <w:pPr>
              <w:jc w:val="center"/>
              <w:ind w:left="133"/>
              <w:spacing w:after="0"/>
              <w:rPr>
                <w:sz w:val="20"/>
                <w:szCs w:val="20"/>
                <w:color w:val="auto"/>
              </w:rPr>
            </w:pPr>
            <w:r>
              <w:rPr>
                <w:rFonts w:ascii="Arial" w:cs="Arial" w:eastAsia="Arial" w:hAnsi="Arial"/>
                <w:sz w:val="18"/>
                <w:szCs w:val="18"/>
                <w:color w:val="auto"/>
                <w:w w:val="94"/>
              </w:rPr>
              <w:t>(2)%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Price and Sales Allowances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25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9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273"/>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253"/>
              <w:spacing w:after="0"/>
              <w:rPr>
                <w:sz w:val="20"/>
                <w:szCs w:val="20"/>
                <w:color w:val="auto"/>
              </w:rPr>
            </w:pPr>
            <w:r>
              <w:rPr>
                <w:rFonts w:ascii="Arial" w:cs="Arial" w:eastAsia="Arial" w:hAnsi="Arial"/>
                <w:sz w:val="18"/>
                <w:szCs w:val="18"/>
                <w:color w:val="auto"/>
                <w:w w:val="89"/>
              </w:rPr>
              <w:t>52</w:t>
            </w:r>
          </w:p>
        </w:tc>
        <w:tc>
          <w:tcPr>
            <w:tcW w:w="1780" w:type="dxa"/>
            <w:vAlign w:val="bottom"/>
            <w:gridSpan w:val="5"/>
          </w:tcPr>
          <w:p>
            <w:pPr>
              <w:jc w:val="center"/>
              <w:ind w:left="153"/>
              <w:spacing w:after="0"/>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273"/>
              <w:spacing w:after="0"/>
              <w:rPr>
                <w:sz w:val="20"/>
                <w:szCs w:val="20"/>
                <w:color w:val="auto"/>
              </w:rPr>
            </w:pPr>
            <w:r>
              <w:rPr>
                <w:rFonts w:ascii="Arial" w:cs="Arial" w:eastAsia="Arial" w:hAnsi="Arial"/>
                <w:sz w:val="18"/>
                <w:szCs w:val="18"/>
                <w:color w:val="auto"/>
                <w:w w:val="88"/>
              </w:rPr>
              <w:t>54%</w:t>
            </w:r>
          </w:p>
        </w:tc>
        <w:tc>
          <w:tcPr>
            <w:tcW w:w="1780" w:type="dxa"/>
            <w:vAlign w:val="bottom"/>
            <w:tcBorders>
              <w:bottom w:val="single" w:sz="8" w:color="CCEEFF"/>
            </w:tcBorders>
            <w:gridSpan w:val="5"/>
            <w:shd w:val="clear" w:color="auto" w:fill="CCEEFF"/>
          </w:tcPr>
          <w:p>
            <w:pPr>
              <w:jc w:val="center"/>
              <w:ind w:left="133"/>
              <w:spacing w:after="0"/>
              <w:rPr>
                <w:sz w:val="20"/>
                <w:szCs w:val="20"/>
                <w:color w:val="auto"/>
              </w:rPr>
            </w:pPr>
            <w:r>
              <w:rPr>
                <w:rFonts w:ascii="Arial" w:cs="Arial" w:eastAsia="Arial" w:hAnsi="Arial"/>
                <w:sz w:val="18"/>
                <w:szCs w:val="18"/>
                <w:color w:val="auto"/>
                <w:w w:val="88"/>
              </w:rPr>
              <w:t>13%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2019, Meals &amp; Beverages sales were comparable with prior year reflecting a 2-point benefit from the acquisition of Pacific Foods, partially offset by declines in U.S. soup, the retail business in Canada driven by the negative impact of currency translation and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Excluding Pacific Foods, sales of U.S. soup decreased 2% due to declines in condensed and ready-to-serve soups, partly offset by gains in broth. The decline in U.S. soup was driven primarily by continued competitive pressure across the market as well as increased promotional spending.</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2018, Meals &amp; Beverages sales decreased 1% primarily due to declines in U.S.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partially offset by the benefit of the acquisition of Pacific Foods, and an increase in the retail business in Canada driven by the favorable impact of currency translation. Excluding Pacific Foods, sales of U.S. soup declined 8%, driven by declines in condensed soups, ready-to-serve soups and broth. The decline in U.S. soup was primarily due to a key customer’s different promotional approach for soup in 2018.</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2019, Snacks sales increased 64% with a 61-point benefit from the acquisition of Snyder’s-Lance. Excluding the impact of the acquisition of Snyder’s-Lance, sales increased reflecting growth in Pepperidge Farm, with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fresh bakery products and in cookies, as well as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potato chips,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and </w:t>
      </w:r>
      <w:r>
        <w:rPr>
          <w:rFonts w:ascii="Arial" w:cs="Arial" w:eastAsia="Arial" w:hAnsi="Arial"/>
          <w:sz w:val="18"/>
          <w:szCs w:val="18"/>
          <w:i w:val="1"/>
          <w:iCs w:val="1"/>
          <w:color w:val="auto"/>
        </w:rPr>
        <w:t>Snack Factory Pretzel Crisps</w:t>
      </w:r>
      <w:r>
        <w:rPr>
          <w:rFonts w:ascii="Arial" w:cs="Arial" w:eastAsia="Arial" w:hAnsi="Arial"/>
          <w:sz w:val="18"/>
          <w:szCs w:val="18"/>
          <w:color w:val="auto"/>
        </w:rPr>
        <w:t>.</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2018, Snacks sales increased 54% primarily due to the 52-point benefit of the acquisition of Snyder’s-Lance. Excluding Snyder’s-Lance, sales increased primarily due to gains in Pepperidge Farm, reflecting growth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in cookies.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$319 million in 2019 from 2018 and decreased by $68 million in 2018 from 2017. As a percent of sales, gross profit was 33.2% in 2019, 35.9% in 2018 and 41.8% in 2017.</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0" w:right="239" w:bottom="1440"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8"/>
          <w:szCs w:val="18"/>
          <w:color w:val="auto"/>
        </w:rPr>
        <w:t>The 2.7 and 5.9 percentage-point decrease in gross profit percentage in 2019 and 2018, respectively, were due to the following factors: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26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tcPr>
          <w:p>
            <w:pPr>
              <w:ind w:left="20"/>
              <w:spacing w:after="0" w:line="270" w:lineRule="exact"/>
              <w:rPr>
                <w:sz w:val="20"/>
                <w:szCs w:val="20"/>
                <w:color w:val="auto"/>
              </w:rPr>
            </w:pPr>
            <w:r>
              <w:rPr>
                <w:rFonts w:ascii="Arial" w:cs="Arial" w:eastAsia="Arial" w:hAnsi="Arial"/>
                <w:sz w:val="18"/>
                <w:szCs w:val="18"/>
                <w:color w:val="auto"/>
              </w:rPr>
              <w:t>Impact of acquisitions</w:t>
            </w:r>
            <w:r>
              <w:rPr>
                <w:rFonts w:ascii="Arial" w:cs="Arial" w:eastAsia="Arial" w:hAnsi="Arial"/>
                <w:sz w:val="25"/>
                <w:szCs w:val="25"/>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(1.5)</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Mix</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0.4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jc w:val="right"/>
              <w:ind w:right="5290"/>
              <w:spacing w:after="0"/>
              <w:rPr>
                <w:sz w:val="20"/>
                <w:szCs w:val="20"/>
                <w:color w:val="auto"/>
              </w:rPr>
            </w:pPr>
            <w:r>
              <w:rPr>
                <w:rFonts w:ascii="Arial" w:cs="Arial" w:eastAsia="Arial" w:hAnsi="Arial"/>
                <w:sz w:val="16"/>
                <w:szCs w:val="16"/>
                <w:color w:val="auto"/>
                <w:w w:val="90"/>
              </w:rPr>
              <w:t>__________________________________________</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340" w:hanging="332"/>
        <w:spacing w:after="0" w:line="232"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2019 includes a positive margin impact of 0.8 from cost savings initiatives, which was more than offset by cost inflation and other factors, including higher than expected distribution costs associated with the startup of a new distribution facility in Findlay, Ohio, operated by a third-party logistics provider. 2018 includes a positive margin impact of 0.5 from cost savings initiatives, which was more than offset by cost inflation and other factors, including higher transportation and logistics costs.</w:t>
      </w:r>
    </w:p>
    <w:p>
      <w:pPr>
        <w:ind w:left="340" w:right="20" w:hanging="332"/>
        <w:spacing w:after="0" w:line="209"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2019 includes a positive margin impact of 0.6 from lapping the 2018 negative margin impact of 0.7 from a Snyder's-Lance acquisition date fair value adjustment for inventory.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Marketing and selling expenses as a percent of sales were 10.4% in 2019, 11.0% in 2018 and 11.6% in 2017. Marketing and selling expenses increased 16% in 2019 from 2018. The increase was primarily due to the impact of acquisitions (approximately 19 percentage points); higher incentive compensation (approximately 2 percentage points) and higher costs related to costs savings initiatives (approximately 1 percentage point), partially offset by increased benefits from cost savings initiatives (approximately 3 percentage points) and lower advertising and consumer promotion expenses (approximately 3 percentage points). The reduction in advertising and consumer promotion expenses was primarily in Meals &amp; Beverages, reflecting a reallocation from advertising to promotional spending classified as revenue reductions, reduced support levels in light of distribution challenges faced in the first quarter and a later start to our U.S. soup campaign relative to the prior year.</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Marketing and selling expenses increased 8% in 2018 from 2017. The increase was primarily due to the impact of acquisitions (approximately 12 percentage points), partially offset by increased benefits from cost savings initiatives (approximately 3 percentage points) and lower advertising and consumer promotion expenses (approximately 1 percentage point).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7.5% in 2019, 8.5% in 2018 and 7.7% in 2017. Administrative expenses increased 8% in 2019 from 2018. The increase was primarily due to the impact of acquisitions (approximately 10 percentage points); higher incentive compensation (approximately 7 percentage points); and costs associated with the proxy contest (approximately 1 percentage point), partially offset by lower costs associated with cost savings initiatives inclusive of acquisition integration costs (approximately 7 percentage points) and increased benefits from cost savings initiatives (approximately 3 percentage points).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increased 26% in 2018 from 2017. The increase was primarily due to higher costs related to cost savings initiatives (approximately 12 percentage points); the impact of acquisitions (approximately 9 percentage points); acquisition integration costs (approximately 3 percentage points); consulting costs incurred in connection with the strategic review (approximately 2 percentage points); investments in long-term innovation (approximately 1 percentage point); and inflation and other factors (approximately 4 percentage points), partially offset by lower incentive compensation (approximately 5 percentage points).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Research and development expenses were $91 million in 2019 and 2018 as higher incentive compensation costs (approximately 8 percentage points) were mostly offset by increased benefits from cost savings initiatives (approximately 7 percentage points).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decreased $2 million, or 2%, in 2018 from 2017. The decrease was primarily due to lower investments in long-term innovation (approximately 3 percentage points); and lower incentive compensation costs (approximately 2 percentage points), partially offset by the impact of acquisitions (approximately 3 percentage points).</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1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in 2019 included the following:</w:t>
      </w:r>
    </w:p>
    <w:p>
      <w:pPr>
        <w:spacing w:after="0" w:line="171" w:lineRule="exact"/>
        <w:rPr>
          <w:sz w:val="20"/>
          <w:szCs w:val="20"/>
          <w:color w:val="auto"/>
        </w:rPr>
      </w:pPr>
    </w:p>
    <w:p>
      <w:pPr>
        <w:ind w:left="660" w:right="20" w:hanging="16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$71 million of net periodic benefit expense, including losses of $122 million on pension and postretirement benefit mark-to-market adjustments and a pension settlement charge of $28 million associated with a U.S. pension plan;</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$48 million of amortization of intangible assets;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impairment charge of $16 million related to the European chips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 2018 included the following:</w:t>
      </w:r>
    </w:p>
    <w:p>
      <w:pPr>
        <w:spacing w:after="0" w:line="171" w:lineRule="exact"/>
        <w:rPr>
          <w:sz w:val="20"/>
          <w:szCs w:val="20"/>
          <w:color w:val="auto"/>
        </w:rPr>
      </w:pPr>
    </w:p>
    <w:p>
      <w:pPr>
        <w:ind w:left="660" w:hanging="166"/>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$225 million of net periodic benefit income, including gains of $131 million on pension and postretirement benefit mark-to-market adjustments;</w:t>
      </w:r>
    </w:p>
    <w:p>
      <w:pPr>
        <w:spacing w:after="0" w:line="182" w:lineRule="exact"/>
        <w:rPr>
          <w:rFonts w:ascii="Arial" w:cs="Arial" w:eastAsia="Arial" w:hAnsi="Arial"/>
          <w:sz w:val="17"/>
          <w:szCs w:val="17"/>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 million of amortization of intangible assets;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$53 million of transaction costs associated with the acquisition of Snyder's-Lance;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non-cash impairment charge of $54 million related to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 2017 included the following:</w:t>
      </w:r>
    </w:p>
    <w:p>
      <w:pPr>
        <w:spacing w:after="0" w:line="171" w:lineRule="exact"/>
        <w:rPr>
          <w:sz w:val="20"/>
          <w:szCs w:val="20"/>
          <w:color w:val="auto"/>
        </w:rPr>
      </w:pPr>
    </w:p>
    <w:p>
      <w:pPr>
        <w:ind w:left="660" w:hanging="16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$224 million of net periodic benefit income, including gains of $156 million on pension and postretirement benefit mark-to-market adjustments; and</w:t>
      </w:r>
    </w:p>
    <w:p>
      <w:pPr>
        <w:spacing w:after="0" w:line="194" w:lineRule="exact"/>
        <w:rPr>
          <w:rFonts w:ascii="Arial" w:cs="Arial" w:eastAsia="Arial" w:hAnsi="Arial"/>
          <w:sz w:val="16"/>
          <w:szCs w:val="16"/>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million of amortization of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the impairment charges, see "Significant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3% in 2019 from 2018 and decreased 4% in 2018 from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84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2019/2018</w:t>
            </w:r>
          </w:p>
        </w:tc>
        <w:tc>
          <w:tcPr>
            <w:tcW w:w="120" w:type="dxa"/>
            <w:vAlign w:val="bottom"/>
            <w:tcBorders>
              <w:bottom w:val="single" w:sz="8" w:color="BFE4FF"/>
            </w:tcBorders>
          </w:tcPr>
          <w:p>
            <w:pPr>
              <w:spacing w:after="0"/>
              <w:rPr>
                <w:sz w:val="22"/>
                <w:szCs w:val="22"/>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58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Meals &amp; Beverages</w:t>
            </w:r>
          </w:p>
        </w:tc>
        <w:tc>
          <w:tcPr>
            <w:tcW w:w="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b w:val="1"/>
                <w:bCs w:val="1"/>
                <w:color w:val="auto"/>
              </w:rPr>
              <w:t>903</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1,118</w:t>
            </w:r>
          </w:p>
        </w:tc>
        <w:tc>
          <w:tcPr>
            <w:tcW w:w="1000" w:type="dxa"/>
            <w:vAlign w:val="bottom"/>
            <w:tcBorders>
              <w:bottom w:val="single" w:sz="8" w:color="BFE4FF"/>
            </w:tcBorders>
            <w:gridSpan w:val="2"/>
            <w:shd w:val="clear" w:color="auto" w:fill="BFE4FF"/>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Snacks</w:t>
            </w:r>
          </w:p>
        </w:tc>
        <w:tc>
          <w:tcPr>
            <w:tcW w:w="3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w:t>
            </w:r>
          </w:p>
        </w:tc>
      </w:tr>
      <w:tr>
        <w:trPr>
          <w:trHeight w:val="27"/>
        </w:trPr>
        <w:tc>
          <w:tcPr>
            <w:tcW w:w="584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b w:val="1"/>
                <w:bCs w:val="1"/>
                <w:color w:val="auto"/>
              </w:rPr>
              <w:t>1,417</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1,428</w:t>
            </w:r>
          </w:p>
        </w:tc>
        <w:tc>
          <w:tcPr>
            <w:tcW w:w="1000" w:type="dxa"/>
            <w:vAlign w:val="bottom"/>
            <w:tcBorders>
              <w:bottom w:val="single" w:sz="8" w:color="BFE4FF"/>
            </w:tcBorders>
            <w:gridSpan w:val="2"/>
            <w:shd w:val="clear" w:color="auto" w:fill="BFE4FF"/>
          </w:tcPr>
          <w:p>
            <w:pPr>
              <w:jc w:val="center"/>
              <w:ind w:left="1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Corporate (expense) income</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840" w:type="dxa"/>
            <w:vAlign w:val="bottom"/>
            <w:shd w:val="clear" w:color="auto" w:fill="BFE4FF"/>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BFE4FF"/>
          </w:tcPr>
          <w:p>
            <w:pPr>
              <w:spacing w:after="0"/>
              <w:rPr>
                <w:sz w:val="23"/>
                <w:szCs w:val="23"/>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BFE4FF"/>
          </w:tcPr>
          <w:p>
            <w:pPr>
              <w:spacing w:after="0"/>
              <w:rPr>
                <w:sz w:val="23"/>
                <w:szCs w:val="23"/>
                <w:color w:val="auto"/>
              </w:rPr>
            </w:pPr>
          </w:p>
        </w:tc>
        <w:tc>
          <w:tcPr>
            <w:tcW w:w="340" w:type="dxa"/>
            <w:vAlign w:val="bottom"/>
            <w:tcBorders>
              <w:bottom w:val="single" w:sz="8" w:color="auto"/>
            </w:tcBorders>
            <w:shd w:val="clear" w:color="auto" w:fill="BFE4FF"/>
          </w:tcPr>
          <w:p>
            <w:pPr>
              <w:spacing w:after="0"/>
              <w:rPr>
                <w:sz w:val="23"/>
                <w:szCs w:val="23"/>
                <w:color w:val="auto"/>
              </w:rPr>
            </w:pP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spacing w:after="0"/>
              <w:rPr>
                <w:sz w:val="23"/>
                <w:szCs w:val="23"/>
                <w:color w:val="auto"/>
              </w:rPr>
            </w:pP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BFE4FF"/>
          </w:tcPr>
          <w:p>
            <w:pPr>
              <w:spacing w:after="0"/>
              <w:rPr>
                <w:sz w:val="23"/>
                <w:szCs w:val="23"/>
                <w:color w:val="auto"/>
              </w:rPr>
            </w:pPr>
          </w:p>
        </w:tc>
        <w:tc>
          <w:tcPr>
            <w:tcW w:w="90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900" w:type="dxa"/>
            <w:vAlign w:val="bottom"/>
            <w:shd w:val="clear" w:color="auto" w:fill="BFE4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979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17145</wp:posOffset>
            </wp:positionV>
            <wp:extent cx="223837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37"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Operating earnings from Meals &amp; Beverages decreased 9% in 2019 versus 2018. The decrease was primarily due to higher levels of cost inflation and higher warehousing and transportation costs, as well as higher promotional spending and higher incentive compensation expenses, partly offset by supply chain productivity improvements, lower marketing and selling expenses and the benefits of cost savings initiatives.</w:t>
      </w:r>
    </w:p>
    <w:p>
      <w:pPr>
        <w:spacing w:after="0" w:line="1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Meals &amp; Beverages decreased 12% in 2018 versus 2017. The decrease was primarily due to a lower gross profit percentage and lower sales volume, partly offset by lower marketing and selling expenses. Gross profit performance was impacted by cost inflation, including higher transportation and logistics costs, and the dilutive impact from the acquisition of Pacific Foods.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Operating earnings from Snacks increased 34% in 2019 versus 2018. The increase reflects a 32-point benefit from the acquisition of Snyder’s-Lance. The remaining increase was primarily due to higher sales, supply chain productivity improvements and lower promotional spending, partly offset by higher marketing and selling expenses, higher levels of cost inflation and higher incentive compensation expenses. Operating earnings benefited from lapping the costs associated with the voluntary product recall of </w:t>
      </w:r>
      <w:r>
        <w:rPr>
          <w:rFonts w:ascii="Arial" w:cs="Arial" w:eastAsia="Arial" w:hAnsi="Arial"/>
          <w:sz w:val="17"/>
          <w:szCs w:val="17"/>
          <w:i w:val="1"/>
          <w:iCs w:val="1"/>
          <w:color w:val="auto"/>
        </w:rPr>
        <w:t>Flavor Blasted Goldfish</w:t>
      </w:r>
      <w:r>
        <w:rPr>
          <w:rFonts w:ascii="Arial" w:cs="Arial" w:eastAsia="Arial" w:hAnsi="Arial"/>
          <w:sz w:val="17"/>
          <w:szCs w:val="17"/>
          <w:color w:val="auto"/>
        </w:rPr>
        <w:t xml:space="preserve"> crackers in July 2018.</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Snacks increased 24% in 2018 versus 2017. The increase was primarily due to the benefit of the acquisition of Snyder’s-Lance, higher organic sales volume and lower marketing and selling expenses, partly offset by a lower</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 xml:space="preserve">gross profit percentage. Gross profit performance was impacted by higher levels of cost inflation, higher transportation and logistics costs and costs associated with the voluntary product recall of </w:t>
      </w:r>
      <w:r>
        <w:rPr>
          <w:rFonts w:ascii="Arial" w:cs="Arial" w:eastAsia="Arial" w:hAnsi="Arial"/>
          <w:sz w:val="18"/>
          <w:szCs w:val="18"/>
          <w:i w:val="1"/>
          <w:iCs w:val="1"/>
          <w:color w:val="auto"/>
        </w:rPr>
        <w:t>Flavor Blasted Goldfish</w:t>
      </w:r>
      <w:r>
        <w:rPr>
          <w:rFonts w:ascii="Arial" w:cs="Arial" w:eastAsia="Arial" w:hAnsi="Arial"/>
          <w:sz w:val="18"/>
          <w:szCs w:val="18"/>
          <w:color w:val="auto"/>
        </w:rPr>
        <w:t xml:space="preserve"> crackers in July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in 2019 included the following:</w:t>
      </w:r>
    </w:p>
    <w:p>
      <w:pPr>
        <w:spacing w:after="0" w:line="171" w:lineRule="exact"/>
        <w:rPr>
          <w:sz w:val="20"/>
          <w:szCs w:val="20"/>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$122 million of losses on pension and postretirement benefit mark-to-market adjustments;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$90 million related to the cost savings initiatives;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pension settlement charge of $28 million associated with a U.S. pension plan; and</w:t>
      </w:r>
    </w:p>
    <w:p>
      <w:pPr>
        <w:spacing w:after="0" w:line="171" w:lineRule="exact"/>
        <w:rPr>
          <w:rFonts w:ascii="Arial" w:cs="Arial" w:eastAsia="Arial" w:hAnsi="Arial"/>
          <w:sz w:val="18"/>
          <w:szCs w:val="18"/>
          <w:color w:val="auto"/>
        </w:rPr>
      </w:pPr>
    </w:p>
    <w:p>
      <w:pPr>
        <w:ind w:left="340" w:right="4800" w:firstLine="154"/>
        <w:spacing w:after="0" w:line="438" w:lineRule="auto"/>
        <w:tabs>
          <w:tab w:leader="none" w:pos="6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impairment charge of $16 million related to the European chips business. Corporate in 2018 included the following:</w:t>
      </w: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$135 million related to the cost savings initiatives;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and integration costs of $107 million associated with the acquisition of Snyder's-Lance;</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non-cash impairment charge of $54 million related to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$131 million of gains on pension and postretirement benefit mark-to-market adjustments.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these amounts, the remaining increase was primarily due to higher incentive compensation expenses.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Corporate in 2017 included costs of $37 million related to cost savings initiatives and $156 million of gains associated with pension and postretirement benefit mark-to-market adjustments. Excluding these amounts, the remaining increase in costs in 2018 was primarily due to higher administrative expenses and losses on open commodity contracts in 2018, partially offset by higher pension and postretirement benefit income in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$356 million in 2019 from $183 million in 2018. The increase in interest expense was due to higher levels of debt associated with funding the acquisitions, higher average interest rates on the debt portfolio and a gain of $18 million on treasury rate lock contracts in the prior year used to hedge the planned financing of the Snyder's-Lance acquisition.</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$183 million in 2018 from $115 million in 2017. The increase in interest expense was due to higher levels of debt associated with funding the acquisitions and higher average interest rates on the debt portfolio, partially offset by a gain of $18 million on treasury rate lock contracts used to hedge the planned financing of the Snyder's-Lance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24.2% in 2019, 12.8% in 2018 and 29.8% in 2017.</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22, 2017, the Act was enacted into law and made significant changes to corporate taxation. As a result, the following items are reflected in 2018:</w:t>
      </w:r>
    </w:p>
    <w:p>
      <w:pPr>
        <w:spacing w:after="0" w:line="89" w:lineRule="exact"/>
        <w:rPr>
          <w:sz w:val="20"/>
          <w:szCs w:val="20"/>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corporate rate reduction as of January 1, 2018, resulted in a blended U.S. statutory tax rate of approximately 27%;</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resulted in a tax benefit of $179 million;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transition tax on unremitted foreign earnings resulted in a tax charge of $53 million.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12 to the Consolidated Financial Statements for additional information.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expense increased from $106 million in 2018 to $151 million in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2019 and 2018:</w:t>
      </w:r>
    </w:p>
    <w:p>
      <w:pPr>
        <w:spacing w:after="0" w:line="171" w:lineRule="exact"/>
        <w:rPr>
          <w:sz w:val="20"/>
          <w:szCs w:val="20"/>
          <w:color w:val="auto"/>
        </w:rPr>
      </w:pPr>
    </w:p>
    <w:p>
      <w:pPr>
        <w:ind w:left="660" w:hanging="16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2019, we recognized a tax benefit of $29 million on $122 million of pension and postretirement benefit mark-to-market losses. In 2018, we recognized tax expense of $31 million on $131 million of pension and postretirement benefit mark-to-market gains;</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2019, we recognized a $6 million tax benefit on $28 million of a pension settlement charge;</w:t>
      </w:r>
    </w:p>
    <w:p>
      <w:pPr>
        <w:spacing w:after="0" w:line="171"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2019, we recognized a $29 million tax benefit on $121 million of restructuring charges, implementation costs and other related costs. In 2018, we recognized a $45 million tax benefit on $177 million of restructuring charges, implementation costs and other related costs;</w:t>
      </w:r>
    </w:p>
    <w:p>
      <w:pPr>
        <w:spacing w:after="0" w:line="116" w:lineRule="exact"/>
        <w:rPr>
          <w:rFonts w:ascii="Arial" w:cs="Arial" w:eastAsia="Arial" w:hAnsi="Arial"/>
          <w:sz w:val="18"/>
          <w:szCs w:val="18"/>
          <w:color w:val="auto"/>
        </w:rPr>
      </w:pPr>
    </w:p>
    <w:p>
      <w:pPr>
        <w:jc w:val="both"/>
        <w:ind w:left="660" w:hanging="16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2019, we recognized a transition tax on unremitted foreign earnings of $2 million related to the enactment of the Act. In 2018, we recognized a net tax benefit of $126 million related to the enactment of the Act on the remeasurement of deferred tax assets and liabilities and transition tax on unremitted foreign earnings described above;</w:t>
      </w:r>
    </w:p>
    <w:p>
      <w:pPr>
        <w:sectPr>
          <w:pgSz w:w="11900" w:h="16838" w:orient="portrait"/>
          <w:cols w:equalWidth="0" w:num="1">
            <w:col w:w="11420"/>
          </w:cols>
          <w:pgMar w:left="240" w:top="1314" w:right="239" w:bottom="892"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892" w:gutter="0" w:footer="0" w:header="0"/>
          <w:type w:val="continuous"/>
        </w:sectPr>
      </w:pPr>
    </w:p>
    <w:bookmarkStart w:id="25" w:name="page26"/>
    <w:bookmarkEnd w:id="25"/>
    <w:p>
      <w:pPr>
        <w:ind w:left="660" w:right="20" w:hanging="16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 2019, we recognized a $3 million tax benefit on a $16 million impairment charge on the European chips business. In 2018, we recognized a $13 million tax benefit on a $54 million impairment charge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a $29 million tax benefit on $102 million of transaction and integration costs associated with the acquisition of Snyder's-Lance; and</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a $7 million tax benefit on the $22 million of expense related to the settlement of a legal claim.</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rate was primarily due to the ongoing benefit of the lower U.S. federal tax rate resulting from the enactment of the Act in December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expense decreased from $392 million in 2017 to $106 million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tax rate in 2017:</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2017, we recognized a tax expense of $56 million on $156 million of pension and postretirement benefit mark-to-market gains;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2017, we recognized an $18 million tax benefit on $48 million of restructuring charges, implementation costs and other related costs; and</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2017, we recognized a tax benefit of $52 million primarily related to the sale of intercompany notes receivable to a financial institution, which resulted in the recognition of foreign exchange losses on the notes for tax purposes.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tax rate was primarily due to the ongoing benefit of the lower U.S. federal tax rate as a result of the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pre-tax charges recorded in Earnings from continuing operations related to both programs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(Millions, except per share amounts)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94"/>
              <w:spacing w:after="0"/>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July 28, 2019</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Aggregate after-tax impact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impact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14" w:right="239" w:bottom="1440" w:gutter="0" w:footer="0" w:header="0"/>
          <w:type w:val="continuous"/>
        </w:sectPr>
      </w:pPr>
    </w:p>
    <w:bookmarkStart w:id="26" w:name="page27"/>
    <w:bookmarkEnd w:id="26"/>
    <w:p>
      <w:pPr>
        <w:ind w:left="340" w:hanging="332"/>
        <w:spacing w:after="0" w:line="216"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Restructuring charges and $12 million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charges recorded in Earnings (loss) from discontinued operations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14"/>
                <w:szCs w:val="14"/>
                <w:color w:val="auto"/>
              </w:rPr>
            </w:pPr>
          </w:p>
        </w:tc>
        <w:tc>
          <w:tcPr>
            <w:tcW w:w="10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Recognized as of July</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5500" w:type="dxa"/>
            <w:vAlign w:val="bottom"/>
          </w:tcPr>
          <w:p>
            <w:pPr>
              <w:jc w:val="right"/>
              <w:ind w:right="1896"/>
              <w:spacing w:after="0"/>
              <w:rPr>
                <w:sz w:val="20"/>
                <w:szCs w:val="20"/>
                <w:color w:val="auto"/>
              </w:rPr>
            </w:pPr>
            <w:r>
              <w:rPr>
                <w:rFonts w:ascii="Arial" w:cs="Arial" w:eastAsia="Arial" w:hAnsi="Arial"/>
                <w:sz w:val="18"/>
                <w:szCs w:val="18"/>
                <w:color w:val="auto"/>
                <w:w w:val="89"/>
              </w:rPr>
              <w:t>_______________________________________</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$19 million of severance pay and benefits and $4 million of implementation costs and other related costs.</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both programs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Recognized as of July 28,</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7"/>
        </w:trPr>
        <w:tc>
          <w:tcPr>
            <w:tcW w:w="978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Includes $12 million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under both programs are approximately $615 million to $665 million. This estimate will be updated as costs for the expanded initiatives are developed.</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associated with continuing operations that have been identified to date under both programs to consist of the following: approximately $205 million to $210 million in severance pay and benefits; approximately $65 million in asset impairment and accelerated depreciation; and approximately $345 million to $390 million in implementation costs and other related costs. We expect these pre-tax costs to be associated with our segments as follows: Meals &amp; Beverages - approximately 35%; Snacks - approximately 40%; and Corporate - approximately 25%.</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$615 million to $665 million of pre-tax costs associated with continuing operations identified to date under both programs, we expect approximately $540 million to $590 million will be cash expenditures. In addition, we expect to invest approximately $395 million in capital expenditures through 2021, of which we invested approximately $250 million as of July 28, 2019. The capital expenditures primarily relate to the U.S. warehouse optimization project, improvement of quality, safety and cost structure across the Snyder’s-Lance manufacturing network, implementation of an SAP enterprise-resource planning system for Snyder's-Lance,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1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substantially all of the costs for the actions associated with continuing operations that have been identified to date through 2020 and to fund the costs through cash flows from operations and short-term borrowings.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the initiatives for actions associated with continuing operations that have been identified to date under both programs to generate pre-tax savings of $710 million in 2020, and once all phases are implemented, to generate annual ongoing savings of approximately $850 million by the end of 2022. The annual pre-tax savings associated with continuing operations generated by both programs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r>
      <w:tr>
        <w:trPr>
          <w:trHeight w:val="243"/>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560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w:t>
            </w:r>
          </w:p>
        </w:tc>
      </w:tr>
      <w:tr>
        <w:trPr>
          <w:trHeight w:val="27"/>
        </w:trPr>
        <w:tc>
          <w:tcPr>
            <w:tcW w:w="6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initiatives for actions associated with discontinued operations generated pre-tax savings of over $90 million in 2019 and $60 million in 2018.</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87" w:right="239" w:bottom="1440" w:gutter="0" w:footer="0" w:header="0"/>
        </w:sectPr>
      </w:pPr>
    </w:p>
    <w:bookmarkStart w:id="27" w:name="page28"/>
    <w:bookmarkEnd w:id="27"/>
    <w:p>
      <w:pPr>
        <w:ind w:firstLine="324"/>
        <w:spacing w:after="0" w:line="30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Costs Incurred to Date</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&amp; Beverages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Snacks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line="216"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Includes $25 million of pre-tax costs associated with the Snacks segment recognized in 2018 related to the Snyder's-Lance cost transformation program and integration.</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to the Consolidated Financial Statements for 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25, 2019, we sold our U.S. refrigerated soup business, and on April 25, 2019, we sold our Garden Fresh Gourmet business. Proceeds were approximately $55 million, subject to customary purchase price adjustments. On June 16, 2019, we sold our Bolthouse Farms business. Proceeds were approximately $500 million, subject to customary purchase price adjustments. Beginning in the third quarter of 2019, we have reflected the results of these businesses as discontinued operations in the Consolidated Statements of Earnings for all periods presented.</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Within our international biscuits and snacks operating segment, we signed a definitive agreement for the sale of our Kelsen business on July 12, 2019, and completed the sale on September 23, 2019, for approximately $300 million, subject to customary purchase price adjustments. We also signed a definitive agreement on August 1, 2019, for the sale of the Arnott’s and international operations, for $2.2 billion, subject to customary purchase price adjustments. We expect to complete the sale in the first half of 2020. Beginning in the fourth quarter of 2019, we have reflected the results of operations of the Kelsen business and the Arnott’s and international operations, or Campbell International, as discontinued operations in the Consolidated Statements of Earnings for all periods presented. These businesses were historically included in the Global Biscuits and Snacks reportable segment.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Campbell Fresh</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Campbell International</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BFE4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4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756</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1,046</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(loss) before taxes from operations</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Taxes on earnings (loss) from operations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20" w:type="dxa"/>
            <w:vAlign w:val="bottom"/>
            <w:shd w:val="clear" w:color="auto" w:fill="BFE4FF"/>
          </w:tcPr>
          <w:p>
            <w:pPr>
              <w:ind w:left="40"/>
              <w:spacing w:after="0"/>
              <w:rPr>
                <w:sz w:val="20"/>
                <w:szCs w:val="20"/>
                <w:color w:val="auto"/>
              </w:rPr>
            </w:pPr>
            <w:r>
              <w:rPr>
                <w:rFonts w:ascii="Arial" w:cs="Arial" w:eastAsia="Arial" w:hAnsi="Arial"/>
                <w:sz w:val="18"/>
                <w:szCs w:val="18"/>
                <w:color w:val="auto"/>
                <w:w w:val="89"/>
              </w:rPr>
              <w:t>Loss on sales of businesses / costs associated with selling the</w:t>
            </w:r>
          </w:p>
        </w:tc>
        <w:tc>
          <w:tcPr>
            <w:tcW w:w="240" w:type="dxa"/>
            <w:vAlign w:val="bottom"/>
            <w:shd w:val="clear" w:color="auto" w:fill="BFE4FF"/>
          </w:tcPr>
          <w:p>
            <w:pPr>
              <w:spacing w:after="0"/>
              <w:rPr>
                <w:sz w:val="19"/>
                <w:szCs w:val="19"/>
                <w:color w:val="auto"/>
              </w:rPr>
            </w:pPr>
          </w:p>
        </w:tc>
        <w:tc>
          <w:tcPr>
            <w:tcW w:w="780" w:type="dxa"/>
            <w:vAlign w:val="bottom"/>
            <w:vMerge w:val="restart"/>
            <w:shd w:val="clear" w:color="auto" w:fill="BFE4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6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BFE4FF"/>
          </w:tcPr>
          <w:p>
            <w:pPr>
              <w:spacing w:after="0"/>
              <w:rPr>
                <w:sz w:val="19"/>
                <w:szCs w:val="19"/>
                <w:color w:val="auto"/>
              </w:rPr>
            </w:pPr>
          </w:p>
        </w:tc>
        <w:tc>
          <w:tcPr>
            <w:tcW w:w="860" w:type="dxa"/>
            <w:vAlign w:val="bottom"/>
            <w:gridSpan w:val="2"/>
            <w:vMerge w:val="restart"/>
            <w:shd w:val="clear" w:color="auto" w:fill="BFE4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BFE4FF"/>
          </w:tcPr>
          <w:p>
            <w:pPr>
              <w:spacing w:after="0"/>
              <w:rPr>
                <w:sz w:val="19"/>
                <w:szCs w:val="19"/>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businesses</w:t>
            </w:r>
          </w:p>
        </w:tc>
        <w:tc>
          <w:tcPr>
            <w:tcW w:w="24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vMerge w:val="continue"/>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gridSpan w:val="2"/>
            <w:vMerge w:val="continue"/>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gridSpan w:val="2"/>
            <w:vMerge w:val="continue"/>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760" w:type="dxa"/>
            <w:vAlign w:val="bottom"/>
            <w:tcBorders>
              <w:bottom w:val="single" w:sz="8" w:color="BFE4FF"/>
            </w:tcBorders>
            <w:vMerge w:val="continue"/>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40"/>
              <w:spacing w:after="0"/>
              <w:rPr>
                <w:sz w:val="20"/>
                <w:szCs w:val="20"/>
                <w:color w:val="auto"/>
              </w:rPr>
            </w:pPr>
            <w:r>
              <w:rPr>
                <w:rFonts w:ascii="Arial" w:cs="Arial" w:eastAsia="Arial" w:hAnsi="Arial"/>
                <w:sz w:val="18"/>
                <w:szCs w:val="18"/>
                <w:color w:val="auto"/>
                <w:w w:val="91"/>
              </w:rPr>
              <w:t>Tax expense (benefit) of loss on sales / costs associated with</w:t>
            </w:r>
          </w:p>
        </w:tc>
        <w:tc>
          <w:tcPr>
            <w:tcW w:w="240" w:type="dxa"/>
            <w:vAlign w:val="bottom"/>
          </w:tcPr>
          <w:p>
            <w:pPr>
              <w:spacing w:after="0"/>
              <w:rPr>
                <w:sz w:val="19"/>
                <w:szCs w:val="19"/>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selling the businesses</w:t>
            </w: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In 2019, Campbell Fresh sales decreased primarily due to the sale of the businesses, as well as declines in refrigerated soup,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and Garden Fresh Gourmet.</w:t>
      </w:r>
    </w:p>
    <w:p>
      <w:pPr>
        <w:spacing w:after="0" w:line="13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In 2018, Campbell Fresh sales were comparable to the prior year as gains in carrot ingredients and Garden Fresh Gourmet were offset by declines in </w:t>
      </w:r>
      <w:r>
        <w:rPr>
          <w:rFonts w:ascii="Arial" w:cs="Arial" w:eastAsia="Arial" w:hAnsi="Arial"/>
          <w:sz w:val="18"/>
          <w:szCs w:val="18"/>
          <w:i w:val="1"/>
          <w:iCs w:val="1"/>
          <w:color w:val="auto"/>
        </w:rPr>
        <w:t xml:space="preserve">Bolthouse Farms </w:t>
      </w:r>
      <w:r>
        <w:rPr>
          <w:rFonts w:ascii="Arial" w:cs="Arial" w:eastAsia="Arial" w:hAnsi="Arial"/>
          <w:sz w:val="18"/>
          <w:szCs w:val="18"/>
          <w:color w:val="auto"/>
        </w:rPr>
        <w:t>refrigerated beverages</w:t>
      </w:r>
      <w:r>
        <w:rPr>
          <w:rFonts w:ascii="Arial" w:cs="Arial" w:eastAsia="Arial" w:hAnsi="Arial"/>
          <w:sz w:val="19"/>
          <w:szCs w:val="19"/>
          <w:color w:val="auto"/>
        </w:rPr>
        <w:t>.</w:t>
      </w:r>
    </w:p>
    <w:p>
      <w:pPr>
        <w:sectPr>
          <w:pgSz w:w="11900" w:h="16838" w:orient="portrait"/>
          <w:cols w:equalWidth="0" w:num="1">
            <w:col w:w="11420"/>
          </w:cols>
          <w:pgMar w:left="240" w:top="1314"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14" w:right="239" w:bottom="1440" w:gutter="0" w:footer="0" w:header="0"/>
          <w:type w:val="continuous"/>
        </w:sectPr>
      </w:pPr>
    </w:p>
    <w:bookmarkStart w:id="28" w:name="page29"/>
    <w:bookmarkEnd w:id="28"/>
    <w:p>
      <w:pPr>
        <w:jc w:val="both"/>
        <w:ind w:firstLine="324"/>
        <w:spacing w:after="0" w:line="273" w:lineRule="auto"/>
        <w:rPr>
          <w:sz w:val="20"/>
          <w:szCs w:val="20"/>
          <w:color w:val="auto"/>
        </w:rPr>
      </w:pPr>
      <w:r>
        <w:rPr>
          <w:rFonts w:ascii="Arial" w:cs="Arial" w:eastAsia="Arial" w:hAnsi="Arial"/>
          <w:sz w:val="17"/>
          <w:szCs w:val="17"/>
          <w:color w:val="auto"/>
        </w:rPr>
        <w:t>In 2019, 2018, and 2017, we recorded impairment charges on the reporting units in Campbell Fresh. See "Significant Accounting Estimates" for additional information. In 2019, we recorded non-cash impairment charges of $360 million ($275 million after tax, or $.91 per share). In 2018 and 2017, the total non-cash impairment charges were $694 million ($571 million after tax, or $1.89 per share) and $212 million ($180 million after tax, or $.59 per share), respectively. In 2019, we incurred pre-tax expenses of $32 million associated with the sale process of the businesses, including transaction costs. In addition, we recorded tax expense of $29 million in the third quarter as deferred tax assets associated with Bolthouse Farms were not realizable. In 2018, loss from operations included a benefit from the favorable resolution of a tax matter.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2019, Campbell International sales decreased reflecting the negative impact of currency translation and declines in Kelsen cookies in the U.S.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Campbell International sales increased due to the favorable impact from currency translation. Excluding the impact from currency translation, sales decreased with declines in Arnott’s biscuits in Indonesia, partly offset by gains in Kelsen cookies in China.</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excluding items impacting comparability, earnings from Campbell International declined primarily due to a lower gross profit percentage, reflecting higher supply chain costs and higher promotional spending, as well as the negative impact of currency translation.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earnings from Campbell International declined primarily due to higher 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August 2018, we announced the results of our comprehensive Board of Directors-led strategy and portfolio review, which included plans to pursue the divestiture of our international biscuits and snacks operating segment and our Campbell Fresh operating segment. We sold Campbell Fresh in 2019 as further described below. Within our international biscuits and snacks operating segment, we signed a definitive agreement for the sale of our Kelsen business on July 12, 2019, and completed the sale on September 23, 2019, for approximately $300 million, subject to customary purchase price adjustments. We also signed a definitive agreement on August 1, 2019, for the sale of the Arnott’s and international operations for $2.2 billion, subject to customary purchase price adjustments, and expect to complete the sale in the first half of 2020. In addition, on September 18, 2019, we signed a definitive agreement for the sale of our European chips business for £66 million, or approximately $80 million. The sale is subject to customary closing conditions including receiving the relevant regulatory approvals, and we expect to complete the sale in the first quarter of 2020.</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used the net proceeds from the businesses we sold in 2019 to reduce our debt and expect to use the net proceeds from the businesses sold in 2020 to further reduce debt.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plan to continue driving improved asset efficiency in working capital and capital expenditures to generate cash. We expect to maintain disciplined cash flow and capital allocation priorities in 2020, including for capital investments, our dividend and debt reduction.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$1.398 billion in 2019, compared to $1.305 billion in 2018. The increase in 2019 was primarily due to improvements in working capital management efforts and higher cash earnings.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$1.305 billion in 2018, compared to $1.288 billion in 2017. The increase in 2018 was primarily due to lower working capital requirements, partially offset by lower cash earnings.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while extending payment terms for accounts payables. We had negative working capital of $1.418 billion as of July 28, 2019, and $1.298 billion as of July 29, 2018. Total debt maturing within one year was $1.603 billion as of July 28, 2019, and $1.896 billion as of July 29, 2018.</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Capital expenditures were $384 million in 2019, $407 million in 2018 and $338 million in 2017. Capital expenditures are expected to total approximately $350 million in 2020. Capital expenditures in 2019 included a U.S. warehouse optimization project, replacement of a Pepperidge Farm refrigeration system, transition of production of the Toronto manufacturing facility to our U.S. thermal plants, a Snyder's-Lance regional distribution center, a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 capacity expansion project, and a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 capacity expansion project. Capital expenditures in 2018 included a U.S. warehouse optimization project; transition of production of the Toronto manufacturing facility to our U.S. thermal plants; insourcing manufacturing for certain simple meal products; replacement of a Pepperidge Farm refrigeration system; and an Australian multi-pack biscuit capacity expansion project. Capital expenditures in 2017 included projects to expand: Australian multi-pack biscuit capacity; beverage and salad dressing capacity at Bolthouse Farms; and capacity at Garden Fresh; as well as the continued enhancement of our corporate headquarters; replacement of a Pepperidge Farm refrigeration system; and a U.S. warehouse optimization project.</w:t>
      </w:r>
    </w:p>
    <w:p>
      <w:pPr>
        <w:sectPr>
          <w:pgSz w:w="11900" w:h="16838" w:orient="portrait"/>
          <w:cols w:equalWidth="0" w:num="1">
            <w:col w:w="11420"/>
          </w:cols>
          <w:pgMar w:left="240" w:top="1314" w:right="2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14" w:right="239" w:bottom="1440" w:gutter="0" w:footer="0" w:header="0"/>
          <w:type w:val="continuous"/>
        </w:sectPr>
      </w:pPr>
    </w:p>
    <w:bookmarkStart w:id="29" w:name="page30"/>
    <w:bookmarkEnd w:id="29"/>
    <w:p>
      <w:pPr>
        <w:jc w:val="both"/>
        <w:ind w:right="20" w:firstLine="324"/>
        <w:spacing w:after="0" w:line="342"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we completed the acquisition of Pacific Foods. The purchase price was $688 million and was funded through the issuance of commercial paper.</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26, 2018, we completed the acquisition of Snyder’s-Lance. Total consideration was $6.112 billion, which included the payoff of approximately $1.1 billion of Snyder's-Lance indebtedness. We borrowed $900 million under a single draw 3-year senior unsecured term loan facility on March 26, 2018, and issued $5.3 billion senior notes on March 16, 2018, to finance the acquisition. The interest rate on the senior unsecured term loan facility resets in one, two, three, or six-month periods dependent upon our election. Interest on the senior unsecured term loan facility is due upon the earlier of an interest reset or quarterly. The senior unsecured term loan facility contains customary covenants and events of default for credit facilities of this type and a maximum leverage ratio covenant. During the fourth quarter of 2019, we prepaid $401 million of the facility. As a result of such prepayment, the maximum leverage ratio covenant in the senior unsecured term loan facility no longer applies and is no longer incorporated into our U.S. credit facility. The remaining debt outstanding under the senior unsecured term loan facility may be prepaid at par at any time.</w:t>
      </w:r>
    </w:p>
    <w:p>
      <w:pPr>
        <w:spacing w:after="0" w:line="1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$5.3 billion senior notes were issued in various tenors in both fixed and floating rate formats. We issued 2 and 3-year floating rate senior notes in the amount of $500 million and $400 million, respectively. We issued 3, 5, 7, 10, and 30-year fixed rate senior notes in the amount of $650 million, $1.2 billion, $850 million, $1 billion, and $700 million, respectively. Interest on the 2-year floating rate senior notes is due quarterly on March 16, June 16, September 16, and December 16, commencing on June 16, 2018. Interest on the 3-year floating rate senior notes is due quarterly on March 15, June 15, September 15, and December 15, commencing on June 15, 2018. Interest on the fixed rate senior notes is due semi-annually on March 15 and September 15, commencing on September 15, 2018. The fixed rate senior notes may be redeemed, in whole or in part, at our option at any time at the applicable redemption price. If change of control triggering events occur, we will be required to offer to purchase the senior notes at a purchase price equal to 101% of the principal amount plus accrued and unpaid interest, if any, to the purchase date. The senior notes were issued under a shelf registration statement that we filed with the Securities and Exchange Commission in July 2017. We registered an indeterminate amount of debt securities. Under the registration statement, we may issue debt securities from time to time, depending on market conditions.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30, 2018, we purchased the remaining ownership interest in Yellow Chips Holdings B.V., and began consolidating the business. The purchase price was $18 million.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approximately $55 million, subject to customary purchase price adjustments. On June 16, 2019, we sold Bolthouse Farms. Proceeds were approximately $500 million, subject to customary purchase price adjustments.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we sold intercompany notes to a financial institution, including an AUD $280 million, or $224 million, note with an interest rate of 4.88% due on September 18, 2018, and an AUD $190 million, or $152 million, note with an interest rate of 6.98% due on March 29, 2021, but payable upon demand. Interest on both notes was due semi-annually on January 23 and July 23. The net proceeds were used for general corporate purposes. On September 18, 2018, we repaid a portion of both Australian notes and refinanced the remainder with a new AUD $400 million, or $296 million, single-draw syndicated facility that matured on September 11, 2019. As of July 28, 2019, the balance outstanding under this facility was AUD $335 million, or $232 million. The syndicated facility was repaid in August 2019 and was terminated.</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Dividend payments were $423 million in 2019, $426 million in 2018 and $420 million in 2017. Annual dividends declared were $1.40 per share in 2019, 2018, and 2017. The 2019 fourth quarter dividend was $.35 per share.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repurchased approximately 2 million shares at a cost of $86 million in 2018, and approximately 8 million shares at a cost of $437 million in 2017. As a result of the acquisition of Snyder's-Lance, we suspended our share repurchases as of the second quarter of 2018. See Note 17 to the Consolidated Financial Statements for additional information.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July 28, 2019, we had $1.603 billion of short-term borrowings due within one year, of which $853 million was comprised of commercial paper borrowings and $232 million was outstanding under the Australian syndicated facility. As of July 28, 2019, we issued $46 million of standby letters of credit. We have a committed revolving credit facility totaling $1.85 billion that matures in December 2021. This U.S. facility remained unused at July 28, 2019, except for $1 million of standby letters of credit that we issued under it. The U.S. facility supports our commercial paper programs and other general corporate purposes. We expect to continue to access the commercial paper markets, bank credit lines and utilize cash flows from operations to support our short-term liquidity requirements.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summarizes our obligations and commitments to make future payments under certain contractual obligations as of July 28, 2019. For additional information on debt, see Note 13 to the Consolidated Financial Statements. Operating leases are primarily entered into for warehouse and office facilities and certain equipment.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20 to the Consolidated Financial Statements.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2021-2022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2023-2024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8,744</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1,652</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Derivative payments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Other long-term payments</w:t>
            </w:r>
            <w:r>
              <w:rPr>
                <w:rFonts w:ascii="Arial" w:cs="Arial" w:eastAsia="Arial" w:hAnsi="Arial"/>
                <w:sz w:val="25"/>
                <w:szCs w:val="25"/>
                <w:color w:val="auto"/>
                <w:vertAlign w:val="superscript"/>
              </w:rPr>
              <w:t>(4)(5)</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cash obligations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w w:val="89"/>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45"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Excludes build-to-suit lease commitment, unamortized net discount/premium on debt issuances and debt issuance costs. Includes debt obligations of $238 million related to discontinued operations. For additional information on debt obligations, see Note 13 to the Consolidated Financial Statements.</w:t>
      </w:r>
    </w:p>
    <w:p>
      <w:pPr>
        <w:ind w:left="340" w:hanging="332"/>
        <w:spacing w:after="0" w:line="209"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Interest payments for short- and long-term borrowings are based on principal amounts and coupons or contractual rates at fiscal year end. Includes interest payments of $3 million related to discontinued operations.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payments of foreign exchange forward contracts and commodity contracts.</w:t>
      </w:r>
    </w:p>
    <w:p>
      <w:pPr>
        <w:spacing w:after="0" w:line="2" w:lineRule="exact"/>
        <w:rPr>
          <w:rFonts w:ascii="Arial" w:cs="Arial" w:eastAsia="Arial" w:hAnsi="Arial"/>
          <w:sz w:val="25"/>
          <w:szCs w:val="25"/>
          <w:color w:val="auto"/>
          <w:vertAlign w:val="superscript"/>
        </w:rPr>
      </w:pPr>
    </w:p>
    <w:p>
      <w:pPr>
        <w:ind w:left="340" w:right="20" w:hanging="332"/>
        <w:spacing w:after="0" w:line="208"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purchase commitments of $243 million, operating leases of $21 million, and Other long-term payments of $6 million related to discontinued operations.</w:t>
      </w:r>
    </w:p>
    <w:p>
      <w:pPr>
        <w:spacing w:after="0" w:line="1"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other long-term liabilities, excluding unrecognized tax benefits, postretirement benefits and payments related to pension plans. For additional information on pension and postretirement benefits, see Note 11 to the Consolidated Financial Statements. For additional information on unrecognized tax benefits, see Note 12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guarantee approximately 2,000 bank loans made to Pepperidge Farm independent contractor distributors by third-party financial institutions for the purchase of distribution routes. The maximum potential amount of the future payments under existing guarantees we could be required to make is $220 million. We guarantee approximately 2,400 bank loans made to Snyder's-Lance independent contract distributors by third-party financial institutions for the purchase of distribution routes. The outstanding aggregate balance on these loans was $194 million as of July 28, 2019. Our guarantees are indirectly secured by the distribution routes. We do not expect that we will be required to make material guarantee payments as a result of defaults on the bank loans guaranteed.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19 to the Consolidated Financial Statements for information on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the impact of inflation on our cost of products sold. We use a number of strategies to mitigate the effects of cost inflation including increasing prices, commodity hedging and pursuing cost productivity initiatives.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Net sales of continuing operations outside of the U.S. are concentrated principally in Canada and represent approximately 8% of 2019 net sales. Within discontinued operations, international sales are concentrated principally in Australia. We manage our foreign currency exposures by borrowing in various foreign currencies and utilizing cross-currency swaps and foreign exchange forward contracts. We enter into cross-currency swaps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0"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and foreign exchange forward contracts for periods consistent with related underlying exposures, and the contracts do not constitute positions independent of those exposures. We do not enter into derivative contracts for speculative purposes and do not use leveraged instruments.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soybean oil, wheat, diesel fuel, aluminum, natural gas, soybean meal, corn, cocoa, butter, and cheese, which impact the cost of raw materials.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below summarizes our market risks associated with debt obligations and other significant financial instruments as of July 28, 2019. Fair values included herein have been determined based on quoted market prices or pricing models using current market rates. The information presented below should be read in conjunction with Notes 13, 14 and 16 to the Consolidated Financial Statements.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principal cash flows and related interest rates by fiscal year of maturity for debt obligations. Interest rates disclosed on variable-rate debt represent the weighted-average rates at July 28, 2019.</w:t>
      </w:r>
    </w:p>
    <w:p>
      <w:pPr>
        <w:spacing w:after="0" w:line="247"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Expected Fiscal Year of Maturity</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right"/>
              <w:ind w:right="16"/>
              <w:spacing w:after="0" w:line="133"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65"/>
        </w:trPr>
        <w:tc>
          <w:tcPr>
            <w:tcW w:w="2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40" w:type="dxa"/>
            <w:vAlign w:val="bottom"/>
          </w:tcPr>
          <w:p>
            <w:pPr>
              <w:spacing w:after="0"/>
              <w:rPr>
                <w:sz w:val="5"/>
                <w:szCs w:val="5"/>
                <w:color w:val="auto"/>
              </w:rPr>
            </w:pPr>
          </w:p>
        </w:tc>
        <w:tc>
          <w:tcPr>
            <w:tcW w:w="7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5"/>
                <w:szCs w:val="5"/>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5"/>
                <w:szCs w:val="15"/>
                <w:b w:val="1"/>
                <w:bCs w:val="1"/>
                <w:color w:val="auto"/>
              </w:rPr>
              <w:t>Debt</w:t>
            </w:r>
            <w:r>
              <w:rPr>
                <w:rFonts w:ascii="Arial" w:cs="Arial" w:eastAsia="Arial" w:hAnsi="Arial"/>
                <w:sz w:val="21"/>
                <w:szCs w:val="21"/>
                <w:b w:val="1"/>
                <w:bCs w:val="1"/>
                <w:color w:val="auto"/>
                <w:vertAlign w:val="superscript"/>
              </w:rPr>
              <w:t>(1)</w:t>
            </w: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9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Fixed rate</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6,260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Variable rate</w:t>
            </w:r>
            <w:r>
              <w:rPr>
                <w:rFonts w:ascii="Arial" w:cs="Arial" w:eastAsia="Arial" w:hAnsi="Arial"/>
                <w:sz w:val="25"/>
                <w:szCs w:val="25"/>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2,484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w:t>
      </w:r>
    </w:p>
    <w:p>
      <w:pPr>
        <w:spacing w:after="0" w:line="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Expected maturities exclude build-to-suit lease commitment, unamortized net discount/premium on debt issuances and debt issuance costs.</w:t>
      </w:r>
    </w:p>
    <w:p>
      <w:pPr>
        <w:spacing w:after="0" w:line="1"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Represents $6.253 billion of USD borrowings and $7 million equivalent of borrowings in other currencies.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Represents $2.252 billion of USD borrowings and borrowings of discontinued operations of $232 million equivalent AUD.</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29, 2018, fixed-rate debt of approximately $6.906 billion with an average interest rate of 4.10% and variable-rate debt of approximately $3.052 billion with an average interest rate of 2.86% were outstanding.</w:t>
      </w:r>
    </w:p>
    <w:p>
      <w:pPr>
        <w:spacing w:after="0" w:line="1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exposed to foreign exchange risk as a result of transactions in currencies other than the functional currency of certain subsidiaries, including subsidiary debt. We utilize foreign exchange forward purchase and sale contracts to hedge these exposures. The following table summarizes the foreign exchange forward contracts outstanding and the related weighted-average contract exchange rates as of July 28,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Contractual</w:t>
            </w:r>
          </w:p>
        </w:tc>
        <w:tc>
          <w:tcPr>
            <w:tcW w:w="0" w:type="dxa"/>
            <w:vAlign w:val="bottom"/>
          </w:tcPr>
          <w:p>
            <w:pPr>
              <w:spacing w:after="0"/>
              <w:rPr>
                <w:sz w:val="1"/>
                <w:szCs w:val="1"/>
                <w:color w:val="auto"/>
              </w:rPr>
            </w:pPr>
          </w:p>
        </w:tc>
      </w:tr>
      <w:tr>
        <w:trPr>
          <w:trHeight w:val="149"/>
        </w:trPr>
        <w:tc>
          <w:tcPr>
            <w:tcW w:w="8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Exchange Rate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w w:val="90"/>
              </w:rPr>
              <w:t>Foreign Exchange Forward Contracts</w:t>
            </w: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(currency paid/</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20" w:type="dxa"/>
            <w:vAlign w:val="bottom"/>
            <w:tcBorders>
              <w:bottom w:val="single" w:sz="8" w:color="auto"/>
            </w:tcBorders>
            <w:vMerge w:val="continue"/>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120"/>
              <w:spacing w:after="0" w:line="125" w:lineRule="exact"/>
              <w:rPr>
                <w:sz w:val="20"/>
                <w:szCs w:val="20"/>
                <w:color w:val="auto"/>
              </w:rPr>
            </w:pPr>
            <w:r>
              <w:rPr>
                <w:rFonts w:ascii="Arial" w:cs="Arial" w:eastAsia="Arial" w:hAnsi="Arial"/>
                <w:sz w:val="14"/>
                <w:szCs w:val="14"/>
                <w:b w:val="1"/>
                <w:bCs w:val="1"/>
                <w:color w:val="auto"/>
              </w:rPr>
              <w:t>Notional Value</w:t>
            </w:r>
          </w:p>
        </w:tc>
        <w:tc>
          <w:tcPr>
            <w:tcW w:w="1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currency received)</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5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Receive USD/Pay CAD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Receive AUD/Pay NZD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Receive DKK/Pay USD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0.1572</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Receive CAD/Pay USD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0.7622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Receive CHF/Pay USD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Receive GBP/Pay AUD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1.8011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had an additional number of smaller contracts to purchase or sell various other currencies with a notional value of $1.3 million as of July 28, 2019. The notional values of these smaller contracts, as well as Receive AUD/Pay NZD, Receive DKK/Pay USD and Receive GBP/Pay AUD, referenced in the table above, are associated with discontinued operations. The aggregate fair value of all contracts was a loss of $3 million as of July 28, 2019. The total notional value of foreign exchange forward contracts outstanding was $244 million, and the aggregate fair value was a gain of $2 million as of July 29, 2018.</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commodity futures, options and swap contracts to reduce the volatility of price fluctuations for commodities. As of July 28, 2019, the notional value of these contracts was $183 million, and the aggregate fair value of these contracts was a loss of $3 million. As of July 29, 2018, the notional value of these contracts was $118 million, and the aggregate fair value of these contracts was a gain of $1 million.</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14" w:right="239" w:bottom="1440" w:gutter="0" w:footer="0" w:header="0"/>
          <w:type w:val="continuous"/>
        </w:sectPr>
      </w:pPr>
    </w:p>
    <w:bookmarkStart w:id="32" w:name="page33"/>
    <w:bookmarkEnd w:id="32"/>
    <w:p>
      <w:pPr>
        <w:jc w:val="both"/>
        <w:ind w:firstLine="324"/>
        <w:spacing w:after="0" w:line="287" w:lineRule="auto"/>
        <w:rPr>
          <w:sz w:val="20"/>
          <w:szCs w:val="20"/>
          <w:color w:val="auto"/>
        </w:rPr>
      </w:pPr>
      <w:r>
        <w:rPr>
          <w:rFonts w:ascii="Arial" w:cs="Arial" w:eastAsia="Arial" w:hAnsi="Arial"/>
          <w:sz w:val="16"/>
          <w:szCs w:val="16"/>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 notional value of the contract that is linked to the total return on our capital stock was $7 million at July 28, 2019, and $8 million at July 29, 2018. The average forward interest rate applicable to this contract, which expires in April 2020, was 1.84% at July 28, 2019. The notional value of the contract that is linked to the return on the Standard &amp; Poor's 500 Index was $17 million at July 28, 2019, and $23 million at July 29, 2018. The average forward interest rate applicable to this contract, which expires in March 2020, was 1.47% at July 28, 2019. The notional value of the contract that is linked to the total return of the iShares MSCI EAFE Index was $7 million at July 28, 2019, and $10 million at July 29, 2018. The average forward interest rate applicable to this contract, which expires in March 2020, was 1.44% at July 28, 2019. As of July 28, 2019 and July 29, 2018 the fair value of these contracts was a gain of $1 million.</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Trade and consumer promotion programs — </w:t>
      </w:r>
      <w:r>
        <w:rPr>
          <w:rFonts w:ascii="Arial" w:cs="Arial" w:eastAsia="Arial" w:hAnsi="Arial"/>
          <w:sz w:val="16"/>
          <w:szCs w:val="16"/>
          <w:color w:val="auto"/>
        </w:rPr>
        <w:t>We offer various sales incentive programs to customers and consumers, such as feature price discounts, 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We adopted revised guidance on the recognition of revenue in the first quarter of 2019. See Notes 1 and 2 to the Consolidated Financial Statements for additional information.</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long-lived assets — </w:t>
      </w:r>
      <w:r>
        <w:rPr>
          <w:rFonts w:ascii="Arial" w:cs="Arial" w:eastAsia="Arial" w:hAnsi="Arial"/>
          <w:sz w:val="18"/>
          <w:szCs w:val="18"/>
          <w:color w:val="auto"/>
        </w:rPr>
        <w:t>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In January 2017, the FASB issued revised guidance that simplifies the test for goodwill impairment, effective for fiscal years beginning after December 15, 2019, with early adoption permitted. We elected to early adopt the guidance in the fourth quarter of 2017.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4" w:right="239" w:bottom="1440" w:gutter="0" w:footer="0" w:header="0"/>
        </w:sectPr>
      </w:pPr>
    </w:p>
    <w:bookmarkStart w:id="33" w:name="page34"/>
    <w:bookmarkEnd w:id="33"/>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2017 Assessments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Discontinued Operations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second quarter of 2017, sales and operating profit performance for Bolthouse Farms carrot and carrot ingredients were well below our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the business performance and the strategic review, we lowered our sales outlook for future fiscal years.We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impairment assessment in the second quarter, which resulted in a $127 million impairment charge on goodwill and $20 million on a trademark in the reporting unit.</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acquired Garden Fresh Gourmet on June 29, 2015. During 2017, sales and operating profit performance for Garden Fresh Gourmet,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in the second quarter, which resulted in a $64 million impairment charge on goodwill and $1 million on a trademark in the reporting unit.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2018 Assessments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second quarter of 2018, we performed an interim impairment assessment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this performance, we reduced our outlook for future operating margins and discounted cash flows, which resulted in a $75 million impairment charge, representing a write-down of the remaining goodwill in the reporting unit. The fair value of the trademark exceeded the carrying value, which was $48 million.</w:t>
      </w:r>
    </w:p>
    <w:p>
      <w:pPr>
        <w:spacing w:after="0" w:line="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third quarter of 2018, we performed an interim impairment assessment on the intangible assets of the deli reporting unit, which includes Garden Fresh Gourmet and the U.S. refrigerated soup business within Campbell Fresh. During the third quarter of 2018, certain of our private label refrigerated soup customers, which represent a majority of the business, informed us of their intention to in-source production beginning in 2019, and the sales and operating profit outlook of the Garden Fresh Gourmet business was reduced. Due to the anticipated loss of refrigerated soup business with these customers, as well as the recent performance of the Garden Fresh Gourmet business, we revised the long-term outlook for future sales, operating margins and discounted cash flows for this reporting unit, which resulted in an $81 million impairment charge on goodwill, representing a write-down of the remaining goodwill in the reporting unit, $13 million on a trademark, and $11 million on plant assets in the reporting unit.</w:t>
      </w:r>
    </w:p>
    <w:p>
      <w:pPr>
        <w:spacing w:after="0" w:line="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performed an interim impairment assessment on the intangible assets of the Bolthouse Farms refrigerated beverages and salad dressings reporting unit within the Campbell Fresh segment as the operating performance in the third quarter was below expectations. We assessed sales performance of refrigerated beverages and key drivers impacting gross profit for the unit. We revised our long-term outlook for future earnings and discounted cash flows to reflect reduced sales expectations to modest growth and decreased our gross profit outlook to reflect the inflation and manufacturing efficiency pressures that remain with the unit. This revised outlook resulted in a $384 million impairment charge on goodwill, representing a write-down of the remaining goodwill in the reporting unit, and $130 million on a trademark in the reporting unit.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14"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i w:val="1"/>
          <w:iCs w:val="1"/>
          <w:color w:val="auto"/>
        </w:rPr>
        <w:t>Continuing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fourth quarter of 2018, as part of our annual review of intangible assets, we recognized an impairment charge of $54 million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In 2018, sales and operating performance were well below expectations due in part to competitive pressure and reduced margins. In the fourth quarter of 2018, as part of a strategic review initiated by a new leadership team and based on recent performance, we lowered our long-term outlook for future sales.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2019 Assessments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Discontinued Operations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operating segment. As we continued to pursue the divestiture of these businesses and as we received initial indications of value, in the second quarter of 2019, we performed interim impairment assessments on the intangible and tangible assets within Campbell Fresh, which includes Garden Fresh Gourmet, Bolthouse Farms carrot and carrot ingredients, and Bolthouse Farms refrigerated beverages and salad dressings. As a result, we revised our future outlook for earnings and cash flows for each of these businesses.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Within Bolthouse Farms carrot and carrot ingredients, we recorded impairment charges of $18 million on the trademark, and $159 million on the plant assets and amortizable intangible assets.Within Bolthouse Farms refrigerated beverages and salad dressings, we recorded impairment charges of $74 million on the trademark, and $31 million on the plant assets and amortizable intangible assets. On Garden Fresh Gourmet, we recorded impairment charges of $23 million on the trademark and $39 million on customer relationships, which eliminated the carrying value of these assets, and $2 million on plant assets. There is no goodwill in Campbell Fresh.</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On June 16, 2019, we sold Bolthouse Farms.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2019, as part of our annual review of intangible assets, we recognized an impairment charge of $7 million on a trademark and $10 million on goodwill in Kelsen due to a lower long-term outlook for sales and the pending sale of the business. On July 12, 2019, we signed a definitive agreement for the sale of our Kelsen business. We sold the business on September 23, 2019.</w:t>
      </w:r>
    </w:p>
    <w:p>
      <w:pPr>
        <w:spacing w:after="0" w:line="127" w:lineRule="exact"/>
        <w:rPr>
          <w:sz w:val="20"/>
          <w:szCs w:val="20"/>
          <w:color w:val="auto"/>
        </w:rPr>
      </w:pPr>
    </w:p>
    <w:p>
      <w:pPr>
        <w:ind w:left="340" w:right="1460"/>
        <w:spacing w:after="0" w:line="407" w:lineRule="auto"/>
        <w:rPr>
          <w:sz w:val="20"/>
          <w:szCs w:val="20"/>
          <w:color w:val="auto"/>
        </w:rPr>
      </w:pPr>
      <w:r>
        <w:rPr>
          <w:rFonts w:ascii="Arial" w:cs="Arial" w:eastAsia="Arial" w:hAnsi="Arial"/>
          <w:sz w:val="18"/>
          <w:szCs w:val="18"/>
          <w:color w:val="auto"/>
        </w:rPr>
        <w:t xml:space="preserve">As of July 28, 2019, Noncurrent assets of discontinued operations included $124 million of trademarks and $661 million of goodwill. See Note 3 to the Consolidated Financial Statements for additional information on discontinued operations. </w:t>
      </w:r>
      <w:r>
        <w:rPr>
          <w:rFonts w:ascii="Arial" w:cs="Arial" w:eastAsia="Arial" w:hAnsi="Arial"/>
          <w:sz w:val="18"/>
          <w:szCs w:val="18"/>
          <w:i w:val="1"/>
          <w:iCs w:val="1"/>
          <w:color w:val="auto"/>
        </w:rPr>
        <w:t>Continuing Operations</w:t>
      </w:r>
    </w:p>
    <w:p>
      <w:pPr>
        <w:jc w:val="both"/>
        <w:ind w:firstLine="324"/>
        <w:spacing w:after="0" w:line="279" w:lineRule="auto"/>
        <w:rPr>
          <w:sz w:val="20"/>
          <w:szCs w:val="20"/>
          <w:color w:val="auto"/>
        </w:rPr>
      </w:pPr>
      <w:r>
        <w:rPr>
          <w:rFonts w:ascii="Arial" w:cs="Arial" w:eastAsia="Arial" w:hAnsi="Arial"/>
          <w:sz w:val="17"/>
          <w:szCs w:val="17"/>
          <w:color w:val="auto"/>
        </w:rPr>
        <w:t>In the fourth quarter of 2019, we performed an assessment on the assets within our European chips business and recorded an impairment charge of $16 million on intangible assets. This business is included in the Snacks segment and reporting unit. As a result of signing a definitive agreement to sell the European chips business on September 18, 2019, we expect to incur additional charges of approximately $65 million in the first quarter of 2020 as the carrying value of the disposal group will include allocated goodwill, as well as foreign currency translation adjustments.</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28, 2019, the carrying value of goodwill related to continuing operations was $4.017 billion. Excluding potential charges related to the pending sale of the European chips business, holding all other assumptions used in the 2019 fair value measurement constant, a 1% increase in the weighted-average cost of capital assumption would not reduce fair value of any of the reporting units below carrying value and would not result any impairment charges. The fair value of each reporting unit exceeds net book value by at least 60%.</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of July 28, 2019, the carrying value of indefinite-lived trademarks related to continuing operations was $2.629 billion, of which $61 million related to the </w:t>
      </w:r>
      <w:r>
        <w:rPr>
          <w:rFonts w:ascii="Arial" w:cs="Arial" w:eastAsia="Arial" w:hAnsi="Arial"/>
          <w:sz w:val="17"/>
          <w:szCs w:val="17"/>
          <w:i w:val="1"/>
          <w:iCs w:val="1"/>
          <w:color w:val="auto"/>
        </w:rPr>
        <w:t>Plum</w:t>
      </w:r>
      <w:r>
        <w:rPr>
          <w:rFonts w:ascii="Arial" w:cs="Arial" w:eastAsia="Arial" w:hAnsi="Arial"/>
          <w:sz w:val="17"/>
          <w:szCs w:val="17"/>
          <w:color w:val="auto"/>
        </w:rPr>
        <w:t xml:space="preserve"> trademark and $292 million related to the </w:t>
      </w:r>
      <w:r>
        <w:rPr>
          <w:rFonts w:ascii="Arial" w:cs="Arial" w:eastAsia="Arial" w:hAnsi="Arial"/>
          <w:sz w:val="17"/>
          <w:szCs w:val="17"/>
          <w:i w:val="1"/>
          <w:iCs w:val="1"/>
          <w:color w:val="auto"/>
        </w:rPr>
        <w:t>Pace</w:t>
      </w:r>
      <w:r>
        <w:rPr>
          <w:rFonts w:ascii="Arial" w:cs="Arial" w:eastAsia="Arial" w:hAnsi="Arial"/>
          <w:sz w:val="17"/>
          <w:szCs w:val="17"/>
          <w:color w:val="auto"/>
        </w:rPr>
        <w:t xml:space="preserve"> trademark. Holding all other assumptions used in the 2019 </w:t>
      </w:r>
      <w:r>
        <w:rPr>
          <w:rFonts w:ascii="Arial" w:cs="Arial" w:eastAsia="Arial" w:hAnsi="Arial"/>
          <w:sz w:val="17"/>
          <w:szCs w:val="17"/>
          <w:i w:val="1"/>
          <w:iCs w:val="1"/>
          <w:color w:val="auto"/>
        </w:rPr>
        <w:t>Plum</w:t>
      </w:r>
      <w:r>
        <w:rPr>
          <w:rFonts w:ascii="Arial" w:cs="Arial" w:eastAsia="Arial" w:hAnsi="Arial"/>
          <w:sz w:val="17"/>
          <w:szCs w:val="17"/>
          <w:color w:val="auto"/>
        </w:rPr>
        <w:t xml:space="preserve"> trademark fair value measurement constant, neither a 1% increase in the weighted-average cost of capital nor a 1% reduction in revenue growth would result in a fair value below carrying value. The estimated fair value of the </w:t>
      </w:r>
      <w:r>
        <w:rPr>
          <w:rFonts w:ascii="Arial" w:cs="Arial" w:eastAsia="Arial" w:hAnsi="Arial"/>
          <w:sz w:val="17"/>
          <w:szCs w:val="17"/>
          <w:i w:val="1"/>
          <w:iCs w:val="1"/>
          <w:color w:val="auto"/>
        </w:rPr>
        <w:t>Pace</w:t>
      </w:r>
      <w:r>
        <w:rPr>
          <w:rFonts w:ascii="Arial" w:cs="Arial" w:eastAsia="Arial" w:hAnsi="Arial"/>
          <w:sz w:val="17"/>
          <w:szCs w:val="17"/>
          <w:color w:val="auto"/>
        </w:rPr>
        <w:t xml:space="preserve"> trademark exceeded the carrying value by less than 10%. Holding all other assumptions used in the 2019 </w:t>
      </w:r>
      <w:r>
        <w:rPr>
          <w:rFonts w:ascii="Arial" w:cs="Arial" w:eastAsia="Arial" w:hAnsi="Arial"/>
          <w:sz w:val="17"/>
          <w:szCs w:val="17"/>
          <w:i w:val="1"/>
          <w:iCs w:val="1"/>
          <w:color w:val="auto"/>
        </w:rPr>
        <w:t>Pace</w:t>
      </w:r>
      <w:r>
        <w:rPr>
          <w:rFonts w:ascii="Arial" w:cs="Arial" w:eastAsia="Arial" w:hAnsi="Arial"/>
          <w:sz w:val="17"/>
          <w:szCs w:val="17"/>
          <w:color w:val="auto"/>
        </w:rPr>
        <w:t xml:space="preserve"> trademark fair value measurement constant, a 1% increase in the weighted-average cost of capital would result in an impairment charge of approximately $20 million and a 1% reduction in revenue growth would result in a fair value equal to carrying value.</w:t>
      </w:r>
    </w:p>
    <w:p>
      <w:pPr>
        <w:spacing w:after="0" w:line="1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For our recent acquisitions, the carrying value of trademarks of $280 million associated with the Pacific Foods acquisition and $1.996 billion associated with the Snyder's-Lance acquisition approximates fair value as of July 28, 2019. Holding all other assumptions constant, changes in the assumptions below would reduce fair value of the these trademarks and result in impairment charges of approximately: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33" w:right="239" w:bottom="1440" w:gutter="0" w:footer="0" w:header="0"/>
        </w:sectPr>
      </w:pPr>
    </w:p>
    <w:bookmarkStart w:id="35" w:name="page36"/>
    <w:bookmarkEnd w:id="35"/>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Pacific Foods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Various Snyder's-</w:t>
            </w:r>
          </w:p>
        </w:tc>
        <w:tc>
          <w:tcPr>
            <w:tcW w:w="0" w:type="dxa"/>
            <w:vAlign w:val="bottom"/>
          </w:tcPr>
          <w:p>
            <w:pPr>
              <w:spacing w:after="0"/>
              <w:rPr>
                <w:sz w:val="1"/>
                <w:szCs w:val="1"/>
                <w:color w:val="auto"/>
              </w:rPr>
            </w:pPr>
          </w:p>
        </w:tc>
      </w:tr>
      <w:tr>
        <w:trPr>
          <w:trHeight w:val="186"/>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Lance</w:t>
            </w:r>
          </w:p>
        </w:tc>
        <w:tc>
          <w:tcPr>
            <w:tcW w:w="0" w:type="dxa"/>
            <w:vAlign w:val="bottom"/>
          </w:tcPr>
          <w:p>
            <w:pPr>
              <w:spacing w:after="0"/>
              <w:rPr>
                <w:sz w:val="1"/>
                <w:szCs w:val="1"/>
                <w:color w:val="auto"/>
              </w:rPr>
            </w:pPr>
          </w:p>
        </w:tc>
      </w:tr>
      <w:tr>
        <w:trPr>
          <w:trHeight w:val="87"/>
        </w:trPr>
        <w:tc>
          <w:tcPr>
            <w:tcW w:w="88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8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800" w:type="dxa"/>
            <w:vAlign w:val="bottom"/>
          </w:tcPr>
          <w:p>
            <w:pPr>
              <w:ind w:left="40"/>
              <w:spacing w:after="0"/>
              <w:rPr>
                <w:sz w:val="20"/>
                <w:szCs w:val="20"/>
                <w:color w:val="auto"/>
              </w:rPr>
            </w:pPr>
            <w:r>
              <w:rPr>
                <w:rFonts w:ascii="Arial" w:cs="Arial" w:eastAsia="Arial" w:hAnsi="Arial"/>
                <w:sz w:val="18"/>
                <w:szCs w:val="18"/>
                <w:color w:val="auto"/>
              </w:rPr>
              <w:t>1% reduction in revenue growth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 We will continue to monitor the valuation of our long-lived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6 to the Consolidated Financial Statements for additional information on goodwill and intangible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Pension and postretirement benefits — </w:t>
      </w:r>
      <w:r>
        <w:rPr>
          <w:rFonts w:ascii="Arial" w:cs="Arial" w:eastAsia="Arial" w:hAnsi="Arial"/>
          <w:sz w:val="18"/>
          <w:szCs w:val="18"/>
          <w:color w:val="auto"/>
        </w:rPr>
        <w:t>We provide certain pension and postretirement benefits to employees and retirees. Determining the cost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w:t>
      </w:r>
    </w:p>
    <w:p>
      <w:pPr>
        <w:spacing w:after="0" w:line="14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Beginning in 2018, we changed the method we used to estimate the service and interest cost components of the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made this change to provide a more precise measurement of service cost and interest cost by improving the correlation between projected benefit cash flows and the corresponding spot yield curve rates. This change did not affect the measurement of our benefit obligations. We accounted for this change prospectively in 2018 as a change in accounting estimate</w:t>
      </w:r>
      <w:r>
        <w:rPr>
          <w:rFonts w:ascii="Arial" w:cs="Arial" w:eastAsia="Arial" w:hAnsi="Arial"/>
          <w:sz w:val="18"/>
          <w:szCs w:val="18"/>
          <w:color w:val="auto"/>
        </w:rPr>
        <w:t>.</w:t>
      </w:r>
      <w:r>
        <w:rPr>
          <w:rFonts w:ascii="Arial" w:cs="Arial" w:eastAsia="Arial" w:hAnsi="Arial"/>
          <w:sz w:val="17"/>
          <w:szCs w:val="17"/>
          <w:color w:val="auto"/>
        </w:rPr>
        <w:t xml:space="preserve"> As a result of this change, net periodic benefit income increased by approximately $17 million in 2018, compared to what the net periodic benefit income would have been under the previous method.</w:t>
      </w:r>
    </w:p>
    <w:p>
      <w:pPr>
        <w:spacing w:after="0" w:line="11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pension and postretirement expense (income) was $103 million in 2019, ($185) million in 2018 and ($258) million in 2017.</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weighted-average assumptions as of the end of the year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02"/>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Pension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Discount rate for benefit obligations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3.46%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4.15%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3.74%</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6.84%</w:t>
            </w: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Postretirement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3.45%</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Initial health care trend rate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6.25%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7.25%</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8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Ultimate health care trend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Estimated sensitivities to annual net periodic pension cost are as follows: a 50-basis-point decline in the discount rate would decrease expense by approximately $7 million and would result in an immediate loss recognition of approximately $107 million. A 50-basis-point reduction in the estimated return on assets assumption would increase expense by approximately $10 million. A one-percentage-point increase in assumed health care costs would have no impact on postretirement service and interest cost and would not result in an immediate loss.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contributions were made to U.S. pension plans in 2019, 2018 and 2017. Contributions to non-U.S. plans were $5 million in 2019, 2018 and 2017. We do not expect to contribute to the U.S. pension plans in 2020. Contributions to non-U.S. plans are not expected to be material in 2020.</w:t>
      </w:r>
    </w:p>
    <w:p>
      <w:pPr>
        <w:sectPr>
          <w:pgSz w:w="11900" w:h="16838" w:orient="portrait"/>
          <w:cols w:equalWidth="0" w:num="1">
            <w:col w:w="11420"/>
          </w:cols>
          <w:pgMar w:left="240" w:top="1440"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40" w:right="239" w:bottom="1440" w:gutter="0" w:footer="0" w:header="0"/>
          <w:type w:val="continuous"/>
        </w:sectPr>
      </w:pPr>
    </w:p>
    <w:bookmarkStart w:id="36" w:name="page37"/>
    <w:bookmarkEnd w:id="36"/>
    <w:p>
      <w:pPr>
        <w:ind w:left="340"/>
        <w:spacing w:after="0"/>
        <w:rPr>
          <w:sz w:val="20"/>
          <w:szCs w:val="20"/>
          <w:color w:val="auto"/>
        </w:rPr>
      </w:pPr>
      <w:r>
        <w:rPr>
          <w:rFonts w:ascii="Arial" w:cs="Arial" w:eastAsia="Arial" w:hAnsi="Arial"/>
          <w:sz w:val="18"/>
          <w:szCs w:val="18"/>
          <w:color w:val="auto"/>
        </w:rPr>
        <w:t>See also Note 11 to the Consolidated Financial Statements for additional information on pension and postretirement benefits.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effective tax rate reflects statutory tax rates, tax planning opportunities available in the various jurisdictions in which we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22, 2017, the Act was enacted into law and made significant changes to corporate taxation, including reducing the corporate tax rate from 35% to 21% effective January 1, 2018, and transitioning to a territorial system for taxation on foreign earnings along with the imposition of a transition tax in 2018 on the deemed repatriation of unremitted foreign earnings.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Notes 1 and 12 to the Consolidated Financial Statements for further discussion on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127"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maintaining our market share position in soup;</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complete and to realize the projected benefits of planned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4" w:right="239" w:bottom="1440" w:gutter="0" w:footer="0" w:header="0"/>
          <w:type w:val="continuous"/>
        </w:sectPr>
      </w:pPr>
    </w:p>
    <w:bookmarkStart w:id="37" w:name="page38"/>
    <w:bookmarkEnd w:id="37"/>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 entitled "Management’s Discussion and Analysis of Financial Condition and Results of Operations — Market Risk Sensitivity" is incorporated herein by reference.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1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5,837</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7,128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4,406</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979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392</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67"/>
        </w:trPr>
        <w:tc>
          <w:tcPr>
            <w:tcW w:w="7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778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5"/>
                <w:szCs w:val="25"/>
                <w:b w:val="1"/>
                <w:bCs w:val="1"/>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8"/>
          <w:szCs w:val="18"/>
          <w:color w:val="auto"/>
        </w:rPr>
        <w:t xml:space="preserve"> Sum of the individual amounts may not add due to rounding</w:t>
      </w:r>
      <w:r>
        <w:rPr>
          <w:rFonts w:ascii="Arial" w:cs="Arial" w:eastAsia="Arial" w:hAnsi="Arial"/>
          <w:sz w:val="14"/>
          <w:szCs w:val="14"/>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1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adjustments</w:t>
            </w: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Reclassification of currency translation</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adjustments realized upon disposal of</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business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Unrealized gains (losses) arising during</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6"/>
              </w:rPr>
              <w:t>Reclassification adjustment for (gains)</w:t>
            </w:r>
          </w:p>
        </w:tc>
        <w:tc>
          <w:tcPr>
            <w:tcW w:w="140" w:type="dxa"/>
            <w:vAlign w:val="bottom"/>
          </w:tcPr>
          <w:p>
            <w:pPr>
              <w:spacing w:after="0"/>
              <w:rPr>
                <w:sz w:val="19"/>
                <w:szCs w:val="19"/>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losses included in net earnings</w:t>
            </w: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Pension and other postretirement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benefits: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Prior service credit arising during the</w:t>
            </w:r>
          </w:p>
        </w:tc>
        <w:tc>
          <w:tcPr>
            <w:tcW w:w="140" w:type="dxa"/>
            <w:vAlign w:val="bottom"/>
          </w:tcPr>
          <w:p>
            <w:pPr>
              <w:spacing w:after="0"/>
              <w:rPr>
                <w:sz w:val="19"/>
                <w:szCs w:val="19"/>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Reclassification of prior service credit</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included in net earnings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13"/>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5"/>
              </w:rPr>
              <w:t>attributable to Campbell Soup Company</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July 28,</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29,</w:t>
            </w:r>
          </w:p>
        </w:tc>
      </w:tr>
      <w:tr>
        <w:trPr>
          <w:trHeight w:val="192"/>
        </w:trPr>
        <w:tc>
          <w:tcPr>
            <w:tcW w:w="7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574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863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887</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428</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726</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1,967</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Plant assets, net of depreciation</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2,455</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2,466</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4,017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3,415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3,664</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($76 as of 2019 and $77 as of 2018 attributable to variable interest entity)</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1,167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2,050</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13,148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14,529</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814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705</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469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731</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3,385</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7,103</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7,991</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924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559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547</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12,036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13,156</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1,993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2,224</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(198)</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1,103</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1,112</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13,148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14,529</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9"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211</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operating cash flow</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charges</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inventory fair value adjustment from acquisition</w:t>
            </w: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Pension and postretirement benefit expense (income)</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Losses on sales of discontinued operations businesses</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working capital, net of acquisitions and divestitures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380"/>
              <w:spacing w:after="0"/>
              <w:rPr>
                <w:sz w:val="20"/>
                <w:szCs w:val="20"/>
                <w:color w:val="auto"/>
              </w:rPr>
            </w:pPr>
            <w:r>
              <w:rPr>
                <w:rFonts w:ascii="Arial" w:cs="Arial" w:eastAsia="Arial" w:hAnsi="Arial"/>
                <w:sz w:val="14"/>
                <w:szCs w:val="14"/>
                <w:color w:val="auto"/>
              </w:rPr>
              <w:t>Prepaid assets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plant assets</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Purchases of route businesses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route businesses</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Businesses acquired, net of cash acquired</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(6,772)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discontinued operations businesses, net of cash divested</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Short-term borrowings</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5,839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8,247</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Short-term repayments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(6,296)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(9,944)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(8,002)</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borrowings</w:t>
            </w: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Long-term repayments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26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issuances</w:t>
            </w: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Payments related to tax withholding for stock-based compensation</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noncontrolling interest</w:t>
            </w: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Payments of debt issuance costs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gridSpan w:val="2"/>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gridSpan w:val="2"/>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60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5,807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Effect of exchange rate changes on cash</w:t>
            </w: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2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 beginning of period</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discontinued operations — beginning of period</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discontinued operations — end of period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(148)</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9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 end of period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4"/>
        </w:trPr>
        <w:tc>
          <w:tcPr>
            <w:tcW w:w="7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946"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946"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887</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($1.40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Noncontrolling interest acquired</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noncontrolling interest</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261</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($1.40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29,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2,224</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Cumulative effect of changes in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accounting principle:</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64"/>
        </w:trPr>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Stranded tax effects</w:t>
            </w:r>
            <w:r>
              <w:rPr>
                <w:rFonts w:ascii="Arial" w:cs="Arial" w:eastAsia="Arial" w:hAnsi="Arial"/>
                <w:sz w:val="8"/>
                <w:szCs w:val="8"/>
                <w:b w:val="1"/>
                <w:bCs w:val="1"/>
                <w:color w:val="auto"/>
              </w:rPr>
              <w:t>(1)</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211</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($1.40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(425)</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July 28,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1,112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9"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rFonts w:ascii="Arial" w:cs="Arial" w:eastAsia="Arial" w:hAnsi="Arial"/>
          <w:sz w:val="18"/>
          <w:szCs w:val="18"/>
          <w:b w:val="1"/>
          <w:bCs w:val="1"/>
          <w:color w:val="auto"/>
        </w:rPr>
      </w:pPr>
    </w:p>
    <w:p>
      <w:pPr>
        <w:ind w:left="34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In this Report, unless otherwise stated, the terms "we," "us," "our" and the "company" refer to Campbell Soup Company and its consolidated subsidiaries. We are a manufacturer and marketer of high-quality, branded food and beverage products.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consolidated financial statements include our accounts and entities in which we maintain a controlling financial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 variable interest entity (VIE) for which we are the primary beneficiary. Intercompany transactions are eliminated in consolidation. Certain amounts in prior-year financial statements were reclassified to conform to the current-year presentation. Our fiscal year ends on the Sunday nearest July 31. There were 52 weeks in 2019, 2018, and 2017. There will be 53 weeks in 2020.</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We present discontinued operations when there is a disposal of a component group or a group of components that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represents a strategic shift that will have a major effect on our operations and financial results. We aggregate the results of operations for discontinued operations into a single line item in the Consolidated Statements of Earnings for all periods presented. General corporate overhead is not allocated to discontinued operations. See Note 3 for additional information.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Generally accepted accounting principles require management to make estimates and assumptions that affect assets,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expenses. Actual results could differ from those estimates.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Our revenues primarily consist of the sale of food and beverage products through our own sales force and/or third-party brokers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distribution partners. Revenues are recognized when our performance obligation has been satisfied and control of the product passes to our customers, which typically occurs when products are delivered or accepted by customers in accordance with terms of agreements. We make shipments promptly after acceptance of orders.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7 for additional information on disaggregation of revenue. In 2019, we adopted revised guidance on the recognition of revenue from contracts with customers. See Note 2 for additional information.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All inventories are valued at the lower of average cost or net realizable value.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 Goodwill and intangible assets deemed to have indefinite lives are not amortized but rather are tested at least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9"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growth rates, weighted average costs of capital, and assumed royalty rates. If the carrying value exceeds fair value, an impairment charge will be recorded to reduce the asset to fair value.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6 for information on intangible assets and impairment charges.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We use derivative financial instruments primarily for purposes of hedging exposures to fluctuations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derivatives are recognized on the balance sheet at fair value. For derivatives that qualify for hedge accounting, on the date the derivative contract is entered into, we designate the derivative as a hedge of the fair value of a recognized asset or liability or a firm commitment (fair-value hedge), a hedge of a forecasted transaction or of the variability of cash flows to be received or paid related to a recognized asset or liability (cash-flow hedge), or a hedge of a net investment in a foreign operation. Some derivatives may also be considered natural hedging instruments (changes in fair value act as economic offsets to changes in fair value of the underlying hedged item) and are not designated for hedge accounting.</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Changes in the fair value of a fair-value hedge, along with the gain or loss on the underlying hedged asset or liability (including losses or gains on firm commitments), are recorded in current-period earnings. The effective portion of gains and losses on cash-flow hedges are recorded in other comprehensive income (loss), until earnings are affected by the variability of cash flows. If the hedge is no longer effective, all changes in the fair value of the derivative are included in earnings each period until the instrument matures. If a derivative is used as a hedge of a net investment in a foreign operation, its changes in fair value, to the extent effective as a hedge, are recorded in other comprehensive income (loss). Any ineffective portion of designated hedges is recognized in current-period earnings. Changes in the fair value of derivatives that are not designated for hedge accounting are recognized in current-period earnings.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from derivative contracts are included in Net cash provided by operating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Production Costs </w:t>
      </w:r>
      <w:r>
        <w:rPr>
          <w:rFonts w:ascii="Arial" w:cs="Arial" w:eastAsia="Arial" w:hAnsi="Arial"/>
          <w:sz w:val="18"/>
          <w:szCs w:val="18"/>
          <w:color w:val="auto"/>
        </w:rPr>
        <w:t>— Advertising production costs are expensed in the period that the advertisement first takes place or when a decision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not to use an advertisement.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 The costs of research and development are expensed as incurred. Costs include expenditures for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recognized for the future impact of differences between the financial statement carrying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115" w:lineRule="exact"/>
        <w:rPr>
          <w:sz w:val="20"/>
          <w:szCs w:val="20"/>
          <w:color w:val="auto"/>
        </w:rPr>
      </w:pPr>
    </w:p>
    <w:p>
      <w:pPr>
        <w:ind w:left="340" w:right="8300" w:hanging="332"/>
        <w:spacing w:after="0" w:line="466" w:lineRule="auto"/>
        <w:tabs>
          <w:tab w:leader="none" w:pos="3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Recently Adopted</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March 2016, the Financial Accounting Standards Board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adopted the guidance in 2017. We elected to continue to estimate forfeitures expected to occur. In addition, we elected to adopt retrospectively the amendment to present excess tax benefits on share-based compensation as an operating activity. We also adopted retrospectively the amendment to present cash payments to tax authorities in connection with shares withheld to meet statutory tax withholding requirements as a financing activity.</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March 2017, the FASB issued guidance that changes the presentation of net periodic pension cost and net periodic postretirement benefit cost. Under the revised guidance, the service cost component of benefit cost is classified in the same line 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14" w:right="2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elected to early adopt the guidance in the first quarter of 2018. The retrospective impact of presenting net periodic benefit cost in accordance with the new guidance on total operations as reported in 2017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Increase / (decrease) in expense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r>
      <w:tr>
        <w:trPr>
          <w:trHeight w:val="243"/>
        </w:trPr>
        <w:tc>
          <w:tcPr>
            <w:tcW w:w="10280" w:type="dxa"/>
            <w:vAlign w:val="bottom"/>
            <w:gridSpan w:val="2"/>
          </w:tcPr>
          <w:p>
            <w:pPr>
              <w:ind w:left="180"/>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r>
      <w:tr>
        <w:trPr>
          <w:trHeight w:val="243"/>
        </w:trPr>
        <w:tc>
          <w:tcPr>
            <w:tcW w:w="102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10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10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were permitted to adopt the new revenue standard early, but not before the original effective date. The guidance permitted the use of either a full retrospective or modified retrospective transition method. As we evaluated our methods of estimating the amount and timing of various forms of variable consideration, we determined we would accelerate the expense recognition of certain trade and consumer promotion programs under the new guidance. We adopted the guidance in the first quarter of 2019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impacts of the changes to our Consolidated Balance Sheet as of July 28, 2019, as a result of adoption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Balances</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As Reported</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Without</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2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12,033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Campbell Soup Company shareholders' equity</w:t>
            </w:r>
          </w:p>
        </w:tc>
        <w:tc>
          <w:tcPr>
            <w:tcW w:w="2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retained in the business</w:t>
            </w:r>
          </w:p>
        </w:tc>
        <w:tc>
          <w:tcPr>
            <w:tcW w:w="3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Campbell Soup Company shareholders' equity</w:t>
            </w:r>
          </w:p>
        </w:tc>
        <w:tc>
          <w:tcPr>
            <w:tcW w:w="2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94"/>
        </w:trPr>
        <w:tc>
          <w:tcPr>
            <w:tcW w:w="4700" w:type="dxa"/>
            <w:vAlign w:val="bottom"/>
          </w:tcPr>
          <w:p>
            <w:pPr>
              <w:spacing w:after="0"/>
              <w:rPr>
                <w:sz w:val="24"/>
                <w:szCs w:val="24"/>
                <w:color w:val="auto"/>
              </w:rPr>
            </w:pPr>
          </w:p>
        </w:tc>
        <w:tc>
          <w:tcPr>
            <w:tcW w:w="2980" w:type="dxa"/>
            <w:vAlign w:val="bottom"/>
          </w:tcPr>
          <w:p>
            <w:pPr>
              <w:jc w:val="right"/>
              <w:ind w:right="179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The impacts of the changes to our Consolidated Statement of Earnings for 2019 as a result of adoption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Balances</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Without</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Adoption</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7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79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7,127</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Earnings before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Basic</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20"/>
              <w:spacing w:after="0" w:line="270" w:lineRule="exact"/>
              <w:rPr>
                <w:sz w:val="20"/>
                <w:szCs w:val="20"/>
                <w:color w:val="auto"/>
              </w:rPr>
            </w:pPr>
            <w:r>
              <w:rPr>
                <w:rFonts w:ascii="Arial" w:cs="Arial" w:eastAsia="Arial" w:hAnsi="Arial"/>
                <w:sz w:val="18"/>
                <w:szCs w:val="18"/>
                <w:color w:val="auto"/>
              </w:rPr>
              <w:t>Earnings from continuing operations attributable to Campbell Soup Company</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_______________________________________</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79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The sum of individual per share amounts may not add due to rounding.</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The impact on discontinued operations was not material.</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In 2019, we adopted the guidance. The adoption did not have an impact on our consolidated financial statements.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In 2019, we adopted the guidance. The adoption did not have a material impact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previous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In 2019, we adopted the guidance. The adoption did not have an impact on our consolidated financial statements.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In 2019, we adopted the guidance. The adoption did not have an impact on our consolidated financial statements.</w:t>
      </w:r>
    </w:p>
    <w:p>
      <w:pPr>
        <w:spacing w:after="0" w:line="13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w:t>
      </w:r>
    </w:p>
    <w:p>
      <w:pPr>
        <w:sectPr>
          <w:pgSz w:w="11900" w:h="16838" w:orient="portrait"/>
          <w:cols w:equalWidth="0" w:num="1">
            <w:col w:w="11420"/>
          </w:cols>
          <w:pgMar w:left="240" w:top="1233"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33" w:right="239" w:bottom="1440" w:gutter="0" w:footer="0" w:header="0"/>
          <w:type w:val="continuous"/>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The guidance is effective prospectively for fiscal years beginning after December 15, 2017. Early adoption is permitted. We will apply the guidance in evaluating future changes to terms or conditions of share-based payment awards.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5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right-of-use (“ROU”) assets and liabilities for most leases but will recognize expenses similar to current lease accounting. The guidance is effective for fiscal years, and interim periods within those years, beginning after December 15, 2018. Early adoption is permitted. In July 2018, the FASB issued an adoption approach that allows entities to apply the new guidance and recognize a cumulative-effect adjustment to the opening balance of retained earnings in the period of adoption without restating prior periods. We will adopt the new standard in 2020 using this transition method. We have compiled an inventory of our lease arrangements to determine the impact that the new guidance will have on our consolidated financial statements. We implemented a lease software solution in preparation of the accounting and reporting requirements. We elected to apply the package of practical expedients, which allows us to not reassess prior conclusions related to contracts containing leases, lease classification, and initial direct costs. We continue to finalize our implementation efforts and currently estimate that the adoption will result in recognition of approximately $245 to $260 for operating lease ROU assets and approximately $240 to $255 for operating lease liabilities, subject to the completion of our assessment. In addition, we expect to derecognize $20 of an asset and liability associated with a build-to-suit lease arrangement. We do not expect the adoption to have a material impact on consolidated net earnings or cash flows.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Early adoption is permitted. We will adopt the new guidance in 2020, and do not expect a material impact on our consolidated financial statements.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12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w:t>
      </w:r>
    </w:p>
    <w:p>
      <w:pPr>
        <w:spacing w:after="0" w:line="10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the sale of the Campbell Fresh operating segment in 2019. Within Campbell Fresh, on February 25, 2019, we sold our U.S. refrigerated soup business, and on April 25, 2019, we sold our Garden Fresh Gourmet business. Proceeds were approximately $55, subject to customary purchase price adjustments. On June 16, 2019, we sold our Bolthouse Farms business.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14"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Proceeds were approximately $500, subject to customary purchase price adjustments. Beginning in the third quarter of 2019, we have reflected the results of these businesses as discontinued operations in the Consolidated Statements of Earnings for all periods presented.</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Within our international biscuits and snacks operating segment, we signed a definitive agreement for the sale of our Kelsen business on July 12, 2019, and completed the sale on September 23, 2019, for approximately $300, subject to customary purchase price adjustments. We also signed a definitive agreement on August 1, 2019, for the sale of our Arnott’s business and certain other international operations, including the simple meals and shelf-stable beverages businesses in Australia and Asia Pacific (the Arnott's and international operations), for $2,200, subject to customary purchase price adjustments. We expect to complete the sale in the first half of 2020. Beginning in the fourth quarter of 2019, we have reflected the results of operations of the Kelsen business and the Arnott’s and international operations (collectively referred to as Campbell International) as discontinued operations in the Consolidated Statements of Earnings for all periods presented. These businesses were historically included in the Global Biscuits and Snacks reportable segment.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Campbell Fresh</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Campbell International</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BFE4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756</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1,046</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(loss) before taxes from operations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Taxes on earnings (loss) from operations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BFE4FF"/>
          </w:tcPr>
          <w:p>
            <w:pPr>
              <w:ind w:left="40"/>
              <w:spacing w:after="0"/>
              <w:rPr>
                <w:sz w:val="20"/>
                <w:szCs w:val="20"/>
                <w:color w:val="auto"/>
              </w:rPr>
            </w:pPr>
            <w:r>
              <w:rPr>
                <w:rFonts w:ascii="Arial" w:cs="Arial" w:eastAsia="Arial" w:hAnsi="Arial"/>
                <w:sz w:val="18"/>
                <w:szCs w:val="18"/>
                <w:color w:val="auto"/>
                <w:w w:val="91"/>
              </w:rPr>
              <w:t>Loss on sales of businesses / costs associated with selling the</w:t>
            </w:r>
          </w:p>
        </w:tc>
        <w:tc>
          <w:tcPr>
            <w:tcW w:w="260" w:type="dxa"/>
            <w:vAlign w:val="bottom"/>
            <w:shd w:val="clear" w:color="auto" w:fill="BFE4FF"/>
          </w:tcPr>
          <w:p>
            <w:pPr>
              <w:spacing w:after="0"/>
              <w:rPr>
                <w:sz w:val="19"/>
                <w:szCs w:val="19"/>
                <w:color w:val="auto"/>
              </w:rPr>
            </w:pPr>
          </w:p>
        </w:tc>
        <w:tc>
          <w:tcPr>
            <w:tcW w:w="780" w:type="dxa"/>
            <w:vAlign w:val="bottom"/>
            <w:vMerge w:val="restart"/>
            <w:shd w:val="clear" w:color="auto" w:fill="BFE4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8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BFE4FF"/>
          </w:tcPr>
          <w:p>
            <w:pPr>
              <w:spacing w:after="0"/>
              <w:rPr>
                <w:sz w:val="19"/>
                <w:szCs w:val="19"/>
                <w:color w:val="auto"/>
              </w:rPr>
            </w:pPr>
          </w:p>
        </w:tc>
        <w:tc>
          <w:tcPr>
            <w:tcW w:w="88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BFE4FF"/>
          </w:tcPr>
          <w:p>
            <w:pPr>
              <w:spacing w:after="0"/>
              <w:rPr>
                <w:sz w:val="19"/>
                <w:szCs w:val="19"/>
                <w:color w:val="auto"/>
              </w:rPr>
            </w:pPr>
          </w:p>
        </w:tc>
        <w:tc>
          <w:tcPr>
            <w:tcW w:w="780" w:type="dxa"/>
            <w:vAlign w:val="bottom"/>
            <w:vMerge w:val="restart"/>
            <w:shd w:val="clear" w:color="auto" w:fill="BFE4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businesses</w:t>
            </w:r>
          </w:p>
        </w:tc>
        <w:tc>
          <w:tcPr>
            <w:tcW w:w="26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vMerge w:val="continue"/>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vMerge w:val="continue"/>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vMerge w:val="continue"/>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vMerge w:val="continue"/>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Arial" w:cs="Arial" w:eastAsia="Arial" w:hAnsi="Arial"/>
                <w:sz w:val="18"/>
                <w:szCs w:val="18"/>
                <w:color w:val="auto"/>
                <w:w w:val="93"/>
              </w:rPr>
              <w:t>Tax expense (benefit) of loss on sales / costs associated with</w:t>
            </w:r>
          </w:p>
        </w:tc>
        <w:tc>
          <w:tcPr>
            <w:tcW w:w="260" w:type="dxa"/>
            <w:vAlign w:val="bottom"/>
          </w:tcPr>
          <w:p>
            <w:pPr>
              <w:spacing w:after="0"/>
              <w:rPr>
                <w:sz w:val="19"/>
                <w:szCs w:val="19"/>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selling the businesses</w:t>
            </w: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second quarter of 2019, we performed interim impairment assessments on the intangible and tangible assets of the Campbell Fresh businesses. We revised our future outlook for earnings and cash flows for each of these businesses as the divestiture process progressed and we received initial indications of value. In Bolthouse Farms carrot and carrot ingredients, we recorded impairment charges of $18 on the trademark, $40 on customer relationships, $15 on technology and $104 on plant assets. In Bolthouse Farms refrigerated beverages and salad dressings, we recorded impairment charges of $74 on the trademark, $22 on customer relationships, and $9 on plant assets. In Garden Fresh Gourmet, we recorded impairment charges of $23 on the trademark, $39 on customer relationships, and $2 on plant assets. In the first quarter of 2019, we recorded an impairment charge of $14 on the U.S refrigerated soup plant assets.</w:t>
      </w:r>
    </w:p>
    <w:p>
      <w:pPr>
        <w:spacing w:after="0" w:line="30" w:lineRule="exact"/>
        <w:rPr>
          <w:sz w:val="20"/>
          <w:szCs w:val="20"/>
          <w:color w:val="auto"/>
        </w:rPr>
      </w:pPr>
    </w:p>
    <w:p>
      <w:pPr>
        <w:ind w:left="60" w:right="20" w:firstLine="324"/>
        <w:spacing w:after="0" w:line="277" w:lineRule="auto"/>
        <w:rPr>
          <w:sz w:val="20"/>
          <w:szCs w:val="20"/>
          <w:color w:val="auto"/>
        </w:rPr>
      </w:pPr>
      <w:r>
        <w:rPr>
          <w:rFonts w:ascii="Arial" w:cs="Arial" w:eastAsia="Arial" w:hAnsi="Arial"/>
          <w:sz w:val="18"/>
          <w:szCs w:val="18"/>
          <w:color w:val="auto"/>
        </w:rPr>
        <w:t>In 2019, we incurred pre-tax expenses of $32 associated with the sale process of the Campbell Fresh businesses, including transaction costs. In addition, we recorded tax expense of $29 in 2019, as deferred tax assets were not realizable.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fourth quarter of 2019, as part of our annual review of intangible assets, we recognized an impairment charge of $7 on a trademark and $10 on goodwill in Kelsen due to a lower long-term outlook for sales and the pending sale of the business.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2019, we incurred pre-tax expenses of $12 associated with the sale process of Campbell International.</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provide certain transition services to support the divested businesses.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14" w:right="239" w:bottom="1440" w:gutter="0" w:footer="0" w:header="0"/>
        </w:sectPr>
      </w:pPr>
    </w:p>
    <w:bookmarkStart w:id="49" w:name="page50"/>
    <w:bookmarkEnd w:id="49"/>
    <w:p>
      <w:pPr>
        <w:jc w:val="both"/>
        <w:ind w:right="20" w:firstLine="324"/>
        <w:spacing w:after="0" w:line="277" w:lineRule="auto"/>
        <w:rPr>
          <w:sz w:val="20"/>
          <w:szCs w:val="20"/>
          <w:color w:val="auto"/>
        </w:rPr>
      </w:pPr>
      <w:r>
        <w:rPr>
          <w:rFonts w:ascii="Arial" w:cs="Arial" w:eastAsia="Arial" w:hAnsi="Arial"/>
          <w:sz w:val="18"/>
          <w:szCs w:val="18"/>
          <w:color w:val="auto"/>
        </w:rPr>
        <w:t>The assets and liabilities of these businesses have been reflected as assets and liabilities of discontinued operations in the Consolidated Balance Sheets as of July 28, 2019, and July 29,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Campbell</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Campbell Fresh</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Campbell</w:t>
            </w:r>
          </w:p>
        </w:tc>
        <w:tc>
          <w:tcPr>
            <w:tcW w:w="240" w:type="dxa"/>
            <w:vAlign w:val="bottom"/>
          </w:tcPr>
          <w:p>
            <w:pPr>
              <w:spacing w:after="0"/>
              <w:rPr>
                <w:sz w:val="14"/>
                <w:szCs w:val="14"/>
                <w:color w:val="auto"/>
              </w:rPr>
            </w:pPr>
          </w:p>
        </w:tc>
        <w:tc>
          <w:tcPr>
            <w:tcW w:w="102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International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July 28,</w:t>
            </w:r>
          </w:p>
        </w:tc>
        <w:tc>
          <w:tcPr>
            <w:tcW w:w="12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July 29,</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July 29,</w:t>
            </w:r>
          </w:p>
        </w:tc>
        <w:tc>
          <w:tcPr>
            <w:tcW w:w="240" w:type="dxa"/>
            <w:vAlign w:val="bottom"/>
          </w:tcPr>
          <w:p>
            <w:pPr>
              <w:spacing w:after="0"/>
              <w:rPr>
                <w:sz w:val="13"/>
                <w:szCs w:val="13"/>
                <w:color w:val="auto"/>
              </w:rPr>
            </w:pPr>
          </w:p>
        </w:tc>
        <w:tc>
          <w:tcPr>
            <w:tcW w:w="102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91"/>
        </w:trPr>
        <w:tc>
          <w:tcPr>
            <w:tcW w:w="6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661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Payable to suppliers and others</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91"/>
        </w:trPr>
        <w:tc>
          <w:tcPr>
            <w:tcW w:w="6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depreciation and amortization, capital expenditures, sale proceeds and significant operating noncash items of Campbell Fresh and Campbell International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discontinued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940" w:type="dxa"/>
            <w:vAlign w:val="bottom"/>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212</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Losses on sales of discontinued operations businesses</w:t>
            </w:r>
          </w:p>
        </w:tc>
        <w:tc>
          <w:tcPr>
            <w:tcW w:w="9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discontinued investing activities:</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Sales of discontinued operations businesses, net of cash divested</w:t>
            </w:r>
          </w:p>
        </w:tc>
        <w:tc>
          <w:tcPr>
            <w:tcW w:w="9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539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324"/>
        </w:trPr>
        <w:tc>
          <w:tcPr>
            <w:tcW w:w="7080" w:type="dxa"/>
            <w:vAlign w:val="bottom"/>
          </w:tcPr>
          <w:p>
            <w:pPr>
              <w:spacing w:after="0"/>
              <w:rPr>
                <w:sz w:val="20"/>
                <w:szCs w:val="20"/>
                <w:color w:val="auto"/>
              </w:rPr>
            </w:pPr>
            <w:r>
              <w:rPr>
                <w:rFonts w:ascii="Arial" w:cs="Arial" w:eastAsia="Arial" w:hAnsi="Arial"/>
                <w:sz w:val="18"/>
                <w:szCs w:val="18"/>
                <w:b w:val="1"/>
                <w:bCs w:val="1"/>
                <w:color w:val="auto"/>
              </w:rPr>
              <w:t>4.  Acquisitions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See Note 13 for additional information. Snyder's-Lance is a snack food company that manufactures, distributes, markets and sells snack food products in North America and Europe. Its primary brands include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and </w:t>
      </w:r>
      <w:r>
        <w:rPr>
          <w:rFonts w:ascii="Arial" w:cs="Arial" w:eastAsia="Arial" w:hAnsi="Arial"/>
          <w:sz w:val="17"/>
          <w:szCs w:val="17"/>
          <w:i w:val="1"/>
          <w:iCs w:val="1"/>
          <w:color w:val="auto"/>
        </w:rPr>
        <w:t>Lance</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Kettle</w:t>
      </w:r>
      <w:r>
        <w:rPr>
          <w:rFonts w:ascii="Arial" w:cs="Arial" w:eastAsia="Arial" w:hAnsi="Arial"/>
          <w:sz w:val="17"/>
          <w:szCs w:val="17"/>
          <w:color w:val="auto"/>
        </w:rPr>
        <w:t xml:space="preserve"> </w:t>
      </w:r>
      <w:r>
        <w:rPr>
          <w:rFonts w:ascii="Arial" w:cs="Arial" w:eastAsia="Arial" w:hAnsi="Arial"/>
          <w:sz w:val="17"/>
          <w:szCs w:val="17"/>
          <w:i w:val="1"/>
          <w:iCs w:val="1"/>
          <w:color w:val="auto"/>
        </w:rPr>
        <w:t>Brand</w:t>
      </w:r>
      <w:r>
        <w:rPr>
          <w:rFonts w:ascii="Arial" w:cs="Arial" w:eastAsia="Arial" w:hAnsi="Arial"/>
          <w:sz w:val="17"/>
          <w:szCs w:val="17"/>
          <w:color w:val="auto"/>
        </w:rPr>
        <w:t>,</w:t>
      </w:r>
      <w:r>
        <w:rPr>
          <w:rFonts w:ascii="Arial" w:cs="Arial" w:eastAsia="Arial" w:hAnsi="Arial"/>
          <w:sz w:val="17"/>
          <w:szCs w:val="17"/>
          <w:i w:val="1"/>
          <w:iCs w:val="1"/>
          <w:color w:val="auto"/>
        </w:rPr>
        <w:t xml:space="preserve"> KETTLE, Cape Cod</w:t>
      </w:r>
      <w:r>
        <w:rPr>
          <w:rFonts w:ascii="Arial" w:cs="Arial" w:eastAsia="Arial" w:hAnsi="Arial"/>
          <w:sz w:val="17"/>
          <w:szCs w:val="17"/>
          <w:color w:val="auto"/>
        </w:rPr>
        <w:t>,</w:t>
      </w:r>
      <w:r>
        <w:rPr>
          <w:rFonts w:ascii="Arial" w:cs="Arial" w:eastAsia="Arial" w:hAnsi="Arial"/>
          <w:sz w:val="17"/>
          <w:szCs w:val="17"/>
          <w:i w:val="1"/>
          <w:iCs w:val="1"/>
          <w:color w:val="auto"/>
        </w:rPr>
        <w:t xml:space="preserve"> Snack Factory Pretzel Crisps</w:t>
      </w:r>
      <w:r>
        <w:rPr>
          <w:rFonts w:ascii="Arial" w:cs="Arial" w:eastAsia="Arial" w:hAnsi="Arial"/>
          <w:sz w:val="17"/>
          <w:szCs w:val="17"/>
          <w:color w:val="auto"/>
        </w:rPr>
        <w:t>,</w:t>
      </w:r>
      <w:r>
        <w:rPr>
          <w:rFonts w:ascii="Arial" w:cs="Arial" w:eastAsia="Arial" w:hAnsi="Arial"/>
          <w:sz w:val="17"/>
          <w:szCs w:val="17"/>
          <w:i w:val="1"/>
          <w:iCs w:val="1"/>
          <w:color w:val="auto"/>
        </w:rPr>
        <w:t xml:space="preserve"> Pop Secret, Emerald </w:t>
      </w:r>
      <w:r>
        <w:rPr>
          <w:rFonts w:ascii="Arial" w:cs="Arial" w:eastAsia="Arial" w:hAnsi="Arial"/>
          <w:sz w:val="17"/>
          <w:szCs w:val="17"/>
          <w:color w:val="auto"/>
        </w:rPr>
        <w:t>and</w:t>
      </w:r>
      <w:r>
        <w:rPr>
          <w:rFonts w:ascii="Arial" w:cs="Arial" w:eastAsia="Arial" w:hAnsi="Arial"/>
          <w:sz w:val="17"/>
          <w:szCs w:val="17"/>
          <w:i w:val="1"/>
          <w:iCs w:val="1"/>
          <w:color w:val="auto"/>
        </w:rPr>
        <w:t xml:space="preserve"> Late July</w:t>
      </w:r>
      <w:r>
        <w:rPr>
          <w:rFonts w:ascii="Arial" w:cs="Arial" w:eastAsia="Arial" w:hAnsi="Arial"/>
          <w:sz w:val="17"/>
          <w:szCs w:val="17"/>
          <w:color w:val="auto"/>
        </w:rPr>
        <w:t>.</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$3,006 of goodwill. The goodwill is not deductible for tax purposes. The goodwill was primarily attributable to future growth opportunities, anticipated synergies, and intangible assets that did not qualify for separate recognition. The goodwill is included in the Snacks segment.</w:t>
      </w:r>
    </w:p>
    <w:p>
      <w:pPr>
        <w:sectPr>
          <w:pgSz w:w="11900" w:h="16838" w:orient="portrait"/>
          <w:cols w:equalWidth="0" w:num="1">
            <w:col w:w="11420"/>
          </w:cols>
          <w:pgMar w:left="240" w:top="131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14" w:right="239" w:bottom="1440" w:gutter="0" w:footer="0" w:header="0"/>
          <w:type w:val="continuous"/>
        </w:sectPr>
      </w:pPr>
    </w:p>
    <w:bookmarkStart w:id="50" w:name="page51"/>
    <w:bookmarkEnd w:id="50"/>
    <w:p>
      <w:pPr>
        <w:jc w:val="both"/>
        <w:ind w:firstLine="324"/>
        <w:spacing w:after="0" w:line="302" w:lineRule="auto"/>
        <w:rPr>
          <w:sz w:val="20"/>
          <w:szCs w:val="20"/>
          <w:color w:val="auto"/>
        </w:rPr>
      </w:pPr>
      <w:r>
        <w:rPr>
          <w:rFonts w:ascii="Arial" w:cs="Arial" w:eastAsia="Arial" w:hAnsi="Arial"/>
          <w:sz w:val="16"/>
          <w:szCs w:val="16"/>
          <w:color w:val="auto"/>
        </w:rPr>
        <w:t>On December 12, 2017, we completed the acquisition of Pacific Foods of Oregon, LLC (Pacific Foods). The purchase price was $688. Pacific Foods produces broth, soups, non-dairy beverages and other simple meals. The excess of the purchase price over the estimated fair values of identifiable net assets was recorded as $202 of goodwill. The goodwill is deductible for tax purposes. The goodwill was primarily attributable to future growth opportunities, anticipated synergies, and intangible assets that did not qualify for separate recognition. The goodwill is included in the Meals &amp; Beverages segment.</w:t>
      </w:r>
    </w:p>
    <w:p>
      <w:pPr>
        <w:spacing w:after="0" w:line="10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table below presents the fair value that was allocated to acquired assets and assumed liabilities. In the first quarter of 2019, we made measurement period adjustments to reflect facts and circumstances in existence as of the date of the Snyder's-Lance acquisition. These adjustments included a $134 decrease to indefinite-lived trademarks, a $52 decrease to customer relationships, a $43 decrease to Deferred taxes and a $140 increase to Goodwill.</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rPr>
              <w:t>Snyder's-Lance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Pacific Foods</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Plant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20" w:type="dxa"/>
            <w:vAlign w:val="bottom"/>
            <w:vMerge w:val="restart"/>
          </w:tcPr>
          <w:p>
            <w:pPr>
              <w:ind w:left="260"/>
              <w:spacing w:after="0"/>
              <w:rPr>
                <w:sz w:val="20"/>
                <w:szCs w:val="20"/>
                <w:color w:val="auto"/>
              </w:rPr>
            </w:pPr>
            <w:r>
              <w:rPr>
                <w:rFonts w:ascii="Arial" w:cs="Arial" w:eastAsia="Arial" w:hAnsi="Arial"/>
                <w:sz w:val="18"/>
                <w:szCs w:val="18"/>
                <w:color w:val="auto"/>
              </w:rPr>
              <w:t>The identifiable intangible assets of Snyder's-Lance consist of:</w:t>
            </w: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3"/>
              </w:rPr>
              <w:t>Life in Years</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12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2"/>
              </w:rPr>
              <w:t>Non-amortizable</w:t>
            </w:r>
          </w:p>
        </w:tc>
        <w:tc>
          <w:tcPr>
            <w:tcW w:w="1700" w:type="dxa"/>
            <w:vAlign w:val="bottom"/>
            <w:tcBorders>
              <w:bottom w:val="single" w:sz="8" w:color="CCEEFF"/>
            </w:tcBorders>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95"/>
              </w:rPr>
              <w:t>Indefinite</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1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Amortizable</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15 to</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4"/>
              </w:rPr>
              <w:t>Amortizable</w:t>
            </w:r>
          </w:p>
        </w:tc>
        <w:tc>
          <w:tcPr>
            <w:tcW w:w="820" w:type="dxa"/>
            <w:vAlign w:val="bottom"/>
            <w:tcBorders>
              <w:bottom w:val="single" w:sz="8" w:color="CCEEFF"/>
            </w:tcBorders>
            <w:shd w:val="clear" w:color="auto" w:fill="CCEEFF"/>
          </w:tcPr>
          <w:p>
            <w:pPr>
              <w:jc w:val="center"/>
              <w:ind w:left="395"/>
              <w:spacing w:after="0"/>
              <w:rPr>
                <w:sz w:val="20"/>
                <w:szCs w:val="20"/>
                <w:color w:val="auto"/>
              </w:rPr>
            </w:pPr>
            <w:r>
              <w:rPr>
                <w:rFonts w:ascii="Arial" w:cs="Arial" w:eastAsia="Arial" w:hAnsi="Arial"/>
                <w:sz w:val="18"/>
                <w:szCs w:val="18"/>
                <w:color w:val="auto"/>
                <w:w w:val="87"/>
              </w:rPr>
              <w:t>1.5</w:t>
            </w:r>
          </w:p>
        </w:tc>
        <w:tc>
          <w:tcPr>
            <w:tcW w:w="7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identifiable intangible assets of Pacific Foods consist of $280 in non-amortizable trademarks, and $86 in customer relationships to be amortized over 20 years.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2019, the acquisition of Snyder's-Lance contributed $2,192 to Net sales. The contribution to Earnings from continuing operations was a loss of $36 including expenses associated with restructuring charges and cost savings initiatives, as well as interest expense on the debt to finance the acquisition.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recognized transaction costs and integration costs of $102, associated with the Snyder's-Lance acquisition. Approximately $53 represented transactions costs, including bridge financing costs and outside advisory costs, and were recorded in Other expenses / (income). Integration costs included the following:</w:t>
      </w:r>
    </w:p>
    <w:p>
      <w:pPr>
        <w:spacing w:after="0" w:line="12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amortization of the acquisition date fair value adjustment to inventories of $42 that was recorded in Cost of products sold;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 of Restructuring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 of Administrative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 gain in Interest expense on treasury rate lock contracts used to hedge the planned financing of the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acquisition of Snyder's-Lance contributed $772 to Net sales from March 26, 2018, through July 29, 2018. The contribution to Earnings from continuing operations was a loss of $84 from March 26, 2018, through July 29, 2018, including the effect of the transaction and integration costs, and interest expense on the debt to finance the acquisition.</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14" w:right="239" w:bottom="1440" w:gutter="0" w:footer="0" w:header="0"/>
          <w:type w:val="continuous"/>
        </w:sectPr>
      </w:pPr>
    </w:p>
    <w:bookmarkStart w:id="51" w:name="page52"/>
    <w:bookmarkEnd w:id="51"/>
    <w:p>
      <w:pPr>
        <w:jc w:val="both"/>
        <w:ind w:firstLine="324"/>
        <w:spacing w:after="0" w:line="264" w:lineRule="auto"/>
        <w:rPr>
          <w:sz w:val="20"/>
          <w:szCs w:val="20"/>
          <w:color w:val="auto"/>
        </w:rPr>
      </w:pPr>
      <w:r>
        <w:rPr>
          <w:rFonts w:ascii="Arial" w:cs="Arial" w:eastAsia="Arial" w:hAnsi="Arial"/>
          <w:sz w:val="18"/>
          <w:szCs w:val="18"/>
          <w:color w:val="auto"/>
        </w:rPr>
        <w:t>In 2019, the acquisition of Pacific Foods contributed $222 to Net sales. The contribution to Earnings from continuing operations was a loss of $12. The acquisition of Pacific Foods contributed $123 to Net sales from December 12, 2017, through July 29, 2018. The contribution to Earnings from continuing operations was a loss of $13 from December 12, 2017, through July 29, 2018.</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Snyder's-Lance and Pacific Foods acquisitions had occurred on August 1,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8,152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834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810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per share attributable to Campbell Soup Company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Earnings from continuing operations per share attributable to Campbell Soup Company - assuming dilution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2.64</w:t>
            </w: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 The pro forma results for 2017 include pre-tax transaction costs of $53, pre-tax amortization of the acquisition date fair value adjustment to inventories of $42, and a pre-tax gain of $18 on treasury rate lock contracts. Therefore, the pro forma results for 2018 exclude these items, as they are reflected in 2017.</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the acquisition of Snyder's-Lance, we acquired an investment in Yellow Chips Holdings B.V. (Yellow Chips), and accounted for the investment under the equity method of accounting. On October 30, 2018, we purchased the remaining ownership interest in Yellow Chips, and began consolidating the business. The purchase price was $18. The pro forma results for 2019 and 2018 were not material.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14" w:right="239" w:bottom="1440" w:gutter="0" w:footer="0" w:header="0"/>
        </w:sectPr>
      </w:pPr>
    </w:p>
    <w:bookmarkStart w:id="52" w:name="page53"/>
    <w:bookmarkEnd w:id="52"/>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Pr>
          <w:p>
            <w:pPr>
              <w:ind w:left="160"/>
              <w:spacing w:after="0" w:line="264" w:lineRule="exact"/>
              <w:rPr>
                <w:sz w:val="20"/>
                <w:szCs w:val="20"/>
                <w:color w:val="auto"/>
              </w:rPr>
            </w:pPr>
            <w:r>
              <w:rPr>
                <w:rFonts w:ascii="Arial" w:cs="Arial" w:eastAsia="Arial" w:hAnsi="Arial"/>
                <w:sz w:val="18"/>
                <w:szCs w:val="18"/>
                <w:b w:val="1"/>
                <w:bCs w:val="1"/>
                <w:color w:val="auto"/>
              </w:rPr>
              <w:t>Cumulative effect of a change in accounting principle</w:t>
            </w:r>
            <w:r>
              <w:rPr>
                <w:rFonts w:ascii="Arial" w:cs="Arial" w:eastAsia="Arial" w:hAnsi="Arial"/>
                <w:sz w:val="25"/>
                <w:szCs w:val="25"/>
                <w:b w:val="1"/>
                <w:bCs w:val="1"/>
                <w:color w:val="auto"/>
                <w:vertAlign w:val="superscript"/>
              </w:rPr>
              <w:t>(4)</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4"/>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tcPr>
          <w:p>
            <w:pPr>
              <w:ind w:left="280"/>
              <w:spacing w:after="0"/>
              <w:rPr>
                <w:sz w:val="20"/>
                <w:szCs w:val="20"/>
                <w:color w:val="auto"/>
              </w:rPr>
            </w:pPr>
            <w:r>
              <w:rPr>
                <w:rFonts w:ascii="Arial" w:cs="Arial" w:eastAsia="Arial" w:hAnsi="Arial"/>
                <w:sz w:val="18"/>
                <w:szCs w:val="18"/>
                <w:b w:val="1"/>
                <w:bCs w:val="1"/>
                <w:color w:val="auto"/>
                <w:w w:val="91"/>
              </w:rPr>
              <w:t>Amounts reclassified from accumulated other comprehensive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Pr>
          <w:p>
            <w:pPr>
              <w:ind w:left="280"/>
              <w:spacing w:after="0" w:line="262" w:lineRule="exact"/>
              <w:rPr>
                <w:sz w:val="20"/>
                <w:szCs w:val="20"/>
                <w:color w:val="auto"/>
              </w:rPr>
            </w:pPr>
            <w:r>
              <w:rPr>
                <w:rFonts w:ascii="Arial" w:cs="Arial" w:eastAsia="Arial" w:hAnsi="Arial"/>
                <w:sz w:val="18"/>
                <w:szCs w:val="18"/>
                <w:b w:val="1"/>
                <w:bCs w:val="1"/>
                <w:color w:val="auto"/>
              </w:rPr>
              <w:t>income (loss)</w:t>
            </w:r>
            <w:r>
              <w:rPr>
                <w:rFonts w:ascii="Arial" w:cs="Arial" w:eastAsia="Arial" w:hAnsi="Arial"/>
                <w:sz w:val="25"/>
                <w:szCs w:val="25"/>
                <w:b w:val="1"/>
                <w:bCs w:val="1"/>
                <w:color w:val="auto"/>
                <w:vertAlign w:val="superscript"/>
              </w:rPr>
              <w:t>(5)</w:t>
            </w: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Balance at July 28,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3"/>
          <w:szCs w:val="13"/>
          <w:color w:val="auto"/>
        </w:rPr>
      </w:pPr>
      <w:r>
        <w:rPr>
          <w:rFonts w:ascii="Arial" w:cs="Arial" w:eastAsia="Arial" w:hAnsi="Arial"/>
          <w:sz w:val="18"/>
          <w:szCs w:val="18"/>
          <w:color w:val="auto"/>
        </w:rPr>
        <w:t>Included a tax expense of $4 as of July 28, 2019, and $6 as of July 29, 2018, July 30, 2017, and July 31, 2016.</w:t>
      </w:r>
    </w:p>
    <w:p>
      <w:pPr>
        <w:ind w:left="340" w:hanging="332"/>
        <w:spacing w:after="0" w:line="203"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8"/>
          <w:szCs w:val="18"/>
          <w:color w:val="auto"/>
        </w:rPr>
        <w:t>Included a tax benefit of $2 as of July 28, 2019, $4 as of July 29, 2018, $12 as of July 30, 2017, and $23 as of July 31, 2016.</w:t>
      </w:r>
    </w:p>
    <w:p>
      <w:pPr>
        <w:ind w:left="340" w:hanging="332"/>
        <w:spacing w:after="0" w:line="203"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8"/>
          <w:szCs w:val="18"/>
          <w:color w:val="auto"/>
        </w:rPr>
        <w:t>Included a tax expense of $8 as of July 28, 2019, $25 as of July 29, 2018, $30 as of July 30, 2017, and $35 as of July 31, 2016.</w:t>
      </w:r>
    </w:p>
    <w:p>
      <w:pPr>
        <w:ind w:left="340" w:hanging="332"/>
        <w:spacing w:after="0" w:line="203"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8"/>
          <w:szCs w:val="18"/>
          <w:color w:val="auto"/>
        </w:rPr>
        <w:t>Reflects the adoption of the FASB guidance on stranded tax effects. See Note 2 for additional information.</w:t>
      </w:r>
    </w:p>
    <w:p>
      <w:pPr>
        <w:ind w:left="340" w:right="4540" w:hanging="332"/>
        <w:spacing w:after="0" w:line="319"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8"/>
          <w:szCs w:val="18"/>
          <w:color w:val="auto"/>
        </w:rPr>
        <w:t>Reflects the reclassification from sale of businesses. See Note 3 for additional information.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28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ind w:left="180"/>
              <w:spacing w:after="0"/>
              <w:rPr>
                <w:sz w:val="20"/>
                <w:szCs w:val="20"/>
                <w:color w:val="auto"/>
              </w:rPr>
            </w:pPr>
            <w:r>
              <w:rPr>
                <w:rFonts w:ascii="Arial" w:cs="Arial" w:eastAsia="Arial" w:hAnsi="Arial"/>
                <w:sz w:val="14"/>
                <w:szCs w:val="14"/>
                <w:b w:val="1"/>
                <w:bCs w:val="1"/>
                <w:color w:val="auto"/>
                <w:w w:val="98"/>
              </w:rPr>
              <w:t>Location of (Gain) Loss Recognized in</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w w:val="97"/>
              </w:rPr>
              <w:t>Loss from discontinued operations</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Total before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Prior service credit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10" w:right="239" w:bottom="1440" w:gutter="0" w:footer="0" w:header="0"/>
          <w:type w:val="continuous"/>
        </w:sectPr>
      </w:pPr>
    </w:p>
    <w:bookmarkStart w:id="53" w:name="page54"/>
    <w:bookmarkEnd w:id="53"/>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Meals &amp; Beverages</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30, 2017</w:t>
            </w:r>
          </w:p>
        </w:tc>
        <w:tc>
          <w:tcPr>
            <w:tcW w:w="560" w:type="dxa"/>
            <w:vAlign w:val="bottom"/>
            <w:tcBorders>
              <w:top w:val="single" w:sz="8" w:color="auto"/>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5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3,068</w:t>
            </w:r>
          </w:p>
        </w:tc>
      </w:tr>
      <w:tr>
        <w:trPr>
          <w:trHeight w:val="27"/>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balance at July 29, 2018</w:t>
            </w: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3,864</w:t>
            </w:r>
          </w:p>
        </w:tc>
      </w:tr>
      <w:tr>
        <w:trPr>
          <w:trHeight w:val="27"/>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preliminary purchase price allocation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Acquisition</w:t>
            </w:r>
          </w:p>
        </w:tc>
        <w:tc>
          <w:tcPr>
            <w:tcW w:w="5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21</w:t>
            </w:r>
          </w:p>
        </w:tc>
      </w:tr>
      <w:tr>
        <w:trPr>
          <w:trHeight w:val="27"/>
        </w:trPr>
        <w:tc>
          <w:tcPr>
            <w:tcW w:w="7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balance at July 28, 2019</w:t>
            </w: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4,017</w:t>
            </w:r>
          </w:p>
        </w:tc>
      </w:tr>
      <w:tr>
        <w:trPr>
          <w:trHeight w:val="27"/>
        </w:trPr>
        <w:tc>
          <w:tcPr>
            <w:tcW w:w="70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we acquired Snyder's-Lance for $6,112. During the first quarter of 2019, we made changes in the preliminary allocation of the purchase price of the Snyder's-Lance acquisition which resulted in a change in goodwill of $140 in the Snacks segment. Goodwill related to the Snyder's-Lance acquisition was $3,006. On October 30, 2018, we acquired the remaining ownership interest in Yellow Chips and began consolidating the business, which resulted in goodwill of $21. In addition, we acquired Pacific Foods in December 2017 for $688 and goodwill related to the acquisition was $202. See Note 4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3"/>
                <w:szCs w:val="13"/>
                <w:color w:val="auto"/>
              </w:rPr>
            </w:pPr>
          </w:p>
        </w:tc>
        <w:tc>
          <w:tcPr>
            <w:tcW w:w="1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Estimated Useful Lives</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0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6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0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   to</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855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785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 to</w:t>
            </w:r>
          </w:p>
        </w:tc>
        <w:tc>
          <w:tcPr>
            <w:tcW w:w="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Total amortizable intangible assets</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786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Trademarks</w:t>
            </w: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2,629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intangible assets</w:t>
            </w:r>
          </w:p>
        </w:tc>
        <w:tc>
          <w:tcPr>
            <w:tcW w:w="9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As of July 28, 2019, trademarks primarily included $1,996 associated with the acquisition of Snyder's-Lance, $280 associated with the acquisition of Pacific Foods and $292 related to </w:t>
      </w:r>
      <w:r>
        <w:rPr>
          <w:rFonts w:ascii="Arial" w:cs="Arial" w:eastAsia="Arial" w:hAnsi="Arial"/>
          <w:sz w:val="18"/>
          <w:szCs w:val="18"/>
          <w:i w:val="1"/>
          <w:iCs w:val="1"/>
          <w:color w:val="auto"/>
        </w:rPr>
        <w:t>Pace</w:t>
      </w:r>
      <w:r>
        <w:rPr>
          <w:rFonts w:ascii="Arial" w:cs="Arial" w:eastAsia="Arial" w:hAnsi="Arial"/>
          <w:sz w:val="18"/>
          <w:szCs w:val="18"/>
          <w:color w:val="auto"/>
        </w:rPr>
        <w:t>. Other amortizable intangible assets consist of recipes, non-compete agreements, trademarks, and patents.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in Earnings from continuing operations was $48 for 2019, $20 for 2018 and $1 for 2017. Amortization expense for the next 5 years is estimated to be $45 in 2020, $44 in 2021 through 2024.</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Amortization of intangible assets in Loss from discontinued operations was $9 for 2019, $14 for 2018 and $18 for 2017. See Note 3 to the Consolidated Financial Statements for additional information on discontinued operations.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2019, we performed an assessment on the assets within the European chips business and recorded an impairment charge of $16 on customer relationships intangible assets. This business is included in the Snacks segment.</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fourth quarter of 2018, as part of our annual review of intangible assets, we recognized an impairment charge of $54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which reduced the carrying value to $61. In 2018, sales and operating performance were well below expectations due in part to competitive pressure and reduced margins. In the fourth quarter, as part of a strategic review initiated by a new leadership team and based on recent performance, we lowered our long-term outlook for future sales. This business is included in the Meals &amp; Beverages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ectPr>
          <w:pgSz w:w="11900" w:h="16838" w:orient="portrait"/>
          <w:cols w:equalWidth="0" w:num="1">
            <w:col w:w="11420"/>
          </w:cols>
          <w:pgMar w:left="240" w:top="131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310" w:right="239" w:bottom="1440" w:gutter="0" w:footer="0" w:header="0"/>
          <w:type w:val="continuous"/>
        </w:sectPr>
      </w:pPr>
    </w:p>
    <w:bookmarkStart w:id="54" w:name="page55"/>
    <w:bookmarkEnd w:id="54"/>
    <w:p>
      <w:pPr>
        <w:jc w:val="both"/>
        <w:ind w:firstLine="324"/>
        <w:spacing w:after="0" w:line="277" w:lineRule="auto"/>
        <w:rPr>
          <w:sz w:val="20"/>
          <w:szCs w:val="20"/>
          <w:color w:val="auto"/>
        </w:rPr>
      </w:pPr>
      <w:r>
        <w:rPr>
          <w:rFonts w:ascii="Arial" w:cs="Arial" w:eastAsia="Arial" w:hAnsi="Arial"/>
          <w:sz w:val="18"/>
          <w:szCs w:val="18"/>
          <w:color w:val="auto"/>
        </w:rPr>
        <w:t>We also recorded impairment charges on goodwill and intangible assets included in Noncurrent assets of discontinued operations. See Note 3 for additional information.</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Commencing in the third quarter of 2018 with the acquisition of Snyder's-Lance, we formed a new U.S. snacking unit, which combines Snyder's-Lance and Pepperidge Farm, and is an operating segment. Through the second quarter of 2019, we had four operating segments based primarily on product type, and three reportable segments. The operating segments were Meals &amp; Beverages; U.S. snacking; international biscuits and snacks; and Campbell Fresh. The U.S. snacking operating segment was aggregated with the international biscuits and snacks operating segment to form the Global Biscuits and Snacks reportable segment. The operating segments were aggregated based on similar economic characteristics, products, production processes, types or classes of customers, distribution methods, and regulatory environment.</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segment.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discussed in Note 3, we sold our businesses in Campbell Fresh during 2019. Beginning in the third quarter of 2019, we have reflected the results of these businesses as discontinued operations in the Consolidated Statements of Earnings for all periods presented. Prior periods have been adjusted to conform to the current presentation. The assets and liabilities of these businesses have been reflected in assets and liabilities of discontinued operations in the Consolidated Balance Sheet as of July 29, 2018. A portion of the U.S. refrigerated soup business historically included in Campbell Fresh was retained, and is now reported in Meals &amp; Beverages.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Within our international biscuits and snacks operating segment, we signed a definitive agreement for the sale of our Kelsen business on July 12, 2019, and completed the sale on September 23, 2019. We also signed a definitive agreement on August 1, 2019 for the sale of the Arnott’s and international operations. Beginning in the fourth quarter of 2019, we have reflected the results of operations of the Kelsen business and the Arnott’s and international operations, or Campbell International, as discontinued operations in the Consolidated Statements of Earnings for all periods presented. The assets and liabilities of these businesses have been reflected in assets and liabilities of discontinued operations in the Consolidated Balance Sheets as of July 28, 2019, and July 29, 2018.</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fourth quarter of 2019, our reportable segments are as follows:</w:t>
      </w:r>
    </w:p>
    <w:p>
      <w:pPr>
        <w:spacing w:after="0" w:line="171" w:lineRule="exact"/>
        <w:rPr>
          <w:sz w:val="20"/>
          <w:szCs w:val="20"/>
          <w:color w:val="auto"/>
        </w:rPr>
      </w:pPr>
    </w:p>
    <w:p>
      <w:pPr>
        <w:jc w:val="both"/>
        <w:ind w:left="660" w:hanging="328"/>
        <w:spacing w:after="0" w:line="25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non-dairy beverages and other simple meals;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 sauces;</w:t>
      </w:r>
      <w:r>
        <w:rPr>
          <w:rFonts w:ascii="Arial" w:cs="Arial" w:eastAsia="Arial" w:hAnsi="Arial"/>
          <w:sz w:val="18"/>
          <w:szCs w:val="18"/>
          <w:i w:val="1"/>
          <w:iCs w:val="1"/>
          <w:color w:val="auto"/>
        </w:rPr>
        <w:t xml:space="preserve"> Pace </w:t>
      </w:r>
      <w:r>
        <w:rPr>
          <w:rFonts w:ascii="Arial" w:cs="Arial" w:eastAsia="Arial" w:hAnsi="Arial"/>
          <w:sz w:val="18"/>
          <w:szCs w:val="18"/>
          <w:color w:val="auto"/>
        </w:rPr>
        <w:t>Mexican sauces;</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gravies, pasta, beans and dinner sauces;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canned poultry;</w:t>
      </w:r>
      <w:r>
        <w:rPr>
          <w:rFonts w:ascii="Arial" w:cs="Arial" w:eastAsia="Arial" w:hAnsi="Arial"/>
          <w:sz w:val="18"/>
          <w:szCs w:val="18"/>
          <w:i w:val="1"/>
          <w:iCs w:val="1"/>
          <w:color w:val="auto"/>
        </w:rPr>
        <w:t xml:space="preserve"> Plum </w:t>
      </w:r>
      <w:r>
        <w:rPr>
          <w:rFonts w:ascii="Arial" w:cs="Arial" w:eastAsia="Arial" w:hAnsi="Arial"/>
          <w:sz w:val="18"/>
          <w:szCs w:val="18"/>
          <w:color w:val="auto"/>
        </w:rPr>
        <w:t>baby food and snacks;</w:t>
      </w:r>
      <w:r>
        <w:rPr>
          <w:rFonts w:ascii="Arial" w:cs="Arial" w:eastAsia="Arial" w:hAnsi="Arial"/>
          <w:sz w:val="18"/>
          <w:szCs w:val="18"/>
          <w:i w:val="1"/>
          <w:iCs w:val="1"/>
          <w:color w:val="auto"/>
        </w:rPr>
        <w:t xml:space="preserve"> V8 </w:t>
      </w:r>
      <w:r>
        <w:rPr>
          <w:rFonts w:ascii="Arial" w:cs="Arial" w:eastAsia="Arial" w:hAnsi="Arial"/>
          <w:sz w:val="18"/>
          <w:szCs w:val="18"/>
          <w:color w:val="auto"/>
        </w:rPr>
        <w:t>juices and beverages; and</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tomato juice. The segment also includes the simple meals and shelf-stable beverages business in Latin</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w:t>
      </w:r>
    </w:p>
    <w:p>
      <w:pPr>
        <w:spacing w:after="0" w:line="13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Snacks, which consists of Pepperidge Farm cookies, crackers, fresh bakery and frozen products in U.S. retail, including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cookies and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pretzels, </w:t>
      </w:r>
      <w:r>
        <w:rPr>
          <w:rFonts w:ascii="Arial" w:cs="Arial" w:eastAsia="Arial" w:hAnsi="Arial"/>
          <w:sz w:val="18"/>
          <w:szCs w:val="18"/>
          <w:i w:val="1"/>
          <w:iCs w:val="1"/>
          <w:color w:val="auto"/>
        </w:rPr>
        <w:t>Lance</w:t>
      </w:r>
      <w:r>
        <w:rPr>
          <w:rFonts w:ascii="Arial" w:cs="Arial" w:eastAsia="Arial" w:hAnsi="Arial"/>
          <w:sz w:val="18"/>
          <w:szCs w:val="18"/>
          <w:color w:val="auto"/>
        </w:rPr>
        <w:t xml:space="preserve"> sandwich crackers,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and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potato chips,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snacks, </w:t>
      </w:r>
      <w:r>
        <w:rPr>
          <w:rFonts w:ascii="Arial" w:cs="Arial" w:eastAsia="Arial" w:hAnsi="Arial"/>
          <w:sz w:val="18"/>
          <w:szCs w:val="18"/>
          <w:i w:val="1"/>
          <w:iCs w:val="1"/>
          <w:color w:val="auto"/>
        </w:rPr>
        <w:t>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Pretzel Crisps, Pop Secret </w:t>
      </w:r>
      <w:r>
        <w:rPr>
          <w:rFonts w:ascii="Arial" w:cs="Arial" w:eastAsia="Arial" w:hAnsi="Arial"/>
          <w:sz w:val="18"/>
          <w:szCs w:val="18"/>
          <w:color w:val="auto"/>
        </w:rPr>
        <w:t>popcorn,</w:t>
      </w:r>
      <w:r>
        <w:rPr>
          <w:rFonts w:ascii="Arial" w:cs="Arial" w:eastAsia="Arial" w:hAnsi="Arial"/>
          <w:sz w:val="18"/>
          <w:szCs w:val="18"/>
          <w:i w:val="1"/>
          <w:iCs w:val="1"/>
          <w:color w:val="auto"/>
        </w:rPr>
        <w:t xml:space="preserve"> Emerald </w:t>
      </w:r>
      <w:r>
        <w:rPr>
          <w:rFonts w:ascii="Arial" w:cs="Arial" w:eastAsia="Arial" w:hAnsi="Arial"/>
          <w:sz w:val="18"/>
          <w:szCs w:val="18"/>
          <w:color w:val="auto"/>
        </w:rPr>
        <w:t>nuts, and other snacking products in the U.S. and Canada. The segment also includes our European</w:t>
      </w:r>
      <w:r>
        <w:rPr>
          <w:rFonts w:ascii="Arial" w:cs="Arial" w:eastAsia="Arial" w:hAnsi="Arial"/>
          <w:sz w:val="18"/>
          <w:szCs w:val="18"/>
          <w:i w:val="1"/>
          <w:iCs w:val="1"/>
          <w:color w:val="auto"/>
        </w:rPr>
        <w:t xml:space="preserve"> </w:t>
      </w:r>
      <w:r>
        <w:rPr>
          <w:rFonts w:ascii="Arial" w:cs="Arial" w:eastAsia="Arial" w:hAnsi="Arial"/>
          <w:sz w:val="18"/>
          <w:szCs w:val="18"/>
          <w:color w:val="auto"/>
        </w:rPr>
        <w:t>chips business.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our simple meals and shelf-stable beverages business in Latin America was managed as part of the Global Biscuits and Snacks segment. In 2019, it was managed as part of the Meals &amp; Beverages segment. Segment results have been adjusted retrospectively to reflect this change. In 2020, it is managed as part of the Snacks segment.</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Therefore, only geographic segment asset information is provided.</w:t>
      </w:r>
    </w:p>
    <w:p>
      <w:pPr>
        <w:sectPr>
          <w:pgSz w:w="11900" w:h="16838" w:orient="portrait"/>
          <w:cols w:equalWidth="0" w:num="1">
            <w:col w:w="11420"/>
          </w:cols>
          <w:pgMar w:left="240" w:top="1314"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314" w:right="239" w:bottom="1440" w:gutter="0" w:footer="0" w:header="0"/>
          <w:type w:val="continuous"/>
        </w:sectPr>
      </w:pPr>
    </w:p>
    <w:bookmarkStart w:id="55" w:name="page56"/>
    <w:bookmarkEnd w:id="55"/>
    <w:p>
      <w:pPr>
        <w:jc w:val="both"/>
        <w:ind w:firstLine="324"/>
        <w:spacing w:after="0" w:line="259" w:lineRule="auto"/>
        <w:rPr>
          <w:sz w:val="20"/>
          <w:szCs w:val="20"/>
          <w:color w:val="auto"/>
        </w:rPr>
      </w:pPr>
      <w:r>
        <w:rPr>
          <w:rFonts w:ascii="Arial" w:cs="Arial" w:eastAsia="Arial" w:hAnsi="Arial"/>
          <w:sz w:val="18"/>
          <w:szCs w:val="18"/>
          <w:color w:val="auto"/>
        </w:rPr>
        <w:t>Our largest customer, Wal-Mart Stores, Inc. and its affiliates, accounted for approximately 20% of consolidated net sales from continuing operations in 2019, 22% in 2018, and 24% in 2017. The Kroger Co. and its affiliates accounted for approximately 9% of consolidated net sales from continuing operations in 2019, and 10% in 2018 and 2017. Both of our reportable segments sold products to Wal-Mart Stores, Inc. or its affiliates and The Kroger Co. or its affiliates.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BFE4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Meals &amp;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4,322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Snacks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3,784</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BFE4FF"/>
            </w:tcBorders>
            <w:shd w:val="clear" w:color="auto" w:fill="BFE4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8,107</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6,615</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0"/>
        </w:trPr>
        <w:tc>
          <w:tcPr>
            <w:tcW w:w="7100" w:type="dxa"/>
            <w:vAlign w:val="bottom"/>
            <w:tcBorders>
              <w:top w:val="single" w:sz="8" w:color="BFE4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Meals &amp;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0"/>
        </w:trPr>
        <w:tc>
          <w:tcPr>
            <w:tcW w:w="7100" w:type="dxa"/>
            <w:vAlign w:val="bottom"/>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8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Meals &amp;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7100" w:type="dxa"/>
            <w:vAlign w:val="bottom"/>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84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Meals &amp;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7100" w:type="dxa"/>
            <w:vAlign w:val="bottom"/>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84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35"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unallocated items. Pension and postretirement benefit settlement and mark-to-market adjustments are included in Corporate. There were settlement charges of $28 and losses of $122 in 2019, gains of $131 and $156 in 2018 and 2017, respectively. Costs related to the cost savings initiatives were $90, $135 and $37 in 2019, 2018 and 2017, respectively. Transaction and integration costs associated with the acquisition of Snyder's-Lance were $107 in 2018. Intangible asset impairment charges were $16 in 2019 and $54 in 2018. A charge of $22 related to the settlement of a legal claim was included in 2018.</w:t>
      </w:r>
    </w:p>
    <w:p>
      <w:pPr>
        <w:spacing w:after="0" w:line="2"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See Note 8 for additional information.</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Represents primarily corporate offices.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14" w:right="239" w:bottom="1440" w:gutter="0" w:footer="0" w:header="0"/>
        </w:sectPr>
      </w:pPr>
    </w:p>
    <w:bookmarkStart w:id="56" w:name="page57"/>
    <w:bookmarkEnd w:id="56"/>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BFE4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Soup</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2,368</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2,355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2,407</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Snacks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3,918</w:t>
            </w: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8"/>
              </w:rPr>
              <w:t>2,438</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1,619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1,082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1,118</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693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BFE4FF"/>
            </w:tcBorders>
            <w:shd w:val="clear" w:color="auto" w:fill="BFE4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8,107</w:t>
            </w:r>
          </w:p>
        </w:tc>
        <w:tc>
          <w:tcPr>
            <w:tcW w:w="10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8"/>
              </w:rPr>
              <w:t>6,615</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5,837</w:t>
            </w:r>
          </w:p>
        </w:tc>
      </w:tr>
      <w:tr>
        <w:trPr>
          <w:trHeight w:val="20"/>
        </w:trPr>
        <w:tc>
          <w:tcPr>
            <w:tcW w:w="7100" w:type="dxa"/>
            <w:vAlign w:val="bottom"/>
            <w:tcBorders>
              <w:top w:val="single" w:sz="8" w:color="BFE4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Snacks include cookies, pretzels, crackers, popcorn, nuts, potato chips, tortilla chips and other salty snacks and baked products. Other simple meals include sauces and Plum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Area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continuing operations in different geographic areas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7,492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5,371</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8,107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5,837</w:t>
            </w: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2,400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1,547</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2,455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1,644</w:t>
            </w: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14"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both programs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Includes $13 of Restructuring charges and $12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charges recorded in Earnings (loss) from discontinued operations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Recognized as of July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rPr>
              <w:t>28, 2019</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w w:val="88"/>
              </w:rPr>
              <w:t>Total pre-tax charges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jc w:val="right"/>
              <w:ind w:right="1890"/>
              <w:spacing w:after="0"/>
              <w:rPr>
                <w:sz w:val="20"/>
                <w:szCs w:val="20"/>
                <w:color w:val="auto"/>
              </w:rPr>
            </w:pPr>
            <w:r>
              <w:rPr>
                <w:rFonts w:ascii="Arial" w:cs="Arial" w:eastAsia="Arial" w:hAnsi="Arial"/>
                <w:sz w:val="18"/>
                <w:szCs w:val="18"/>
                <w:color w:val="auto"/>
                <w:w w:val="89"/>
              </w:rPr>
              <w:t>_______________________________________</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Includes $19 of severance pay and benefits and $4 of implementation costs and other related costs.</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96"/>
              <w:spacing w:after="0"/>
              <w:rPr>
                <w:sz w:val="20"/>
                <w:szCs w:val="20"/>
                <w:color w:val="auto"/>
              </w:rPr>
            </w:pPr>
            <w:r>
              <w:rPr>
                <w:rFonts w:ascii="Arial" w:cs="Arial" w:eastAsia="Arial" w:hAnsi="Arial"/>
                <w:sz w:val="14"/>
                <w:szCs w:val="14"/>
                <w:b w:val="1"/>
                <w:bCs w:val="1"/>
                <w:color w:val="auto"/>
                <w:w w:val="93"/>
              </w:rPr>
              <w:t>Recognized as of</w:t>
            </w:r>
          </w:p>
        </w:tc>
        <w:tc>
          <w:tcPr>
            <w:tcW w:w="0" w:type="dxa"/>
            <w:vAlign w:val="bottom"/>
          </w:tcPr>
          <w:p>
            <w:pPr>
              <w:spacing w:after="0"/>
              <w:rPr>
                <w:sz w:val="1"/>
                <w:szCs w:val="1"/>
                <w:color w:val="auto"/>
              </w:rPr>
            </w:pPr>
          </w:p>
        </w:tc>
      </w:tr>
      <w:tr>
        <w:trPr>
          <w:trHeight w:val="192"/>
        </w:trPr>
        <w:tc>
          <w:tcPr>
            <w:tcW w:w="9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July 28, 2019</w:t>
            </w:r>
          </w:p>
        </w:tc>
        <w:tc>
          <w:tcPr>
            <w:tcW w:w="0" w:type="dxa"/>
            <w:vAlign w:val="bottom"/>
          </w:tcPr>
          <w:p>
            <w:pPr>
              <w:spacing w:after="0"/>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Includes $13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Includes $12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6"/>
          <w:szCs w:val="16"/>
          <w:color w:val="auto"/>
        </w:rPr>
        <w:t>The total estimated pre-tax costs for actions associated with continuing operations that have been identified under both programs are approximately $615 to $665 and we expect to incur substantially all of the costs through 2020. This estimate will be updated as costs for the expanded initiatives are developed.</w:t>
      </w:r>
    </w:p>
    <w:p>
      <w:pPr>
        <w:spacing w:after="0" w:line="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under both programs to consist of the following: approximately $205 to $210 in severance pay and benefits; approximately $65 in asset impairment and accelerated depreciation; and approximately $345 to $390 in implementation costs and other related costs. We expect these pre-tax costs to be associated with our segments as follows: Meals &amp; Beverages - approximately 35%; Snacks - approximately 40%; and Corporate - approximately 25%.</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Of the aggregate $615 to $665 of pre-tax costs associated with continuing operations identified to date under both programs, we expect approximately $540 to $590 will be cash expenditures. In addition, we expect to invest approximately $395 in capital expenditures through 2021, of which we invested approximately $250 as of July 28, 2019. The capital expenditures primarily relate to the U.S. warehouse optimization project, improvement of quality, safety and cost structure across the Snyder’s-Lance manufacturing network, implementation of an SAP enterprise-resource planning system for Snyder's-Lance, transition of production of the Toronto manufacturing facility to our U.S. thermal plants, optimization of information technology infrastructure and applications, insourcing of manufacturing for certain simple meal products, and optimization of the Snyder’s-Lance warehouse and distribution network.</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14"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July 28,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2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9"/>
              </w:rPr>
              <w:t>Severance Pay</w:t>
            </w:r>
          </w:p>
        </w:tc>
        <w:tc>
          <w:tcPr>
            <w:tcW w:w="10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Non-Cash</w:t>
            </w: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Other Non-</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Impairment/Accelerated</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Cash Exit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Total Charges</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and Benefits</w:t>
            </w:r>
          </w:p>
        </w:tc>
        <w:tc>
          <w:tcPr>
            <w:tcW w:w="10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8"/>
                <w:szCs w:val="8"/>
                <w:b w:val="1"/>
                <w:bCs w:val="1"/>
                <w:color w:val="auto"/>
              </w:rPr>
              <w:t>(4)</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Depreciation</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(6)</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balance at July 30, 2017</w:t>
            </w:r>
            <w:r>
              <w:rPr>
                <w:rFonts w:ascii="Arial" w:cs="Arial" w:eastAsia="Arial" w:hAnsi="Arial"/>
                <w:sz w:val="25"/>
                <w:szCs w:val="25"/>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2018 charges</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ind w:right="4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560" w:type="dxa"/>
            <w:vAlign w:val="bottom"/>
          </w:tcPr>
          <w:p>
            <w:pPr>
              <w:jc w:val="right"/>
              <w:ind w:right="6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 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Accrued balance at July 29, 2018</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60"/>
              <w:spacing w:after="0"/>
              <w:rPr>
                <w:sz w:val="20"/>
                <w:szCs w:val="20"/>
                <w:color w:val="auto"/>
              </w:rPr>
            </w:pPr>
            <w:r>
              <w:rPr>
                <w:rFonts w:ascii="Arial" w:cs="Arial" w:eastAsia="Arial" w:hAnsi="Arial"/>
                <w:sz w:val="18"/>
                <w:szCs w:val="18"/>
                <w:b w:val="1"/>
                <w:bCs w:val="1"/>
                <w:color w:val="auto"/>
              </w:rPr>
              <w:t>2019 charges</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1"/>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21"/>
                <w:szCs w:val="21"/>
                <w:color w:val="auto"/>
              </w:rPr>
            </w:pP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2019 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b w:val="1"/>
                <w:bCs w:val="1"/>
                <w:color w:val="auto"/>
              </w:rPr>
              <w:t>Foreign currency translation adjustment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Accrued balance at July 28, 2019</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$2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jc w:val="both"/>
        <w:ind w:left="340" w:right="180" w:hanging="332"/>
        <w:spacing w:after="0" w:line="221"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$24 of severance pay and benefits recorded in Other liabilities in the Consolidated Balance Sheet, $1 of which is associated with the Snyder's-Lance cost transformation program and integration. Of total accrued balance, $9 is associated with the Snyder's-Lance cost transformation program and integration.</w:t>
      </w:r>
    </w:p>
    <w:p>
      <w:pPr>
        <w:ind w:left="340" w:hanging="332"/>
        <w:spacing w:after="0" w:line="180"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$8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Represents pension special termination benefits. See Note 11 for additional information.</w:t>
      </w:r>
    </w:p>
    <w:p>
      <w:pPr>
        <w:spacing w:after="0" w:line="2"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ind w:left="340" w:hanging="332"/>
        <w:spacing w:after="0" w:line="180"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Restructuring reserves included in Current liabilities of discontinued operations were $1 at July 28, 2019, $3 at July 29, 2018, and $7 at July 30, 2017, respectively.</w:t>
      </w:r>
    </w:p>
    <w:p>
      <w:pPr>
        <w:spacing w:after="0" w:line="5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Costs Incurred to Date</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&amp; Beverages</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Snacks</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 w:hanging="332"/>
        <w:spacing w:after="0" w:line="216"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Includes $25 of pre-tax costs associated with the Snacks segment recognized in 2018 related to the Snyder's-Lance cost transformation program and integration.</w:t>
      </w:r>
    </w:p>
    <w:p>
      <w:pPr>
        <w:spacing w:after="0" w:line="6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2019 and 2018 excludes approximately 2 million and 1 million stock options, respectively, that would have been antidilutive. The earnings per share calculation for 2017 excludes less than 1 million stock options that would have been antidilutive.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15 for additional information.</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314" w:right="239" w:bottom="1440" w:gutter="0" w:footer="0" w:header="0"/>
          <w:type w:val="continuous"/>
        </w:sectPr>
      </w:pPr>
    </w:p>
    <w:bookmarkStart w:id="59" w:name="page60"/>
    <w:bookmarkEnd w:id="59"/>
    <w:p>
      <w:pPr>
        <w:jc w:val="both"/>
        <w:ind w:right="20" w:firstLine="324"/>
        <w:spacing w:after="0" w:line="277" w:lineRule="auto"/>
        <w:rPr>
          <w:sz w:val="20"/>
          <w:szCs w:val="20"/>
          <w:color w:val="auto"/>
        </w:rPr>
      </w:pPr>
      <w:r>
        <w:rPr>
          <w:rFonts w:ascii="Arial" w:cs="Arial" w:eastAsia="Arial" w:hAnsi="Arial"/>
          <w:sz w:val="18"/>
          <w:szCs w:val="18"/>
          <w:color w:val="auto"/>
        </w:rPr>
        <w:t>On March 26, 2018, we acquired Snyder's-Lance, including an 80% interest in one of its subsidiaries. In April 2018, we purchased the remaining 20% interest for $47.</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Benefits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Pension Benefits — </w:t>
      </w:r>
      <w:r>
        <w:rPr>
          <w:rFonts w:ascii="Arial" w:cs="Arial" w:eastAsia="Arial" w:hAnsi="Arial"/>
          <w:sz w:val="16"/>
          <w:szCs w:val="16"/>
          <w:color w:val="auto"/>
        </w:rPr>
        <w:t>We sponsor a number of noncontributory defined benefit pension plans to provide retirement benefits to all eligible U.S. and non-U.S. employees. The benefits provided under these plans are based primarily on years of service and compensation levels. Benefits are paid from funds previously provided to trustees and insurance companies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through the year 2014 for certain active employees participating in the plans under the old formula prior to the amendments. Employees will receive the benefit from either the new or old formula, whichever is higher. Benefits become vested upon the completion of three years of service. Effective as of January 1, 2011, our U.S. pension plans were amended so that employees hired or rehired on or after that date and who are not covered by collective bargaining agreements will not be eligible to participate in the plans.</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Postretirement Benefits — </w:t>
      </w:r>
      <w:r>
        <w:rPr>
          <w:rFonts w:ascii="Arial" w:cs="Arial" w:eastAsia="Arial" w:hAnsi="Arial"/>
          <w:sz w:val="17"/>
          <w:szCs w:val="17"/>
          <w:color w:val="auto"/>
        </w:rPr>
        <w:t>We provide postretirement benefits, including health care and life insurance, to substantially all retired U.S.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their dependents. We established retiree medical account benefits for eligible U.S. retirees. The accounts were intended to provide reimbursement for eligible health care expenses on a tax-favored basis. Effective as of January 1, 2011, the retirement medical program was amended to eliminate the retiree medical account benefit for employees not covered by collective bargaining agreements. To preserve the benefit for employees close to retirement age, the retiree medical account will be available to employees who were at least age 50 with at least 10 years of service as of December 31, 2010, and who satisfy the other eligibility requirements for the retiree medical program. In July 2016, the retirement medical program was amended and effective as of January 1, 2017, we no longer sponsor our own medical coverage for certain Medicare-eligible retirees. In July 2017, the retirement medical program was once again amended and beginning on January 1, 2018, we no longer sponsor our own medical coverage for certain Medicare-eligible retirees covered by one of our collective bargaining agreements. In July 2018, the retirement medical program was once again amended and beginning on January 1, 2019, we no longer sponsor our own medical coverage for certain Medicare-eligible retirees covered by our remaining collective bargaining agreement. Instead, in connection with these amendments, we offer these Medicare-eligible retirees access to health care coverage through a private exchange and offer a health reimbursement account to subsidize benefits for a select group of such retirees.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fiscal year end as the measurement date for the benefit plans.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 loss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 termination benefits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Settlement charge</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settlement charge of $28 resulted from the level of lump sum distributions associated with a U.S. pension plan.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special termination benefits of $2 related to the planned closure of the manufacturing facility in Toronto, Ontario, and were included in Restructuring charges. See Note 8 for additional information.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expense (income) associated with discontinued operations was $13 in 2019, ($4) in 2018, and ($20) in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 Beginning in 2018, under the revised FASB guidance adopted in the first quarter, only the service cost component of net periodic benefit expense (income) is eligible for capitalization.</w:t>
      </w:r>
    </w:p>
    <w:p>
      <w:pPr>
        <w:sectPr>
          <w:pgSz w:w="11900" w:h="16838" w:orient="portrait"/>
          <w:cols w:equalWidth="0" w:num="1">
            <w:col w:w="11420"/>
          </w:cols>
          <w:pgMar w:left="240" w:top="1233"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33" w:right="239" w:bottom="1440" w:gutter="0" w:footer="0" w:header="0"/>
          <w:type w:val="continuous"/>
        </w:sectPr>
      </w:pPr>
    </w:p>
    <w:bookmarkStart w:id="60" w:name="page61"/>
    <w:bookmarkEnd w:id="60"/>
    <w:p>
      <w:pPr>
        <w:jc w:val="both"/>
        <w:ind w:firstLine="324"/>
        <w:spacing w:after="0" w:line="271" w:lineRule="auto"/>
        <w:rPr>
          <w:sz w:val="20"/>
          <w:szCs w:val="20"/>
          <w:color w:val="auto"/>
        </w:rPr>
      </w:pPr>
      <w:r>
        <w:rPr>
          <w:rFonts w:ascii="Arial" w:cs="Arial" w:eastAsia="Arial" w:hAnsi="Arial"/>
          <w:sz w:val="17"/>
          <w:szCs w:val="17"/>
          <w:color w:val="auto"/>
        </w:rPr>
        <w:t>Beginning in 2018, we changed the method we use to estimate the service and interest cost components of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made this change to provide a more precise measurement of service cost and interest cost by improving the correlation between projected benefit cash flows and the corresponding spot yield curve rates. This change will not affect the measurement of our benefit obligations. We accounted for this change prospectively in 2018 as a change in accounting estimate. As a result of this change, net periodic benefit income increased by approximately $17 in 2018, compared to what the net periodic benefit income would have been under the previous method.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7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Recognized net actuarial (gain) loss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prior service credit that will be amortized from Accumulated other comprehensive loss into net periodic postretirement expense during 2020 is $28. The prior service credit is primarily related to the amendments in July 2016, July 2017, and July 2018.</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 in benefit obligation: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Pension</w:t>
            </w: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Actuarial loss (gain)</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Medicare subsidies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Curtailment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235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vMerge w:val="restart"/>
          </w:tcPr>
          <w:p>
            <w:pPr>
              <w:ind w:left="140"/>
              <w:spacing w:after="0"/>
              <w:rPr>
                <w:sz w:val="20"/>
                <w:szCs w:val="20"/>
                <w:color w:val="auto"/>
              </w:rPr>
            </w:pPr>
            <w:r>
              <w:rPr>
                <w:rFonts w:ascii="Arial" w:cs="Arial" w:eastAsia="Arial" w:hAnsi="Arial"/>
                <w:sz w:val="18"/>
                <w:szCs w:val="18"/>
                <w:b w:val="1"/>
                <w:bCs w:val="1"/>
                <w:i w:val="1"/>
                <w:iCs w:val="1"/>
                <w:color w:val="auto"/>
              </w:rPr>
              <w:t>Change in the fair value of pension plan assets: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0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Foreign currency adjustment</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end of year</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2,153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14" w:right="239" w:bottom="1440" w:gutter="0" w:footer="0" w:header="0"/>
          <w:type w:val="continuous"/>
        </w:sectPr>
      </w:pPr>
    </w:p>
    <w:bookmarkStart w:id="61" w:name="page62"/>
    <w:bookmarkEnd w:id="61"/>
    <w:p>
      <w:pPr>
        <w:ind w:left="180"/>
        <w:spacing w:after="0"/>
        <w:rPr>
          <w:sz w:val="20"/>
          <w:szCs w:val="20"/>
          <w:color w:val="auto"/>
        </w:rPr>
      </w:pPr>
      <w:r>
        <w:rPr>
          <w:rFonts w:ascii="Arial" w:cs="Arial" w:eastAsia="Arial" w:hAnsi="Arial"/>
          <w:sz w:val="18"/>
          <w:szCs w:val="18"/>
          <w:b w:val="1"/>
          <w:bCs w:val="1"/>
          <w:i w:val="1"/>
          <w:iCs w:val="1"/>
          <w:color w:val="auto"/>
        </w:rPr>
        <w:t>Net amounts recognized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Pension</w:t>
            </w:r>
          </w:p>
        </w:tc>
        <w:tc>
          <w:tcPr>
            <w:tcW w:w="9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Postretirement</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Noncurrent liabilities of discontinued operations</w:t>
            </w:r>
          </w:p>
        </w:tc>
        <w:tc>
          <w:tcPr>
            <w:tcW w:w="3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amounts recognized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192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Amounts recognized in accumulated 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Pension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Postretirement</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consist of:</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0" w:type="dxa"/>
            <w:vAlign w:val="bottom"/>
            <w:tcBorders>
              <w:bottom w:val="single" w:sz="8" w:color="CCEEFF"/>
            </w:tcBorders>
          </w:tcPr>
          <w:p>
            <w:pPr>
              <w:spacing w:after="0"/>
              <w:rPr>
                <w:sz w:val="7"/>
                <w:szCs w:val="7"/>
                <w:color w:val="auto"/>
              </w:rPr>
            </w:pPr>
          </w:p>
        </w:tc>
        <w:tc>
          <w:tcPr>
            <w:tcW w:w="558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Prior service (cost) credit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 in amounts recognized in accumulated other comprehensive income (loss) associated with postretirement benefits was due to amortization in 2019.</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for pension plans with accumulated benefit obligations in excess of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1,749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for all pension plans was $2,317 at July 28, 2019, and $2,227 at July 29, 2018.</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Pension</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Postretirement</w:t>
            </w: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color w:val="auto"/>
                <w:w w:val="93"/>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b w:val="1"/>
                <w:bCs w:val="1"/>
                <w:color w:val="auto"/>
                <w:w w:val="93"/>
              </w:rPr>
              <w:t>3.28%</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4.06%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color w:val="auto"/>
                <w:w w:val="93"/>
              </w:rPr>
              <w:t>3.21%</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b w:val="1"/>
                <w:bCs w:val="1"/>
                <w:color w:val="auto"/>
                <w:w w:val="93"/>
              </w:rPr>
              <w:t>3.25%</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3.25%</w:t>
            </w:r>
          </w:p>
        </w:tc>
      </w:tr>
      <w:tr>
        <w:trPr>
          <w:trHeight w:val="324"/>
        </w:trPr>
        <w:tc>
          <w:tcPr>
            <w:tcW w:w="7360" w:type="dxa"/>
            <w:vAlign w:val="bottom"/>
            <w:gridSpan w:val="4"/>
          </w:tcPr>
          <w:p>
            <w:pPr>
              <w:ind w:left="140"/>
              <w:spacing w:after="0"/>
              <w:rPr>
                <w:sz w:val="20"/>
                <w:szCs w:val="20"/>
                <w:color w:val="auto"/>
              </w:rPr>
            </w:pPr>
            <w:r>
              <w:rPr>
                <w:rFonts w:ascii="Arial" w:cs="Arial" w:eastAsia="Arial" w:hAnsi="Arial"/>
                <w:sz w:val="18"/>
                <w:szCs w:val="18"/>
                <w:b w:val="1"/>
                <w:bCs w:val="1"/>
                <w:i w:val="1"/>
                <w:iCs w:val="1"/>
                <w:color w:val="auto"/>
                <w:w w:val="87"/>
              </w:rPr>
              <w:t>Weighted-average assumptions used to determine net periodic benefit cost for the years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5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1"/>
              </w:rPr>
              <w:t>Pension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93"/>
              </w:rPr>
              <w:t>3.74%</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3.39%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b w:val="1"/>
                <w:bCs w:val="1"/>
                <w:color w:val="auto"/>
                <w:w w:val="93"/>
              </w:rPr>
              <w:t>6.86%</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color w:val="auto"/>
                <w:w w:val="93"/>
              </w:rPr>
              <w:t>6.84%</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7.09%</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3.21%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3"/>
              </w:rPr>
              <w:t>3.24%</w:t>
            </w:r>
          </w:p>
        </w:tc>
        <w:tc>
          <w:tcPr>
            <w:tcW w:w="1880" w:type="dxa"/>
            <w:vAlign w:val="bottom"/>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3.25%</w:t>
            </w:r>
          </w:p>
        </w:tc>
      </w:tr>
      <w:tr>
        <w:trPr>
          <w:trHeight w:val="27"/>
        </w:trPr>
        <w:tc>
          <w:tcPr>
            <w:tcW w:w="5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to determine net periodic postretirement expense was 4.06% in 2019, 3.45% in 2018, and 3.20% in 2017.</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Assumed health care cost trend rates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6.75%</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8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14" w:right="239" w:bottom="1440" w:gutter="0" w:footer="0" w:header="0"/>
          <w:type w:val="continuous"/>
        </w:sectPr>
      </w:pPr>
    </w:p>
    <w:bookmarkStart w:id="62" w:name="page63"/>
    <w:bookmarkEnd w:id="62"/>
    <w:p>
      <w:pPr>
        <w:jc w:val="both"/>
        <w:ind w:right="20" w:firstLine="324"/>
        <w:spacing w:after="0" w:line="277" w:lineRule="auto"/>
        <w:rPr>
          <w:sz w:val="20"/>
          <w:szCs w:val="20"/>
          <w:color w:val="auto"/>
        </w:rPr>
      </w:pPr>
      <w:r>
        <w:rPr>
          <w:rFonts w:ascii="Arial" w:cs="Arial" w:eastAsia="Arial" w:hAnsi="Arial"/>
          <w:sz w:val="18"/>
          <w:szCs w:val="18"/>
          <w:color w:val="auto"/>
        </w:rPr>
        <w:t>A one-percentage-point increase or decrease in assumed health care costs would not significantly impact 2019 reported service and interest cost nor the 2019 accumulated benefit obligation.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year-end pension plan weighted-average asset allocations by category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 Target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46%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46%</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other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Pension plan assets are categorized based on the following fair value hierarchy:</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14"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The following table presents our pension plan assets by asset category at July 28, 2019, and July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center"/>
              <w:ind w:left="472"/>
              <w:spacing w:after="0"/>
              <w:rPr>
                <w:sz w:val="20"/>
                <w:szCs w:val="20"/>
                <w:color w:val="auto"/>
              </w:rPr>
            </w:pPr>
            <w:r>
              <w:rPr>
                <w:rFonts w:ascii="Arial" w:cs="Arial" w:eastAsia="Arial" w:hAnsi="Arial"/>
                <w:sz w:val="14"/>
                <w:szCs w:val="14"/>
                <w:b w:val="1"/>
                <w:bCs w:val="1"/>
                <w:color w:val="auto"/>
                <w:w w:val="93"/>
              </w:rPr>
              <w:t>Fair Value Measurements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left="512"/>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July 28, 2019 Using</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July 29, 2018 Using</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5"/>
              </w:rPr>
              <w:t>Fair Value Hierarchy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5"/>
              </w:rPr>
              <w:t>Fair Value Hierarchy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52"/>
              <w:spacing w:after="0" w:line="13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71"/>
              <w:spacing w:after="0" w:line="13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July 28, 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July 29,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635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Government and agency</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bonds: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9"/>
              </w:rPr>
              <w:t>Mortgage and asset backed</w:t>
            </w:r>
          </w:p>
        </w:tc>
        <w:tc>
          <w:tcPr>
            <w:tcW w:w="120" w:type="dxa"/>
            <w:vAlign w:val="bottom"/>
          </w:tcPr>
          <w:p>
            <w:pPr>
              <w:spacing w:after="0"/>
              <w:rPr>
                <w:sz w:val="19"/>
                <w:szCs w:val="19"/>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Investments measured at net</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asset value: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Commingled funds: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4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Blended</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Hedge funds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0"/>
              </w:rPr>
              <w:t>Total investments measured at</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net asset value:</w:t>
            </w: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items to reconcile to fair</w:t>
            </w:r>
          </w:p>
        </w:tc>
        <w:tc>
          <w:tcPr>
            <w:tcW w:w="1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value of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9"/>
              </w:rPr>
              <w:t>Total pension plan assets at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2,153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340"/>
              <w:spacing w:after="0"/>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Investments include cash and cash equivalents, and various short-term debt instruments and short-term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Equities — </w:t>
      </w:r>
      <w:r>
        <w:rPr>
          <w:rFonts w:ascii="Arial" w:cs="Arial" w:eastAsia="Arial" w:hAnsi="Arial"/>
          <w:sz w:val="18"/>
          <w:szCs w:val="18"/>
          <w:color w:val="auto"/>
        </w:rPr>
        <w:t>Common stocks and preferred stocks are classified as Level 1 and are valued using quoted market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Government and agency bonds — </w:t>
      </w:r>
      <w:r>
        <w:rPr>
          <w:rFonts w:ascii="Arial" w:cs="Arial" w:eastAsia="Arial" w:hAnsi="Arial"/>
          <w:sz w:val="18"/>
          <w:szCs w:val="18"/>
          <w:color w:val="auto"/>
        </w:rPr>
        <w:t>These investments are generally valued based on bid quotations and recent trade data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14" w:right="239" w:bottom="1440" w:gutter="0" w:footer="0" w:header="0"/>
          <w:type w:val="continuous"/>
        </w:sectPr>
      </w:pPr>
    </w:p>
    <w:bookmarkStart w:id="64" w:name="page65"/>
    <w:bookmarkEnd w:id="64"/>
    <w:p>
      <w:pPr>
        <w:ind w:left="34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Mortgage and asset backed securities — </w:t>
      </w:r>
      <w:r>
        <w:rPr>
          <w:rFonts w:ascii="Arial" w:cs="Arial" w:eastAsia="Arial" w:hAnsi="Arial"/>
          <w:sz w:val="16"/>
          <w:szCs w:val="16"/>
          <w:color w:val="auto"/>
        </w:rPr>
        <w:t>These investments are valued based on prices obtained from third party pricing sources. The prices from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pricing sources may be based on bid quotes from dealers and recent trade data. Mortgage backed securities are traded in the over-the-counter market.</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Real estate — </w:t>
      </w:r>
      <w:r>
        <w:rPr>
          <w:rFonts w:ascii="Arial" w:cs="Arial" w:eastAsia="Arial" w:hAnsi="Arial"/>
          <w:sz w:val="18"/>
          <w:szCs w:val="18"/>
          <w:color w:val="auto"/>
        </w:rPr>
        <w:t>Real estate investments consist of real estate investment trusts, property funds and limited partnerships. Real estate investment trusts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swaps. Derivative financial instruments are classified as Level 2 and are valued based on observable market transactions or prices.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Commingled funds — </w:t>
      </w:r>
      <w:r>
        <w:rPr>
          <w:rFonts w:ascii="Arial" w:cs="Arial" w:eastAsia="Arial" w:hAnsi="Arial"/>
          <w:sz w:val="18"/>
          <w:szCs w:val="18"/>
          <w:color w:val="auto"/>
        </w:rPr>
        <w:t>Investments in commingled funds are not traded in active markets. Blended commingled funds are invested in both equities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 income securities. Commingled funds are valued based on the net asset values of such funds and are included as a reconciling item to the fair value table.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items to reconcile to fair value of plan assets included amounts due for securities sold, amounts payable for securities purchased, and other payables.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of Level 3 investments for the years ended July 28, 2019, and July 29,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Hedge Funds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29, 2018</w:t>
            </w:r>
          </w:p>
        </w:tc>
        <w:tc>
          <w:tcPr>
            <w:tcW w:w="42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Actual return on plan assets</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Transfers out of Level 3</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at July 28, 2019</w:t>
            </w:r>
          </w:p>
        </w:tc>
        <w:tc>
          <w:tcPr>
            <w:tcW w:w="42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90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Hedge Funds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30, 2017</w:t>
            </w:r>
          </w:p>
        </w:tc>
        <w:tc>
          <w:tcPr>
            <w:tcW w:w="42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Sales</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29, 2018</w:t>
            </w:r>
          </w:p>
        </w:tc>
        <w:tc>
          <w:tcPr>
            <w:tcW w:w="42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65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9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65" w:name="page66"/>
    <w:bookmarkEnd w:id="65"/>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additional information about the pension plan assets valued using net asset value as a practical expedient within the fair value hierarchy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Frequency</w:t>
            </w:r>
          </w:p>
        </w:tc>
        <w:tc>
          <w:tcPr>
            <w:tcW w:w="120" w:type="dxa"/>
            <w:vAlign w:val="bottom"/>
            <w:vMerge w:val="restart"/>
          </w:tcPr>
          <w:p>
            <w:pPr>
              <w:spacing w:after="0"/>
              <w:rPr>
                <w:sz w:val="12"/>
                <w:szCs w:val="12"/>
                <w:color w:val="auto"/>
              </w:rPr>
            </w:pPr>
          </w:p>
        </w:tc>
        <w:tc>
          <w:tcPr>
            <w:tcW w:w="168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2"/>
              </w:rPr>
              <w:t>Redemption Notice Period</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93"/>
              </w:rPr>
              <w:t>1 Day</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Daily, Monthly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60 Days</w:t>
            </w:r>
          </w:p>
        </w:tc>
        <w:tc>
          <w:tcPr>
            <w:tcW w:w="0" w:type="dxa"/>
            <w:vAlign w:val="bottom"/>
          </w:tcPr>
          <w:p>
            <w:pPr>
              <w:spacing w:after="0"/>
              <w:rPr>
                <w:sz w:val="1"/>
                <w:szCs w:val="1"/>
                <w:color w:val="auto"/>
              </w:rPr>
            </w:pP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440" w:type="dxa"/>
            <w:vAlign w:val="bottom"/>
          </w:tcPr>
          <w:p>
            <w:pPr>
              <w:spacing w:after="0"/>
              <w:rPr>
                <w:sz w:val="21"/>
                <w:szCs w:val="21"/>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8"/>
                <w:szCs w:val="18"/>
                <w:color w:val="auto"/>
                <w:w w:val="93"/>
              </w:rPr>
              <w:t>1 Day</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Blended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Primarily Daily</w:t>
            </w: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 Days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Real estate funds</w:t>
            </w:r>
          </w:p>
        </w:tc>
        <w:tc>
          <w:tcPr>
            <w:tcW w:w="1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Quarterly</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ind w:left="100"/>
              <w:spacing w:after="0"/>
              <w:rPr>
                <w:sz w:val="20"/>
                <w:szCs w:val="20"/>
                <w:color w:val="auto"/>
              </w:rPr>
            </w:pPr>
            <w:r>
              <w:rPr>
                <w:rFonts w:ascii="Arial" w:cs="Arial" w:eastAsia="Arial" w:hAnsi="Arial"/>
                <w:sz w:val="18"/>
                <w:szCs w:val="18"/>
                <w:color w:val="auto"/>
              </w:rPr>
              <w:t>to</w:t>
            </w:r>
          </w:p>
        </w:tc>
        <w:tc>
          <w:tcPr>
            <w:tcW w:w="940" w:type="dxa"/>
            <w:vAlign w:val="bottom"/>
          </w:tcPr>
          <w:p>
            <w:pPr>
              <w:ind w:left="60"/>
              <w:spacing w:after="0"/>
              <w:rPr>
                <w:sz w:val="20"/>
                <w:szCs w:val="20"/>
                <w:color w:val="auto"/>
              </w:rPr>
            </w:pPr>
            <w:r>
              <w:rPr>
                <w:rFonts w:ascii="Arial" w:cs="Arial" w:eastAsia="Arial" w:hAnsi="Arial"/>
                <w:sz w:val="18"/>
                <w:szCs w:val="18"/>
                <w:color w:val="auto"/>
              </w:rPr>
              <w:t>90 Days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Monthly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380"/>
              <w:spacing w:after="0"/>
              <w:rPr>
                <w:sz w:val="20"/>
                <w:szCs w:val="20"/>
                <w:color w:val="auto"/>
              </w:rPr>
            </w:pPr>
            <w:r>
              <w:rPr>
                <w:rFonts w:ascii="Arial" w:cs="Arial" w:eastAsia="Arial" w:hAnsi="Arial"/>
                <w:sz w:val="18"/>
                <w:szCs w:val="18"/>
                <w:color w:val="auto"/>
              </w:rPr>
              <w:t>There were no unfunded commitments in 2019 or 2018.</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contributions are expected to be made to U.S. pension plans in 2020. We do not expect contributions to non-U.S. pension plans to be material in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future benefit payments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Postretirement</w:t>
            </w:r>
          </w:p>
        </w:tc>
      </w:tr>
      <w:tr>
        <w:trPr>
          <w:trHeight w:val="250"/>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2025-2029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78</w:t>
            </w:r>
          </w:p>
        </w:tc>
      </w:tr>
      <w:tr>
        <w:trPr>
          <w:trHeight w:val="324"/>
        </w:trPr>
        <w:tc>
          <w:tcPr>
            <w:tcW w:w="8260" w:type="dxa"/>
            <w:vAlign w:val="bottom"/>
          </w:tcPr>
          <w:p>
            <w:pPr>
              <w:ind w:left="340"/>
              <w:spacing w:after="0"/>
              <w:rPr>
                <w:sz w:val="20"/>
                <w:szCs w:val="20"/>
                <w:color w:val="auto"/>
              </w:rPr>
            </w:pPr>
            <w:r>
              <w:rPr>
                <w:rFonts w:ascii="Arial" w:cs="Arial" w:eastAsia="Arial" w:hAnsi="Arial"/>
                <w:sz w:val="18"/>
                <w:szCs w:val="18"/>
                <w:color w:val="auto"/>
              </w:rPr>
              <w:t>The estimated future benefit payments include payments from funded and unfunded plans.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Defined Contribution Plans — </w:t>
      </w:r>
      <w:r>
        <w:rPr>
          <w:rFonts w:ascii="Arial" w:cs="Arial" w:eastAsia="Arial" w:hAnsi="Arial"/>
          <w:sz w:val="16"/>
          <w:szCs w:val="16"/>
          <w:color w:val="auto"/>
        </w:rPr>
        <w:t>All Snyder’s-Lance U.S. employees are eligible to participate in a 401(k) Retirement Plan that provides participants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matching contributions equal to 100% of the first 4% of qualified wages and 50% of the next 1% of qualified wages. For substantially all U.S. employees except Snyder's-Lance employees, effective January 1, 2011, we provide a matching contribution of 100% of employee contributions up to 4% of compensation for employees who are not covered by collective bargaining agreements. Employees hired or rehired on or after January 1, 2011, who will not be eligible to participate in the defined benefit plans and who are not covered by collective bargaining agreements receive a contribution equal to 3% of compensation regardless of their participation in the 401(k) Retirement Plan. Amounts charged to Costs and expenses of continuing operations were $52 in 2019, $42 in 2018 and $31 in 2017. Amounts charged to Costs and expenses of discontinued operations were $4 in 2019, $3 in 2018 and $3 in 2017.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14" w:right="239" w:bottom="1440" w:gutter="0" w:footer="0" w:header="0"/>
        </w:sectPr>
      </w:pPr>
    </w:p>
    <w:bookmarkStart w:id="66" w:name="page67"/>
    <w:bookmarkEnd w:id="66"/>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on earnings from continuing operations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Currently payable: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4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21"/>
                <w:szCs w:val="21"/>
                <w:color w:val="auto"/>
              </w:rPr>
            </w:pPr>
          </w:p>
        </w:tc>
      </w:tr>
      <w:tr>
        <w:trPr>
          <w:trHeight w:val="27"/>
        </w:trPr>
        <w:tc>
          <w:tcPr>
            <w:tcW w:w="7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effective income tax rate on continuing operations to the U.S. federal statutory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gridSpan w:val="2"/>
          </w:tcPr>
          <w:p>
            <w:pPr>
              <w:ind w:left="7380"/>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international items</w:t>
            </w:r>
          </w:p>
        </w:tc>
        <w:tc>
          <w:tcPr>
            <w:tcW w:w="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Federal manufacturing deduction</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Tax Reform - impact on U.S. deferred tax assets and liabilities</w:t>
            </w:r>
            <w:r>
              <w:rPr>
                <w:rFonts w:ascii="Arial" w:cs="Arial" w:eastAsia="Arial" w:hAnsi="Arial"/>
                <w:sz w:val="25"/>
                <w:szCs w:val="25"/>
                <w:color w:val="auto"/>
                <w:vertAlign w:val="superscript"/>
              </w:rPr>
              <w:t>(1)</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Tax Reform - transition tax</w:t>
            </w:r>
            <w:r>
              <w:rPr>
                <w:rFonts w:ascii="Arial" w:cs="Arial" w:eastAsia="Arial" w:hAnsi="Arial"/>
                <w:sz w:val="25"/>
                <w:szCs w:val="25"/>
                <w:color w:val="auto"/>
                <w:vertAlign w:val="superscript"/>
              </w:rPr>
              <w:t>(1)</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3"/>
                <w:szCs w:val="23"/>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higher U.S. federal statutory tax rate</w:t>
            </w:r>
            <w:r>
              <w:rPr>
                <w:rFonts w:ascii="Arial" w:cs="Arial" w:eastAsia="Arial" w:hAnsi="Arial"/>
                <w:sz w:val="25"/>
                <w:szCs w:val="25"/>
                <w:color w:val="auto"/>
                <w:vertAlign w:val="superscript"/>
              </w:rPr>
              <w:t>(1)</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Foreign exchange losses</w:t>
            </w:r>
            <w:r>
              <w:rPr>
                <w:rFonts w:ascii="Arial" w:cs="Arial" w:eastAsia="Arial" w:hAnsi="Arial"/>
                <w:sz w:val="25"/>
                <w:szCs w:val="25"/>
                <w:color w:val="auto"/>
                <w:vertAlign w:val="superscript"/>
              </w:rPr>
              <w:t>(2)</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Divestiture impact on deferred taxes</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(0.5)</w:t>
            </w:r>
          </w:p>
        </w:tc>
        <w:tc>
          <w:tcPr>
            <w:tcW w:w="1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24.2 %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The Tax Cuts and Jobs Act of 2017 (the Act) was enacted into law on December 22, 2017, and made significant changes to corporate taxation. Changes under the Act included:</w:t>
      </w:r>
    </w:p>
    <w:p>
      <w:pPr>
        <w:spacing w:after="0" w:line="41" w:lineRule="exact"/>
        <w:rPr>
          <w:rFonts w:ascii="Arial" w:cs="Arial" w:eastAsia="Arial" w:hAnsi="Arial"/>
          <w:sz w:val="25"/>
          <w:szCs w:val="25"/>
          <w:color w:val="auto"/>
          <w:vertAlign w:val="superscript"/>
        </w:rPr>
      </w:pPr>
    </w:p>
    <w:p>
      <w:pPr>
        <w:jc w:val="both"/>
        <w:ind w:left="660" w:hanging="328"/>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Reducing the federal corporate tax rate from 35% to 21% effective January 1, 2018. A blended rate applied for fiscal 2018 non-calendar year end companies for the fiscal periods that included the effective date of the rate change. The impact of this is shown as "Effect of higher U.S. federal statutory tax rate;"</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Repealing the exception for deductibility of performance-based compensation to covered employees, which impacted us beginning in 2019, along with expanding the number of covered employees;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Transitioning to a territorial system for taxation on foreign earnings along with the imposition of a transition tax in 2018 on the deemed repatriation of unremitted foreign earnings;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Immediate expensing of machinery and equipment placed into service after September 27,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Eliminating the deduction for domestic manufacturing activities, which impacted us beginning in 2019;</w:t>
      </w:r>
    </w:p>
    <w:p>
      <w:pPr>
        <w:sectPr>
          <w:pgSz w:w="11900" w:h="16838" w:orient="portrait"/>
          <w:cols w:equalWidth="0" w:num="1">
            <w:col w:w="11420"/>
          </w:cols>
          <w:pgMar w:left="240" w:top="131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310" w:right="239" w:bottom="1440" w:gutter="0" w:footer="0" w:header="0"/>
          <w:type w:val="continuous"/>
        </w:sectPr>
      </w:pPr>
    </w:p>
    <w:bookmarkStart w:id="67" w:name="page68"/>
    <w:bookmarkEnd w:id="67"/>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to the taxation of multinational companies, including a new minimum tax on Global Intangible Low-Taxed Income, a new Base Erosion Anti-Abuse Tax, and a new U.S. corporate deduction for Foreign-Derived Intangible Income, all of which were effective for us beginning in 2019;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Limiting the deductibility of interest expense to 30% of adjusted taxable income, which was effective for us beginning in 2019.</w:t>
      </w:r>
    </w:p>
    <w:p>
      <w:pPr>
        <w:spacing w:after="0" w:line="14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As a result of the Act, we recognized a benefit of $179 in 2018 on the remeasurement of deferred tax assets and liabilities and expenses of $2 in 2019 and $53 in 2018 on the transition tax on unremitted foreign earnings.</w:t>
      </w:r>
    </w:p>
    <w:p>
      <w:pPr>
        <w:spacing w:after="0" w:line="89" w:lineRule="exact"/>
        <w:rPr>
          <w:sz w:val="20"/>
          <w:szCs w:val="20"/>
          <w:color w:val="auto"/>
        </w:rPr>
      </w:pPr>
    </w:p>
    <w:p>
      <w:pPr>
        <w:ind w:left="340" w:right="20" w:hanging="332"/>
        <w:spacing w:after="0" w:line="216"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The 2017 rate was favorably impacted by a $52 benefit primarily related to the sale of intercompany notes receivable to a financial institution, which resulted in the recognition of foreign exchange losses.</w:t>
      </w:r>
    </w:p>
    <w:p>
      <w:pPr>
        <w:spacing w:after="0" w:line="149"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Deferred tax liabilities and assets of continuing operations and discontinued operations are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868</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1,229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1,245</w:t>
            </w:r>
          </w:p>
        </w:tc>
      </w:tr>
      <w:tr>
        <w:trPr>
          <w:trHeight w:val="27"/>
        </w:trPr>
        <w:tc>
          <w:tcPr>
            <w:tcW w:w="8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and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Pension benefits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Capital loss carryforwards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Outside basis difference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w:t>
            </w:r>
          </w:p>
        </w:tc>
      </w:tr>
      <w:tr>
        <w:trPr>
          <w:trHeight w:val="27"/>
        </w:trPr>
        <w:tc>
          <w:tcPr>
            <w:tcW w:w="8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deferred tax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Deferred tax asset valuation allowance</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8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assets, net of valuation allowance</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w:t>
            </w:r>
          </w:p>
        </w:tc>
      </w:tr>
      <w:tr>
        <w:trPr>
          <w:trHeight w:val="27"/>
        </w:trPr>
        <w:tc>
          <w:tcPr>
            <w:tcW w:w="8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At July 28, 2019, our U.S. and non-U.S. subsidiaries had tax loss carryforwards of approximately $438. Of these carryforwards, $48 may be carried forward indefinitely, and $390 expire between 2020 and 2037, with the majority expiring after 2028. At July 28, 2019, deferred tax asset valuation allowances have been established to offset $165 of these tax loss carryforwards. Additionally, as of July 28, 2019, our U.S. and non-U.S. subsidiaries had capital loss carryforwards of approximately $1,096, of which $1,060 were offset by valuation allowances. We may use a portion of our capital losses to offset the capital gain anticipated from the pending sale of the Arnott's and international operations, which could result in a U.S. valuation allowance release and recognition of a material income tax benefit in 2020. The sale of the Arnott's and international operations, which has not been finalized, is expected to be completed in the first half of 2020. After considering all available evidence, we concluded that we should maintain a valuation allowance as of July 28, 2019.</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net change in the deferred tax asset valuation allowance in 2019 was an increase of $294. The increase was primarily due to the sale of Bolthouse Farms and the pending sale of the Arnott's and international operations. The net change in the deferred tax asset valuation allowance in 2018 was an increase of $13. The increase was primarily due to the acquisition of Snyder's-Lance and the impact of currency. The net change in the deferred tax asset valuation allowance in 2017 was an increase of $2. The increase was primarily due to the impact of currency and the recognition of additional valuation allowances on tax loss carryforwards, partially offset by the expiration of tax losses.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July 28, 2019, other deferred tax assets included $13 of state tax credit carryforwards related to various states that expire between 2021 and 2031. As of July 28, 2019, deferred tax asset valuation allowances have been established to offset $13 of the state credit carryforwards. The decrease in state tax credit carryforwards was primarily due to the utilization of credits and the sale of Bolthouse Farms. As of July 29, 2018, other deferred tax assets included $23 of state tax credit carryforwards related to various states that expire between 2021 and 2031. As of July 29, 2018, deferred tax asset valuation allowances have been established to offset $15 of the state credit carryforwards.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28, 2019, we had approximately $156 of undistributed earnings of subsidiaries, most of which were subject to U.S. tax under the transition tax on foreign earnings due under the Act. Consistent with prior years, these unremitted earnings and the investment in our foreign subsidiaries are deemed to be permanently reinvested and no additional tax has been provided. It is not practical to estimate the tax liability that might be incurred if such earnings were remitted to the U.S.</w:t>
      </w:r>
    </w:p>
    <w:p>
      <w:pPr>
        <w:sectPr>
          <w:pgSz w:w="11900" w:h="16838" w:orient="portrait"/>
          <w:cols w:equalWidth="0" w:num="1">
            <w:col w:w="11420"/>
          </w:cols>
          <w:pgMar w:left="240" w:top="1287"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87" w:right="239" w:bottom="1440" w:gutter="0" w:footer="0" w:header="0"/>
          <w:type w:val="continuous"/>
        </w:sectPr>
      </w:pPr>
    </w:p>
    <w:bookmarkStart w:id="68" w:name="page69"/>
    <w:bookmarkEnd w:id="68"/>
    <w:p>
      <w:pPr>
        <w:ind w:left="340"/>
        <w:spacing w:after="0"/>
        <w:rPr>
          <w:sz w:val="20"/>
          <w:szCs w:val="20"/>
          <w:color w:val="auto"/>
        </w:rPr>
      </w:pPr>
      <w:r>
        <w:rPr>
          <w:rFonts w:ascii="Arial" w:cs="Arial" w:eastAsia="Arial" w:hAnsi="Arial"/>
          <w:sz w:val="18"/>
          <w:szCs w:val="18"/>
          <w:color w:val="auto"/>
        </w:rPr>
        <w:t>A reconciliation of the activity related to unrecognized tax benefits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prior-year tax positions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current-year tax positions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due to acquisitions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r>
      <w:tr>
        <w:trPr>
          <w:trHeight w:val="27"/>
        </w:trPr>
        <w:tc>
          <w:tcPr>
            <w:tcW w:w="7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amount of unrecognized tax benefits that, if recognized, would impact the annual effective tax rate was $17 as of July 28, 2019, $23 as of July 29, 2018, and $19 as of July 30, 2017. The total amount of unrecognized tax benefits can change due to audit settlements, tax examination activities, statute expirations and the recognition and measurement criteria under accounting for uncertainty in income taxes.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accounting policy with respect to interest and penalties attributable to income taxes is to reflect any expense or benefit as a component of our income tax provision. The total amount of interest and penalties recognized in the Consolidated Statements of Earnings were earnings of $1 in 2019, and expense of $1 in 2018 and $4 in 2017. The total amount of interest and penalties recognized in the Consolidated Balance Sheets in Other liabilities was $4 as of July 28, 2019, and $5 as of July 29, 2018.</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business internationally and, as a result, file income tax returns in the U.S. federal jurisdiction and various state and non-U.S. jurisdictions. In the normal course of business, we are subject to examination by taxing authorities throughout the world, including such major jurisdictions as the U.S., Australia, Canada and Denmark. The 2019 tax year is currently under audit by the Internal Revenue Service. In addition, several state income tax examinations are in progress for the years 2006 to 2017.</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limited exceptions, we have been audited for income tax purposes in Australia through 2014, in Denmark through 2015, and in Canada through 2014.</w:t>
      </w:r>
    </w:p>
    <w:p>
      <w:pPr>
        <w:spacing w:after="0" w:line="112" w:lineRule="exact"/>
        <w:rPr>
          <w:sz w:val="20"/>
          <w:szCs w:val="20"/>
          <w:color w:val="auto"/>
        </w:rPr>
      </w:pPr>
    </w:p>
    <w:p>
      <w:pPr>
        <w:jc w:val="both"/>
        <w:ind w:left="340" w:right="7640" w:hanging="332"/>
        <w:spacing w:after="0" w:line="534" w:lineRule="auto"/>
        <w:tabs>
          <w:tab w:leader="none" w:pos="34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Canadian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Build-to-suit lease commitment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0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borrowings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28, 2019, the weighted-average interest rate of commercial paper, which consisted of U.S. borrowings, was 2.97%. As of July 29, 2018, the weighted-average interest rate of commercial paper, which consisted of U.S. borrowings, was 2.54%.</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July 28, 2019, we had $1,371 of short-term borrowings of continuing operations due within one year, of which $853 was comprised of commercial paper borrowings. In addition, as of July 28, 2019, we had short-term borrowings of $232 reflected in Current liabilities of discontinued operations. As of July 28, 2019, we issued $46 of standby letters of credit. We have a committed revolving credit facility totaling $1,850 that matures in December 2021. This U.S. facility remained unused at July 28, 2019, except for $1 of standby letters of credit that we issued under it. The U.S. facility supports our commercial paper programs and other general corporate purposes.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29, 2018, we had short-term borrowings of $371 reflected in Current liabilities of discontinued operations.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14" w:right="239" w:bottom="1440" w:gutter="0" w:footer="0" w:header="0"/>
          <w:type w:val="continuous"/>
        </w:sectPr>
      </w:pPr>
    </w:p>
    <w:bookmarkStart w:id="69" w:name="page70"/>
    <w:bookmarkEnd w:id="69"/>
    <w:p>
      <w:pPr>
        <w:ind w:left="340"/>
        <w:spacing w:after="0"/>
        <w:rPr>
          <w:sz w:val="20"/>
          <w:szCs w:val="20"/>
          <w:color w:val="auto"/>
        </w:rPr>
      </w:pPr>
      <w:r>
        <w:rPr>
          <w:rFonts w:ascii="Arial" w:cs="Arial" w:eastAsia="Arial" w:hAnsi="Arial"/>
          <w:sz w:val="18"/>
          <w:szCs w:val="18"/>
          <w:color w:val="auto"/>
        </w:rPr>
        <w:t>Long-term debt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of</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Maturity</w:t>
            </w:r>
          </w:p>
        </w:tc>
        <w:tc>
          <w:tcPr>
            <w:tcW w:w="20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Canadian credit facility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Term Loan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Debentures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2043</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7,603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long-term debt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7,103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7"/>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3" w:lineRule="exact"/>
        <w:rPr>
          <w:sz w:val="20"/>
          <w:szCs w:val="20"/>
          <w:color w:val="auto"/>
        </w:rPr>
      </w:pPr>
    </w:p>
    <w:p>
      <w:pPr>
        <w:jc w:val="both"/>
        <w:ind w:left="60" w:firstLine="324"/>
        <w:spacing w:after="0" w:line="284" w:lineRule="auto"/>
        <w:rPr>
          <w:sz w:val="20"/>
          <w:szCs w:val="20"/>
          <w:color w:val="auto"/>
        </w:rPr>
      </w:pPr>
      <w:r>
        <w:rPr>
          <w:rFonts w:ascii="Arial" w:cs="Arial" w:eastAsia="Arial" w:hAnsi="Arial"/>
          <w:sz w:val="16"/>
          <w:szCs w:val="16"/>
          <w:color w:val="auto"/>
        </w:rPr>
        <w:t>We issued $5,300 senior notes on March 16, 2018, and borrowed $900 under a single draw 3-year senior unsecured term loan facility on March 26, 2018 to finance the acquisition of Snyder's-Lance. The interest rate on the $900 senior unsecured term loan facility resets in one, two, three, or six-month periods dependent upon our election. Interest on the senior unsecured term loan facility is due upon the earlier of an interest reset or quarterly. The senior unsecured term loan facility may be prepaid at par at any time. The senior unsecured term loan facility contains a financial covenant based on our maximum leverage ratio. Pursuant to this covenant, if our credit rating is less than BBB+ from Standard &amp; Poor's and Baa1 from Moody's Investors Service, Inc and the amount borrowed under the facility is in excess of $500, we must maintain a leverage ratio below (i) for the last day of each quarter ending on or prior to April 30, 2020, 5.75:1.00, and (ii) thereafter, 5.25:1.00. Our leverage ratio is calculated based on the ratio of consolidated net debt to consolidated adjusted EBITDA, each as defined in the credit agreement for the senior unsecured term loan facility. In addition, the senior unsecured term loan facility contains other customary covenants and events of default for credit facilities of this type. During the fourth quarter of 2019, we prepaid $401 of the senior unsecured term loan facility. As a result of such prepayment, the maximum leverage ratio covenant in the senior unsecured term loan facility no longer applies. Interest on the 2-year floating rate senior notes is due quarterly on March 16, June 16, September 16, and December 16, commencing on June 16, 2018. Interest on the 3-year floating rate senior notes is due quarterly on March 15, June 15, September 15, and December 15, commencing on June 15, 2018. Interest on the fixed rate senior notes is due semi-annually on March 15 and September 15, commencing on September 15, 2018. The fixed rate senior notes may be redeemed, in whole or in part, at our option at any time at the applicable redemption price. If change of control triggering events occur, we will be required to offer to purchase the senior notes at a purchase price equal to 101% of the principal amount plus accrued and unpaid interest, if any, to the purchase date.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Principal amounts of long-term debt of continuing operations mature as follows: $2,250 in 2021; $2 in 2022; $1,651 in 2023; $1 in 2024; and a total of $3,254 in periods thereafter.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we have long-term debt of $6 and $7 in 2019 and 2018, respectively, reflected in Noncurrent liabilities of discontinued operations.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3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14.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July 28, 2019, or July 29, 2018.</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also exposed to credit risk from our customers. During 2019, our largest customer accounted for approximately 20% of consolidated net sales from continuing operations. Our five largest customers accounted for approximately 43% of our consolidated net sales from continuing operations in 2019.</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$146 at July 28, 2019, and $104 at July 29, 2018. Of these amounts, $80 at July 28, 2019, and $92 at July 29, 2018 relate to discontinued operations.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$177 and $140 at July 28, 2019, and July 29, 2018, respectively. Of these amounts, $3 at July 28, 2019 and July 29, 2018, relate to discontinued operations. There were no cross-currency swap contracts outstanding as of July 28, 2019, or July 29,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There were no forward starting interest rate swaps or treasury rate lock contracts outstanding as of July 28, 2019, or July 29,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soybean oil, wheat, diesel fuel, aluminum, natural gas, soybean meal, corn, cocoa,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July 28, 2019, or July 29, 2018. The notional amount of commodity contracts not designated as accounting hedges was $183 at July 28, 2019, and $118 at July 29, 2018. Of these amounts, $3 at July 28, 2019, and $2 at July 29, 2018, relate to discontinued operations.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10" w:right="239" w:bottom="1440" w:gutter="0" w:footer="0" w:header="0"/>
        </w:sectPr>
      </w:pPr>
    </w:p>
    <w:bookmarkStart w:id="71" w:name="page72"/>
    <w:bookmarkEnd w:id="71"/>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$27 as of July 28, 2019, and $33 as of July 29, 2018. The fair value was not material as of July 28, 2019, and July 29, 2018.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July 28, 2019, and July 29, 2018, were $31 and $41, respectively.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July 28, 2019, and July 29,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460" w:type="dxa"/>
            <w:vAlign w:val="bottom"/>
            <w:gridSpan w:val="2"/>
          </w:tcPr>
          <w:p>
            <w:pPr>
              <w:ind w:left="1320"/>
              <w:spacing w:after="0"/>
              <w:rPr>
                <w:sz w:val="20"/>
                <w:szCs w:val="20"/>
                <w:color w:val="auto"/>
              </w:rPr>
            </w:pPr>
            <w:r>
              <w:rPr>
                <w:rFonts w:ascii="Arial" w:cs="Arial" w:eastAsia="Arial" w:hAnsi="Arial"/>
                <w:sz w:val="14"/>
                <w:szCs w:val="14"/>
                <w:b w:val="1"/>
                <w:bCs w:val="1"/>
                <w:color w:val="auto"/>
              </w:rPr>
              <w:t>Balance Sheet Classification</w:t>
            </w:r>
          </w:p>
        </w:tc>
        <w:tc>
          <w:tcPr>
            <w:tcW w:w="34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4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4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4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4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4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2"/>
        </w:trPr>
        <w:tc>
          <w:tcPr>
            <w:tcW w:w="4120" w:type="dxa"/>
            <w:vAlign w:val="bottom"/>
          </w:tcPr>
          <w:p>
            <w:pPr>
              <w:spacing w:after="0"/>
              <w:rPr>
                <w:sz w:val="24"/>
                <w:szCs w:val="24"/>
                <w:color w:val="auto"/>
              </w:rPr>
            </w:pPr>
          </w:p>
        </w:tc>
        <w:tc>
          <w:tcPr>
            <w:tcW w:w="4460" w:type="dxa"/>
            <w:vAlign w:val="bottom"/>
            <w:gridSpan w:val="2"/>
          </w:tcPr>
          <w:p>
            <w:pPr>
              <w:ind w:left="1320"/>
              <w:spacing w:after="0"/>
              <w:rPr>
                <w:sz w:val="20"/>
                <w:szCs w:val="20"/>
                <w:color w:val="auto"/>
              </w:rPr>
            </w:pPr>
            <w:r>
              <w:rPr>
                <w:rFonts w:ascii="Arial" w:cs="Arial" w:eastAsia="Arial" w:hAnsi="Arial"/>
                <w:sz w:val="14"/>
                <w:szCs w:val="14"/>
                <w:b w:val="1"/>
                <w:bCs w:val="1"/>
                <w:color w:val="auto"/>
              </w:rPr>
              <w:t>Balance Sheet Classification</w:t>
            </w:r>
          </w:p>
        </w:tc>
        <w:tc>
          <w:tcPr>
            <w:tcW w:w="34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4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4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4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1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4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28, 2019, and July 29, 2018, would be adjusted as detailed in the following table: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14" w:right="239" w:bottom="1440" w:gutter="0" w:footer="0" w:header="0"/>
        </w:sectPr>
      </w:pPr>
    </w:p>
    <w:bookmarkStart w:id="72" w:name="page73"/>
    <w:bookmarkEnd w:id="7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At July 28, 2019, and July 29, 2018, a cash margin account balance of $7 and $2, respectively, was included in Other current assets in the Consolidated Balance Sheets.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show the effect of our derivative instruments designated as cash-flow hedges for the years ended July 28, 2019, July 29,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30, 2017 in other comprehensive income (loss) (OCI) and the Consolidated Statements of Earnings:</w:t>
      </w:r>
    </w:p>
    <w:p>
      <w:pPr>
        <w:spacing w:after="0" w:line="229"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13335</wp:posOffset>
            </wp:positionV>
            <wp:extent cx="2092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6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480" w:type="dxa"/>
            <w:vAlign w:val="bottom"/>
          </w:tcPr>
          <w:p>
            <w:pPr>
              <w:jc w:val="center"/>
              <w:ind w:right="2472"/>
              <w:spacing w:after="0"/>
              <w:rPr>
                <w:sz w:val="20"/>
                <w:szCs w:val="20"/>
                <w:color w:val="auto"/>
              </w:rPr>
            </w:pPr>
            <w:r>
              <w:rPr>
                <w:rFonts w:ascii="Arial" w:cs="Arial" w:eastAsia="Arial" w:hAnsi="Arial"/>
                <w:sz w:val="18"/>
                <w:szCs w:val="18"/>
                <w:color w:val="auto"/>
                <w:w w:val="89"/>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shd w:val="clear" w:color="auto" w:fill="CCEEFF"/>
          </w:tcPr>
          <w:p>
            <w:pPr>
              <w:spacing w:after="0"/>
              <w:rPr>
                <w:sz w:val="21"/>
                <w:szCs w:val="21"/>
                <w:color w:val="auto"/>
              </w:rPr>
            </w:pPr>
          </w:p>
        </w:tc>
        <w:tc>
          <w:tcPr>
            <w:tcW w:w="2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Borders>
              <w:top w:val="single" w:sz="8" w:color="CCEEFF"/>
            </w:tcBorders>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0" w:type="dxa"/>
            <w:vAlign w:val="bottom"/>
            <w:tcBorders>
              <w:top w:val="single" w:sz="8" w:color="CCEEFF"/>
            </w:tcBorders>
          </w:tcPr>
          <w:p>
            <w:pPr>
              <w:spacing w:after="0"/>
              <w:rPr>
                <w:sz w:val="21"/>
                <w:szCs w:val="21"/>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Cost of products sold</w:t>
            </w:r>
          </w:p>
        </w:tc>
        <w:tc>
          <w:tcPr>
            <w:tcW w:w="1220" w:type="dxa"/>
            <w:vAlign w:val="bottom"/>
            <w:tcBorders>
              <w:top w:val="single" w:sz="8" w:color="CCEEFF"/>
            </w:tcBorders>
            <w:gridSpan w:val="2"/>
          </w:tcPr>
          <w:p>
            <w:pPr>
              <w:spacing w:after="0"/>
              <w:rPr>
                <w:sz w:val="21"/>
                <w:szCs w:val="2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480" w:type="dxa"/>
            <w:vAlign w:val="bottom"/>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860" w:type="dxa"/>
            <w:vAlign w:val="bottom"/>
            <w:gridSpan w:val="4"/>
          </w:tcPr>
          <w:p>
            <w:pPr>
              <w:ind w:left="20"/>
              <w:spacing w:after="0"/>
              <w:rPr>
                <w:sz w:val="20"/>
                <w:szCs w:val="20"/>
                <w:color w:val="auto"/>
              </w:rPr>
            </w:pPr>
            <w:r>
              <w:rPr>
                <w:rFonts w:ascii="Arial" w:cs="Arial" w:eastAsia="Arial" w:hAnsi="Arial"/>
                <w:sz w:val="18"/>
                <w:szCs w:val="18"/>
                <w:color w:val="auto"/>
              </w:rPr>
              <w:t>Loss from discontinued</w:t>
            </w: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p>
        </w:tc>
        <w:tc>
          <w:tcPr>
            <w:tcW w:w="2860" w:type="dxa"/>
            <w:vAlign w:val="bottom"/>
            <w:gridSpan w:val="4"/>
          </w:tcPr>
          <w:p>
            <w:pPr>
              <w:ind w:left="20"/>
              <w:spacing w:after="0"/>
              <w:rPr>
                <w:sz w:val="20"/>
                <w:szCs w:val="20"/>
                <w:color w:val="auto"/>
              </w:rPr>
            </w:pPr>
            <w:r>
              <w:rPr>
                <w:rFonts w:ascii="Arial" w:cs="Arial" w:eastAsia="Arial" w:hAnsi="Arial"/>
                <w:sz w:val="18"/>
                <w:szCs w:val="18"/>
                <w:color w:val="auto"/>
              </w:rPr>
              <w:t>operations</w:t>
            </w: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jc w:val="center"/>
              <w:ind w:right="2472"/>
              <w:spacing w:after="0"/>
              <w:rPr>
                <w:sz w:val="20"/>
                <w:szCs w:val="20"/>
                <w:color w:val="auto"/>
              </w:rPr>
            </w:pPr>
            <w:r>
              <w:rPr>
                <w:rFonts w:ascii="Arial" w:cs="Arial" w:eastAsia="Arial" w:hAnsi="Arial"/>
                <w:sz w:val="18"/>
                <w:szCs w:val="18"/>
                <w:color w:val="auto"/>
                <w:w w:val="89"/>
              </w:rPr>
              <w:t>Forward starting interest rate swaps</w:t>
            </w:r>
          </w:p>
        </w:tc>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480" w:type="dxa"/>
            <w:vAlign w:val="bottom"/>
          </w:tcPr>
          <w:p>
            <w:pPr>
              <w:jc w:val="center"/>
              <w:ind w:right="2412"/>
              <w:spacing w:after="0"/>
              <w:rPr>
                <w:sz w:val="20"/>
                <w:szCs w:val="20"/>
                <w:color w:val="auto"/>
              </w:rPr>
            </w:pPr>
            <w:r>
              <w:rPr>
                <w:rFonts w:ascii="Arial" w:cs="Arial" w:eastAsia="Arial" w:hAnsi="Arial"/>
                <w:sz w:val="18"/>
                <w:szCs w:val="18"/>
                <w:color w:val="auto"/>
                <w:w w:val="91"/>
              </w:rPr>
              <w:t>OCI derivative gain (loss) at end of year</w:t>
            </w:r>
          </w:p>
        </w:tc>
        <w:tc>
          <w:tcPr>
            <w:tcW w:w="2620" w:type="dxa"/>
            <w:vAlign w:val="bottom"/>
            <w:gridSpan w:val="3"/>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$3.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92"/>
              </w:rPr>
              <w:t>Amount of (Gain) Loss Recognized in Earnings on</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2"/>
                <w:szCs w:val="12"/>
                <w:color w:val="auto"/>
              </w:rPr>
            </w:pPr>
          </w:p>
        </w:tc>
        <w:tc>
          <w:tcPr>
            <w:tcW w:w="3320" w:type="dxa"/>
            <w:vAlign w:val="bottom"/>
            <w:gridSpan w:val="2"/>
          </w:tcPr>
          <w:p>
            <w:pPr>
              <w:ind w:left="88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20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rate lock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40" w:right="2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VIE. We have determined that we are the primary beneficiary. Therefore, we consolidate Acre and account for the third party ownership as a noncontrolling interest. Through July 28, 2019, we funded $83 of the capital commitment. On August 29, 2018, 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$76 and $77 as of July 28, 2019, and July 29, 2018,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July 28, 2019, or July 29, 2018.</w:t>
      </w:r>
    </w:p>
    <w:p>
      <w:pPr>
        <w:spacing w:after="0" w:line="113"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July 28, 2019, and July 29, 2018,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28, 2019 Using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28,</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85</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6"/>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28, 2019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28,</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6"/>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(4)</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105</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98</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2" w:lineRule="exact"/>
        <w:rPr>
          <w:rFonts w:ascii="Arial" w:cs="Arial" w:eastAsia="Arial" w:hAnsi="Arial"/>
          <w:sz w:val="24"/>
          <w:szCs w:val="24"/>
          <w:color w:val="auto"/>
          <w:vertAlign w:val="superscript"/>
        </w:rPr>
      </w:pPr>
    </w:p>
    <w:p>
      <w:pPr>
        <w:jc w:val="both"/>
        <w:ind w:left="340" w:hanging="332"/>
        <w:spacing w:after="0" w:line="227"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15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w:t>
      </w:r>
    </w:p>
    <w:p>
      <w:pPr>
        <w:spacing w:after="0" w:line="70"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summarizes the changes in fair value of Level 3 investments for the years ended July 28, 2019, and July 29,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beginning of year</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Gains (losses)</w:t>
            </w: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w:t>
            </w:r>
          </w:p>
        </w:tc>
      </w:tr>
      <w:tr>
        <w:trPr>
          <w:trHeight w:val="27"/>
        </w:trPr>
        <w:tc>
          <w:tcPr>
            <w:tcW w:w="8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Fair value at end of year</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w:t>
            </w:r>
          </w:p>
        </w:tc>
      </w:tr>
      <w:tr>
        <w:trPr>
          <w:trHeight w:val="27"/>
        </w:trPr>
        <w:tc>
          <w:tcPr>
            <w:tcW w:w="87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impairment charges on goodwill, trademarks, other intangible assets and plant assets in connection with interim and annual assessments of assets in recent years. See also Notes 3 and 6 for additional information on the impairment charges.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Fair value was determined based on unobservable Level 3 inputs. The fair value of plant assets was determined based on cash flows associated with the asset group that include significant management assumptions, including expected proceeds. The fair values of trademarks was determined based on discounted cash flow analyses that include significant management assumptions such as revenue growth rates, weighted average costs of capital and assumed royalty rates. The fair value of goodwill was determined based on discounted cash flow analyses that include significant management assumptions such as revenue growth rates, operating margins, weighted average costs of capital, and future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74" w:right="2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color w:val="auto"/>
        </w:rPr>
        <w:t>The following table presents fair value measurements: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Impairment Charges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Plant Assets</w:t>
            </w:r>
          </w:p>
        </w:tc>
        <w:tc>
          <w:tcPr>
            <w:tcW w:w="160" w:type="dxa"/>
            <w:vAlign w:val="bottom"/>
          </w:tcPr>
          <w:p>
            <w:pPr>
              <w:spacing w:after="0"/>
              <w:rPr>
                <w:sz w:val="13"/>
                <w:szCs w:val="13"/>
                <w:color w:val="auto"/>
              </w:rPr>
            </w:pPr>
          </w:p>
        </w:tc>
        <w:tc>
          <w:tcPr>
            <w:tcW w:w="100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w w:val="97"/>
              </w:rPr>
              <w:t>Amortizable</w:t>
            </w:r>
          </w:p>
        </w:tc>
        <w:tc>
          <w:tcPr>
            <w:tcW w:w="2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Trademark</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Plant Assets</w:t>
            </w:r>
          </w:p>
        </w:tc>
        <w:tc>
          <w:tcPr>
            <w:tcW w:w="160" w:type="dxa"/>
            <w:vAlign w:val="bottom"/>
          </w:tcPr>
          <w:p>
            <w:pPr>
              <w:spacing w:after="0"/>
              <w:rPr>
                <w:sz w:val="13"/>
                <w:szCs w:val="13"/>
                <w:color w:val="auto"/>
              </w:rPr>
            </w:pPr>
          </w:p>
        </w:tc>
        <w:tc>
          <w:tcPr>
            <w:tcW w:w="98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7"/>
              </w:rPr>
              <w:t>Amortizable</w:t>
            </w:r>
          </w:p>
        </w:tc>
        <w:tc>
          <w:tcPr>
            <w:tcW w:w="2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Trademark</w:t>
            </w:r>
          </w:p>
        </w:tc>
        <w:tc>
          <w:tcPr>
            <w:tcW w:w="200" w:type="dxa"/>
            <w:vAlign w:val="bottom"/>
          </w:tcPr>
          <w:p>
            <w:pPr>
              <w:spacing w:after="0"/>
              <w:rPr>
                <w:sz w:val="13"/>
                <w:szCs w:val="13"/>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Continuing Operations</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July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Plum</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3"/>
              </w:rPr>
              <w:t>Discontinued Operations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January 27, 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Bolthouse Farms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carrot and carrot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ingredients</w:t>
            </w:r>
          </w:p>
        </w:tc>
        <w:tc>
          <w:tcPr>
            <w:tcW w:w="260" w:type="dxa"/>
            <w:vAlign w:val="bottom"/>
            <w:tcBorders>
              <w:bottom w:val="single" w:sz="8" w:color="CCEEFF"/>
            </w:tcBorders>
            <w:gridSpan w:val="2"/>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80"/>
              <w:spacing w:after="0"/>
              <w:rPr>
                <w:sz w:val="20"/>
                <w:szCs w:val="20"/>
                <w:color w:val="auto"/>
              </w:rPr>
            </w:pPr>
            <w:r>
              <w:rPr>
                <w:rFonts w:ascii="Arial" w:cs="Arial" w:eastAsia="Arial" w:hAnsi="Arial"/>
                <w:sz w:val="18"/>
                <w:szCs w:val="18"/>
                <w:color w:val="auto"/>
                <w:w w:val="96"/>
              </w:rPr>
              <w:t>Bolthouse Farms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80"/>
              <w:spacing w:after="0"/>
              <w:rPr>
                <w:sz w:val="20"/>
                <w:szCs w:val="20"/>
                <w:color w:val="auto"/>
              </w:rPr>
            </w:pPr>
            <w:r>
              <w:rPr>
                <w:rFonts w:ascii="Arial" w:cs="Arial" w:eastAsia="Arial" w:hAnsi="Arial"/>
                <w:sz w:val="18"/>
                <w:szCs w:val="18"/>
                <w:color w:val="auto"/>
              </w:rPr>
              <w:t>refrigerated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80"/>
              <w:spacing w:after="0"/>
              <w:rPr>
                <w:sz w:val="20"/>
                <w:szCs w:val="20"/>
                <w:color w:val="auto"/>
              </w:rPr>
            </w:pPr>
            <w:r>
              <w:rPr>
                <w:rFonts w:ascii="Arial" w:cs="Arial" w:eastAsia="Arial" w:hAnsi="Arial"/>
                <w:sz w:val="18"/>
                <w:szCs w:val="18"/>
                <w:color w:val="auto"/>
              </w:rPr>
              <w:t>beverages and</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22</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12</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80"/>
              <w:spacing w:after="0"/>
              <w:rPr>
                <w:sz w:val="20"/>
                <w:szCs w:val="20"/>
                <w:color w:val="auto"/>
              </w:rPr>
            </w:pPr>
            <w:r>
              <w:rPr>
                <w:rFonts w:ascii="Arial" w:cs="Arial" w:eastAsia="Arial" w:hAnsi="Arial"/>
                <w:sz w:val="18"/>
                <w:szCs w:val="18"/>
                <w:color w:val="auto"/>
              </w:rPr>
              <w:t>salad dressings</w:t>
            </w:r>
          </w:p>
        </w:tc>
        <w:tc>
          <w:tcPr>
            <w:tcW w:w="26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Garden Fresh</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Gourmet</w:t>
            </w:r>
          </w:p>
        </w:tc>
        <w:tc>
          <w:tcPr>
            <w:tcW w:w="260" w:type="dxa"/>
            <w:vAlign w:val="bottom"/>
            <w:tcBorders>
              <w:bottom w:val="single" w:sz="8" w:color="CCEEFF"/>
            </w:tcBorders>
            <w:gridSpan w:val="2"/>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108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October 28,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Refrigerated soup</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Deli</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20" w:type="dxa"/>
            <w:vAlign w:val="bottom"/>
          </w:tcPr>
          <w:p>
            <w:pPr>
              <w:ind w:left="280"/>
              <w:spacing w:after="0"/>
              <w:rPr>
                <w:sz w:val="20"/>
                <w:szCs w:val="20"/>
                <w:color w:val="auto"/>
              </w:rPr>
            </w:pPr>
            <w:r>
              <w:rPr>
                <w:rFonts w:ascii="Arial" w:cs="Arial" w:eastAsia="Arial" w:hAnsi="Arial"/>
                <w:sz w:val="18"/>
                <w:szCs w:val="18"/>
                <w:color w:val="auto"/>
                <w:w w:val="96"/>
              </w:rPr>
              <w:t>Bolthouse Farms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80"/>
              <w:spacing w:after="0"/>
              <w:rPr>
                <w:sz w:val="20"/>
                <w:szCs w:val="20"/>
                <w:color w:val="auto"/>
              </w:rPr>
            </w:pPr>
            <w:r>
              <w:rPr>
                <w:rFonts w:ascii="Arial" w:cs="Arial" w:eastAsia="Arial" w:hAnsi="Arial"/>
                <w:sz w:val="18"/>
                <w:szCs w:val="18"/>
                <w:color w:val="auto"/>
              </w:rPr>
              <w:t>refrigerated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80"/>
              <w:spacing w:after="0"/>
              <w:rPr>
                <w:sz w:val="20"/>
                <w:szCs w:val="20"/>
                <w:color w:val="auto"/>
              </w:rPr>
            </w:pPr>
            <w:r>
              <w:rPr>
                <w:rFonts w:ascii="Arial" w:cs="Arial" w:eastAsia="Arial" w:hAnsi="Arial"/>
                <w:sz w:val="18"/>
                <w:szCs w:val="18"/>
                <w:color w:val="auto"/>
              </w:rPr>
              <w:t>beverages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80"/>
              <w:spacing w:after="0"/>
              <w:rPr>
                <w:sz w:val="20"/>
                <w:szCs w:val="20"/>
                <w:color w:val="auto"/>
              </w:rPr>
            </w:pPr>
            <w:r>
              <w:rPr>
                <w:rFonts w:ascii="Arial" w:cs="Arial" w:eastAsia="Arial" w:hAnsi="Arial"/>
                <w:sz w:val="18"/>
                <w:szCs w:val="18"/>
                <w:color w:val="auto"/>
              </w:rPr>
              <w:t>salad dressings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January 28, 2018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620" w:type="dxa"/>
            <w:vAlign w:val="bottom"/>
          </w:tcPr>
          <w:p>
            <w:pPr>
              <w:ind w:left="280"/>
              <w:spacing w:after="0"/>
              <w:rPr>
                <w:sz w:val="20"/>
                <w:szCs w:val="20"/>
                <w:color w:val="auto"/>
              </w:rPr>
            </w:pPr>
            <w:r>
              <w:rPr>
                <w:rFonts w:ascii="Arial" w:cs="Arial" w:eastAsia="Arial" w:hAnsi="Arial"/>
                <w:sz w:val="18"/>
                <w:szCs w:val="18"/>
                <w:color w:val="auto"/>
                <w:w w:val="96"/>
              </w:rPr>
              <w:t>Bolthouse Farms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80"/>
              <w:spacing w:after="0"/>
              <w:rPr>
                <w:sz w:val="20"/>
                <w:szCs w:val="20"/>
                <w:color w:val="auto"/>
              </w:rPr>
            </w:pPr>
            <w:r>
              <w:rPr>
                <w:rFonts w:ascii="Arial" w:cs="Arial" w:eastAsia="Arial" w:hAnsi="Arial"/>
                <w:sz w:val="18"/>
                <w:szCs w:val="18"/>
                <w:color w:val="auto"/>
                <w:w w:val="99"/>
              </w:rPr>
              <w:t>carrot and carrot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80"/>
              <w:spacing w:after="0"/>
              <w:rPr>
                <w:sz w:val="20"/>
                <w:szCs w:val="20"/>
                <w:color w:val="auto"/>
              </w:rPr>
            </w:pPr>
            <w:r>
              <w:rPr>
                <w:rFonts w:ascii="Arial" w:cs="Arial" w:eastAsia="Arial" w:hAnsi="Arial"/>
                <w:sz w:val="18"/>
                <w:szCs w:val="18"/>
                <w:color w:val="auto"/>
              </w:rPr>
              <w:t>ingredients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January 29, 2017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620" w:type="dxa"/>
            <w:vAlign w:val="bottom"/>
          </w:tcPr>
          <w:p>
            <w:pPr>
              <w:ind w:left="280"/>
              <w:spacing w:after="0"/>
              <w:rPr>
                <w:sz w:val="20"/>
                <w:szCs w:val="20"/>
                <w:color w:val="auto"/>
              </w:rPr>
            </w:pPr>
            <w:r>
              <w:rPr>
                <w:rFonts w:ascii="Arial" w:cs="Arial" w:eastAsia="Arial" w:hAnsi="Arial"/>
                <w:sz w:val="18"/>
                <w:szCs w:val="18"/>
                <w:color w:val="auto"/>
                <w:w w:val="96"/>
              </w:rPr>
              <w:t>Bolthouse Farms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280"/>
              <w:spacing w:after="0"/>
              <w:rPr>
                <w:sz w:val="20"/>
                <w:szCs w:val="20"/>
                <w:color w:val="auto"/>
              </w:rPr>
            </w:pPr>
            <w:r>
              <w:rPr>
                <w:rFonts w:ascii="Arial" w:cs="Arial" w:eastAsia="Arial" w:hAnsi="Arial"/>
                <w:sz w:val="18"/>
                <w:szCs w:val="18"/>
                <w:color w:val="auto"/>
                <w:w w:val="99"/>
              </w:rPr>
              <w:t>carrot and carrot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80"/>
              <w:spacing w:after="0"/>
              <w:rPr>
                <w:sz w:val="20"/>
                <w:szCs w:val="20"/>
                <w:color w:val="auto"/>
              </w:rPr>
            </w:pPr>
            <w:r>
              <w:rPr>
                <w:rFonts w:ascii="Arial" w:cs="Arial" w:eastAsia="Arial" w:hAnsi="Arial"/>
                <w:sz w:val="18"/>
                <w:szCs w:val="18"/>
                <w:color w:val="auto"/>
              </w:rPr>
              <w:t>ingredients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Garden Fresh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Gourmet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fourth quarter of 2019, we recorded an impairment charge of $16 on customer relationships intangible assets within the European chips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was not material.</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2019, as part of our annual review of intangible assets, we recognized an impairment charge of $7 on a trademark and $10 on goodwill in Kelsen due to a lower long-term outlook for sales and the pending sale of the business. On July 12, 2019, we signed a definitive agreement for the sale of our Kelsen business.</w:t>
      </w:r>
    </w:p>
    <w:p>
      <w:pPr>
        <w:spacing w:after="0" w:line="12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fourth quarter of 2017, we recognized $12 of charges, primarily asset impairment, on plant assets associated with the 2015 restructuring initiatives described in Note 8. The carrying value was reduced to estimated fair value based on expected proceeds. The carrying value was not material.</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discontinued operations of $19 at July 28, 2019, and $14 at July 29, 2018,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short- and long-term debt was $8,642 at July 28, 2019, and $9,268 at July 29, 2018. The carrying value was $8,474 at July 28, 2019, and $9,516 at July 29, 2018. The fair value of short- and long-term debt of discontinued operations was $238 at July 28, 2019, and $378 at July 29, 2018. The carrying value was $238 at July 28, 2019, and $378 at July 29, 2018. The</w:t>
      </w:r>
    </w:p>
    <w:p>
      <w:pPr>
        <w:sectPr>
          <w:pgSz w:w="11900" w:h="16838" w:orient="portrait"/>
          <w:cols w:equalWidth="0" w:num="1">
            <w:col w:w="11420"/>
          </w:cols>
          <w:pgMar w:left="240" w:top="1287" w:right="239" w:bottom="1054"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87" w:right="239" w:bottom="1054" w:gutter="0" w:footer="0" w:header="0"/>
          <w:type w:val="continuous"/>
        </w:sectPr>
      </w:pPr>
    </w:p>
    <w:bookmarkStart w:id="76" w:name="page77"/>
    <w:bookmarkEnd w:id="76"/>
    <w:p>
      <w:pPr>
        <w:spacing w:after="0"/>
        <w:rPr>
          <w:sz w:val="20"/>
          <w:szCs w:val="20"/>
          <w:color w:val="auto"/>
        </w:rPr>
      </w:pPr>
      <w:r>
        <w:rPr>
          <w:rFonts w:ascii="Arial" w:cs="Arial" w:eastAsia="Arial" w:hAnsi="Arial"/>
          <w:sz w:val="17"/>
          <w:szCs w:val="17"/>
          <w:color w:val="auto"/>
        </w:rPr>
        <w:t>fair value of long-term debt is principally estimated using Level 2 inputs based on quoted market prices or pricing models using current market rates.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Shareholders' Equity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July 28, 2019. In 2018, we repurchased 2 million shares at a cost of $86, and in 2017, we repurchased 8 million shares at a cost of $437.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2003, shareholders approved the 2003 Long-Term Incentive Plan, which authorized the issuance of an aggregate of 31.2 million shares to satisfy awards of stock options, stock appreciation rights, unrestricted stock, restricted stock/units (including performance restricted stock) and performance units. In 2005, shareholders approved the 2005 Long-Term Incentive Plan, which authorized the issuance of an additional 6 million shares to satisfy the same types of awards.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w:t>
      </w:r>
    </w:p>
    <w:p>
      <w:pPr>
        <w:spacing w:after="0" w:line="3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 recipient of TSR performance restricted stock/units may earn a total award ranging from 0% to 200% of the initial grant. Awards of EPS performance restricted stock/units will be earned based upon our achievement of annual earnings per share goals. During the three-year vesting period, a recipient of EPS performance restricted stock/units may earn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will be earned based upon the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 of the three-year period to determine the number of underlying units that will vest at the end of the three years. A recipient of FCF performance restricted stock units may earn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Annual stock option grants were granted in 2019, 2018, and 2017. Stock options are granted on a selective basis under the Long-Term Incentive Plans. The term of a stock option granted under these plans may not exceed ten years from the date of grant. Options granted in 2019, 2018, and 2017, under these plans vest ratably over a three-year period. In 2019, we also granted options under these plans that vest at the end of a three-year period. The option price may not be less than the fair market value of a share of common stock on the date of the grant.</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2019, we issued stock options, time-lapse restricted stock units, unrestricted stock, TSR performance restricted stock units and FCF performance restricted stock units. We did not issue EPS performance restricted stock units, strategic performance restricted stock units or special performance restricted units in 2019.</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13" w:right="239" w:bottom="1440" w:gutter="0" w:footer="0" w:header="0"/>
        </w:sectPr>
      </w:pPr>
    </w:p>
    <w:bookmarkStart w:id="77" w:name="page78"/>
    <w:bookmarkEnd w:id="77"/>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880" w:type="dxa"/>
            <w:vAlign w:val="bottom"/>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Loss from discontinued operations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820" w:type="dxa"/>
            <w:vAlign w:val="bottom"/>
          </w:tcPr>
          <w:p>
            <w:pPr>
              <w:jc w:val="right"/>
              <w:ind w:right="4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05"/>
        </w:trPr>
        <w:tc>
          <w:tcPr>
            <w:tcW w:w="6420" w:type="dxa"/>
            <w:vAlign w:val="bottom"/>
            <w:gridSpan w:val="3"/>
          </w:tcPr>
          <w:p>
            <w:pPr>
              <w:ind w:left="340"/>
              <w:spacing w:after="0"/>
              <w:rPr>
                <w:sz w:val="20"/>
                <w:szCs w:val="20"/>
                <w:color w:val="auto"/>
              </w:rPr>
            </w:pPr>
            <w:r>
              <w:rPr>
                <w:rFonts w:ascii="Arial" w:cs="Arial" w:eastAsia="Arial" w:hAnsi="Arial"/>
                <w:sz w:val="18"/>
                <w:szCs w:val="18"/>
                <w:color w:val="auto"/>
              </w:rPr>
              <w:t>The following table summarizes stock option activity as of July 28, 2019:</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60" w:type="dxa"/>
            <w:vAlign w:val="bottom"/>
            <w:gridSpan w:val="4"/>
          </w:tcPr>
          <w:p>
            <w:pPr>
              <w:jc w:val="center"/>
              <w:ind w:left="264"/>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260" w:type="dxa"/>
            <w:vAlign w:val="bottom"/>
            <w:gridSpan w:val="4"/>
          </w:tcPr>
          <w:p>
            <w:pPr>
              <w:jc w:val="center"/>
              <w:ind w:left="284"/>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264"/>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264"/>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Intrinsic</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center"/>
              <w:ind w:left="264"/>
              <w:spacing w:after="0" w:line="153" w:lineRule="exact"/>
              <w:rPr>
                <w:sz w:val="20"/>
                <w:szCs w:val="20"/>
                <w:color w:val="auto"/>
              </w:rPr>
            </w:pPr>
            <w:r>
              <w:rPr>
                <w:rFonts w:ascii="Arial" w:cs="Arial" w:eastAsia="Arial" w:hAnsi="Arial"/>
                <w:sz w:val="14"/>
                <w:szCs w:val="14"/>
                <w:b w:val="1"/>
                <w:bCs w:val="1"/>
                <w:color w:val="auto"/>
                <w:w w:val="96"/>
              </w:rPr>
              <w:t>(In years)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July 29,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50.36</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35.74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49.05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28, 2019</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5"/>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July 28, 2019</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50.88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95"/>
              </w:rPr>
              <w:t>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options were exercised during 2018. During 2017, the total intrinsic value of options exercised was not material.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values for grants in 2019, 2018, and 2017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3.84%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8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25.28%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6.1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6 years</w:t>
            </w:r>
          </w:p>
        </w:tc>
        <w:tc>
          <w:tcPr>
            <w:tcW w:w="90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7"/>
        </w:trPr>
        <w:tc>
          <w:tcPr>
            <w:tcW w:w="8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$6.27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$7.51</w:t>
            </w:r>
          </w:p>
        </w:tc>
      </w:tr>
      <w:tr>
        <w:trPr>
          <w:trHeight w:val="27"/>
        </w:trPr>
        <w:tc>
          <w:tcPr>
            <w:tcW w:w="8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July 28, 2019, total remaining unearned compensation related to nonvested stock options was $2, which will be amortized over the weighted-average remaining service period of 2.3 years.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July 28,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5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Granted</w:t>
            </w:r>
          </w:p>
        </w:tc>
        <w:tc>
          <w:tcPr>
            <w:tcW w:w="5660" w:type="dxa"/>
            <w:vAlign w:val="bottom"/>
            <w:gridSpan w:val="2"/>
          </w:tcPr>
          <w:p>
            <w:pPr>
              <w:jc w:val="right"/>
              <w:ind w:right="28"/>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28, 2019</w:t>
            </w:r>
          </w:p>
        </w:tc>
        <w:tc>
          <w:tcPr>
            <w:tcW w:w="5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78</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8" w:name="page79"/>
    <w:bookmarkEnd w:id="78"/>
    <w:p>
      <w:pPr>
        <w:jc w:val="both"/>
        <w:ind w:firstLine="324"/>
        <w:spacing w:after="0" w:line="270"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special performance restricted stock units and FCF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66 thousand EPS performance target grants outstanding at July 28, 2019, with a weighted-average grant-date fair value of $49.10. We will expense FCF performance restricted stock units over the requisite service period of each objective. In 2019, we issued approximately 388 thousand FCF performance restricted stock units and of those, granted 129 thousand, which are included in the table above. There were 113 thousand FCF performance target grants outstanding at July 28, 2019, with a grant date fair value of $37.62. The actual number of EPS performance restricted stock units, strategic performance restricted stock units, and FCF performance restricted stock units that vest will depend on actual performance achieved. We estimate expense based on the number of awards expected to vest.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2017, recipients of strategic performance restricted stock units earned 35% of the initial grants based on actual performance achieved during a three-year period ended July 31, 2016. There were no strategic performance restricted stock units outstanding at July 28, 2019 or July 29, 2018.</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28, 2019, total remaining unearned compensation related to nonvested time-lapse restricted stock units, EPS performance restricted stock units and FCF performance restricted units was $35, which will be amortized over the weighted-average remaining service period of 1.7 years. The fair value of restricted stock units vested during 2019, 2018 and 2017 was $26, $30 and $55, respectively. The weighted-average grant-date fair value of the restricted stock units granted during 2018 and 2017 was $44.18 and $54.79,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July 28,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28, 2019</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Weighted-average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3.79%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17.78%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3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recognize compensation expense on a straight-line basis over the service period. As of July 28, 2019, total remaining unearned compensation related to TSR performance restricted stock units was $14, which will be amortized over the weighted-average remaining service period of 1.6 years. In the first quarter of 2019, recipients of TSR performance restricted stock units earned 0% of the initial grants based upon our TSR ranking in a performance peer group during a three-year period ended July 27, 2018.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In the first quarter of 2017, recipients of TSR performance restricted stock units earned 75% of the initial grants based upon our TSR ranking in a performance peer group during a three-year period ended July 29, 2016. The fair value of TSR performance restricted stock units vested during 2018 and 2017 was $38 and $14, respectively. The grant-date fair value of the TSR performance restricted stock units granted during 2018 and 2017 was $39.39 and $39.53,</w:t>
      </w:r>
    </w:p>
    <w:p>
      <w:pPr>
        <w:sectPr>
          <w:pgSz w:w="11900" w:h="16838" w:orient="portrait"/>
          <w:cols w:equalWidth="0" w:num="1">
            <w:col w:w="11420"/>
          </w:cols>
          <w:pgMar w:left="240" w:top="1314" w:right="2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314" w:right="239" w:bottom="1440" w:gutter="0" w:footer="0" w:header="0"/>
          <w:type w:val="continuous"/>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respectively. In the first quarter of 2020, recipients of TSR performance restricted stock units will receive a 0% payout based upon our TSR ranking in a performance peer group during a three-year period ended July 26, 2019.</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tax deficiencies of $6 in 2019 and $3 in 2018, and the excess tax benefits of $6 in 2017, on the exercise of stock options and vested restricted stock were presented as cash flows from operating activities. Cash received from the exercise of stock options was $2 for 2017, and are reflected in cash flows from financing activities in the Consolidated Statements of Cash Flows.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Litigation Matters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January 7, 2019, three purported shareholder class action lawsuits pending in the United States District Court for the District of New Jersey were consolidated under the caption, </w:t>
      </w:r>
      <w:r>
        <w:rPr>
          <w:rFonts w:ascii="Arial" w:cs="Arial" w:eastAsia="Arial" w:hAnsi="Arial"/>
          <w:sz w:val="16"/>
          <w:szCs w:val="16"/>
          <w:i w:val="1"/>
          <w:iCs w:val="1"/>
          <w:color w:val="auto"/>
        </w:rPr>
        <w:t>In re Campbell Soup Company Securities Litigation</w:t>
      </w:r>
      <w:r>
        <w:rPr>
          <w:rFonts w:ascii="Arial" w:cs="Arial" w:eastAsia="Arial" w:hAnsi="Arial"/>
          <w:sz w:val="16"/>
          <w:szCs w:val="16"/>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We are vigorously defending against the Action.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July 28, 2019.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 In the third quarter of 2018, we recorded expense of $22 from a settlement of a claim.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certain operating lease commitments, primarily related to warehouse and office facilities, and certain equipment. Rent expense under operating lease commitments was $102 in 2019, $74 in 2018 and $53 in 2017. These amounts included $17 in 2019, 2018, and 2017, respectively, related to discontinued operations. Future minimum annual rental payments under these operating leases as of July 28, 2019, are as follows:</w:t>
      </w:r>
    </w:p>
    <w:p>
      <w:pPr>
        <w:spacing w:after="0" w:line="100"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2020</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2023</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Thereafter</w:t>
            </w:r>
          </w:p>
        </w:tc>
      </w:tr>
      <w:tr>
        <w:trPr>
          <w:trHeight w:val="20"/>
        </w:trPr>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64"/>
        </w:trPr>
        <w:tc>
          <w:tcPr>
            <w:tcW w:w="280" w:type="dxa"/>
            <w:vAlign w:val="bottom"/>
          </w:tcPr>
          <w:p>
            <w:pPr>
              <w:jc w:val="right"/>
              <w:spacing w:after="0"/>
              <w:rPr>
                <w:sz w:val="20"/>
                <w:szCs w:val="20"/>
                <w:color w:val="auto"/>
              </w:rPr>
            </w:pPr>
            <w:r>
              <w:rPr>
                <w:rFonts w:ascii="Arial" w:cs="Arial" w:eastAsia="Arial" w:hAnsi="Arial"/>
                <w:sz w:val="18"/>
                <w:szCs w:val="18"/>
                <w:color w:val="auto"/>
                <w:w w:val="86"/>
              </w:rPr>
              <w:t>$68</w:t>
            </w:r>
          </w:p>
        </w:tc>
        <w:tc>
          <w:tcPr>
            <w:tcW w:w="5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$54</w:t>
            </w:r>
          </w:p>
        </w:tc>
        <w:tc>
          <w:tcPr>
            <w:tcW w:w="28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8"/>
                <w:szCs w:val="18"/>
                <w:color w:val="auto"/>
              </w:rPr>
              <w:t>$88</w:t>
            </w: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future minimum annual rental payments included $7 in 2020, $6 in 2021, $4 in 2022, $3 in 2023, $1 in 2024, and none thereafter related to discontinued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guarantee approximately 2,000 bank loans made to Pepperidge Farm independent contractor distributors by third-party financial institutions for the purchase of distribution routes. The maximum potential amount of future payments under existing guarantees we could be required to make is $220. We guarantee approximately 2,400 bank loans made to Snyder'-Lance independent contract distributors by third-party financial institutions for the purchase of distribution routes. The outstanding aggregate balance</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314" w:right="239" w:bottom="1440" w:gutter="0" w:footer="0" w:header="0"/>
          <w:type w:val="continuous"/>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on these loans was $194 as of July 28, 2019. Our guarantees are indirectly secured by the distribution routes. We do not expect that we will be required to make material guarantee payments as a result of defaults on the bank loans guaranteed. The amounts recognized as of July 28, 2019, and July 29, 2018, were not material.</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July 28, 2019, and July 29,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Customer accounts receivable</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Land</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3,473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Projects in progress</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Total cost</w:t>
            </w: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5,215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Accumulated depreciation</w:t>
            </w:r>
            <w:r>
              <w:rPr>
                <w:rFonts w:ascii="Arial" w:cs="Arial" w:eastAsia="Arial" w:hAnsi="Arial"/>
                <w:sz w:val="25"/>
                <w:szCs w:val="25"/>
                <w:color w:val="auto"/>
                <w:vertAlign w:val="superscript"/>
              </w:rPr>
              <w:t>(1)</w:t>
            </w:r>
          </w:p>
        </w:tc>
        <w:tc>
          <w:tcPr>
            <w:tcW w:w="38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(2,760)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2,455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2"/>
              <w:spacing w:after="0"/>
              <w:rPr>
                <w:sz w:val="20"/>
                <w:szCs w:val="20"/>
                <w:color w:val="auto"/>
              </w:rPr>
            </w:pPr>
            <w:r>
              <w:rPr>
                <w:rFonts w:ascii="Arial" w:cs="Arial" w:eastAsia="Arial" w:hAnsi="Arial"/>
                <w:sz w:val="18"/>
                <w:szCs w:val="18"/>
                <w:color w:val="auto"/>
              </w:rPr>
              <w:t>81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81" w:name="page82"/>
    <w:bookmarkEnd w:id="81"/>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trade and consumer promotion programs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w:t>
            </w:r>
          </w:p>
        </w:tc>
      </w:tr>
      <w:tr>
        <w:trPr>
          <w:trHeight w:val="67"/>
        </w:trPr>
        <w:tc>
          <w:tcPr>
            <w:tcW w:w="8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benefits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Transition tax on unremitted foreign earnings</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49" w:lineRule="exact"/>
        <w:rPr>
          <w:sz w:val="20"/>
          <w:szCs w:val="20"/>
          <w:color w:val="auto"/>
        </w:rPr>
      </w:pPr>
    </w:p>
    <w:p>
      <w:pPr>
        <w:jc w:val="both"/>
        <w:ind w:left="340" w:hanging="332"/>
        <w:spacing w:after="0" w:line="226"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Depreciation expense was $389 in 2019, $360 in 2018 and $299 in 2017. Depreciation expense of continuing operations was $315 in 2019, $259 in 2018 and $192 in 2017. Buildings are depreciated over periods ranging from 7 to 45 years. Machinery and equipment are depreciated over periods generally ranging from 2 to 20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periodic benefit expense (income) other than the service cost</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losses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5"/>
                <w:szCs w:val="25"/>
                <w:color w:val="auto"/>
                <w:vertAlign w:val="superscript"/>
              </w:rPr>
              <w:t>(2)</w:t>
            </w:r>
          </w:p>
        </w:tc>
        <w:tc>
          <w:tcPr>
            <w:tcW w:w="8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Advertising and consumer promotion expense</w:t>
            </w:r>
            <w:r>
              <w:rPr>
                <w:rFonts w:ascii="Arial" w:cs="Arial" w:eastAsia="Arial" w:hAnsi="Arial"/>
                <w:sz w:val="25"/>
                <w:szCs w:val="25"/>
                <w:color w:val="auto"/>
                <w:vertAlign w:val="superscript"/>
              </w:rPr>
              <w:t>(3)</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347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324"/>
        </w:trPr>
        <w:tc>
          <w:tcPr>
            <w:tcW w:w="7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359</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Interest capitalized</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7440" w:type="dxa"/>
            <w:vAlign w:val="bottom"/>
          </w:tcPr>
          <w:p>
            <w:pPr>
              <w:spacing w:after="0"/>
              <w:rPr>
                <w:sz w:val="20"/>
                <w:szCs w:val="20"/>
                <w:color w:val="auto"/>
              </w:rPr>
            </w:pP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356</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92"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See Note 6 for additional information.</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7"/>
          <w:szCs w:val="17"/>
          <w:color w:val="auto"/>
        </w:rPr>
        <w:t>In 2018, we recognized transaction costs of $53 related to the acquisition of Snyder's-Lance. See Note 4 for additional information.</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5"/>
        </w:numPr>
        <w:rPr>
          <w:rFonts w:ascii="Arial" w:cs="Arial" w:eastAsia="Arial" w:hAnsi="Arial"/>
          <w:sz w:val="24"/>
          <w:szCs w:val="24"/>
          <w:color w:val="auto"/>
          <w:vertAlign w:val="superscript"/>
        </w:rPr>
      </w:pPr>
      <w:r>
        <w:rPr>
          <w:rFonts w:ascii="Arial" w:cs="Arial" w:eastAsia="Arial" w:hAnsi="Arial"/>
          <w:sz w:val="17"/>
          <w:szCs w:val="17"/>
          <w:color w:val="auto"/>
        </w:rPr>
        <w:t>Included in Marketing and selling expenses.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40" w:right="23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i w:val="1"/>
          <w:iCs w:val="1"/>
          <w:color w:val="auto"/>
        </w:rPr>
        <w:t>Statements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3"/>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189"/>
        </w:trPr>
        <w:tc>
          <w:tcPr>
            <w:tcW w:w="698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660" w:type="dxa"/>
            <w:vAlign w:val="bottom"/>
            <w:tcBorders>
              <w:top w:val="single" w:sz="8" w:color="auto"/>
            </w:tcBorders>
            <w:shd w:val="clear" w:color="auto" w:fill="CCEEFF"/>
          </w:tcPr>
          <w:p>
            <w:pPr>
              <w:spacing w:after="0"/>
              <w:rPr>
                <w:sz w:val="5"/>
                <w:szCs w:val="5"/>
                <w:color w:val="auto"/>
              </w:rPr>
            </w:pPr>
          </w:p>
        </w:tc>
        <w:tc>
          <w:tcPr>
            <w:tcW w:w="40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Benefit related payments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0" w:type="dxa"/>
            <w:vAlign w:val="bottom"/>
          </w:tcPr>
          <w:p>
            <w:pPr>
              <w:spacing w:after="0"/>
              <w:rPr>
                <w:sz w:val="21"/>
                <w:szCs w:val="21"/>
                <w:color w:val="auto"/>
              </w:rPr>
            </w:pP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gridSpan w:val="2"/>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21"/>
                <w:szCs w:val="21"/>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b w:val="1"/>
                <w:bCs w:val="1"/>
                <w:color w:val="auto"/>
                <w:w w:val="93"/>
              </w:rPr>
              <w:t>367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Interest received</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1"/>
                <w:szCs w:val="21"/>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b w:val="1"/>
                <w:bCs w:val="1"/>
                <w:color w:val="auto"/>
                <w:w w:val="93"/>
              </w:rPr>
              <w:t>117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900" w:type="dxa"/>
            <w:vAlign w:val="bottom"/>
            <w:gridSpan w:val="2"/>
            <w:shd w:val="clear" w:color="auto" w:fill="CCEEFF"/>
          </w:tcPr>
          <w:p>
            <w:pPr>
              <w:spacing w:after="0"/>
              <w:rPr>
                <w:sz w:val="24"/>
                <w:szCs w:val="24"/>
                <w:color w:val="auto"/>
              </w:rPr>
            </w:pPr>
          </w:p>
        </w:tc>
        <w:tc>
          <w:tcPr>
            <w:tcW w:w="4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Non-cash Activity</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Build-to-suit lease commitment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92"/>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21.</w:t>
            </w:r>
          </w:p>
        </w:tc>
        <w:tc>
          <w:tcPr>
            <w:tcW w:w="6700" w:type="dxa"/>
            <w:vAlign w:val="bottom"/>
            <w:gridSpan w:val="2"/>
          </w:tcPr>
          <w:p>
            <w:pPr>
              <w:ind w:left="60"/>
              <w:spacing w:after="0"/>
              <w:rPr>
                <w:sz w:val="20"/>
                <w:szCs w:val="20"/>
                <w:color w:val="auto"/>
              </w:rPr>
            </w:pPr>
            <w:r>
              <w:rPr>
                <w:rFonts w:ascii="Arial" w:cs="Arial" w:eastAsia="Arial" w:hAnsi="Arial"/>
                <w:sz w:val="18"/>
                <w:szCs w:val="18"/>
                <w:b w:val="1"/>
                <w:bCs w:val="1"/>
                <w:color w:val="auto"/>
              </w:rPr>
              <w:t>Quarterly Data (unaudited)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3"/>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66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1,953</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1,780</w:t>
            </w: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606</w:t>
            </w: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4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8"/>
              </w:rPr>
              <w:t>Earnings (loss) from continuing operations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(.01)</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Net earnings (loss) attributable to Campbell Soup Company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r>
      <w:tr>
        <w:trPr>
          <w:trHeight w:val="27"/>
        </w:trPr>
        <w:tc>
          <w:tcPr>
            <w:tcW w:w="40" w:type="dxa"/>
            <w:vAlign w:val="bottom"/>
          </w:tcPr>
          <w:p>
            <w:pPr>
              <w:spacing w:after="0"/>
              <w:rPr>
                <w:sz w:val="2"/>
                <w:szCs w:val="2"/>
                <w:color w:val="auto"/>
              </w:rPr>
            </w:pPr>
          </w:p>
        </w:tc>
        <w:tc>
          <w:tcPr>
            <w:tcW w:w="290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From continuing operations attributable to Campbell Soup Company</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(.02)</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r>
      <w:tr>
        <w:trPr>
          <w:trHeight w:val="256"/>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7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Net attributable to Campbell Soup Company </w:t>
            </w:r>
            <w:r>
              <w:rPr>
                <w:rFonts w:ascii="Arial" w:cs="Arial" w:eastAsia="Arial" w:hAnsi="Arial"/>
                <w:sz w:val="25"/>
                <w:szCs w:val="25"/>
                <w:color w:val="auto"/>
                <w:vertAlign w:val="superscript"/>
              </w:rPr>
              <w:t>(1)</w:t>
            </w:r>
          </w:p>
        </w:tc>
        <w:tc>
          <w:tcPr>
            <w:tcW w:w="24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(.03)</w:t>
            </w:r>
          </w:p>
        </w:tc>
      </w:tr>
      <w:tr>
        <w:trPr>
          <w:trHeight w:val="230"/>
        </w:trPr>
        <w:tc>
          <w:tcPr>
            <w:tcW w:w="6980" w:type="dxa"/>
            <w:vAlign w:val="bottom"/>
            <w:gridSpan w:val="4"/>
          </w:tcPr>
          <w:p>
            <w:pPr>
              <w:spacing w:after="0"/>
              <w:rPr>
                <w:sz w:val="20"/>
                <w:szCs w:val="20"/>
                <w:color w:val="auto"/>
              </w:rPr>
            </w:pPr>
            <w:r>
              <w:rPr>
                <w:rFonts w:ascii="Arial" w:cs="Arial" w:eastAsia="Arial" w:hAnsi="Arial"/>
                <w:sz w:val="18"/>
                <w:szCs w:val="18"/>
                <w:color w:val="auto"/>
              </w:rPr>
              <w:t>_______________________________________</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280" w:type="dxa"/>
            <w:vAlign w:val="bottom"/>
            <w:gridSpan w:val="2"/>
          </w:tcPr>
          <w:p>
            <w:pPr>
              <w:spacing w:after="0"/>
              <w:rPr>
                <w:sz w:val="20"/>
                <w:szCs w:val="20"/>
                <w:color w:val="auto"/>
              </w:rPr>
            </w:pPr>
            <w:r>
              <w:rPr>
                <w:rFonts w:ascii="Arial" w:cs="Arial" w:eastAsia="Arial" w:hAnsi="Arial"/>
                <w:sz w:val="13"/>
                <w:szCs w:val="13"/>
                <w:color w:val="auto"/>
              </w:rPr>
              <w:t>(1)</w:t>
            </w:r>
          </w:p>
        </w:tc>
        <w:tc>
          <w:tcPr>
            <w:tcW w:w="6700" w:type="dxa"/>
            <w:vAlign w:val="bottom"/>
            <w:gridSpan w:val="2"/>
          </w:tcPr>
          <w:p>
            <w:pPr>
              <w:ind w:left="60"/>
              <w:spacing w:after="0"/>
              <w:rPr>
                <w:sz w:val="20"/>
                <w:szCs w:val="20"/>
                <w:color w:val="auto"/>
              </w:rPr>
            </w:pPr>
            <w:r>
              <w:rPr>
                <w:rFonts w:ascii="Arial" w:cs="Arial" w:eastAsia="Arial" w:hAnsi="Arial"/>
                <w:sz w:val="18"/>
                <w:szCs w:val="18"/>
                <w:color w:val="auto"/>
              </w:rPr>
              <w:t>The sum of individual per share amounts may not add due to rounding.</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675"/>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2"/>
          </w:tcPr>
          <w:p>
            <w:pPr>
              <w:ind w:left="534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311" w:right="239" w:bottom="1440" w:gutter="0" w:footer="0" w:header="0"/>
        </w:sectPr>
      </w:pPr>
    </w:p>
    <w:bookmarkStart w:id="83" w:name="page84"/>
    <w:bookmarkEnd w:id="83"/>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22"/>
                <w:szCs w:val="22"/>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2019, the following charges (gains) were recorded in Earnings (loss) from continuing</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attributable to Campbell Soup Company:</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93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Tax reform</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.08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Tax reform</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 2019, the following charges (gains) were recorded in Earnings (loss) from discontinued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Costs associated with divestitures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benefit mark-to-market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.04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Costs associated with divestitures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benefit mark-to-market adjustments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.03</w:t>
            </w:r>
          </w:p>
        </w:tc>
      </w:tr>
      <w:tr>
        <w:trPr>
          <w:trHeight w:val="359"/>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22"/>
                <w:szCs w:val="22"/>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80" w:type="dxa"/>
            <w:vAlign w:val="bottom"/>
            <w:shd w:val="clear" w:color="auto" w:fill="CCEEFF"/>
          </w:tcPr>
          <w:p>
            <w:pPr>
              <w:ind w:left="440"/>
              <w:spacing w:after="0" w:line="270" w:lineRule="exact"/>
              <w:rPr>
                <w:sz w:val="20"/>
                <w:szCs w:val="20"/>
                <w:color w:val="auto"/>
              </w:rPr>
            </w:pPr>
            <w:r>
              <w:rPr>
                <w:rFonts w:ascii="Arial" w:cs="Arial" w:eastAsia="Arial" w:hAnsi="Arial"/>
                <w:sz w:val="18"/>
                <w:szCs w:val="18"/>
                <w:color w:val="auto"/>
              </w:rPr>
              <w:t>Net earnings (loss) attributable to Campbell Soup Company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6980" w:type="dxa"/>
            <w:vAlign w:val="bottom"/>
          </w:tcPr>
          <w:p>
            <w:pPr>
              <w:ind w:left="440"/>
              <w:spacing w:after="0" w:line="256" w:lineRule="exact"/>
              <w:rPr>
                <w:sz w:val="20"/>
                <w:szCs w:val="20"/>
                <w:color w:val="auto"/>
              </w:rPr>
            </w:pPr>
            <w:r>
              <w:rPr>
                <w:rFonts w:ascii="Arial" w:cs="Arial" w:eastAsia="Arial" w:hAnsi="Arial"/>
                <w:sz w:val="18"/>
                <w:szCs w:val="18"/>
                <w:color w:val="auto"/>
              </w:rPr>
              <w:t>Net earnings (loss) attributable to Campbell Soup Company</w:t>
            </w:r>
            <w:r>
              <w:rPr>
                <w:rFonts w:ascii="Arial" w:cs="Arial" w:eastAsia="Arial" w:hAnsi="Arial"/>
                <w:sz w:val="25"/>
                <w:szCs w:val="25"/>
                <w:color w:val="auto"/>
                <w:vertAlign w:val="superscript"/>
              </w:rPr>
              <w:t>(1)</w:t>
            </w:r>
          </w:p>
        </w:tc>
        <w:tc>
          <w:tcPr>
            <w:tcW w:w="24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_______________________________________</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29"/>
        </w:trPr>
        <w:tc>
          <w:tcPr>
            <w:tcW w:w="698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The sum of individual per share amounts may not add due to rounding.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1"/>
        </w:trPr>
        <w:tc>
          <w:tcPr>
            <w:tcW w:w="6980" w:type="dxa"/>
            <w:vAlign w:val="bottom"/>
          </w:tcPr>
          <w:p>
            <w:pPr>
              <w:ind w:left="562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84" w:name="page85"/>
    <w:bookmarkEnd w:id="8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22"/>
                <w:szCs w:val="22"/>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 2018, the following charges (gains) were recorded in Earnings from continuing operations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Campbell Soup Company:</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Claim settlement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reform</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Claim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Tax reform</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 2018, the following charges (gains) were recorded in Earnings (loss) from discontinued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benefit mark-to-market and curtailment adjustments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benefit mark-to-market and curtailment adjustments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18, 2019, we signed a definitive agreement for the sale of our European chips business for £66, or approximately $80. The sale is subject to customary closing conditions including receiving the relevant regulatory approvals. We expect to complete the sale in the first quarter of 2020. In connection with the sale, we expect to incur additional charges in the first quarter of 2020 as the carrying value of the disposal group will include allocated goodwill, as well as foreign currency translation adjustments.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4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internal control over financial reporting includes those policies and procedures that:</w:t>
      </w:r>
    </w:p>
    <w:p>
      <w:pPr>
        <w:spacing w:after="0" w:line="117" w:lineRule="exact"/>
        <w:rPr>
          <w:sz w:val="20"/>
          <w:szCs w:val="20"/>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July 28,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July 28, 2019.</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July 28, 2019 has been audited by PricewaterhouseCoopers LLP, an independent registered public accounting firm, as stated in their report, which appears on the next page.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Clouse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9" w:right="239" w:bottom="1440" w:gutter="0" w:footer="0" w:header="0"/>
        </w:sectPr>
      </w:pPr>
    </w:p>
    <w:bookmarkStart w:id="86" w:name="page87"/>
    <w:bookmarkEnd w:id="86"/>
    <w:p>
      <w:pPr>
        <w:ind w:left="34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Campbell Soup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Campbell Soup Company and its subsidiaries (the "Company") as of July 28, 2019 and July 29, 2018, and the related consolidated statements of earnings, comprehensive income, equity, and cash flows for each of the three years in the period ended July 28, 2019, including the related notes and schedule of valuation and qualifying accounts for each of the three years in the period ended July 28, 2019 appearing on page 97 (collectively referred to as the "consolidated financial statements"). We also have audited the Company's internal control over financial reporting as of July 28,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July 28, 2019 and July 29, 2018, and the results of its operations and its cash flows for each of the three years in the period ended July 28, 2019 in conformity with accounting principles generally accepted in the United States of America. Also in our opinion, the Company maintained, in all material respects, effective internal control over financial reporting as of July 28,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9" w:right="239" w:bottom="1440" w:gutter="0" w:footer="0" w:header="0"/>
        </w:sectPr>
      </w:pPr>
    </w:p>
    <w:bookmarkStart w:id="87" w:name="page88"/>
    <w:bookmarkEnd w:id="87"/>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 Impairment Test for Certain Trademarks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described in Notes 1 and 6 to the consolidated financial statements, the Company’s indefinite-lived intangible assets (trademarks) were $2,629 million as of July 28, 2019. Trademarks primarily included $1,996 million associated with the acquisition of Snyder's-Lance, $280 million associated with the acquisition of Pacific Foods and $292 million related to </w:t>
      </w:r>
      <w:r>
        <w:rPr>
          <w:rFonts w:ascii="Arial" w:cs="Arial" w:eastAsia="Arial" w:hAnsi="Arial"/>
          <w:sz w:val="17"/>
          <w:szCs w:val="17"/>
          <w:i w:val="1"/>
          <w:iCs w:val="1"/>
          <w:color w:val="auto"/>
        </w:rPr>
        <w:t>Pace</w:t>
      </w:r>
      <w:r>
        <w:rPr>
          <w:rFonts w:ascii="Arial" w:cs="Arial" w:eastAsia="Arial" w:hAnsi="Arial"/>
          <w:sz w:val="17"/>
          <w:szCs w:val="17"/>
          <w:color w:val="auto"/>
        </w:rPr>
        <w:t>. Management conducts a test at least annually for impairment, or when circumstances indicate that the carrying amount of the asset may not be recoverable. Indefinite-lived intangible assets are tested for impairment by comparing the fair value of the asset to the carrying value. Management determines fair value based on discounted cash flow analyses that include significant management assumptions such as revenue growth rates, weighted average costs of capital, and assumed royalty rates.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test for certain trademarks is a critical audit matter are (i) there was a high degree of auditor judgment and subjectivity involved in performing procedures relating to the fair value estimates of trademarks due to the significant amount of judgment by management when developing these estimates, (ii) significant audit effort was necessary to perform procedures and evaluate evidence relating to management’s discounted cash flow analyses that include significant management assumptions such as revenue growth rates, weighted average costs of capital, and assumed royalty rates, and (iii) the audit effort involved the use of professionals with specialized skill and knowledge to assist in performing these procedures and evaluating the audit evidence obtained from these procedures.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trademark impairment tests. These procedures also included, among others, testing management’s process for developing the fair value estimates; evaluating the appropriateness of the discounted cash flow analyses; testing the completeness, accuracy, and relevance of underlying data used in the analyses; and evaluating the significant assumptions used by management, including the revenue growth rates, weighted average costs of capital, and assumed royalty rates. Evaluating management’s assumptions related to revenue growth rates involved evaluating whether the assumptions used by management were reasonable considering (i) the current and past performance associated with the trademarks,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analyses and certain significant assumptions, including the weighted average costs of capital and assumed royalty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the Campbell Fresh and Campbell International Operating Segments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described in Notes 1, 3 and 12 to the consolidated financial statements, in 2019 the Company completed the sale of the Campbell Fresh operating segment, which includes Bolthouse Farms, Garden Fresh Gourmet, and the U.S. refrigerated soup business. In addition, the Company signed definitive agreements for the sale of the Kelsen business on July 12, 2019, and on August 1, 2019, for the Arnott’s business and certain other international operations (collectively referred to as Campbell International). Management has reflected the results of these businesses and operations as discontinued operations in the consolidated statements of earnings for all periods presented. Management presents discontinued operations when there is a disposal of a component group or a group of components that, in management’s judgment, represents a strategic shift that will have a major effect on operations and financial results. The earnings (loss) from discontinued operations for Campbell Fresh and Campbell International were $(332 million) and $69 million, respectively, for the fiscal year ending July 28, 2019. As of July 28, 2019, the Company’s U.S. and non-U.S. subsidiaries had capital loss carryforwards of approximately $1,096 million, of which $1,060 million were offset by valuation allowances. As described by management, the Company may use a portion of its capital losses to offset the capital gain anticipated from the pending sale of the Arnott’s business and certain other international operations, which could result in a U.S. valuation allowance release and recognition of a material income tax benefit in 2020. After assessing all available evidence, management concluded that they should maintain a valuation allowance as of July 28,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40" w:right="239" w:bottom="1440" w:gutter="0" w:footer="0" w:header="0"/>
        </w:sectPr>
      </w:pPr>
    </w:p>
    <w:bookmarkStart w:id="88" w:name="page89"/>
    <w:bookmarkEnd w:id="88"/>
    <w:p>
      <w:pPr>
        <w:jc w:val="both"/>
        <w:ind w:firstLine="324"/>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divestiture of the Campbell Fresh and Campbell International operating segments is a critical audit matter are (i) there was a high degree of auditor judgment and subjectivity involved in performing procedures to evaluate the divestiture transactions due to the significant amount of judgment by management when assessing these transactions, (ii) significant audit effort was necessary to perform procedures and evaluate evidence relating to management's evaluation of the divestiture transactions, including whether the divestitures met the criteria for discontinued operations, and in determining the realizability of the deferred tax assets, and (iii) the audit effort involved the use of professionals with specialized skill and knowledge to assist in performing these procedures and evaluating the audit evidence obtained from these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evaluation of whether the divestitures met the criteria for discontinued operations and controls over the evaluation of realizability of deferred tax assets. These procedures also included, among others, evaluating management’s assessment of the discontinued operations criteria for the Campbell Fresh and Campbell International operating segments, including the quantitative and qualitative factors surrounding the qualification for discontinued operations treatment, and testing management’s assessment of the realizability of deferred tax assets, including management's weighting of significant factors considered in this assessment. Testing the realizability of deferred tax assets included evaluating the reasonableness of management’s judgments around future reversals. Professionals with specialized skill and knowledge were used to assist in the evaluation of audit evidence related to the discontinued operations criteria and assessment of the realizability of the deferred tax assets.</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3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 13a-15(e) under the Exchange Act) as of July 28, 2019 (the Evaluation Date). Based on such evaluation, the President and Chief Executive Officer and the Senior Vice President and Chief Financial Officer have concluded that, as of the Evaluation Date, our disclosure controls and procedures are effective.</w:t>
      </w:r>
    </w:p>
    <w:p>
      <w:pPr>
        <w:spacing w:after="0" w:line="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annual report of management on our internal control over financial reporting is provided under "Financial Statements and Supplementary Data" on page 86. The attestation report of PricewaterhouseCoopers LLP, our independent registered public accounting firm, regarding our internal control over financial reporting is provided under "Financial Statements and Supplementary Data" on pages 87-89.</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and ongoing integration of Snyder’s-Lance has materially affected our internal control over financial reporting for the year ended July 28, 2019.</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internal control over financial reporting during the quarter ended July 28,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sections entitled "Item 1 — Election of Directors" and "Voting Securities and Principal Shareholders — Ownership of Directors and Executive Officers" in our Proxy Statement for the 2019 Annual Meeting of Shareholders (the 2019 Proxy) are incorporated herein by reference. The information presented in the section entitled "Corporate Governance Policies and Practices — Board Meetings and Committees — Board Committee Structure" in the 2019 Proxy relating to the members of our Audit Committee and the Audit Committee’s financial experts is incorporated herein by reference.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 information required by this Item relating to our executive officers is set forth under the heading "Executive Officers of the Company" in this Report.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We intend to satisfy the disclosure requirement regarding any amendment to, or a waiver of, a provision of the Code of Ethics for the Chief Executive Officer and Senior Financial Officers by posting such information on our website.</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We have also adopted a separate Code of Business Conduct and Ethics applicable to the Board of Directors, our officers and all of our employees. The Code of Business Conduct and Ethics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Our Corporate Governance Standards and the charters of our four standing committees of the Board of Directors can also be found at this website. Printed copies of the foregoing are available to any shareholder requesting a copy by:</w:t>
      </w:r>
    </w:p>
    <w:p>
      <w:pPr>
        <w:spacing w:after="0" w:line="133"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writing to Investor Relations, Campbell Soup Company, 1 Campbell Place, Camden, NJ 08103-1799;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calling 1-800-840-2865;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e-mailing our Investor Relations Department at investorrelations@campbellsoup.com.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2019 Proxy is incorporated herein by reference.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2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presented in the sections entitled "Voting Securities and Principal Shareholders — Ownership of Directors and Executive Officers" and "Voting Securities and Principal Shareholders — Principal Shareholders" in the 2019 Proxy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stock that could have been issued under our equity compensation plans as of July 28, 2019:</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63" w:lineRule="exact"/>
        <w:rPr>
          <w:sz w:val="20"/>
          <w:szCs w:val="20"/>
          <w:color w:val="auto"/>
        </w:rPr>
      </w:pPr>
    </w:p>
    <w:p>
      <w:pPr>
        <w:ind w:left="60" w:right="840"/>
        <w:spacing w:after="0" w:line="311" w:lineRule="auto"/>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Equity Compensation Plans Not Approved by Security Holders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Options,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5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Rights (a)</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Column) (c)</w:t>
            </w: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7,203,299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21"/>
                <w:szCs w:val="21"/>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5,428,157</w:t>
            </w:r>
          </w:p>
        </w:tc>
        <w:tc>
          <w:tcPr>
            <w:tcW w:w="0" w:type="dxa"/>
            <w:vAlign w:val="bottom"/>
          </w:tcPr>
          <w:p>
            <w:pPr>
              <w:spacing w:after="0"/>
              <w:rPr>
                <w:sz w:val="1"/>
                <w:szCs w:val="1"/>
                <w:color w:val="auto"/>
              </w:rPr>
            </w:pPr>
          </w:p>
        </w:tc>
      </w:tr>
      <w:tr>
        <w:trPr>
          <w:trHeight w:val="270"/>
        </w:trPr>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7,203,299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20"/>
                <w:szCs w:val="20"/>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5,428,157</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-556895</wp:posOffset>
            </wp:positionV>
            <wp:extent cx="721233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-205105</wp:posOffset>
            </wp:positionV>
            <wp:extent cx="721233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460" w:space="720"/>
            <w:col w:w="5240"/>
          </w:cols>
          <w:pgMar w:left="240" w:top="1310" w:right="239" w:bottom="1440" w:gutter="0" w:footer="0" w:header="0"/>
          <w:type w:val="continuous"/>
        </w:sectPr>
      </w:pPr>
    </w:p>
    <w:p>
      <w:pPr>
        <w:jc w:val="both"/>
        <w:ind w:left="340" w:hanging="332"/>
        <w:spacing w:after="0" w:line="275" w:lineRule="auto"/>
        <w:tabs>
          <w:tab w:leader="none" w:pos="340" w:val="left"/>
        </w:tabs>
        <w:numPr>
          <w:ilvl w:val="0"/>
          <w:numId w:val="68"/>
        </w:numPr>
        <w:rPr>
          <w:rFonts w:ascii="Arial" w:cs="Arial" w:eastAsia="Arial" w:hAnsi="Arial"/>
          <w:sz w:val="22"/>
          <w:szCs w:val="22"/>
          <w:color w:val="auto"/>
          <w:vertAlign w:val="superscript"/>
        </w:rPr>
      </w:pPr>
      <w:r>
        <w:rPr>
          <w:rFonts w:ascii="Arial" w:cs="Arial" w:eastAsia="Arial" w:hAnsi="Arial"/>
          <w:sz w:val="16"/>
          <w:szCs w:val="16"/>
          <w:color w:val="auto"/>
        </w:rPr>
        <w:t>Column (a) represents stock options and restricted stock units outstanding under the 2015 Long-Term Incentive Plan and the 2005 Long-Term Incentive Plan. Column (a) includes 3,298,028 TSR performance restricted stock units and Free Cash Flow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the 2005 Long-Term Incentive Plan. Future equity awards under the 2015 Long-Term Incentive Plan may take the form of stock options, stock appreciation rights,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July 28,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presented in the section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2019 Proxy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2019 Proxy is incorporated herein by reference.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1"/>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Earnings for 2019, 2018 and 2017</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Comprehensive Income for 2019, 2018 and 2017</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Balance Sheets as of July 28, 2019 and July 29, 2018</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Cash Flows for 2019, 2018 and 2017</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Equity for 2019, 2018 and 2017</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Management's Report on Internal Control Over Financial Reporting</w:t>
      </w:r>
    </w:p>
    <w:p>
      <w:pPr>
        <w:sectPr>
          <w:pgSz w:w="11900" w:h="16838" w:orient="portrait"/>
          <w:cols w:equalWidth="0" w:num="1">
            <w:col w:w="11420"/>
          </w:cols>
          <w:pgMar w:left="240" w:top="1310"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310" w:right="239" w:bottom="1440" w:gutter="0" w:footer="0" w:header="0"/>
          <w:type w:val="continuous"/>
        </w:sectPr>
      </w:pPr>
    </w:p>
    <w:bookmarkStart w:id="91" w:name="page92"/>
    <w:bookmarkEnd w:id="91"/>
    <w:p>
      <w:pPr>
        <w:ind w:left="11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560" w:hanging="228"/>
        <w:spacing w:after="0"/>
        <w:tabs>
          <w:tab w:leader="none" w:pos="5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w:t>
      </w:r>
    </w:p>
    <w:p>
      <w:pPr>
        <w:spacing w:after="0" w:line="17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II - Valuation and Qualifying Accounts for 2019, 2018 and 2017</w:t>
      </w:r>
    </w:p>
    <w:p>
      <w:pPr>
        <w:spacing w:after="0" w:line="171" w:lineRule="exact"/>
        <w:rPr>
          <w:rFonts w:ascii="Arial" w:cs="Arial" w:eastAsia="Arial" w:hAnsi="Arial"/>
          <w:sz w:val="18"/>
          <w:szCs w:val="18"/>
          <w:b w:val="1"/>
          <w:bCs w:val="1"/>
          <w:i w:val="1"/>
          <w:iCs w:val="1"/>
          <w:color w:val="auto"/>
        </w:rPr>
      </w:pPr>
    </w:p>
    <w:p>
      <w:pPr>
        <w:ind w:left="560" w:hanging="228"/>
        <w:spacing w:after="0"/>
        <w:tabs>
          <w:tab w:leader="none" w:pos="5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Item 15(b) below.</w:t>
      </w:r>
    </w:p>
    <w:p>
      <w:pPr>
        <w:spacing w:after="0" w:line="171" w:lineRule="exact"/>
        <w:rPr>
          <w:sz w:val="20"/>
          <w:szCs w:val="20"/>
          <w:color w:val="auto"/>
        </w:rPr>
      </w:pPr>
    </w:p>
    <w:p>
      <w:pPr>
        <w:ind w:left="320" w:hanging="258"/>
        <w:spacing w:after="0"/>
        <w:tabs>
          <w:tab w:leader="none" w:pos="32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The Exhibit Index, which immediately precedes the signature page, is incorporated by reference into this Report.</w:t>
      </w:r>
    </w:p>
    <w:p>
      <w:pPr>
        <w:spacing w:after="0" w:line="194" w:lineRule="exact"/>
        <w:rPr>
          <w:rFonts w:ascii="Arial" w:cs="Arial" w:eastAsia="Arial" w:hAnsi="Arial"/>
          <w:sz w:val="16"/>
          <w:szCs w:val="16"/>
          <w:color w:val="auto"/>
        </w:rPr>
      </w:pPr>
    </w:p>
    <w:p>
      <w:pPr>
        <w:ind w:left="300" w:hanging="238"/>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Reference is made to Item 15(a)(2)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1314" w:right="1440" w:bottom="1440" w:gutter="0" w:footer="0" w:header="0"/>
        </w:sectPr>
      </w:pPr>
    </w:p>
    <w:bookmarkStart w:id="92" w:name="page93"/>
    <w:bookmarkEnd w:id="92"/>
    <w:p>
      <w:pPr>
        <w:jc w:val="center"/>
        <w:ind w:right="76"/>
        <w:spacing w:after="0"/>
        <w:rPr>
          <w:sz w:val="20"/>
          <w:szCs w:val="20"/>
          <w:color w:val="auto"/>
        </w:rPr>
      </w:pPr>
      <w:r>
        <w:rPr>
          <w:rFonts w:ascii="Arial" w:cs="Arial" w:eastAsia="Arial" w:hAnsi="Arial"/>
          <w:sz w:val="18"/>
          <w:szCs w:val="18"/>
          <w:color w:val="auto"/>
        </w:rPr>
        <w:t>INDEX TO EXHIBITS</w:t>
      </w:r>
    </w:p>
    <w:p>
      <w:pPr>
        <w:spacing w:after="0" w:line="387" w:lineRule="exact"/>
        <w:rPr>
          <w:sz w:val="20"/>
          <w:szCs w:val="20"/>
          <w:color w:val="auto"/>
        </w:rPr>
      </w:pPr>
    </w:p>
    <w:p>
      <w:pPr>
        <w:jc w:val="both"/>
        <w:ind w:left="1144" w:hanging="1144"/>
        <w:spacing w:after="0" w:line="264" w:lineRule="auto"/>
        <w:tabs>
          <w:tab w:leader="none" w:pos="1144" w:val="left"/>
        </w:tabs>
        <w:numPr>
          <w:ilvl w:val="0"/>
          <w:numId w:val="72"/>
        </w:numPr>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Stock and Asset Purchase Agreement, dated August 1, 2019, by and among Campbell Soup Company and Snacking Investments BidCo Pty</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Limited, is incorporated by reference to Exhibit 2.1 to Campbell's Form 8-K (SEC file number 1-3822) filed with the SEC on August 7,</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2019.</w:t>
        </w:r>
      </w:hyperlink>
    </w:p>
    <w:p>
      <w:pPr>
        <w:spacing w:after="0" w:line="137" w:lineRule="exact"/>
        <w:rPr>
          <w:rFonts w:ascii="Arial" w:cs="Arial" w:eastAsia="Arial" w:hAnsi="Arial"/>
          <w:sz w:val="18"/>
          <w:szCs w:val="18"/>
          <w:u w:val="single" w:color="auto"/>
          <w:color w:val="0000FF"/>
        </w:rPr>
      </w:pPr>
    </w:p>
    <w:tbl>
      <w:tblPr>
        <w:tblLayout w:type="fixed"/>
        <w:tblInd w:w="4"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3(a)</w:t>
            </w:r>
          </w:p>
        </w:tc>
        <w:tc>
          <w:tcPr>
            <w:tcW w:w="10140" w:type="dxa"/>
            <w:vAlign w:val="bottom"/>
            <w:gridSpan w:val="16"/>
          </w:tcPr>
          <w:p>
            <w:pPr>
              <w:spacing w:after="0"/>
              <w:rPr>
                <w:rFonts w:ascii="Arial" w:cs="Arial" w:eastAsia="Arial" w:hAnsi="Arial"/>
                <w:sz w:val="18"/>
                <w:szCs w:val="18"/>
                <w:color w:val="0000FF"/>
                <w:w w:val="94"/>
              </w:rPr>
            </w:pPr>
            <w:hyperlink r:id="rId25">
              <w:r>
                <w:rPr>
                  <w:rFonts w:ascii="Arial" w:cs="Arial" w:eastAsia="Arial" w:hAnsi="Arial"/>
                  <w:sz w:val="18"/>
                  <w:szCs w:val="18"/>
                  <w:color w:val="0000FF"/>
                  <w:w w:val="94"/>
                </w:rPr>
                <w:t>Campbell’s Restated Certificate of Incorporation, as amended through February 24, 1997, is incorporated by reference to Exhibit 3(i) to</w:t>
              </w:r>
            </w:hyperlink>
          </w:p>
        </w:tc>
      </w:tr>
      <w:tr>
        <w:trPr>
          <w:trHeight w:val="196"/>
        </w:trPr>
        <w:tc>
          <w:tcPr>
            <w:tcW w:w="1140" w:type="dxa"/>
            <w:vAlign w:val="bottom"/>
          </w:tcPr>
          <w:p>
            <w:pPr>
              <w:spacing w:after="0"/>
              <w:rPr>
                <w:sz w:val="17"/>
                <w:szCs w:val="17"/>
                <w:color w:val="auto"/>
              </w:rPr>
            </w:pPr>
          </w:p>
        </w:tc>
        <w:tc>
          <w:tcPr>
            <w:tcW w:w="64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Campbell’s Form 10-K (SEC file number 1-3822) for the fiscal year ended July 28, 2002.</w:t>
              </w:r>
            </w:hyperlink>
          </w:p>
        </w:tc>
        <w:tc>
          <w:tcPr>
            <w:tcW w:w="368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3(b)</w:t>
            </w:r>
          </w:p>
        </w:tc>
        <w:tc>
          <w:tcPr>
            <w:tcW w:w="10140" w:type="dxa"/>
            <w:vAlign w:val="bottom"/>
            <w:gridSpan w:val="16"/>
          </w:tcPr>
          <w:p>
            <w:pPr>
              <w:spacing w:after="0"/>
              <w:rPr>
                <w:rFonts w:ascii="Arial" w:cs="Arial" w:eastAsia="Arial" w:hAnsi="Arial"/>
                <w:sz w:val="18"/>
                <w:szCs w:val="18"/>
                <w:color w:val="0000FF"/>
                <w:w w:val="93"/>
              </w:rPr>
            </w:pPr>
            <w:hyperlink r:id="rId26">
              <w:r>
                <w:rPr>
                  <w:rFonts w:ascii="Arial" w:cs="Arial" w:eastAsia="Arial" w:hAnsi="Arial"/>
                  <w:sz w:val="18"/>
                  <w:szCs w:val="18"/>
                  <w:color w:val="0000FF"/>
                  <w:w w:val="93"/>
                </w:rPr>
                <w:t>By-Laws of Campbell Soup Company, amended and restated effective December 20, 2018, are incorporated by reference to Exhibit 3 to</w:t>
              </w:r>
            </w:hyperlink>
          </w:p>
        </w:tc>
      </w:tr>
      <w:tr>
        <w:trPr>
          <w:trHeight w:val="196"/>
        </w:trPr>
        <w:tc>
          <w:tcPr>
            <w:tcW w:w="1140" w:type="dxa"/>
            <w:vAlign w:val="bottom"/>
          </w:tcPr>
          <w:p>
            <w:pPr>
              <w:spacing w:after="0"/>
              <w:rPr>
                <w:sz w:val="17"/>
                <w:szCs w:val="17"/>
                <w:color w:val="auto"/>
              </w:rPr>
            </w:pPr>
          </w:p>
        </w:tc>
        <w:tc>
          <w:tcPr>
            <w:tcW w:w="66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Campbell's Form 8-K (SEC file number 1-3822) filed with the SEC on December 21, 2018.</w:t>
              </w:r>
            </w:hyperlink>
          </w:p>
        </w:tc>
        <w:tc>
          <w:tcPr>
            <w:tcW w:w="352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4(a)</w:t>
            </w:r>
          </w:p>
        </w:tc>
        <w:tc>
          <w:tcPr>
            <w:tcW w:w="10140" w:type="dxa"/>
            <w:vAlign w:val="bottom"/>
            <w:gridSpan w:val="16"/>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Indenture, dated November 24, 2008, between Campbell and The Bank of New York Mellon, as Trustee,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5"/>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Exhibit 4(a) to Campbell’s Registration Statement on Form S-3 (SEC file number 333-155626) filed with the SEC on November 24, 2008.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4(b)</w:t>
            </w:r>
          </w:p>
        </w:tc>
        <w:tc>
          <w:tcPr>
            <w:tcW w:w="10140" w:type="dxa"/>
            <w:vAlign w:val="bottom"/>
            <w:tcBorders>
              <w:bottom w:val="single" w:sz="8" w:color="0000FF"/>
            </w:tcBorders>
            <w:gridSpan w:val="16"/>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Form of First Supplemental Indenture, dated August 2, 2012, among Campbell, The Bank of New York Mellon and Wells Fargo Bank,</w:t>
              </w:r>
            </w:hyperlink>
          </w:p>
        </w:tc>
      </w:tr>
      <w:tr>
        <w:trPr>
          <w:trHeight w:val="196"/>
        </w:trPr>
        <w:tc>
          <w:tcPr>
            <w:tcW w:w="114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National Association, as Series Trustee, to Indenture dated November 24, 2008, is incorporated by reference to Exhibit 4.1 to Campbell's</w:t>
              </w:r>
            </w:hyperlink>
          </w:p>
        </w:tc>
      </w:tr>
      <w:tr>
        <w:trPr>
          <w:trHeight w:val="196"/>
        </w:trPr>
        <w:tc>
          <w:tcPr>
            <w:tcW w:w="1140" w:type="dxa"/>
            <w:vAlign w:val="bottom"/>
          </w:tcPr>
          <w:p>
            <w:pPr>
              <w:spacing w:after="0"/>
              <w:rPr>
                <w:sz w:val="17"/>
                <w:szCs w:val="17"/>
                <w:color w:val="auto"/>
              </w:rPr>
            </w:pPr>
          </w:p>
        </w:tc>
        <w:tc>
          <w:tcPr>
            <w:tcW w:w="54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Form 8-K (SEC file number 1-3822) filed with the SEC on August 2, 2012.</w:t>
              </w:r>
            </w:hyperlink>
          </w:p>
        </w:tc>
        <w:tc>
          <w:tcPr>
            <w:tcW w:w="468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4(c)</w:t>
            </w:r>
          </w:p>
        </w:tc>
        <w:tc>
          <w:tcPr>
            <w:tcW w:w="10140" w:type="dxa"/>
            <w:vAlign w:val="bottom"/>
            <w:gridSpan w:val="16"/>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Form of Subordinated Indenture between Campbell and Wells Fargo Bank, National Association, as Trustee,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5"/>
          </w:tcPr>
          <w:p>
            <w:pPr>
              <w:spacing w:after="0" w:line="196" w:lineRule="exact"/>
              <w:rPr>
                <w:rFonts w:ascii="Arial" w:cs="Arial" w:eastAsia="Arial" w:hAnsi="Arial"/>
                <w:sz w:val="18"/>
                <w:szCs w:val="18"/>
                <w:color w:val="0000FF"/>
                <w:w w:val="98"/>
              </w:rPr>
            </w:pPr>
            <w:hyperlink r:id="rId29">
              <w:r>
                <w:rPr>
                  <w:rFonts w:ascii="Arial" w:cs="Arial" w:eastAsia="Arial" w:hAnsi="Arial"/>
                  <w:sz w:val="18"/>
                  <w:szCs w:val="18"/>
                  <w:color w:val="0000FF"/>
                  <w:w w:val="98"/>
                </w:rPr>
                <w:t>Exhibit 4.2 to Campbell's Registration Statement on Form S-3 (SEC file number 333-219217) filed with the SEC on July 10,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4(d)</w:t>
            </w:r>
          </w:p>
        </w:tc>
        <w:tc>
          <w:tcPr>
            <w:tcW w:w="10140" w:type="dxa"/>
            <w:vAlign w:val="bottom"/>
            <w:gridSpan w:val="16"/>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Indenture dated as of March 19, 2015, between Campbell and Wells Fargo Bank, National Association, as trustee, is incorporated by</w:t>
              </w:r>
            </w:hyperlink>
          </w:p>
        </w:tc>
      </w:tr>
      <w:tr>
        <w:trPr>
          <w:trHeight w:val="196"/>
        </w:trPr>
        <w:tc>
          <w:tcPr>
            <w:tcW w:w="114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reference to Exhibit 4.1 to Campbell's Form 8-K (SEC file number 1-3822) filed with the SEC on March 19, 2015.</w:t>
              </w:r>
            </w:hyperlink>
          </w:p>
        </w:tc>
        <w:tc>
          <w:tcPr>
            <w:tcW w:w="18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4(e)</w:t>
            </w:r>
          </w:p>
        </w:tc>
        <w:tc>
          <w:tcPr>
            <w:tcW w:w="10140" w:type="dxa"/>
            <w:vAlign w:val="bottom"/>
            <w:tcBorders>
              <w:bottom w:val="single" w:sz="8" w:color="0000FF"/>
            </w:tcBorders>
            <w:gridSpan w:val="16"/>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Form of 4.250% Notes due 2021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the SEC on April 1, 2011.</w:t>
              </w:r>
            </w:hyperlink>
          </w:p>
        </w:tc>
        <w:tc>
          <w:tcPr>
            <w:tcW w:w="8280" w:type="dxa"/>
            <w:vAlign w:val="bottom"/>
            <w:gridSpan w:val="14"/>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4(f)</w:t>
            </w:r>
          </w:p>
        </w:tc>
        <w:tc>
          <w:tcPr>
            <w:tcW w:w="10140" w:type="dxa"/>
            <w:vAlign w:val="bottom"/>
            <w:tcBorders>
              <w:bottom w:val="single" w:sz="8" w:color="0000FF"/>
            </w:tcBorders>
            <w:gridSpan w:val="16"/>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Form of 2.500% Notes due 2022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the SEC on August 2, 2012.</w:t>
              </w:r>
            </w:hyperlink>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4(g)</w:t>
            </w:r>
          </w:p>
        </w:tc>
        <w:tc>
          <w:tcPr>
            <w:tcW w:w="10140" w:type="dxa"/>
            <w:vAlign w:val="bottom"/>
            <w:tcBorders>
              <w:bottom w:val="single" w:sz="8" w:color="0000FF"/>
            </w:tcBorders>
            <w:gridSpan w:val="16"/>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Form of 3.800% Notes due 2042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the SEC on August 2, 2012.</w:t>
              </w:r>
            </w:hyperlink>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4(h)</w:t>
            </w:r>
          </w:p>
        </w:tc>
        <w:tc>
          <w:tcPr>
            <w:tcW w:w="10140" w:type="dxa"/>
            <w:vAlign w:val="bottom"/>
            <w:gridSpan w:val="16"/>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Form of 3.300% Note due 2025 is incorporated by referenced to Exhibit 4.2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the SEC on March 19, 2015.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4(i)</w:t>
            </w:r>
          </w:p>
        </w:tc>
        <w:tc>
          <w:tcPr>
            <w:tcW w:w="10140" w:type="dxa"/>
            <w:vAlign w:val="bottom"/>
            <w:gridSpan w:val="16"/>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Floating Rate Note due 2020 is incorporated by reference to Exhibit 4.2.1 to Campbell's Form 8-K (SEC file number 1-3822) filed</w:t>
              </w:r>
            </w:hyperlink>
          </w:p>
        </w:tc>
      </w:tr>
      <w:tr>
        <w:trPr>
          <w:trHeight w:val="196"/>
        </w:trPr>
        <w:tc>
          <w:tcPr>
            <w:tcW w:w="114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with the SEC on March 16, 2018.</w:t>
              </w:r>
            </w:hyperlink>
          </w:p>
        </w:tc>
        <w:tc>
          <w:tcPr>
            <w:tcW w:w="770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4(j)</w:t>
            </w:r>
          </w:p>
        </w:tc>
        <w:tc>
          <w:tcPr>
            <w:tcW w:w="10140" w:type="dxa"/>
            <w:vAlign w:val="bottom"/>
            <w:gridSpan w:val="16"/>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Floating Rate Note due 2021 is incorporated by reference to Exhibit 4.2.2 to Campbell's Form 8-K (SEC file number 1-3822) filed</w:t>
              </w:r>
            </w:hyperlink>
          </w:p>
        </w:tc>
      </w:tr>
      <w:tr>
        <w:trPr>
          <w:trHeight w:val="196"/>
        </w:trPr>
        <w:tc>
          <w:tcPr>
            <w:tcW w:w="114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with the SEC on March 16, 2018.</w:t>
              </w:r>
            </w:hyperlink>
          </w:p>
        </w:tc>
        <w:tc>
          <w:tcPr>
            <w:tcW w:w="770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4(k)</w:t>
            </w:r>
          </w:p>
        </w:tc>
        <w:tc>
          <w:tcPr>
            <w:tcW w:w="10140" w:type="dxa"/>
            <w:vAlign w:val="bottom"/>
            <w:gridSpan w:val="16"/>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Form of 3.300% Note due 2021 is incorporated by reference to Exhibit 4.2.3 to Campbell's Form 8-K (SEC file number 1-3822) filed with</w:t>
              </w:r>
            </w:hyperlink>
          </w:p>
        </w:tc>
      </w:tr>
      <w:tr>
        <w:trPr>
          <w:trHeight w:val="196"/>
        </w:trPr>
        <w:tc>
          <w:tcPr>
            <w:tcW w:w="114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the SEC on March 16, 2018.</w:t>
              </w:r>
            </w:hyperlink>
          </w:p>
        </w:tc>
        <w:tc>
          <w:tcPr>
            <w:tcW w:w="80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4(l)</w:t>
            </w:r>
          </w:p>
        </w:tc>
        <w:tc>
          <w:tcPr>
            <w:tcW w:w="10140" w:type="dxa"/>
            <w:vAlign w:val="bottom"/>
            <w:gridSpan w:val="16"/>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Form of 3.650% Note due 2023 is incorporated by reference to Exhibit 4.2.4 to Campbell's Form 8-K (SEC file number 1-3822) filed with</w:t>
              </w:r>
            </w:hyperlink>
          </w:p>
        </w:tc>
      </w:tr>
      <w:tr>
        <w:trPr>
          <w:trHeight w:val="196"/>
        </w:trPr>
        <w:tc>
          <w:tcPr>
            <w:tcW w:w="114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the SEC on March 16, 2018.</w:t>
              </w:r>
            </w:hyperlink>
          </w:p>
        </w:tc>
        <w:tc>
          <w:tcPr>
            <w:tcW w:w="80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4(m)</w:t>
            </w:r>
          </w:p>
        </w:tc>
        <w:tc>
          <w:tcPr>
            <w:tcW w:w="10140" w:type="dxa"/>
            <w:vAlign w:val="bottom"/>
            <w:gridSpan w:val="16"/>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Form of 3.950% Note due 2025 is incorporated by reference to Exhibit 4.2.5 to Campbell's Form 8-K (SEC file number 1-3822) filed with</w:t>
              </w:r>
            </w:hyperlink>
          </w:p>
        </w:tc>
      </w:tr>
      <w:tr>
        <w:trPr>
          <w:trHeight w:val="196"/>
        </w:trPr>
        <w:tc>
          <w:tcPr>
            <w:tcW w:w="114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the SEC on March 16, 2018.</w:t>
              </w:r>
            </w:hyperlink>
          </w:p>
        </w:tc>
        <w:tc>
          <w:tcPr>
            <w:tcW w:w="80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4(n)</w:t>
            </w:r>
          </w:p>
        </w:tc>
        <w:tc>
          <w:tcPr>
            <w:tcW w:w="10140" w:type="dxa"/>
            <w:vAlign w:val="bottom"/>
            <w:gridSpan w:val="16"/>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Form of 4.150% Note due 2028 is incorporated by reference to Exhibit 4.2.6 to Campbell's Form 8-K (SEC file number 1-3822) filed with</w:t>
              </w:r>
            </w:hyperlink>
          </w:p>
        </w:tc>
      </w:tr>
      <w:tr>
        <w:trPr>
          <w:trHeight w:val="196"/>
        </w:trPr>
        <w:tc>
          <w:tcPr>
            <w:tcW w:w="114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the SEC on March 16, 2018.</w:t>
              </w:r>
            </w:hyperlink>
          </w:p>
        </w:tc>
        <w:tc>
          <w:tcPr>
            <w:tcW w:w="80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4(o)</w:t>
            </w:r>
          </w:p>
        </w:tc>
        <w:tc>
          <w:tcPr>
            <w:tcW w:w="10140" w:type="dxa"/>
            <w:vAlign w:val="bottom"/>
            <w:gridSpan w:val="16"/>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Form of 4.800% Note due 2048 is incorporated by reference to Exhibit 4.2.7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the SEC on March 16, 2018.</w:t>
              </w:r>
            </w:hyperlink>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4(p)</w:t>
            </w:r>
          </w:p>
        </w:tc>
        <w:tc>
          <w:tcPr>
            <w:tcW w:w="180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Description of securities.</w:t>
              </w:r>
            </w:hyperlink>
          </w:p>
        </w:tc>
        <w:tc>
          <w:tcPr>
            <w:tcW w:w="240" w:type="dxa"/>
            <w:vAlign w:val="bottom"/>
            <w:tcBorders>
              <w:top w:val="single" w:sz="8" w:color="0000FF"/>
            </w:tcBorders>
            <w:gridSpan w:val="3"/>
          </w:tcPr>
          <w:p>
            <w:pPr>
              <w:spacing w:after="0"/>
              <w:rPr>
                <w:sz w:val="24"/>
                <w:szCs w:val="24"/>
                <w:color w:val="auto"/>
              </w:rPr>
            </w:pPr>
          </w:p>
        </w:tc>
        <w:tc>
          <w:tcPr>
            <w:tcW w:w="8100" w:type="dxa"/>
            <w:vAlign w:val="bottom"/>
            <w:gridSpan w:val="12"/>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10(a)+</w:t>
            </w:r>
          </w:p>
        </w:tc>
        <w:tc>
          <w:tcPr>
            <w:tcW w:w="10140" w:type="dxa"/>
            <w:vAlign w:val="bottom"/>
            <w:gridSpan w:val="16"/>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Campbell Soup Company 2005 Long-Term Incentive Plan, as amended and restated on November 18, 2010,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Campbell’s 2010 Proxy Statement (SEC file number 1-3822) filed with the SEC on October 7, 2010.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gridSpan w:val="7"/>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w:t>
            </w:r>
          </w:p>
        </w:tc>
        <w:tc>
          <w:tcPr>
            <w:tcW w:w="10140" w:type="dxa"/>
            <w:vAlign w:val="bottom"/>
            <w:gridSpan w:val="16"/>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Campbell Soup Company 2015 Long-Term Incentive Plan is incorporated by reference to Campbell’s 2015 Proxy Statement (SEC file</w:t>
              </w:r>
            </w:hyperlink>
          </w:p>
        </w:tc>
      </w:tr>
      <w:tr>
        <w:trPr>
          <w:trHeight w:val="196"/>
        </w:trPr>
        <w:tc>
          <w:tcPr>
            <w:tcW w:w="114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number 1-3822) filed with the SEC on October 9, 2015.</w:t>
              </w:r>
            </w:hyperlink>
          </w:p>
        </w:tc>
        <w:tc>
          <w:tcPr>
            <w:tcW w:w="610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84"/>
          </w:cols>
          <w:pgMar w:left="356" w:top="1233" w:right="259" w:bottom="852" w:gutter="0" w:footer="0" w:header="0"/>
        </w:sectPr>
      </w:pPr>
    </w:p>
    <w:p>
      <w:pPr>
        <w:spacing w:after="0" w:line="164" w:lineRule="exact"/>
        <w:rPr>
          <w:sz w:val="20"/>
          <w:szCs w:val="20"/>
          <w:color w:val="auto"/>
        </w:rPr>
      </w:pPr>
    </w:p>
    <w:p>
      <w:pPr>
        <w:jc w:val="center"/>
        <w:ind w:right="96"/>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84"/>
          </w:cols>
          <w:pgMar w:left="356" w:top="1233" w:right="259" w:bottom="852" w:gutter="0" w:footer="0" w:header="0"/>
          <w:type w:val="continuous"/>
        </w:sectPr>
      </w:pPr>
    </w:p>
    <w:bookmarkStart w:id="93" w:name="page94"/>
    <w:bookmarkEnd w:id="93"/>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10(c)+</w:t>
            </w:r>
          </w:p>
        </w:tc>
        <w:tc>
          <w:tcPr>
            <w:tcW w:w="10140" w:type="dxa"/>
            <w:vAlign w:val="bottom"/>
            <w:gridSpan w:val="23"/>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Campbell Soup Company Annual Incentive Plan, as amended on November 19, 2014, is incorporated by reference to Campbell’s 2014</w:t>
              </w:r>
            </w:hyperlink>
          </w:p>
        </w:tc>
      </w:tr>
      <w:tr>
        <w:trPr>
          <w:trHeight w:val="196"/>
        </w:trPr>
        <w:tc>
          <w:tcPr>
            <w:tcW w:w="114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Proxy Statement (SEC file number 1-3822) filed with the SEC on October 1, 2014.</w:t>
              </w:r>
            </w:hyperlink>
          </w:p>
        </w:tc>
        <w:tc>
          <w:tcPr>
            <w:tcW w:w="414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10(d)+</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4"/>
              </w:rPr>
            </w:pPr>
            <w:hyperlink r:id="rId43">
              <w:r>
                <w:rPr>
                  <w:rFonts w:ascii="Arial" w:cs="Arial" w:eastAsia="Arial" w:hAnsi="Arial"/>
                  <w:sz w:val="18"/>
                  <w:szCs w:val="18"/>
                  <w:color w:val="0000FF"/>
                  <w:w w:val="94"/>
                </w:rPr>
                <w:t>Campbell Soup Company Mid-Career Hire Pension Plan, as amended and restated effective as of January 1, 2009, is incorporated by</w:t>
              </w:r>
            </w:hyperlink>
          </w:p>
        </w:tc>
      </w:tr>
      <w:tr>
        <w:trPr>
          <w:trHeight w:val="196"/>
        </w:trPr>
        <w:tc>
          <w:tcPr>
            <w:tcW w:w="1140" w:type="dxa"/>
            <w:vAlign w:val="bottom"/>
          </w:tcPr>
          <w:p>
            <w:pPr>
              <w:spacing w:after="0"/>
              <w:rPr>
                <w:sz w:val="17"/>
                <w:szCs w:val="17"/>
                <w:color w:val="auto"/>
              </w:rPr>
            </w:pPr>
          </w:p>
        </w:tc>
        <w:tc>
          <w:tcPr>
            <w:tcW w:w="90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reference to Exhibit 10(a) to Campbell’s Form 10-Q (SEC file number 1-3822) for the fiscal quarter ended February 1, 2009.</w:t>
              </w:r>
            </w:hyperlink>
          </w:p>
        </w:tc>
        <w:tc>
          <w:tcPr>
            <w:tcW w:w="1140" w:type="dxa"/>
            <w:vAlign w:val="bottom"/>
            <w:gridSpan w:val="6"/>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10(e)+</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First Amendment to the Campbell Soup Company Mid-Career Hire Pension Plan, effective as of December 31, 2010, is incorporated by</w:t>
              </w:r>
            </w:hyperlink>
          </w:p>
        </w:tc>
      </w:tr>
      <w:tr>
        <w:trPr>
          <w:trHeight w:val="196"/>
        </w:trPr>
        <w:tc>
          <w:tcPr>
            <w:tcW w:w="1140" w:type="dxa"/>
            <w:vAlign w:val="bottom"/>
          </w:tcPr>
          <w:p>
            <w:pPr>
              <w:spacing w:after="0"/>
              <w:rPr>
                <w:sz w:val="17"/>
                <w:szCs w:val="17"/>
                <w:color w:val="auto"/>
              </w:rPr>
            </w:pPr>
          </w:p>
        </w:tc>
        <w:tc>
          <w:tcPr>
            <w:tcW w:w="89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reference to Exhibit 10(a) to Campbell’s Form 10-Q (SEC file number 1-3822) for the fiscal quarter ended January 30, 2011.</w:t>
              </w:r>
            </w:hyperlink>
          </w:p>
        </w:tc>
        <w:tc>
          <w:tcPr>
            <w:tcW w:w="1160" w:type="dxa"/>
            <w:vAlign w:val="bottom"/>
            <w:gridSpan w:val="7"/>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10(f)+</w:t>
            </w:r>
          </w:p>
        </w:tc>
        <w:tc>
          <w:tcPr>
            <w:tcW w:w="10140" w:type="dxa"/>
            <w:vAlign w:val="bottom"/>
            <w:gridSpan w:val="23"/>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Deferred Compensation Plan, effective November 18, 1999, is incorporated herein by reference to Exhibit 10(e) to Campbell’s Form 10-K</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(SEC file number 1-3822) for the fiscal year ended July 30, 2000.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10(g)+</w:t>
            </w:r>
          </w:p>
        </w:tc>
        <w:tc>
          <w:tcPr>
            <w:tcW w:w="10140" w:type="dxa"/>
            <w:vAlign w:val="bottom"/>
            <w:gridSpan w:val="23"/>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Campbell Soup Company Supplemental Retirement Plan (formerly known as Deferred Compensation Plan II), as amended and restated</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effective as of August 1, 2015, is incorporated herein by reference to Exhibit 4(c) to Campbell’s Form S-8 (SEC file number 333-216582)</w:t>
              </w:r>
            </w:hyperlink>
          </w:p>
        </w:tc>
      </w:tr>
      <w:tr>
        <w:trPr>
          <w:trHeight w:val="196"/>
        </w:trPr>
        <w:tc>
          <w:tcPr>
            <w:tcW w:w="11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filed with the SEC on March 9, 2017.</w:t>
              </w:r>
            </w:hyperlink>
          </w:p>
        </w:tc>
        <w:tc>
          <w:tcPr>
            <w:tcW w:w="742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10(h)+</w:t>
            </w:r>
          </w:p>
        </w:tc>
        <w:tc>
          <w:tcPr>
            <w:tcW w:w="10140" w:type="dxa"/>
            <w:vAlign w:val="bottom"/>
            <w:gridSpan w:val="23"/>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Form of Severance Protection Agreement is incorporated by reference to Exhibit 10(i) to Campbell's Form 10-K (SEC file number 1-3822)</w:t>
              </w:r>
            </w:hyperlink>
          </w:p>
        </w:tc>
      </w:tr>
      <w:tr>
        <w:trPr>
          <w:trHeight w:val="196"/>
        </w:trPr>
        <w:tc>
          <w:tcPr>
            <w:tcW w:w="114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for the fiscal year ended July 30, 2017.</w:t>
              </w:r>
            </w:hyperlink>
          </w:p>
        </w:tc>
        <w:tc>
          <w:tcPr>
            <w:tcW w:w="732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10(i)+</w:t>
            </w:r>
          </w:p>
        </w:tc>
        <w:tc>
          <w:tcPr>
            <w:tcW w:w="10140" w:type="dxa"/>
            <w:vAlign w:val="bottom"/>
            <w:gridSpan w:val="23"/>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Form of Amendment to the Severance Protection Agreement is incorporated by reference to Exhibit 10(j) to Campbell's Form 10-K (SEC</w:t>
              </w:r>
            </w:hyperlink>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file number) for the fiscal year ended July 30, 2017.</w:t>
              </w:r>
            </w:hyperlink>
          </w:p>
        </w:tc>
        <w:tc>
          <w:tcPr>
            <w:tcW w:w="638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10(j)+</w:t>
            </w:r>
          </w:p>
        </w:tc>
        <w:tc>
          <w:tcPr>
            <w:tcW w:w="10140" w:type="dxa"/>
            <w:vAlign w:val="bottom"/>
            <w:gridSpan w:val="23"/>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U.S. Severance Protection Agreement is incorporated by reference to Exhibit 10(m) to Campbell’s Form 10-K (SEC file number 1-</w:t>
              </w:r>
            </w:hyperlink>
          </w:p>
        </w:tc>
      </w:tr>
      <w:tr>
        <w:trPr>
          <w:trHeight w:val="196"/>
        </w:trPr>
        <w:tc>
          <w:tcPr>
            <w:tcW w:w="11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3822) for the fiscal year ended July 31, 2011.</w:t>
              </w:r>
            </w:hyperlink>
          </w:p>
        </w:tc>
        <w:tc>
          <w:tcPr>
            <w:tcW w:w="686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10(k)+</w:t>
            </w:r>
          </w:p>
        </w:tc>
        <w:tc>
          <w:tcPr>
            <w:tcW w:w="10140" w:type="dxa"/>
            <w:vAlign w:val="bottom"/>
            <w:gridSpan w:val="23"/>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Form of Amendment to U.S. Severance Protection Agreement is incorporated by reference to Exhibit 10(o) to Campbell's Form 10-K (SEC</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file number 1-3822) for the fiscal year ended July 31, 2016.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10(l)+</w:t>
            </w:r>
          </w:p>
        </w:tc>
        <w:tc>
          <w:tcPr>
            <w:tcW w:w="10140" w:type="dxa"/>
            <w:vAlign w:val="bottom"/>
            <w:gridSpan w:val="23"/>
          </w:tcPr>
          <w:p>
            <w:pPr>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Campbell Soup Company Supplemental Employees’ Retirement Plan, as amended and restated effective January 1, 2009, is incorporated by</w:t>
              </w:r>
            </w:hyperlink>
          </w:p>
        </w:tc>
      </w:tr>
      <w:tr>
        <w:trPr>
          <w:trHeight w:val="196"/>
        </w:trPr>
        <w:tc>
          <w:tcPr>
            <w:tcW w:w="114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reference to Exhibit 10(c) to Campbell’s Form 10-Q (SEC file number 1-3822) for the fiscal quarter ended February 1, 2009.</w:t>
              </w:r>
            </w:hyperlink>
          </w:p>
        </w:tc>
        <w:tc>
          <w:tcPr>
            <w:tcW w:w="112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10(m)+</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6"/>
              </w:rPr>
            </w:pPr>
            <w:hyperlink r:id="rId52">
              <w:r>
                <w:rPr>
                  <w:rFonts w:ascii="Arial" w:cs="Arial" w:eastAsia="Arial" w:hAnsi="Arial"/>
                  <w:sz w:val="18"/>
                  <w:szCs w:val="18"/>
                  <w:color w:val="0000FF"/>
                  <w:w w:val="96"/>
                </w:rPr>
                <w:t>First Amendment to the Campbell Soup Company Supplemental Employees’ Retirement Plan, effective as of December 31, 2010, is</w:t>
              </w:r>
            </w:hyperlink>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23"/>
          </w:tcPr>
          <w:p>
            <w:pPr>
              <w:spacing w:after="0" w:line="19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incorporated by reference to Exhibit 10(c) to Campbell’s Form 10-Q (SEC file number 1-3822) for the fiscal quarter ended January 30,</w:t>
              </w:r>
            </w:hyperlink>
          </w:p>
        </w:tc>
      </w:tr>
      <w:tr>
        <w:trPr>
          <w:trHeight w:val="196"/>
        </w:trPr>
        <w:tc>
          <w:tcPr>
            <w:tcW w:w="114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2011.</w:t>
              </w:r>
            </w:hyperlink>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10(n)+</w:t>
            </w:r>
          </w:p>
        </w:tc>
        <w:tc>
          <w:tcPr>
            <w:tcW w:w="10140" w:type="dxa"/>
            <w:vAlign w:val="bottom"/>
            <w:gridSpan w:val="23"/>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Form of 2005 Long-Term Incentive Plan Nonqualified Stock Option Agreement is incorporated by reference to Exhibit 10 to Campbell's</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Form 10-Q (SEC file number 1-3822) for the fiscal quarter ended November 1, 2015.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10(o)+</w:t>
            </w:r>
          </w:p>
        </w:tc>
        <w:tc>
          <w:tcPr>
            <w:tcW w:w="10140" w:type="dxa"/>
            <w:vAlign w:val="bottom"/>
            <w:gridSpan w:val="23"/>
          </w:tcPr>
          <w:p>
            <w:pPr>
              <w:spacing w:after="0"/>
              <w:rPr>
                <w:rFonts w:ascii="Arial" w:cs="Arial" w:eastAsia="Arial" w:hAnsi="Arial"/>
                <w:sz w:val="18"/>
                <w:szCs w:val="18"/>
                <w:color w:val="0000FF"/>
              </w:rPr>
            </w:pPr>
            <w:hyperlink r:id="rId54">
              <w:r>
                <w:rPr>
                  <w:rFonts w:ascii="Arial" w:cs="Arial" w:eastAsia="Arial" w:hAnsi="Arial"/>
                  <w:sz w:val="18"/>
                  <w:szCs w:val="18"/>
                  <w:color w:val="0000FF"/>
                </w:rPr>
                <w:t>Form of 2015 Long-Term Incentive Plan Nonqualified Stock Option Agreement is incorporated by reference to Exhibit 10(dd)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Campbell's Form 10-K (SEC file number 1-3822) for the fiscal year ended July 31, 2016.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10(p)+</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Form of 2015 Long-Term Incentive Plan Performance Stock Unit Agreement (Earnings Per Share) is incorporated by reference to Exhibit</w:t>
              </w:r>
            </w:hyperlink>
          </w:p>
        </w:tc>
      </w:tr>
      <w:tr>
        <w:trPr>
          <w:trHeight w:val="196"/>
        </w:trPr>
        <w:tc>
          <w:tcPr>
            <w:tcW w:w="114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10(b) to Campbell's Form 10-Q (SEC file number 1-3822) for the fiscal quarter ended October 30, 2016.</w:t>
              </w:r>
            </w:hyperlink>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10(q)+</w:t>
            </w:r>
          </w:p>
        </w:tc>
        <w:tc>
          <w:tcPr>
            <w:tcW w:w="10140" w:type="dxa"/>
            <w:vAlign w:val="bottom"/>
            <w:gridSpan w:val="23"/>
          </w:tcPr>
          <w:p>
            <w:pPr>
              <w:spacing w:after="0"/>
              <w:rPr>
                <w:rFonts w:ascii="Arial" w:cs="Arial" w:eastAsia="Arial" w:hAnsi="Arial"/>
                <w:sz w:val="18"/>
                <w:szCs w:val="18"/>
                <w:color w:val="0000FF"/>
                <w:w w:val="94"/>
              </w:rPr>
            </w:pPr>
            <w:hyperlink r:id="rId56">
              <w:r>
                <w:rPr>
                  <w:rFonts w:ascii="Arial" w:cs="Arial" w:eastAsia="Arial" w:hAnsi="Arial"/>
                  <w:sz w:val="18"/>
                  <w:szCs w:val="18"/>
                  <w:color w:val="0000FF"/>
                  <w:w w:val="94"/>
                </w:rPr>
                <w:t>Form of 2015 Long-Term Incentive Plan Performance Stock Unit Agreement (Total Shareholder Return)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Exhibit 10(ff) to Campbell’s Form 10-K (SEC file number 1-3822) for the fiscal year ended July 31, 2016.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10(r)+</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Form of 2015 Long-Term Incentive Plan Time-Lapse Restricted Stock Unit Agreement is incorporated by reference to Exhibit 10(c) to</w:t>
              </w:r>
            </w:hyperlink>
          </w:p>
        </w:tc>
      </w:tr>
      <w:tr>
        <w:trPr>
          <w:trHeight w:val="196"/>
        </w:trPr>
        <w:tc>
          <w:tcPr>
            <w:tcW w:w="114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Campbell's Form 10-Q (SEC file number 1-3822) for the fiscal quarter ended October 30, 2016.</w:t>
              </w:r>
            </w:hyperlink>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040" w:type="dxa"/>
            <w:vAlign w:val="bottom"/>
            <w:gridSpan w:val="8"/>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10(s)+</w:t>
            </w:r>
          </w:p>
        </w:tc>
        <w:tc>
          <w:tcPr>
            <w:tcW w:w="10140" w:type="dxa"/>
            <w:vAlign w:val="bottom"/>
            <w:gridSpan w:val="23"/>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Campbell Soup Company Fiscal 2018 Long-Term Incentive Program Brochure is incorporated by reference to Exhibit 10(a) to Campbell's</w:t>
              </w:r>
            </w:hyperlink>
          </w:p>
        </w:tc>
      </w:tr>
      <w:tr>
        <w:trPr>
          <w:trHeight w:val="196"/>
        </w:trPr>
        <w:tc>
          <w:tcPr>
            <w:tcW w:w="114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Form 10-Q (SEC file number 1-3822) for the fiscal quarter ended October 29, 2017.</w:t>
              </w:r>
            </w:hyperlink>
          </w:p>
        </w:tc>
        <w:tc>
          <w:tcPr>
            <w:tcW w:w="406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10(t)+</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Severance Agreement and General Release executed April 30, 2018 by and between Mark R. Alexander and Campbell Soup Company is</w:t>
              </w:r>
            </w:hyperlink>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incorporated by reference to Exhibit 10(b) to Campbell's Form 10-Q (SEC file number 1-3822) for the fiscal quarter ended April 29, 2018.</w:t>
              </w:r>
            </w:hyperlink>
          </w:p>
        </w:tc>
        <w:tc>
          <w:tcPr>
            <w:tcW w:w="160" w:type="dxa"/>
            <w:vAlign w:val="bottom"/>
            <w:gridSpan w:val="3"/>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10(u)+</w:t>
            </w:r>
          </w:p>
        </w:tc>
        <w:tc>
          <w:tcPr>
            <w:tcW w:w="10140" w:type="dxa"/>
            <w:vAlign w:val="bottom"/>
            <w:gridSpan w:val="23"/>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Retirement Agreement and General Release executed May 18, 2018 by and between Denise M. Morrison and Campbell Soup Company is</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incorporated by reference to Exhibit 10(z) to Campbell's Form 10-K (SEC file number 1-3822) for the fiscal year ended July 29, 2018.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60" w:type="dxa"/>
            <w:vAlign w:val="bottom"/>
            <w:gridSpan w:val="1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10(v)+</w:t>
            </w:r>
          </w:p>
        </w:tc>
        <w:tc>
          <w:tcPr>
            <w:tcW w:w="10140" w:type="dxa"/>
            <w:vAlign w:val="bottom"/>
            <w:gridSpan w:val="23"/>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Amendment to Retirement Agreement and General Release executed May 30, 2018 by and between Denise M. Morrison and Campbell</w:t>
              </w:r>
            </w:hyperlink>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720" w:type="dxa"/>
            <w:vAlign w:val="bottom"/>
            <w:gridSpan w:val="17"/>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Soup Company is incorporated by reference to Exhibit 10(aa) to Campbell's Form 10-K (SEC file number 1-3822) for the fiscal year ended</w:t>
              </w:r>
            </w:hyperlink>
          </w:p>
        </w:tc>
      </w:tr>
      <w:tr>
        <w:trPr>
          <w:trHeight w:val="196"/>
        </w:trPr>
        <w:tc>
          <w:tcPr>
            <w:tcW w:w="1140" w:type="dxa"/>
            <w:vAlign w:val="bottom"/>
          </w:tcPr>
          <w:p>
            <w:pPr>
              <w:spacing w:after="0"/>
              <w:rPr>
                <w:sz w:val="17"/>
                <w:szCs w:val="17"/>
                <w:color w:val="auto"/>
              </w:rPr>
            </w:pPr>
          </w:p>
        </w:tc>
        <w:tc>
          <w:tcPr>
            <w:tcW w:w="10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July 29, 2018.</w:t>
              </w:r>
            </w:hyperlink>
          </w:p>
        </w:tc>
        <w:tc>
          <w:tcPr>
            <w:tcW w:w="9000" w:type="dxa"/>
            <w:vAlign w:val="bottom"/>
            <w:tcBorders>
              <w:top w:val="single" w:sz="8" w:color="0000FF"/>
            </w:tcBorders>
            <w:gridSpan w:val="19"/>
          </w:tcPr>
          <w:p>
            <w:pPr>
              <w:spacing w:after="0"/>
              <w:rPr>
                <w:sz w:val="17"/>
                <w:szCs w:val="17"/>
                <w:color w:val="auto"/>
              </w:rPr>
            </w:pPr>
          </w:p>
        </w:tc>
        <w:tc>
          <w:tcPr>
            <w:tcW w:w="12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80"/>
          </w:cols>
          <w:pgMar w:left="360" w:top="1440" w:right="259" w:bottom="1149" w:gutter="0" w:footer="0" w:header="0"/>
        </w:sectPr>
      </w:pP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80"/>
          </w:cols>
          <w:pgMar w:left="360" w:top="1440" w:right="259" w:bottom="1149" w:gutter="0" w:footer="0" w:header="0"/>
          <w:type w:val="continuous"/>
        </w:sectPr>
      </w:pPr>
    </w:p>
    <w:bookmarkStart w:id="94" w:name="page95"/>
    <w:bookmarkEnd w:id="94"/>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10(w)</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Five-Year Credit Agreement, dated December 9, 2016, by and among Campbell Soup Company, the eligible subsidiaries referred to therein,</w:t>
              </w:r>
            </w:hyperlink>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JPMorgan Chase Bank, N.A., as administrative agent, and the other lenders named therein, is incorporated by reference to Exhibit 10 to</w:t>
              </w:r>
            </w:hyperlink>
          </w:p>
        </w:tc>
      </w:tr>
      <w:tr>
        <w:trPr>
          <w:trHeight w:val="196"/>
        </w:trPr>
        <w:tc>
          <w:tcPr>
            <w:tcW w:w="1140" w:type="dxa"/>
            <w:vAlign w:val="bottom"/>
          </w:tcPr>
          <w:p>
            <w:pPr>
              <w:spacing w:after="0"/>
              <w:rPr>
                <w:sz w:val="17"/>
                <w:szCs w:val="17"/>
                <w:color w:val="auto"/>
              </w:rPr>
            </w:pPr>
          </w:p>
        </w:tc>
        <w:tc>
          <w:tcPr>
            <w:tcW w:w="66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Campbell's Form 8-K (SEC file number 1-3822) filed with the SEC on December 12, 2016.</w:t>
              </w:r>
            </w:hyperlink>
          </w:p>
        </w:tc>
        <w:tc>
          <w:tcPr>
            <w:tcW w:w="35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10(x)</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Three-Year Term Loan Credit Agreement, dated December 29, 2017, by and among Campbell Soup Company, Credit Suisse AG, Cayman</w:t>
              </w:r>
            </w:hyperlink>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Islands Branch, as administrative agent, and the other lenders named therein, is incorporated by reference to Exhibit 10 to Campbell's Form</w:t>
              </w:r>
            </w:hyperlink>
          </w:p>
        </w:tc>
      </w:tr>
      <w:tr>
        <w:trPr>
          <w:trHeight w:val="196"/>
        </w:trPr>
        <w:tc>
          <w:tcPr>
            <w:tcW w:w="1140" w:type="dxa"/>
            <w:vAlign w:val="bottom"/>
          </w:tcPr>
          <w:p>
            <w:pPr>
              <w:spacing w:after="0"/>
              <w:rPr>
                <w:sz w:val="17"/>
                <w:szCs w:val="17"/>
                <w:color w:val="auto"/>
              </w:rPr>
            </w:pPr>
          </w:p>
        </w:tc>
        <w:tc>
          <w:tcPr>
            <w:tcW w:w="10140" w:type="dxa"/>
            <w:vAlign w:val="bottom"/>
            <w:gridSpan w:val="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8-K (SEC file number 1-3822) filed with the SEC on December 29, 2017.</w:t>
              </w:r>
            </w:hyperlink>
          </w:p>
        </w:tc>
      </w:tr>
      <w:tr>
        <w:trPr>
          <w:trHeight w:val="20"/>
        </w:trPr>
        <w:tc>
          <w:tcPr>
            <w:tcW w:w="11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10(y)</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Amendment No. 1 to Three-Year Term Loan Credit Agreement, dated March 5, 2018, by and among Campbell Soup Company, Credit</w:t>
              </w:r>
            </w:hyperlink>
          </w:p>
        </w:tc>
      </w:tr>
      <w:tr>
        <w:trPr>
          <w:trHeight w:val="196"/>
        </w:trPr>
        <w:tc>
          <w:tcPr>
            <w:tcW w:w="1140" w:type="dxa"/>
            <w:vAlign w:val="bottom"/>
          </w:tcPr>
          <w:p>
            <w:pPr>
              <w:spacing w:after="0"/>
              <w:rPr>
                <w:sz w:val="17"/>
                <w:szCs w:val="17"/>
                <w:color w:val="auto"/>
              </w:rPr>
            </w:pPr>
          </w:p>
        </w:tc>
        <w:tc>
          <w:tcPr>
            <w:tcW w:w="10140" w:type="dxa"/>
            <w:vAlign w:val="bottom"/>
            <w:gridSpan w:val="9"/>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Suisse AG, Cayman Islands Branch, as administrative agent, and the other lenders named therein is incorporated by reference to Exhibit</w:t>
              </w:r>
            </w:hyperlink>
          </w:p>
        </w:tc>
      </w:tr>
      <w:tr>
        <w:trPr>
          <w:trHeight w:val="196"/>
        </w:trPr>
        <w:tc>
          <w:tcPr>
            <w:tcW w:w="1140" w:type="dxa"/>
            <w:vAlign w:val="bottom"/>
          </w:tcPr>
          <w:p>
            <w:pPr>
              <w:spacing w:after="0"/>
              <w:rPr>
                <w:sz w:val="17"/>
                <w:szCs w:val="17"/>
                <w:color w:val="auto"/>
              </w:rPr>
            </w:pPr>
          </w:p>
        </w:tc>
        <w:tc>
          <w:tcPr>
            <w:tcW w:w="73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10(a) to Campbell's Form 10-Q (SEC file number 1-3822) for the fiscal quarter ended April 29, 2018.</w:t>
              </w:r>
            </w:hyperlink>
          </w:p>
        </w:tc>
        <w:tc>
          <w:tcPr>
            <w:tcW w:w="280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10(z)</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Support Agreement, dated November 26, 2018, by and among Campbell Soup Company and Third Point LLC, Third Point Partners</w:t>
              </w:r>
            </w:hyperlink>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Qualified L.P., Third Point Partners L.P., Third Point Offshore Master Fund L.P., Third Point Ultra Master Fund L.P., Third Point Enhanced</w:t>
              </w:r>
            </w:hyperlink>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L.P., Third Point Advisors LLC, Third Point Advisors II LLC and the Revocable Trust of Goerge Strawbridge, Jr., dated January 21, 1991 is</w:t>
              </w:r>
            </w:hyperlink>
          </w:p>
        </w:tc>
      </w:tr>
      <w:tr>
        <w:trPr>
          <w:trHeight w:val="196"/>
        </w:trPr>
        <w:tc>
          <w:tcPr>
            <w:tcW w:w="1140" w:type="dxa"/>
            <w:vAlign w:val="bottom"/>
          </w:tcPr>
          <w:p>
            <w:pPr>
              <w:spacing w:after="0"/>
              <w:rPr>
                <w:sz w:val="17"/>
                <w:szCs w:val="17"/>
                <w:color w:val="auto"/>
              </w:rPr>
            </w:pPr>
          </w:p>
        </w:tc>
        <w:tc>
          <w:tcPr>
            <w:tcW w:w="98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incorporated by reference to Exhibit 10.1 to Campbell's Form 8-K (SEC file number 1-3822) filed with the SEC on November 26, 2018.</w:t>
              </w:r>
            </w:hyperlink>
          </w:p>
        </w:tc>
        <w:tc>
          <w:tcPr>
            <w:tcW w:w="320" w:type="dxa"/>
            <w:vAlign w:val="bottom"/>
            <w:gridSpan w:val="2"/>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10(aa)+</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2019 Non-Employee Director Fees are incorporated by reference to Exhibit 10(b) to Campbell's Form 10-Q (SEC file number 1-3822) for</w:t>
              </w:r>
            </w:hyperlink>
          </w:p>
        </w:tc>
      </w:tr>
      <w:tr>
        <w:trPr>
          <w:trHeight w:val="196"/>
        </w:trPr>
        <w:tc>
          <w:tcPr>
            <w:tcW w:w="1140" w:type="dxa"/>
            <w:vAlign w:val="bottom"/>
          </w:tcPr>
          <w:p>
            <w:pPr>
              <w:spacing w:after="0"/>
              <w:rPr>
                <w:sz w:val="17"/>
                <w:szCs w:val="17"/>
                <w:color w:val="auto"/>
              </w:rPr>
            </w:pPr>
          </w:p>
        </w:tc>
        <w:tc>
          <w:tcPr>
            <w:tcW w:w="30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the fiscal quarter ended October 28, 2018.</w:t>
              </w:r>
            </w:hyperlink>
          </w:p>
        </w:tc>
        <w:tc>
          <w:tcPr>
            <w:tcW w:w="7120" w:type="dxa"/>
            <w:vAlign w:val="bottom"/>
            <w:gridSpan w:val="8"/>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10(bb)+</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First Amendment to the Campbell Soup Company Supplemental Retirement Plan effective November 30, 2018 is incorporated by reference</w:t>
              </w:r>
            </w:hyperlink>
          </w:p>
        </w:tc>
      </w:tr>
      <w:tr>
        <w:trPr>
          <w:trHeight w:val="196"/>
        </w:trPr>
        <w:tc>
          <w:tcPr>
            <w:tcW w:w="1140" w:type="dxa"/>
            <w:vAlign w:val="bottom"/>
          </w:tcPr>
          <w:p>
            <w:pPr>
              <w:spacing w:after="0"/>
              <w:rPr>
                <w:sz w:val="17"/>
                <w:szCs w:val="17"/>
                <w:color w:val="auto"/>
              </w:rPr>
            </w:pPr>
          </w:p>
        </w:tc>
        <w:tc>
          <w:tcPr>
            <w:tcW w:w="10140" w:type="dxa"/>
            <w:vAlign w:val="bottom"/>
            <w:gridSpan w:val="9"/>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to Exhibit 10(b) to Campbell's Form 10-Q (SEC file number 1-3822) for the fiscal quarter ended January 27, 2019.</w:t>
              </w:r>
            </w:hyperlink>
          </w:p>
        </w:tc>
      </w:tr>
      <w:tr>
        <w:trPr>
          <w:trHeight w:val="20"/>
        </w:trPr>
        <w:tc>
          <w:tcPr>
            <w:tcW w:w="1140" w:type="dxa"/>
            <w:vAlign w:val="bottom"/>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10(cc)+</w:t>
            </w:r>
          </w:p>
        </w:tc>
        <w:tc>
          <w:tcPr>
            <w:tcW w:w="10140" w:type="dxa"/>
            <w:vAlign w:val="bottom"/>
            <w:gridSpan w:val="9"/>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Campbell Soup Company Executive Severance Pay Plan is incorporated by reference to Exhibit 10 to Campbell's Form 8-K (SEC file</w:t>
              </w:r>
            </w:hyperlink>
          </w:p>
        </w:tc>
      </w:tr>
      <w:tr>
        <w:trPr>
          <w:trHeight w:val="196"/>
        </w:trPr>
        <w:tc>
          <w:tcPr>
            <w:tcW w:w="114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number 1-3822) filed with the SEC on April 2, 2019.</w:t>
              </w:r>
            </w:hyperlink>
          </w:p>
        </w:tc>
        <w:tc>
          <w:tcPr>
            <w:tcW w:w="63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1260" w:hanging="1144"/>
        <w:spacing w:after="0"/>
        <w:tabs>
          <w:tab w:leader="none" w:pos="1260" w:val="left"/>
        </w:tabs>
        <w:numPr>
          <w:ilvl w:val="0"/>
          <w:numId w:val="73"/>
        </w:numPr>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Subsidiary List.</w:t>
        </w:r>
      </w:hyperlink>
    </w:p>
    <w:p>
      <w:pPr>
        <w:spacing w:after="0" w:line="198" w:lineRule="exact"/>
        <w:rPr>
          <w:sz w:val="20"/>
          <w:szCs w:val="20"/>
          <w:color w:val="auto"/>
        </w:rPr>
      </w:pPr>
    </w:p>
    <w:p>
      <w:pPr>
        <w:ind w:left="1260" w:hanging="1144"/>
        <w:spacing w:after="0"/>
        <w:tabs>
          <w:tab w:leader="none" w:pos="1260" w:val="left"/>
        </w:tabs>
        <w:numPr>
          <w:ilvl w:val="0"/>
          <w:numId w:val="74"/>
        </w:numPr>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Consent of Independent Registered Public Accounting Firm.</w:t>
        </w:r>
      </w:hyperlink>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4320" w:type="dxa"/>
            <w:vAlign w:val="bottom"/>
            <w:tcBorders>
              <w:bottom w:val="single" w:sz="8" w:color="0000FF"/>
            </w:tcBorders>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Certification of Mark A. Clouse pursuant to Rule 13a-14(a).</w:t>
              </w:r>
            </w:hyperlink>
          </w:p>
        </w:tc>
        <w:tc>
          <w:tcPr>
            <w:tcW w:w="1120" w:type="dxa"/>
            <w:vAlign w:val="bottom"/>
            <w:gridSpan w:val="3"/>
          </w:tcPr>
          <w:p>
            <w:pPr>
              <w:spacing w:after="0"/>
              <w:rPr>
                <w:sz w:val="18"/>
                <w:szCs w:val="18"/>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5440" w:type="dxa"/>
            <w:vAlign w:val="bottom"/>
            <w:gridSpan w:val="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Certification of Anthony P. DiSilvestro pursuant to Rule 13a-14(a).</w:t>
              </w:r>
            </w:hyperlink>
          </w:p>
        </w:tc>
      </w:tr>
      <w:tr>
        <w:trPr>
          <w:trHeight w:val="20"/>
        </w:trPr>
        <w:tc>
          <w:tcPr>
            <w:tcW w:w="11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49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06">
              <w:r>
                <w:rPr>
                  <w:rFonts w:ascii="Arial" w:cs="Arial" w:eastAsia="Arial" w:hAnsi="Arial"/>
                  <w:sz w:val="18"/>
                  <w:szCs w:val="18"/>
                  <w:color w:val="0000FF"/>
                  <w:w w:val="91"/>
                </w:rPr>
                <w:t>Certification of Mark A. Clouse pursuant to 18 U.S.C. Section 1350.</w:t>
              </w:r>
            </w:hyperlink>
          </w:p>
        </w:tc>
        <w:tc>
          <w:tcPr>
            <w:tcW w:w="500" w:type="dxa"/>
            <w:vAlign w:val="bottom"/>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54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Certification of Anthony P. DiSilvestro pursuant to 18 U.S.C. Section 1350.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440" w:right="25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Campbell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pacing w:after="0" w:line="16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9"/>
              </w:rPr>
              <w:t>CAMPBELL SOUP COMPANY</w:t>
            </w:r>
          </w:p>
        </w:tc>
      </w:tr>
      <w:tr>
        <w:trPr>
          <w:trHeight w:val="554"/>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 Anthony P. DiSilvestro</w:t>
            </w:r>
          </w:p>
        </w:tc>
      </w:tr>
      <w:tr>
        <w:trPr>
          <w:trHeight w:val="27"/>
        </w:trPr>
        <w:tc>
          <w:tcPr>
            <w:tcW w:w="2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Anthony P. DiSilvestro</w:t>
            </w:r>
          </w:p>
        </w:tc>
      </w:tr>
      <w:tr>
        <w:trPr>
          <w:trHeight w:val="256"/>
        </w:trPr>
        <w:tc>
          <w:tcPr>
            <w:tcW w:w="280" w:type="dxa"/>
            <w:vAlign w:val="bottom"/>
          </w:tcPr>
          <w:p>
            <w:pPr>
              <w:spacing w:after="0"/>
              <w:rPr>
                <w:sz w:val="22"/>
                <w:szCs w:val="22"/>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Financial Officer (Principal</w:t>
            </w:r>
          </w:p>
        </w:tc>
      </w:tr>
      <w:tr>
        <w:trPr>
          <w:trHeight w:val="230"/>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Financial Officer)</w:t>
            </w:r>
          </w:p>
        </w:tc>
      </w:tr>
    </w:tbl>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Campbell and in the capacities indicated on September 26, 2019.</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6646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300"/>
          </w:cols>
          <w:pgMar w:left="240" w:top="1228" w:right="359" w:bottom="244" w:gutter="0" w:footer="0" w:header="0"/>
        </w:sectPr>
      </w:pPr>
    </w:p>
    <w:p>
      <w:pPr>
        <w:spacing w:after="0" w:line="36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Mark A. Clouse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President and Chief Executive Officer and Director</w:t>
      </w:r>
    </w:p>
    <w:p>
      <w:pPr>
        <w:spacing w:after="0" w:line="8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Senior Vice President and Chief Financial Officer</w:t>
      </w:r>
    </w:p>
    <w:p>
      <w:pPr>
        <w:spacing w:after="0" w:line="7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Financial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Accounting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Keith R. McLoughlin</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Chair and 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Fabiola R. Arredondo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Fabiola R. Arredondo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Howard M. Averill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Howard M. Averill</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John P. Bilbrey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John P. Bilbrey</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Bennett Dorrance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Bennett Dorrance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Maria Teresa Hilado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Maria Teresa Hilado</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Sarah Hofstetter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Sarah Hofstetter</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Randall W. Larrimore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39370</wp:posOffset>
            </wp:positionV>
            <wp:extent cx="305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6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Randall W. Larrimore</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Marc B. Lautenbach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Marc B. Lautenbach</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Mary Alice D.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39370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6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Mary Alice D. Malone</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Kurt T.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Kurt T. Schmidt</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Nick Shreiber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Nick Shreiber</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/s/ Archbold D. van Beuren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46355</wp:posOffset>
            </wp:positionV>
            <wp:extent cx="305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Archbold D. van Beuren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820" w:space="720"/>
            <w:col w:w="3760"/>
          </w:cols>
          <w:pgMar w:left="240" w:top="1228" w:right="359" w:bottom="2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00"/>
          </w:cols>
          <w:pgMar w:left="240" w:top="1228" w:right="359" w:bottom="244"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July 28, 2019, July 29, 2018, and July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schedule of valuation and qualifying accounts should be read in conjunction with the Consolidated Financial Statements. These amounts exclude the Campbell Fresh operating segment and Campbell International, which were classified as part of Current assets of discontinued operations for the periods presented. See Note 3 to the Consolidated Financial Statements for additional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 to/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(Reduction in)</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28, 2019</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29, 2018</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30, 2017</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27"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The returns reserve is evaluated quarterly and adjusted accordingly. During each period, returns are charged to net sales in the Consolidated Statements of Earnings as incurred. Actual returns were approximately $107 in 2019, $104 in 2018, and $102 in 2017, or less than 2% of net sales.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2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description of the Capital Stock of Campbell Soup Company (the "Company") is a summary and does not purport to be complete. It is subject to and qualified in its entirety by reference to the Company's Restated Certificate of Incorporation, as amended (the "Certificate of Incorporation"), and the Company's Amended and Restated By-Laws (the "By-Laws"), each of which are incorporated by reference as an exhibit to the Annual Report on Form 10-K of which this Exhibit is a part. See the Certificate of Incorporation, the By-Laws and the applicable provisions of New Jersey Business Corporation Act, Title 14A,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Company's authorized shares consist of 560,000,000 shares of capital stock, $0.0375 par value per share ("Capital Stock"), and 40,000,000 shares of preferred stock issuable in one or more classes and series, with preferences, rights, restrictions and qualifications as established by the Board of Directors of the Company without shareholder approval, including voting, dividend, redemption, liquidation, sinking fund, conversion and other rights ("Preferred Stock"). No shares of preferred stock are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7"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holders of Capital Stock are entitled to one vote per share on all matters voted on by the shareholders, including the election of directors. Except as required by the Certificate of Incorporation or the rules or regulations of any stock exchange applicable to the Company, or as otherwise provided by law or pursuant to any regulation applicable to the Company or its securities, matters will generally be decided by a majority of the Capital Stock votes cast. The issuance of any shares of any series of preferred stock in future financings, acquisitions or otherwise may result in dilution of voting power of the holders of shares of Capital Stock. In addition, certain matters described below require approval of two-thirds of the Capital Stock votes cast.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holders of Capital Stock are entitled to receive dividends, if any, as may be declared from time to time by the Board of Directors of the Company in its discretion out of funds available, subject to the rights of any holders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holders of Capital Stock will share ratably in all assets available for distribution to shareholders in the event of dissolution, subject to the rights of any holders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Capital Stock has no sinking fund or redemption provisions or preemptive, conversion or exchange rights. There are no restrictions on transfer of our Capital Stock,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Provisions of Our Certificate of Incorporation or By-Laws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Certificate of Incorporation and/or By-Laws include the following provisions that may have an effect of delaying, deferring or preventing a change in control of the Company.</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Two-Thirds Stockholder Approval for Certain Corporate Action</w:t>
      </w:r>
      <w:r>
        <w:rPr>
          <w:rFonts w:ascii="Arial" w:cs="Arial" w:eastAsia="Arial" w:hAnsi="Arial"/>
          <w:sz w:val="18"/>
          <w:szCs w:val="18"/>
          <w:color w:val="auto"/>
        </w:rPr>
        <w:t>. Amendments to the Certificate of Incorporation, adoption of plans of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the sale of all or substantially all of the assets of the Company and dissolution of the Company require approval from two-thirds of the votes cast by the holders of all of the Company’s Capital Stock entitled to vote thereon, subject to the rights of any holders of Preferred Stock entitled to vote thereon.</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Effect of Preferred Stock</w:t>
      </w:r>
      <w:r>
        <w:rPr>
          <w:rFonts w:ascii="Arial" w:cs="Arial" w:eastAsia="Arial" w:hAnsi="Arial"/>
          <w:sz w:val="16"/>
          <w:szCs w:val="16"/>
          <w:color w:val="auto"/>
        </w:rPr>
        <w:t>. Our Board of Directors is authorized to approve the issuance of Preferred Stock without stockholder approval and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the designations and the relative preferences, rights, restrictions and qualifications of any class or series of Preferred Stock. As a result, our Board of Directors could, without stockholder approval, authorize the issuance of Preferred Stock with voting, dividend, redemption, liquidation, sinking fund, conversion and other rights that could proportionately reduce, minimize or otherwise adversely affect the voting power and other rights of holders of</w:t>
      </w:r>
    </w:p>
    <w:p>
      <w:pPr>
        <w:sectPr>
          <w:pgSz w:w="11900" w:h="16838" w:orient="portrait"/>
          <w:cols w:equalWidth="0" w:num="1">
            <w:col w:w="11420"/>
          </w:cols>
          <w:pgMar w:left="240" w:top="1012"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Capital Stock or other classes or series of Preferred Stock or that could have the effect of delaying, deferring or preventing a change in control.</w:t>
      </w:r>
    </w:p>
    <w:p>
      <w:pPr>
        <w:sectPr>
          <w:pgSz w:w="11900" w:h="16838" w:orient="portrait"/>
          <w:cols w:equalWidth="0" w:num="1">
            <w:col w:w="10300"/>
          </w:cols>
          <w:pgMar w:left="240" w:top="584" w:right="13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00" w:type="dxa"/>
            <w:vAlign w:val="bottom"/>
            <w:gridSpan w:val="2"/>
          </w:tcPr>
          <w:p>
            <w:pPr>
              <w:ind w:left="440"/>
              <w:spacing w:after="0"/>
              <w:rPr>
                <w:sz w:val="20"/>
                <w:szCs w:val="20"/>
                <w:color w:val="auto"/>
              </w:rPr>
            </w:pPr>
            <w:r>
              <w:rPr>
                <w:rFonts w:ascii="Arial" w:cs="Arial" w:eastAsia="Arial" w:hAnsi="Arial"/>
                <w:sz w:val="18"/>
                <w:szCs w:val="18"/>
                <w:b w:val="1"/>
                <w:bCs w:val="1"/>
                <w:color w:val="auto"/>
              </w:rPr>
              <w:t>SUBSIDIARY LIST</w:t>
            </w:r>
          </w:p>
        </w:tc>
      </w:tr>
      <w:tr>
        <w:trPr>
          <w:trHeight w:val="351"/>
        </w:trPr>
        <w:tc>
          <w:tcPr>
            <w:tcW w:w="4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41"/>
        </w:trPr>
        <w:tc>
          <w:tcPr>
            <w:tcW w:w="4460" w:type="dxa"/>
            <w:vAlign w:val="bottom"/>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660" w:type="dxa"/>
            <w:vAlign w:val="bottom"/>
            <w:shd w:val="clear" w:color="auto" w:fill="E6E6E6"/>
          </w:tcPr>
          <w:p>
            <w:pPr>
              <w:spacing w:after="0"/>
              <w:rPr>
                <w:sz w:val="24"/>
                <w:szCs w:val="24"/>
                <w:color w:val="auto"/>
              </w:rPr>
            </w:pPr>
          </w:p>
        </w:tc>
      </w:tr>
      <w:tr>
        <w:trPr>
          <w:trHeight w:val="266"/>
        </w:trPr>
        <w:tc>
          <w:tcPr>
            <w:tcW w:w="4460" w:type="dxa"/>
            <w:vAlign w:val="bottom"/>
            <w:tcBorders>
              <w:bottom w:val="single" w:sz="8" w:color="E6E6E6"/>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1240" w:type="dxa"/>
            <w:vAlign w:val="bottom"/>
            <w:tcBorders>
              <w:bottom w:val="single" w:sz="8" w:color="E6E6E6"/>
              <w:right w:val="single" w:sz="8" w:color="00000A"/>
            </w:tcBorders>
            <w:shd w:val="clear" w:color="auto" w:fill="E6E6E6"/>
          </w:tcPr>
          <w:p>
            <w:pPr>
              <w:spacing w:after="0"/>
              <w:rPr>
                <w:sz w:val="22"/>
                <w:szCs w:val="22"/>
                <w:color w:val="auto"/>
              </w:rPr>
            </w:pP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44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1035 Line Company</w:t>
            </w:r>
          </w:p>
        </w:tc>
        <w:tc>
          <w:tcPr>
            <w:tcW w:w="1240" w:type="dxa"/>
            <w:vAlign w:val="bottom"/>
            <w:tcBorders>
              <w:top w:val="single" w:sz="8" w:color="00000A"/>
              <w:bottom w:val="single" w:sz="8" w:color="CCEEFF"/>
              <w:right w:val="single" w:sz="8" w:color="00000A"/>
            </w:tcBorders>
            <w:shd w:val="clear" w:color="auto" w:fill="CCEEFF"/>
          </w:tcPr>
          <w:p>
            <w:pPr>
              <w:spacing w:after="0"/>
              <w:rPr>
                <w:sz w:val="22"/>
                <w:szCs w:val="22"/>
                <w:color w:val="auto"/>
              </w:rPr>
            </w:pP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3330472 Nova Scotia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 Australasia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 Company Singapore Pte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Biscuits Holdings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Biscuits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Foundation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New Zealand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Sales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Biscuits Holdings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Baptista’s Bakery,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Wisconsin</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CAH Corporation</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Argentina S.A.</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Argentina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Australasia Pty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Cheong Chan Malaysia Sdn. Bhd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Company of Canada</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EU Investment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Finance 2 Corp.</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Foods (NZ)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Foods UK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Foodservice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Pennsylvania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Hong Kong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International Holdings Inc.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Investment (Australia)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Investment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Japan Incorporated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Jin Bao Tang, Inc.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Pr>
          <w:p>
            <w:pPr>
              <w:spacing w:after="0"/>
              <w:rPr>
                <w:sz w:val="2"/>
                <w:szCs w:val="2"/>
                <w:color w:val="auto"/>
              </w:rPr>
            </w:pPr>
          </w:p>
        </w:tc>
        <w:tc>
          <w:tcPr>
            <w:tcW w:w="1240" w:type="dxa"/>
            <w:vAlign w:val="bottom"/>
            <w:tcBorders>
              <w:right w:val="single" w:sz="8" w:color="00000A"/>
            </w:tcBorders>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Luxembourg Holdings S.a.r.l.</w:t>
            </w:r>
          </w:p>
        </w:tc>
        <w:tc>
          <w:tcPr>
            <w:tcW w:w="1240" w:type="dxa"/>
            <w:vAlign w:val="bottom"/>
            <w:tcBorders>
              <w:bottom w:val="single" w:sz="8" w:color="CCEEFF"/>
              <w:right w:val="single" w:sz="8" w:color="00000A"/>
            </w:tcBorders>
            <w:shd w:val="clear" w:color="auto" w:fill="CCEEFF"/>
          </w:tcPr>
          <w:p>
            <w:pPr>
              <w:spacing w:after="0"/>
              <w:rPr>
                <w:sz w:val="23"/>
                <w:szCs w:val="23"/>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MFG 1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Sales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Asia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Soup Dominicana, S.A.</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Dominican Republic</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Supply Company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Southeast Asia Sdn Bhd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Swire (HK)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Swire (Xiamen) Co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Swire Equipment Leasing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U.S. Holdings, Inc.</w:t>
            </w:r>
          </w:p>
        </w:tc>
        <w:tc>
          <w:tcPr>
            <w:tcW w:w="1240" w:type="dxa"/>
            <w:vAlign w:val="bottom"/>
            <w:tcBorders>
              <w:bottom w:val="single" w:sz="8" w:color="CCEEFF"/>
              <w:right w:val="single" w:sz="8" w:color="00000A"/>
            </w:tcBorders>
            <w:shd w:val="clear" w:color="auto" w:fill="CCEEFF"/>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Campbell Urban Renewal Corporation</w:t>
            </w:r>
          </w:p>
        </w:tc>
        <w:tc>
          <w:tcPr>
            <w:tcW w:w="1240" w:type="dxa"/>
            <w:vAlign w:val="bottom"/>
            <w:tcBorders>
              <w:right w:val="single" w:sz="8" w:color="00000A"/>
            </w:tcBorders>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bl>
    <w:p>
      <w:pPr>
        <w:sectPr>
          <w:pgSz w:w="11900" w:h="16838" w:orient="portrait"/>
          <w:cols w:equalWidth="0" w:num="1">
            <w:col w:w="11380"/>
          </w:cols>
          <w:pgMar w:left="280" w:top="580"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5700" w:type="dxa"/>
            <w:vAlign w:val="bottom"/>
            <w:tcBorders>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5660" w:type="dxa"/>
            <w:vAlign w:val="bottom"/>
            <w:shd w:val="clear" w:color="auto" w:fill="E6E6E6"/>
          </w:tcPr>
          <w:p>
            <w:pPr>
              <w:spacing w:after="0"/>
              <w:rPr>
                <w:sz w:val="24"/>
                <w:szCs w:val="24"/>
                <w:color w:val="auto"/>
              </w:rPr>
            </w:pPr>
          </w:p>
        </w:tc>
      </w:tr>
      <w:tr>
        <w:trPr>
          <w:trHeight w:val="266"/>
        </w:trPr>
        <w:tc>
          <w:tcPr>
            <w:tcW w:w="5700" w:type="dxa"/>
            <w:vAlign w:val="bottom"/>
            <w:tcBorders>
              <w:bottom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5700" w:type="dxa"/>
            <w:vAlign w:val="bottom"/>
            <w:tcBorders>
              <w:top w:val="single" w:sz="8" w:color="00000A"/>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Campbell’s de Mexico S.A. de C. V.</w:t>
            </w: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CANEB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CanFin Holdings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CCHC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CIRT Urban Renewal Corp.</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Comercializadora Campbell de Guatemala, Limitada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Guatemala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CRHC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CSC Brands LP</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Insights,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CSC Standards,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DFKA Intermediate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DFKA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DFKA UK Holdings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Diamond Foods Brazil Holdings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Diamond Foods International Holdings BV</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Diamond of Europe GmbH</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Germany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EDS Investments,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EPL Properties Pty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Hazelton Parent,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Joseph Campbell Company</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Kettle Foods Holdings,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Kettle Foods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Kettle Foods,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Kettle Growers Services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Lani BVBA</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Belgium</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Late July Snacks,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Natural Food Works,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Pacific Foods Investments,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Pacific Foods of Oregon,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Pepperidge Farm, Incorporated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Connecticut</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Players Biscuits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Players Group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Plum, PBC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Plyfix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Princeton Vanguard,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PT Arnott’s Indonesia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Indonesia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Distribution Company,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AZ,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BB SRL</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Barbados</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EU,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FL,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GA,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IN,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IN-PS,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bl>
    <w:p>
      <w:pPr>
        <w:sectPr>
          <w:pgSz w:w="11900" w:h="16838" w:orient="portrait"/>
          <w:cols w:equalWidth="0" w:num="1">
            <w:col w:w="11360"/>
          </w:cols>
          <w:pgMar w:left="280" w:top="734" w:right="259" w:bottom="1440" w:gutter="0" w:footer="0" w:header="0"/>
        </w:sectPr>
      </w:pPr>
    </w:p>
    <w:bookmarkStart w:id="101" w:name="page102"/>
    <w:bookmarkEnd w:id="101"/>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441"/>
        </w:trPr>
        <w:tc>
          <w:tcPr>
            <w:tcW w:w="5700" w:type="dxa"/>
            <w:vAlign w:val="bottom"/>
            <w:tcBorders>
              <w:left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5660" w:type="dxa"/>
            <w:vAlign w:val="bottom"/>
            <w:shd w:val="clear" w:color="auto" w:fill="E6E6E6"/>
          </w:tcPr>
          <w:p>
            <w:pPr>
              <w:spacing w:after="0"/>
              <w:rPr>
                <w:sz w:val="24"/>
                <w:szCs w:val="24"/>
                <w:color w:val="auto"/>
              </w:rPr>
            </w:pPr>
          </w:p>
        </w:tc>
      </w:tr>
      <w:tr>
        <w:trPr>
          <w:trHeight w:val="266"/>
        </w:trPr>
        <w:tc>
          <w:tcPr>
            <w:tcW w:w="5700" w:type="dxa"/>
            <w:vAlign w:val="bottom"/>
            <w:tcBorders>
              <w:left w:val="single" w:sz="8" w:color="E6E6E6"/>
              <w:bottom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5700" w:type="dxa"/>
            <w:vAlign w:val="bottom"/>
            <w:tcBorders>
              <w:top w:val="single" w:sz="8" w:color="00000A"/>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Logistics, LLC</w:t>
            </w: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MA,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National,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NC,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S-L Snacks OH,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OR,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PA,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WI,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Snack Factory,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Snyder's-Lance,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Wimbledon Acquisition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Yellow Chips BV</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37"/>
        </w:trPr>
        <w:tc>
          <w:tcPr>
            <w:tcW w:w="5700" w:type="dxa"/>
            <w:vAlign w:val="bottom"/>
            <w:tcBorders>
              <w:left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Yellow Chips Holdings BV</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5700" w:type="dxa"/>
            <w:vAlign w:val="bottom"/>
            <w:tcBorders>
              <w:left w:val="single" w:sz="8" w:color="CCEEFF"/>
              <w:right w:val="single" w:sz="8" w:color="00000A"/>
            </w:tcBorders>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420"/>
          </w:cols>
          <w:pgMar w:left="240" w:top="73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333-219217) and Form S-8 (Nos. 333-216582, 333-208441, 333-173583, 333-173582, 333-160381, 333-157850, 333-134675, 333-22803, 333-00729 and 33-59797) of Campbell Soup Company of our report dated September 26, 2019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26, 2019</w:t>
      </w:r>
    </w:p>
    <w:p>
      <w:pPr>
        <w:sectPr>
          <w:pgSz w:w="11900" w:h="16838" w:orient="portrait"/>
          <w:cols w:equalWidth="0" w:num="1">
            <w:col w:w="11420"/>
          </w:cols>
          <w:pgMar w:left="240" w:top="553"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76"/>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2019</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Mark A. Clouse</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2019</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28, 2019 (the “Report”), I, Mark A. Clouse,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26, 2019</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28, 2019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26, 2019</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57"/>
    </w:lvl>
  </w:abstractNum>
  <w:abstractNum w:abstractNumId="7">
    <w:nsid w:val="1D4ED43B"/>
    <w:multiLevelType w:val="hybridMultilevel"/>
    <w:lvl w:ilvl="0">
      <w:lvlJc w:val="left"/>
      <w:lvlText w:val="%1"/>
      <w:numFmt w:val="decimal"/>
      <w:start w:val="52"/>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2"/>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decimal"/>
      <w:start w:val="5"/>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6"/>
    </w:lvl>
  </w:abstractNum>
  <w:abstractNum w:abstractNumId="44">
    <w:nsid w:val="61574095"/>
    <w:multiLevelType w:val="hybridMultilevel"/>
    <w:lvl w:ilvl="0">
      <w:lvlJc w:val="left"/>
      <w:lvlText w:val="%1."/>
      <w:numFmt w:val="decimal"/>
      <w:start w:val="7"/>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9"/>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2"/>
    </w:lvl>
  </w:abstractNum>
  <w:abstractNum w:abstractNumId="55">
    <w:nsid w:val="1381823A"/>
    <w:multiLevelType w:val="hybridMultilevel"/>
    <w:lvl w:ilvl="0">
      <w:lvlJc w:val="left"/>
      <w:lvlText w:val="(%1)"/>
      <w:numFmt w:val="decimal"/>
      <w:start w:val="1"/>
    </w:lvl>
    <w:lvl w:ilvl="1">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2"/>
    </w:lvl>
  </w:abstractNum>
  <w:abstractNum w:abstractNumId="58">
    <w:nsid w:val="6590700B"/>
    <w:multiLevelType w:val="hybridMultilevel"/>
    <w:lvl w:ilvl="0">
      <w:lvlJc w:val="left"/>
      <w:lvlText w:val="%1."/>
      <w:numFmt w:val="decimal"/>
      <w:start w:val="13"/>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6"/>
    </w:lvl>
    <w:lvl w:ilvl="1">
      <w:lvlJc w:val="left"/>
      <w:lvlText w:val="•"/>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lowerLetter"/>
      <w:start w:val="1"/>
    </w:lvl>
    <w:lvl w:ilvl="1">
      <w:lvlJc w:val="left"/>
      <w:lvlText w:val="%2."/>
      <w:numFmt w:val="decimal"/>
      <w:start w:val="1"/>
    </w:lvl>
  </w:abstractNum>
  <w:abstractNum w:abstractNumId="69">
    <w:nsid w:val="540A471C"/>
    <w:multiLevelType w:val="hybridMultilevel"/>
    <w:lvl w:ilvl="0">
      <w:lvlJc w:val="left"/>
      <w:lvlText w:val="%1."/>
      <w:numFmt w:val="decimal"/>
      <w:start w:val="2"/>
    </w:lvl>
    <w:lvl w:ilvl="1">
      <w:lvlJc w:val="left"/>
      <w:lvlText w:val="%2"/>
      <w:numFmt w:val="upperLetter"/>
      <w:start w:val="1"/>
    </w:lvl>
  </w:abstractNum>
  <w:abstractNum w:abstractNumId="70">
    <w:nsid w:val="7BD3EE7B"/>
    <w:multiLevelType w:val="hybridMultilevel"/>
    <w:lvl w:ilvl="0">
      <w:lvlJc w:val="left"/>
      <w:lvlText w:val="(%1)"/>
      <w:numFmt w:val="lowerLetter"/>
      <w:start w:val="2"/>
    </w:lvl>
  </w:abstractNum>
  <w:abstractNum w:abstractNumId="71">
    <w:nsid w:val="51D9C564"/>
    <w:multiLevelType w:val="hybridMultilevel"/>
    <w:lvl w:ilvl="0">
      <w:lvlJc w:val="left"/>
      <w:lvlText w:val="2"/>
      <w:numFmt w:val="bullet"/>
      <w:start w:val="1"/>
    </w:lvl>
  </w:abstractNum>
  <w:abstractNum w:abstractNumId="72">
    <w:nsid w:val="613EFDC5"/>
    <w:multiLevelType w:val="hybridMultilevel"/>
    <w:lvl w:ilvl="0">
      <w:lvlJc w:val="left"/>
      <w:lvlText w:val="%1"/>
      <w:numFmt w:val="decimal"/>
      <w:start w:val="21"/>
    </w:lvl>
  </w:abstractNum>
  <w:abstractNum w:abstractNumId="73">
    <w:nsid w:val="BF72B14"/>
    <w:multiLevelType w:val="hybridMultilevel"/>
    <w:lvl w:ilvl="0">
      <w:lvlJc w:val="left"/>
      <w:lvlText w:val="%1"/>
      <w:numFmt w:val="decimal"/>
      <w:start w:val="23"/>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69" Type="http://schemas.openxmlformats.org/officeDocument/2006/relationships/image" Target="media/image17.png"/><Relationship Id="rId70" Type="http://schemas.openxmlformats.org/officeDocument/2006/relationships/image" Target="media/image18.png"/><Relationship Id="rId71" Type="http://schemas.openxmlformats.org/officeDocument/2006/relationships/image" Target="media/image19.png"/><Relationship Id="rId72" Type="http://schemas.openxmlformats.org/officeDocument/2006/relationships/image" Target="media/image20.png"/><Relationship Id="rId73" Type="http://schemas.openxmlformats.org/officeDocument/2006/relationships/image" Target="media/image21.png"/><Relationship Id="rId74" Type="http://schemas.openxmlformats.org/officeDocument/2006/relationships/image" Target="media/image22.png"/><Relationship Id="rId75" Type="http://schemas.openxmlformats.org/officeDocument/2006/relationships/image" Target="media/image23.png"/><Relationship Id="rId76" Type="http://schemas.openxmlformats.org/officeDocument/2006/relationships/image" Target="media/image24.png"/><Relationship Id="rId77" Type="http://schemas.openxmlformats.org/officeDocument/2006/relationships/image" Target="media/image25.png"/><Relationship Id="rId78" Type="http://schemas.openxmlformats.org/officeDocument/2006/relationships/image" Target="media/image26.png"/><Relationship Id="rId79" Type="http://schemas.openxmlformats.org/officeDocument/2006/relationships/image" Target="media/image27.png"/><Relationship Id="rId80" Type="http://schemas.openxmlformats.org/officeDocument/2006/relationships/image" Target="media/image28.png"/><Relationship Id="rId81" Type="http://schemas.openxmlformats.org/officeDocument/2006/relationships/image" Target="media/image29.png"/><Relationship Id="rId82" Type="http://schemas.openxmlformats.org/officeDocument/2006/relationships/image" Target="media/image30.png"/><Relationship Id="rId83" Type="http://schemas.openxmlformats.org/officeDocument/2006/relationships/image" Target="media/image31.png"/><Relationship Id="rId84" Type="http://schemas.openxmlformats.org/officeDocument/2006/relationships/image" Target="media/image32.png"/><Relationship Id="rId85" Type="http://schemas.openxmlformats.org/officeDocument/2006/relationships/image" Target="media/image33.png"/><Relationship Id="rId86" Type="http://schemas.openxmlformats.org/officeDocument/2006/relationships/image" Target="media/image34.png"/><Relationship Id="rId87" Type="http://schemas.openxmlformats.org/officeDocument/2006/relationships/image" Target="media/image35.png"/><Relationship Id="rId88" Type="http://schemas.openxmlformats.org/officeDocument/2006/relationships/image" Target="media/image36.png"/><Relationship Id="rId89" Type="http://schemas.openxmlformats.org/officeDocument/2006/relationships/image" Target="media/image37.png"/><Relationship Id="rId90" Type="http://schemas.openxmlformats.org/officeDocument/2006/relationships/image" Target="media/image38.png"/><Relationship Id="rId24" Type="http://schemas.openxmlformats.org/officeDocument/2006/relationships/hyperlink" Target="http://www.sec.gov/Archives/edgar/data/16732/000095015919000116/exhibit2.htm" TargetMode="External"/><Relationship Id="rId25" Type="http://schemas.openxmlformats.org/officeDocument/2006/relationships/hyperlink" Target="http://www.sec.gov/Archives/edgar/data/16732/000089322002001206/w64292exv3wxiy.txt" TargetMode="External"/><Relationship Id="rId26" Type="http://schemas.openxmlformats.org/officeDocument/2006/relationships/hyperlink" Target="http://www.sec.gov/Archives/edgar/data/16732/000001673218000090/ex3by-laws.htm" TargetMode="External"/><Relationship Id="rId27" Type="http://schemas.openxmlformats.org/officeDocument/2006/relationships/hyperlink" Target="http://www.sec.gov/Archives/edgar/data/16732/000095010308002875/dp11895_ex4a.htm" TargetMode="External"/><Relationship Id="rId28" Type="http://schemas.openxmlformats.org/officeDocument/2006/relationships/hyperlink" Target="http://www.sec.gov/Archives/edgar/data/16732/000119312512330540/d385353dex41.htm" TargetMode="External"/><Relationship Id="rId29" Type="http://schemas.openxmlformats.org/officeDocument/2006/relationships/hyperlink" Target="http://www.sec.gov/Archives/edgar/data/16732/000120677417001975/campbell3278281-ex42.htm" TargetMode="External"/><Relationship Id="rId30" Type="http://schemas.openxmlformats.org/officeDocument/2006/relationships/hyperlink" Target="http://www.sec.gov/Archives/edgar/data/16732/000119312515097806/d801200dex41.htm" TargetMode="External"/><Relationship Id="rId31" Type="http://schemas.openxmlformats.org/officeDocument/2006/relationships/hyperlink" Target="http://www.sec.gov/Archives/edgar/data/16732/000119312511086670/dex41.htm" TargetMode="External"/><Relationship Id="rId32" Type="http://schemas.openxmlformats.org/officeDocument/2006/relationships/hyperlink" Target="http://www.sec.gov/Archives/edgar/data/16732/000119312515097806/d801200dex42.htm" TargetMode="External"/><Relationship Id="rId33" Type="http://schemas.openxmlformats.org/officeDocument/2006/relationships/hyperlink" Target="http://www.sec.gov/Archives/edgar/data/16732/000095015918000106/ex4-2_1.htm" TargetMode="External"/><Relationship Id="rId34" Type="http://schemas.openxmlformats.org/officeDocument/2006/relationships/hyperlink" Target="http://www.sec.gov/Archives/edgar/data/16732/000095015918000106/ex4-2_2.htm" TargetMode="External"/><Relationship Id="rId35" Type="http://schemas.openxmlformats.org/officeDocument/2006/relationships/hyperlink" Target="http://www.sec.gov/Archives/edgar/data/16732/000095015918000106/ex4-2_3.htm" TargetMode="External"/><Relationship Id="rId36" Type="http://schemas.openxmlformats.org/officeDocument/2006/relationships/hyperlink" Target="http://www.sec.gov/Archives/edgar/data/16732/000095015918000106/ex4-2_4.htm" TargetMode="External"/><Relationship Id="rId37" Type="http://schemas.openxmlformats.org/officeDocument/2006/relationships/hyperlink" Target="http://www.sec.gov/Archives/edgar/data/16732/000095015918000106/ex4-2_5.htm" TargetMode="External"/><Relationship Id="rId38" Type="http://schemas.openxmlformats.org/officeDocument/2006/relationships/hyperlink" Target="http://www.sec.gov/Archives/edgar/data/16732/000095015918000106/ex4-2_6.htm" TargetMode="External"/><Relationship Id="rId39" Type="http://schemas.openxmlformats.org/officeDocument/2006/relationships/hyperlink" Target="http://www.sec.gov/Archives/edgar/data/16732/000095015918000106/ex4-2_7.htm" TargetMode="External"/><Relationship Id="rId40" Type="http://schemas.openxmlformats.org/officeDocument/2006/relationships/hyperlink" Target="http://www.sec.gov/Archives/edgar/data/16732/000095012310092073/w79419def14a.htm" TargetMode="External"/><Relationship Id="rId41" Type="http://schemas.openxmlformats.org/officeDocument/2006/relationships/hyperlink" Target="http://www.sec.gov/Archives/edgar/data/16732/000119312515341359/d35422ddef14a.htm" TargetMode="External"/><Relationship Id="rId42" Type="http://schemas.openxmlformats.org/officeDocument/2006/relationships/hyperlink" Target="http://www.sec.gov/Archives/edgar/data/16732/000119312514360923/d773216ddef14a.htm" TargetMode="External"/><Relationship Id="rId43" Type="http://schemas.openxmlformats.org/officeDocument/2006/relationships/hyperlink" Target="http://www.sec.gov/Archives/edgar/data/16732/000089322009000515/w73131exv10wxay.htm" TargetMode="External"/><Relationship Id="rId44" Type="http://schemas.openxmlformats.org/officeDocument/2006/relationships/hyperlink" Target="http://www.sec.gov/Archives/edgar/data/16732/000095012311023447/w81833exv10wxay.htm" TargetMode="External"/><Relationship Id="rId45" Type="http://schemas.openxmlformats.org/officeDocument/2006/relationships/hyperlink" Target="http://www.sec.gov/Archives/edgar/data/16732/000089322000001180/w41784ex10-e.txt" TargetMode="External"/><Relationship Id="rId46" Type="http://schemas.openxmlformats.org/officeDocument/2006/relationships/hyperlink" Target="http://www.sec.gov/Archives/edgar/data/16732/000001673217000025/exhibit4c-campbellsoupcomp.htm" TargetMode="External"/><Relationship Id="rId47" Type="http://schemas.openxmlformats.org/officeDocument/2006/relationships/hyperlink" Target="http://www.sec.gov/Archives/edgar/data/16732/000001673217000058/cpb-7302017x10xkxexb10i.htm" TargetMode="External"/><Relationship Id="rId48" Type="http://schemas.openxmlformats.org/officeDocument/2006/relationships/hyperlink" Target="http://www.sec.gov/Archives/edgar/data/16732/000001673217000058/cpb-7302017x10xkxexb10j.htm" TargetMode="External"/><Relationship Id="rId49" Type="http://schemas.openxmlformats.org/officeDocument/2006/relationships/hyperlink" Target="http://www.sec.gov/Archives/edgar/data/16732/000095012311087197/w83891exv10wm.htm" TargetMode="External"/><Relationship Id="rId50" Type="http://schemas.openxmlformats.org/officeDocument/2006/relationships/hyperlink" Target="http://www.sec.gov/Archives/edgar/data/16732/000001673216000146/cpb-7312016x10xkxexb10o.htm" TargetMode="External"/><Relationship Id="rId51" Type="http://schemas.openxmlformats.org/officeDocument/2006/relationships/hyperlink" Target="http://www.sec.gov/Archives/edgar/data/16732/000089322009000515/w73131exv10wxcy.htm" TargetMode="External"/><Relationship Id="rId52" Type="http://schemas.openxmlformats.org/officeDocument/2006/relationships/hyperlink" Target="http://www.sec.gov/Archives/edgar/data/16732/000095012311023447/w81833exv10wxcy.htm" TargetMode="External"/><Relationship Id="rId53" Type="http://schemas.openxmlformats.org/officeDocument/2006/relationships/hyperlink" Target="http://www.sec.gov/Archives/edgar/data/16732/000001673215000059/cpb-1112015xexb10.htm" TargetMode="External"/><Relationship Id="rId54" Type="http://schemas.openxmlformats.org/officeDocument/2006/relationships/hyperlink" Target="http://www.sec.gov/Archives/edgar/data/16732/000001673216000146/cpb-7312046xexb10dd.htm" TargetMode="External"/><Relationship Id="rId55" Type="http://schemas.openxmlformats.org/officeDocument/2006/relationships/hyperlink" Target="http://www.sec.gov/Archives/edgar/data/16732/000001673216000173/cpb-10302016xexbx10b.htm" TargetMode="External"/><Relationship Id="rId56" Type="http://schemas.openxmlformats.org/officeDocument/2006/relationships/hyperlink" Target="http://www.sec.gov/Archives/edgar/data/16732/000001673216000146/cpb-7312016xexb10ff.htm" TargetMode="External"/><Relationship Id="rId57" Type="http://schemas.openxmlformats.org/officeDocument/2006/relationships/hyperlink" Target="http://www.sec.gov/Archives/edgar/data/16732/000001673216000173/cpb-10302016xexbx10c.htm" TargetMode="External"/><Relationship Id="rId58" Type="http://schemas.openxmlformats.org/officeDocument/2006/relationships/hyperlink" Target="http://www.sec.gov/Archives/edgar/data/16732/000001673217000085/f18longtermincentiveprog.htm" TargetMode="External"/><Relationship Id="rId59" Type="http://schemas.openxmlformats.org/officeDocument/2006/relationships/hyperlink" Target="http://www.sec.gov/Archives/edgar/data/16732/000001673218000050/cpb-4292018x10xqxexb10b.htm" TargetMode="External"/><Relationship Id="rId60" Type="http://schemas.openxmlformats.org/officeDocument/2006/relationships/hyperlink" Target="http://www.sec.gov/Archives/edgar/data/16732/000001673218000062/cpb-7292018x10xkxexb10z.htm" TargetMode="External"/><Relationship Id="rId61" Type="http://schemas.openxmlformats.org/officeDocument/2006/relationships/hyperlink" Target="http://www.sec.gov/Archives/edgar/data/16732/000001673218000062/cpb-7292018x10xkxexb10aa.htm" TargetMode="External"/><Relationship Id="rId62" Type="http://schemas.openxmlformats.org/officeDocument/2006/relationships/hyperlink" Target="http://www.sec.gov/Archives/edgar/data/16732/000001673216000176/fiveyearcreditagreement.htm" TargetMode="External"/><Relationship Id="rId63" Type="http://schemas.openxmlformats.org/officeDocument/2006/relationships/hyperlink" Target="http://www.sec.gov/Archives/edgar/data/16732/000095015917000282/ex10.htm" TargetMode="External"/><Relationship Id="rId64" Type="http://schemas.openxmlformats.org/officeDocument/2006/relationships/hyperlink" Target="http://www.sec.gov/Archives/edgar/data/16732/000001673218000050/cpb-4292018x10xqxexb10a.htm" TargetMode="External"/><Relationship Id="rId65" Type="http://schemas.openxmlformats.org/officeDocument/2006/relationships/hyperlink" Target="http://www.sec.gov/Archives/edgar/data/16732/000095015918000521/ex10-1.htm" TargetMode="External"/><Relationship Id="rId66" Type="http://schemas.openxmlformats.org/officeDocument/2006/relationships/hyperlink" Target="http://www.sec.gov/Archives/edgar/data/16732/000001673218000085/cpb-10282018x10xqxexb10b.htm" TargetMode="External"/><Relationship Id="rId67" Type="http://schemas.openxmlformats.org/officeDocument/2006/relationships/hyperlink" Target="http://www.sec.gov/Archives/edgar/data/16732/000001673219000024/cpb-10282018x10xqxexb10b.htm" TargetMode="External"/><Relationship Id="rId68" Type="http://schemas.openxmlformats.org/officeDocument/2006/relationships/hyperlink" Target="http://www.sec.gov/Archives/edgar/data/16732/000162828019003777/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2019-12-28T06:15:36Z</dcterms:created>
  <dcterms:modified xsi:type="dcterms:W3CDTF">2019-12-28T06:15:36Z</dcterms:modified>
</cp:coreProperties>
</file>