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657" w:right="239" w:bottom="1440" w:gutter="0" w:footer="0" w:header="0"/>
        </w:sectPr>
      </w:pPr>
    </w:p>
    <w:p>
      <w:pPr>
        <w:spacing w:after="0" w:line="394"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April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7320" w:space="720"/>
            <w:col w:w="3380"/>
          </w:cols>
          <w:pgMar w:left="240" w:top="65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CAMPBELL SOUP COMPANY</w:t>
      </w:r>
    </w:p>
    <w:p>
      <w:pPr>
        <w:spacing w:after="0" w:line="187"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New Jersey</w:t>
            </w: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360" w:type="dxa"/>
            <w:vAlign w:val="bottom"/>
          </w:tcPr>
          <w:p>
            <w:pPr>
              <w:jc w:val="right"/>
              <w:ind w:right="1010"/>
              <w:spacing w:after="0"/>
              <w:rPr>
                <w:sz w:val="20"/>
                <w:szCs w:val="20"/>
                <w:color w:val="auto"/>
              </w:rPr>
            </w:pPr>
            <w:r>
              <w:rPr>
                <w:rFonts w:ascii="Arial" w:cs="Arial" w:eastAsia="Arial" w:hAnsi="Arial"/>
                <w:sz w:val="18"/>
                <w:szCs w:val="18"/>
                <w:b w:val="1"/>
                <w:bCs w:val="1"/>
                <w:color w:val="auto"/>
              </w:rPr>
              <w:t>21-0419870</w:t>
            </w:r>
          </w:p>
        </w:tc>
      </w:tr>
      <w:tr>
        <w:trPr>
          <w:trHeight w:val="270"/>
        </w:trPr>
        <w:tc>
          <w:tcPr>
            <w:tcW w:w="126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State of Incorporation</w:t>
            </w:r>
          </w:p>
        </w:tc>
        <w:tc>
          <w:tcPr>
            <w:tcW w:w="1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360" w:type="dxa"/>
            <w:vAlign w:val="bottom"/>
          </w:tcPr>
          <w:p>
            <w:pPr>
              <w:jc w:val="center"/>
              <w:ind w:left="210"/>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441"/>
        </w:trPr>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1 Campbell Place</w:t>
            </w:r>
          </w:p>
        </w:tc>
        <w:tc>
          <w:tcPr>
            <w:tcW w:w="336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40" w:type="dxa"/>
            <w:vAlign w:val="bottom"/>
            <w:gridSpan w:val="3"/>
          </w:tcPr>
          <w:p>
            <w:pPr>
              <w:jc w:val="center"/>
              <w:ind w:right="2730"/>
              <w:spacing w:after="0"/>
              <w:rPr>
                <w:sz w:val="20"/>
                <w:szCs w:val="20"/>
                <w:color w:val="auto"/>
              </w:rPr>
            </w:pPr>
            <w:r>
              <w:rPr>
                <w:rFonts w:ascii="Arial" w:cs="Arial" w:eastAsia="Arial" w:hAnsi="Arial"/>
                <w:sz w:val="18"/>
                <w:szCs w:val="18"/>
                <w:b w:val="1"/>
                <w:bCs w:val="1"/>
                <w:color w:val="auto"/>
                <w:w w:val="90"/>
              </w:rPr>
              <w:t>Camden, New Jersey 08103-1799</w:t>
            </w:r>
          </w:p>
        </w:tc>
      </w:tr>
      <w:tr>
        <w:trPr>
          <w:trHeight w:val="230"/>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40" w:type="dxa"/>
            <w:vAlign w:val="bottom"/>
            <w:gridSpan w:val="3"/>
          </w:tcPr>
          <w:p>
            <w:pPr>
              <w:jc w:val="center"/>
              <w:ind w:right="2730"/>
              <w:spacing w:after="0"/>
              <w:rPr>
                <w:sz w:val="20"/>
                <w:szCs w:val="20"/>
                <w:color w:val="auto"/>
              </w:rPr>
            </w:pPr>
            <w:r>
              <w:rPr>
                <w:rFonts w:ascii="Arial" w:cs="Arial" w:eastAsia="Arial" w:hAnsi="Arial"/>
                <w:sz w:val="18"/>
                <w:szCs w:val="18"/>
                <w:i w:val="1"/>
                <w:iCs w:val="1"/>
                <w:color w:val="auto"/>
                <w:w w:val="92"/>
              </w:rPr>
              <w:t>Principal Executive Offices</w:t>
            </w:r>
          </w:p>
        </w:tc>
      </w:tr>
      <w:tr>
        <w:trPr>
          <w:trHeight w:val="432"/>
        </w:trPr>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40" w:type="dxa"/>
            <w:vAlign w:val="bottom"/>
            <w:gridSpan w:val="3"/>
          </w:tcPr>
          <w:p>
            <w:pPr>
              <w:jc w:val="center"/>
              <w:ind w:right="2730"/>
              <w:spacing w:after="0"/>
              <w:rPr>
                <w:sz w:val="20"/>
                <w:szCs w:val="20"/>
                <w:color w:val="auto"/>
              </w:rPr>
            </w:pPr>
            <w:r>
              <w:rPr>
                <w:rFonts w:ascii="Arial" w:cs="Arial" w:eastAsia="Arial" w:hAnsi="Arial"/>
                <w:sz w:val="18"/>
                <w:szCs w:val="18"/>
                <w:b w:val="1"/>
                <w:bCs w:val="1"/>
                <w:color w:val="auto"/>
                <w:w w:val="90"/>
              </w:rPr>
              <w:t>Telephone Number: (856) 342-4800</w:t>
            </w:r>
          </w:p>
        </w:tc>
      </w:tr>
      <w:tr>
        <w:trPr>
          <w:trHeight w:val="378"/>
        </w:trPr>
        <w:tc>
          <w:tcPr>
            <w:tcW w:w="63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360" w:type="dxa"/>
            <w:vAlign w:val="bottom"/>
          </w:tcPr>
          <w:p>
            <w:pPr>
              <w:spacing w:after="0"/>
              <w:rPr>
                <w:sz w:val="24"/>
                <w:szCs w:val="24"/>
                <w:color w:val="auto"/>
              </w:rPr>
            </w:pPr>
          </w:p>
        </w:tc>
      </w:tr>
      <w:tr>
        <w:trPr>
          <w:trHeight w:val="338"/>
        </w:trPr>
        <w:tc>
          <w:tcPr>
            <w:tcW w:w="126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91"/>
        </w:trPr>
        <w:tc>
          <w:tcPr>
            <w:tcW w:w="3860" w:type="dxa"/>
            <w:vAlign w:val="bottom"/>
            <w:gridSpan w:val="3"/>
          </w:tcPr>
          <w:p>
            <w:pPr>
              <w:jc w:val="center"/>
              <w:spacing w:after="0"/>
              <w:rPr>
                <w:sz w:val="20"/>
                <w:szCs w:val="20"/>
                <w:color w:val="auto"/>
              </w:rPr>
            </w:pPr>
            <w:r>
              <w:rPr>
                <w:rFonts w:ascii="Arial" w:cs="Arial" w:eastAsia="Arial" w:hAnsi="Arial"/>
                <w:sz w:val="18"/>
                <w:szCs w:val="18"/>
                <w:color w:val="auto"/>
                <w:w w:val="91"/>
              </w:rPr>
              <w:t>Capital Stock, par value $.0375</w:t>
            </w:r>
          </w:p>
        </w:tc>
        <w:tc>
          <w:tcPr>
            <w:tcW w:w="248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CPB</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333333"/>
        </w:rPr>
        <w:t>☐</w:t>
      </w:r>
      <w:r>
        <w:rPr>
          <w:rFonts w:ascii="Arial" w:cs="Arial" w:eastAsia="Arial" w:hAnsi="Arial"/>
          <w:sz w:val="17"/>
          <w:szCs w:val="17"/>
          <w:color w:val="auto"/>
        </w:rPr>
        <w:t xml:space="preserve"> No</w:t>
      </w:r>
    </w:p>
    <w:p>
      <w:pPr>
        <w:spacing w:after="0" w:line="7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57"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657"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657"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57" w:right="239" w:bottom="1440" w:gutter="0" w:footer="0" w:header="0"/>
          <w:type w:val="continuous"/>
        </w:sectPr>
      </w:pPr>
    </w:p>
    <w:p>
      <w:pPr>
        <w:spacing w:after="0" w:line="13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380"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There were 301,149,903 shares of capital stock outstanding as of May 29, 2019.</w:t>
      </w:r>
    </w:p>
    <w:p>
      <w:pPr>
        <w:sectPr>
          <w:pgSz w:w="11900" w:h="16838" w:orient="portrait"/>
          <w:cols w:equalWidth="0" w:num="1">
            <w:col w:w="11420"/>
          </w:cols>
          <w:pgMar w:left="240" w:top="65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1.</w:t>
              </w:r>
            </w:hyperlink>
          </w:p>
        </w:tc>
        <w:tc>
          <w:tcPr>
            <w:tcW w:w="7520" w:type="dxa"/>
            <w:vAlign w:val="bottom"/>
            <w:gridSpan w:val="3"/>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260" w:type="dxa"/>
            <w:vAlign w:val="bottom"/>
          </w:tcPr>
          <w:p>
            <w:pPr>
              <w:ind w:left="108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1220" w:type="dxa"/>
            <w:vAlign w:val="bottom"/>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3"/>
                <w:szCs w:val="13"/>
                <w:color w:val="auto"/>
              </w:rPr>
            </w:pPr>
          </w:p>
        </w:tc>
        <w:tc>
          <w:tcPr>
            <w:tcW w:w="94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5,743</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67"/>
        </w:trPr>
        <w:tc>
          <w:tcPr>
            <w:tcW w:w="6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304"/>
        </w:trPr>
        <w:tc>
          <w:tcPr>
            <w:tcW w:w="652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Net earnings (loss) attributable to Campbell Soup Company </w:t>
            </w:r>
            <w:r>
              <w:rPr>
                <w:rFonts w:ascii="Arial" w:cs="Arial" w:eastAsia="Arial" w:hAnsi="Arial"/>
                <w:sz w:val="25"/>
                <w:szCs w:val="25"/>
                <w:b w:val="1"/>
                <w:bCs w:val="1"/>
                <w:color w:val="auto"/>
                <w:vertAlign w:val="superscript"/>
              </w:rPr>
              <w:t>(1)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Sum of the individual amounts may not add due to rounding.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1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April 28, 2019</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April 29, 2018</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cost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April 28, 2019</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April 29, 2018</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credit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April 28,</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29,</w:t>
            </w:r>
          </w:p>
        </w:tc>
      </w:tr>
      <w:tr>
        <w:trPr>
          <w:trHeight w:val="192"/>
        </w:trPr>
        <w:tc>
          <w:tcPr>
            <w:tcW w:w="7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753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884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220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2,161</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Plant assets, net of depreciation</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2,769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2,820</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4,702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4,580</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3,587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3,815</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($78 as of 2019 and $77 as of 2018 attributable to variable interest entity)</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346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798</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13,768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14,529</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1,773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841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814</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672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100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3,511</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7,507</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7,998</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990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519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12,531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13,156</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2,224</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(174)</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1,228</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1,237</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13,768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14,529</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9"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300"/>
        <w:spacing w:after="0"/>
        <w:tabs>
          <w:tab w:leader="none" w:pos="540" w:val="left"/>
        </w:tabs>
        <w:rPr>
          <w:sz w:val="20"/>
          <w:szCs w:val="20"/>
          <w:color w:val="auto"/>
        </w:rPr>
      </w:pPr>
      <w:r>
        <w:rPr>
          <w:rFonts w:ascii="Arial" w:cs="Arial" w:eastAsia="Arial" w:hAnsi="Arial"/>
          <w:sz w:val="14"/>
          <w:szCs w:val="14"/>
          <w:b w:val="1"/>
          <w:bCs w:val="1"/>
          <w:color w:val="auto"/>
        </w:rPr>
        <w:t>April 28,</w:t>
      </w:r>
      <w:r>
        <w:rPr>
          <w:sz w:val="20"/>
          <w:szCs w:val="20"/>
          <w:color w:val="auto"/>
        </w:rPr>
        <w:tab/>
      </w:r>
      <w:r>
        <w:rPr>
          <w:rFonts w:ascii="Arial" w:cs="Arial" w:eastAsia="Arial" w:hAnsi="Arial"/>
          <w:sz w:val="14"/>
          <w:szCs w:val="14"/>
          <w:b w:val="1"/>
          <w:bCs w:val="1"/>
          <w:color w:val="auto"/>
        </w:rPr>
        <w:t>April 29,</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ectPr>
          <w:pgSz w:w="11900" w:h="16838" w:orient="portrait"/>
          <w:cols w:equalWidth="0" w:num="1">
            <w:col w:w="11420"/>
          </w:cols>
          <w:pgMar w:left="240" w:top="1229" w:right="239" w:bottom="381" w:gutter="0" w:footer="0" w:header="0"/>
        </w:sectPr>
      </w:pPr>
    </w:p>
    <w:p>
      <w:pPr>
        <w:spacing w:after="0" w:line="1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Noncurrent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inventory fair value adjustment from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Pension and postretirement benefit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Losses on sales of discontinued operations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Changes in working capital, net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tabs>
          <w:tab w:leader="none" w:pos="780" w:val="left"/>
          <w:tab w:leader="none" w:pos="1240" w:val="left"/>
          <w:tab w:leader="none" w:pos="202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219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167</w:t>
      </w:r>
    </w:p>
    <w:p>
      <w:pPr>
        <w:spacing w:after="0" w:line="383" w:lineRule="exact"/>
        <w:rPr>
          <w:sz w:val="20"/>
          <w:szCs w:val="20"/>
          <w:color w:val="auto"/>
        </w:rPr>
      </w:pPr>
    </w:p>
    <w:p>
      <w:pPr>
        <w:ind w:left="2040" w:hanging="1246"/>
        <w:spacing w:after="0"/>
        <w:tabs>
          <w:tab w:leader="none" w:pos="204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694</w:t>
      </w:r>
    </w:p>
    <w:p>
      <w:pPr>
        <w:spacing w:after="0" w:line="109" w:lineRule="exact"/>
        <w:rPr>
          <w:sz w:val="20"/>
          <w:szCs w:val="20"/>
          <w:color w:val="auto"/>
        </w:rPr>
      </w:pPr>
    </w:p>
    <w:p>
      <w:pPr>
        <w:ind w:left="2100" w:hanging="1234"/>
        <w:spacing w:after="0"/>
        <w:tabs>
          <w:tab w:leader="none" w:pos="210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59</w:t>
      </w:r>
    </w:p>
    <w:p>
      <w:pPr>
        <w:spacing w:after="0" w:line="109" w:lineRule="exact"/>
        <w:rPr>
          <w:sz w:val="20"/>
          <w:szCs w:val="20"/>
          <w:color w:val="auto"/>
        </w:rPr>
      </w:pPr>
    </w:p>
    <w:p>
      <w:pPr>
        <w:ind w:left="2100" w:hanging="1234"/>
        <w:spacing w:after="0"/>
        <w:tabs>
          <w:tab w:leader="none" w:pos="210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48</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37</w:t>
      </w:r>
    </w:p>
    <w:p>
      <w:pPr>
        <w:spacing w:after="0" w:line="113" w:lineRule="exact"/>
        <w:rPr>
          <w:sz w:val="20"/>
          <w:szCs w:val="20"/>
          <w:color w:val="auto"/>
        </w:rPr>
      </w:pPr>
    </w:p>
    <w:p>
      <w:pPr>
        <w:ind w:left="2060" w:hanging="1242"/>
        <w:spacing w:after="0"/>
        <w:tabs>
          <w:tab w:leader="none" w:pos="206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(48)</w:t>
      </w:r>
    </w:p>
    <w:p>
      <w:pPr>
        <w:spacing w:after="0" w:line="121" w:lineRule="exact"/>
        <w:rPr>
          <w:sz w:val="20"/>
          <w:szCs w:val="20"/>
          <w:color w:val="auto"/>
        </w:rPr>
      </w:pPr>
    </w:p>
    <w:p>
      <w:pPr>
        <w:ind w:left="2040" w:hanging="1246"/>
        <w:spacing w:after="0"/>
        <w:tabs>
          <w:tab w:leader="none" w:pos="204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266</w:t>
      </w:r>
    </w:p>
    <w:p>
      <w:pPr>
        <w:spacing w:after="0" w:line="109" w:lineRule="exact"/>
        <w:rPr>
          <w:sz w:val="20"/>
          <w:szCs w:val="20"/>
          <w:color w:val="auto"/>
        </w:rPr>
      </w:pPr>
    </w:p>
    <w:p>
      <w:pPr>
        <w:ind w:left="1980" w:hanging="1114"/>
        <w:spacing w:after="0"/>
        <w:tabs>
          <w:tab w:leader="none" w:pos="19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(192)</w:t>
      </w:r>
    </w:p>
    <w:p>
      <w:pPr>
        <w:spacing w:after="0" w:line="121" w:lineRule="exact"/>
        <w:rPr>
          <w:sz w:val="20"/>
          <w:szCs w:val="20"/>
          <w:color w:val="auto"/>
        </w:rPr>
      </w:pPr>
    </w:p>
    <w:p>
      <w:pPr>
        <w:ind w:left="2100" w:hanging="1234"/>
        <w:spacing w:after="0"/>
        <w:tabs>
          <w:tab w:leader="none" w:pos="210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09" w:lineRule="exact"/>
        <w:rPr>
          <w:sz w:val="20"/>
          <w:szCs w:val="20"/>
          <w:color w:val="auto"/>
        </w:rPr>
      </w:pPr>
    </w:p>
    <w:p>
      <w:pPr>
        <w:ind w:left="2100" w:hanging="1234"/>
        <w:spacing w:after="0"/>
        <w:tabs>
          <w:tab w:leader="none" w:pos="210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10</w:t>
      </w:r>
    </w:p>
    <w:p>
      <w:pPr>
        <w:spacing w:after="0" w:line="379" w:lineRule="exact"/>
        <w:rPr>
          <w:sz w:val="20"/>
          <w:szCs w:val="20"/>
          <w:color w:val="auto"/>
        </w:rPr>
      </w:pPr>
    </w:p>
    <w:p>
      <w:pPr>
        <w:ind w:left="2060" w:hanging="1242"/>
        <w:spacing w:after="0"/>
        <w:tabs>
          <w:tab w:leader="none" w:pos="206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(18)</w:t>
      </w:r>
    </w:p>
    <w:p>
      <w:pPr>
        <w:spacing w:after="0" w:line="121" w:lineRule="exact"/>
        <w:rPr>
          <w:sz w:val="20"/>
          <w:szCs w:val="20"/>
          <w:color w:val="auto"/>
        </w:rPr>
      </w:pPr>
    </w:p>
    <w:p>
      <w:pPr>
        <w:ind w:left="2100" w:hanging="1306"/>
        <w:spacing w:after="0"/>
        <w:tabs>
          <w:tab w:leader="none" w:pos="210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50</w:t>
      </w:r>
    </w:p>
    <w:p>
      <w:pPr>
        <w:spacing w:after="0" w:line="109" w:lineRule="exact"/>
        <w:rPr>
          <w:rFonts w:ascii="Arial" w:cs="Arial" w:eastAsia="Arial" w:hAnsi="Arial"/>
          <w:sz w:val="14"/>
          <w:szCs w:val="14"/>
          <w:b w:val="1"/>
          <w:bCs w:val="1"/>
          <w:color w:val="auto"/>
        </w:rPr>
      </w:pPr>
    </w:p>
    <w:p>
      <w:pPr>
        <w:ind w:left="2060" w:hanging="1242"/>
        <w:spacing w:after="0"/>
        <w:tabs>
          <w:tab w:leader="none" w:pos="2060" w:val="left"/>
        </w:tabs>
        <w:numPr>
          <w:ilvl w:val="1"/>
          <w:numId w:val="11"/>
        </w:numPr>
        <w:rPr>
          <w:rFonts w:ascii="Arial" w:cs="Arial" w:eastAsia="Arial" w:hAnsi="Arial"/>
          <w:sz w:val="13"/>
          <w:szCs w:val="13"/>
          <w:b w:val="1"/>
          <w:bCs w:val="1"/>
          <w:color w:val="auto"/>
        </w:rPr>
      </w:pPr>
      <w:r>
        <w:rPr>
          <w:rFonts w:ascii="Arial" w:cs="Arial" w:eastAsia="Arial" w:hAnsi="Arial"/>
          <w:sz w:val="13"/>
          <w:szCs w:val="13"/>
          <w:color w:val="auto"/>
        </w:rPr>
        <w:t>(84)</w:t>
      </w:r>
    </w:p>
    <w:p>
      <w:pPr>
        <w:spacing w:after="0" w:line="121" w:lineRule="exact"/>
        <w:rPr>
          <w:sz w:val="20"/>
          <w:szCs w:val="20"/>
          <w:color w:val="auto"/>
        </w:rPr>
      </w:pPr>
    </w:p>
    <w:p>
      <w:pPr>
        <w:ind w:left="2100" w:hanging="1234"/>
        <w:spacing w:after="0"/>
        <w:tabs>
          <w:tab w:leader="none" w:pos="210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26</w:t>
      </w:r>
    </w:p>
    <w:p>
      <w:pPr>
        <w:spacing w:after="0" w:line="109" w:lineRule="exact"/>
        <w:rPr>
          <w:sz w:val="20"/>
          <w:szCs w:val="20"/>
          <w:color w:val="auto"/>
        </w:rPr>
      </w:pPr>
    </w:p>
    <w:p>
      <w:pPr>
        <w:ind w:left="2060" w:hanging="1242"/>
        <w:spacing w:after="0"/>
        <w:tabs>
          <w:tab w:leader="none" w:pos="2060" w:val="left"/>
        </w:tabs>
        <w:numPr>
          <w:ilvl w:val="0"/>
          <w:numId w:val="13"/>
        </w:numPr>
        <w:rPr>
          <w:rFonts w:ascii="Arial" w:cs="Arial" w:eastAsia="Arial" w:hAnsi="Arial"/>
          <w:sz w:val="13"/>
          <w:szCs w:val="13"/>
          <w:b w:val="1"/>
          <w:bCs w:val="1"/>
          <w:color w:val="auto"/>
        </w:rPr>
      </w:pPr>
      <w:r>
        <w:rPr>
          <w:rFonts w:ascii="Arial" w:cs="Arial" w:eastAsia="Arial" w:hAnsi="Arial"/>
          <w:sz w:val="13"/>
          <w:szCs w:val="13"/>
          <w:color w:val="auto"/>
        </w:rPr>
        <w:t>(43)</w:t>
      </w:r>
    </w:p>
    <w:p>
      <w:pPr>
        <w:spacing w:after="0" w:line="130" w:lineRule="exact"/>
        <w:rPr>
          <w:sz w:val="20"/>
          <w:szCs w:val="20"/>
          <w:color w:val="auto"/>
        </w:rPr>
      </w:pPr>
    </w:p>
    <w:p>
      <w:pPr>
        <w:ind w:left="680"/>
        <w:spacing w:after="0"/>
        <w:tabs>
          <w:tab w:leader="none" w:pos="1900" w:val="left"/>
        </w:tabs>
        <w:rPr>
          <w:sz w:val="20"/>
          <w:szCs w:val="20"/>
          <w:color w:val="auto"/>
        </w:rPr>
      </w:pPr>
      <w:r>
        <w:rPr>
          <w:rFonts w:ascii="Arial" w:cs="Arial" w:eastAsia="Arial" w:hAnsi="Arial"/>
          <w:sz w:val="14"/>
          <w:szCs w:val="14"/>
          <w:b w:val="1"/>
          <w:bCs w:val="1"/>
          <w:color w:val="auto"/>
        </w:rPr>
        <w:t>1,148</w:t>
      </w:r>
      <w:r>
        <w:rPr>
          <w:sz w:val="20"/>
          <w:szCs w:val="20"/>
          <w:color w:val="auto"/>
        </w:rPr>
        <w:tab/>
      </w:r>
      <w:r>
        <w:rPr>
          <w:rFonts w:ascii="Arial" w:cs="Arial" w:eastAsia="Arial" w:hAnsi="Arial"/>
          <w:sz w:val="14"/>
          <w:szCs w:val="14"/>
          <w:color w:val="auto"/>
        </w:rPr>
        <w:t>1,024</w:t>
      </w:r>
    </w:p>
    <w:p>
      <w:pPr>
        <w:spacing w:after="0" w:line="329" w:lineRule="exact"/>
        <w:rPr>
          <w:sz w:val="20"/>
          <w:szCs w:val="20"/>
          <w:color w:val="auto"/>
        </w:rPr>
      </w:pPr>
    </w:p>
    <w:p>
      <w:pPr>
        <w:sectPr>
          <w:pgSz w:w="11900" w:h="16838" w:orient="portrait"/>
          <w:cols w:equalWidth="0" w:num="2">
            <w:col w:w="8340" w:space="720"/>
            <w:col w:w="2360"/>
          </w:cols>
          <w:pgMar w:left="240" w:top="1229" w:right="239" w:bottom="381" w:gutter="0" w:footer="0" w:header="0"/>
          <w:type w:val="continuous"/>
        </w:sectPr>
      </w:pPr>
    </w:p>
    <w:p>
      <w:pPr>
        <w:ind w:left="180"/>
        <w:spacing w:after="0"/>
        <w:rPr>
          <w:sz w:val="20"/>
          <w:szCs w:val="20"/>
          <w:color w:val="auto"/>
        </w:rPr>
      </w:pPr>
      <w:r>
        <w:rPr>
          <w:rFonts w:ascii="Arial" w:cs="Arial" w:eastAsia="Arial" w:hAnsi="Arial"/>
          <w:sz w:val="14"/>
          <w:szCs w:val="14"/>
          <w:color w:val="auto"/>
        </w:rPr>
        <w:t>Purchases of plant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route businesses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Sales of route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Businesses acquired, net of cash acquired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Sales of discontinued operations businesses, net of cash divested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1234" w:hanging="1234"/>
        <w:spacing w:after="0"/>
        <w:tabs>
          <w:tab w:leader="none" w:pos="1234" w:val="left"/>
        </w:tabs>
        <w:numPr>
          <w:ilvl w:val="0"/>
          <w:numId w:val="14"/>
        </w:numPr>
        <w:rPr>
          <w:rFonts w:ascii="Arial" w:cs="Arial" w:eastAsia="Arial" w:hAnsi="Arial"/>
          <w:sz w:val="13"/>
          <w:szCs w:val="13"/>
          <w:b w:val="1"/>
          <w:bCs w:val="1"/>
          <w:color w:val="auto"/>
        </w:rPr>
      </w:pPr>
      <w:r>
        <w:rPr>
          <w:rFonts w:ascii="Arial" w:cs="Arial" w:eastAsia="Arial" w:hAnsi="Arial"/>
          <w:sz w:val="13"/>
          <w:szCs w:val="13"/>
          <w:color w:val="auto"/>
        </w:rPr>
        <w:t>(223)</w:t>
      </w:r>
    </w:p>
    <w:p>
      <w:pPr>
        <w:spacing w:after="0" w:line="121" w:lineRule="exact"/>
        <w:rPr>
          <w:sz w:val="20"/>
          <w:szCs w:val="20"/>
          <w:color w:val="auto"/>
        </w:rPr>
      </w:pPr>
    </w:p>
    <w:p>
      <w:pPr>
        <w:ind w:left="1394" w:hanging="1322"/>
        <w:spacing w:after="0"/>
        <w:tabs>
          <w:tab w:leader="none" w:pos="1394" w:val="left"/>
        </w:tabs>
        <w:numPr>
          <w:ilvl w:val="0"/>
          <w:numId w:val="15"/>
        </w:numPr>
        <w:rPr>
          <w:rFonts w:ascii="Arial" w:cs="Arial" w:eastAsia="Arial" w:hAnsi="Arial"/>
          <w:sz w:val="13"/>
          <w:szCs w:val="13"/>
          <w:b w:val="1"/>
          <w:bCs w:val="1"/>
          <w:color w:val="auto"/>
        </w:rPr>
      </w:pPr>
      <w:r>
        <w:rPr>
          <w:rFonts w:ascii="Arial" w:cs="Arial" w:eastAsia="Arial" w:hAnsi="Arial"/>
          <w:sz w:val="13"/>
          <w:szCs w:val="13"/>
          <w:color w:val="auto"/>
        </w:rPr>
        <w:t>(5)</w:t>
      </w:r>
    </w:p>
    <w:p>
      <w:pPr>
        <w:spacing w:after="0" w:line="121" w:lineRule="exact"/>
        <w:rPr>
          <w:sz w:val="20"/>
          <w:szCs w:val="20"/>
          <w:color w:val="auto"/>
        </w:rPr>
      </w:pPr>
    </w:p>
    <w:p>
      <w:pPr>
        <w:ind w:left="1434" w:hanging="1314"/>
        <w:spacing w:after="0"/>
        <w:tabs>
          <w:tab w:leader="none" w:pos="1434"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5</w:t>
      </w:r>
    </w:p>
    <w:p>
      <w:pPr>
        <w:spacing w:after="0" w:line="109" w:lineRule="exact"/>
        <w:rPr>
          <w:sz w:val="20"/>
          <w:szCs w:val="20"/>
          <w:color w:val="auto"/>
        </w:rPr>
      </w:pPr>
    </w:p>
    <w:p>
      <w:pPr>
        <w:ind w:left="1134" w:hanging="1062"/>
        <w:spacing w:after="0"/>
        <w:tabs>
          <w:tab w:leader="none" w:pos="1134"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(6,773)</w:t>
      </w:r>
    </w:p>
    <w:p>
      <w:pPr>
        <w:spacing w:after="0" w:line="121" w:lineRule="exact"/>
        <w:rPr>
          <w:sz w:val="20"/>
          <w:szCs w:val="20"/>
          <w:color w:val="auto"/>
        </w:rPr>
      </w:pPr>
    </w:p>
    <w:p>
      <w:pPr>
        <w:ind w:left="1354" w:hanging="1234"/>
        <w:spacing w:after="0"/>
        <w:tabs>
          <w:tab w:leader="none" w:pos="1354"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09" w:lineRule="exact"/>
        <w:rPr>
          <w:sz w:val="20"/>
          <w:szCs w:val="20"/>
          <w:color w:val="auto"/>
        </w:rPr>
      </w:pPr>
    </w:p>
    <w:p>
      <w:pPr>
        <w:ind w:left="1314" w:hanging="1194"/>
        <w:spacing w:after="0"/>
        <w:tabs>
          <w:tab w:leader="none" w:pos="1314"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(12)</w:t>
      </w:r>
    </w:p>
    <w:p>
      <w:pPr>
        <w:spacing w:after="0" w:line="134" w:lineRule="exact"/>
        <w:rPr>
          <w:sz w:val="20"/>
          <w:szCs w:val="20"/>
          <w:color w:val="auto"/>
        </w:rPr>
      </w:pPr>
    </w:p>
    <w:p>
      <w:pPr>
        <w:ind w:left="1134" w:hanging="1134"/>
        <w:spacing w:after="0"/>
        <w:tabs>
          <w:tab w:leader="none" w:pos="1134"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(7,008)</w:t>
      </w:r>
    </w:p>
    <w:p>
      <w:pPr>
        <w:spacing w:after="0" w:line="336" w:lineRule="exact"/>
        <w:rPr>
          <w:sz w:val="20"/>
          <w:szCs w:val="20"/>
          <w:color w:val="auto"/>
        </w:rPr>
      </w:pPr>
    </w:p>
    <w:p>
      <w:pPr>
        <w:sectPr>
          <w:pgSz w:w="11900" w:h="16838" w:orient="portrait"/>
          <w:cols w:equalWidth="0" w:num="2">
            <w:col w:w="9086" w:space="720"/>
            <w:col w:w="1614"/>
          </w:cols>
          <w:pgMar w:left="240" w:top="1229" w:right="239" w:bottom="381"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6900" w:type="dxa"/>
            <w:vAlign w:val="bottom"/>
          </w:tcPr>
          <w:p>
            <w:pPr>
              <w:ind w:left="180"/>
              <w:spacing w:after="0"/>
              <w:rPr>
                <w:sz w:val="20"/>
                <w:szCs w:val="20"/>
                <w:color w:val="auto"/>
              </w:rPr>
            </w:pPr>
            <w:r>
              <w:rPr>
                <w:rFonts w:ascii="Arial" w:cs="Arial" w:eastAsia="Arial" w:hAnsi="Arial"/>
                <w:sz w:val="14"/>
                <w:szCs w:val="14"/>
                <w:color w:val="auto"/>
              </w:rPr>
              <w:t>Short-term borrowings</w:t>
            </w:r>
          </w:p>
        </w:tc>
        <w:tc>
          <w:tcPr>
            <w:tcW w:w="2520" w:type="dxa"/>
            <w:vAlign w:val="bottom"/>
          </w:tcPr>
          <w:p>
            <w:pPr>
              <w:spacing w:after="0"/>
              <w:rPr>
                <w:sz w:val="15"/>
                <w:szCs w:val="15"/>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4,681</w:t>
            </w:r>
          </w:p>
        </w:tc>
        <w:tc>
          <w:tcPr>
            <w:tcW w:w="44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7,811</w:t>
            </w:r>
          </w:p>
        </w:tc>
        <w:tc>
          <w:tcPr>
            <w:tcW w:w="0" w:type="dxa"/>
            <w:vAlign w:val="bottom"/>
          </w:tcPr>
          <w:p>
            <w:pPr>
              <w:spacing w:after="0"/>
              <w:rPr>
                <w:sz w:val="1"/>
                <w:szCs w:val="1"/>
                <w:color w:val="auto"/>
              </w:rPr>
            </w:pPr>
          </w:p>
        </w:tc>
      </w:tr>
      <w:tr>
        <w:trPr>
          <w:trHeight w:val="74"/>
        </w:trPr>
        <w:tc>
          <w:tcPr>
            <w:tcW w:w="69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9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Short-term repayments</w:t>
            </w:r>
          </w:p>
        </w:tc>
        <w:tc>
          <w:tcPr>
            <w:tcW w:w="2520" w:type="dxa"/>
            <w:vAlign w:val="bottom"/>
            <w:shd w:val="clear" w:color="auto" w:fill="BFE4FF"/>
          </w:tcPr>
          <w:p>
            <w:pPr>
              <w:spacing w:after="0"/>
              <w:rPr>
                <w:sz w:val="17"/>
                <w:szCs w:val="17"/>
                <w:color w:val="auto"/>
              </w:rPr>
            </w:pPr>
          </w:p>
        </w:tc>
        <w:tc>
          <w:tcPr>
            <w:tcW w:w="80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b w:val="1"/>
                <w:bCs w:val="1"/>
                <w:color w:val="auto"/>
              </w:rPr>
              <w:t>(4,995)</w:t>
            </w:r>
          </w:p>
        </w:tc>
        <w:tc>
          <w:tcPr>
            <w:tcW w:w="4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(7,577)</w:t>
            </w:r>
          </w:p>
        </w:tc>
        <w:tc>
          <w:tcPr>
            <w:tcW w:w="0" w:type="dxa"/>
            <w:vAlign w:val="bottom"/>
          </w:tcPr>
          <w:p>
            <w:pPr>
              <w:spacing w:after="0"/>
              <w:rPr>
                <w:sz w:val="1"/>
                <w:szCs w:val="1"/>
                <w:color w:val="auto"/>
              </w:rPr>
            </w:pPr>
          </w:p>
        </w:tc>
      </w:tr>
      <w:tr>
        <w:trPr>
          <w:trHeight w:val="80"/>
        </w:trPr>
        <w:tc>
          <w:tcPr>
            <w:tcW w:w="6900" w:type="dxa"/>
            <w:vAlign w:val="bottom"/>
            <w:shd w:val="clear" w:color="auto" w:fill="BFE4FF"/>
          </w:tcPr>
          <w:p>
            <w:pPr>
              <w:spacing w:after="0"/>
              <w:rPr>
                <w:sz w:val="6"/>
                <w:szCs w:val="6"/>
                <w:color w:val="auto"/>
              </w:rPr>
            </w:pPr>
          </w:p>
        </w:tc>
        <w:tc>
          <w:tcPr>
            <w:tcW w:w="2520" w:type="dxa"/>
            <w:vAlign w:val="bottom"/>
            <w:shd w:val="clear" w:color="auto" w:fill="BFE4FF"/>
          </w:tcPr>
          <w:p>
            <w:pPr>
              <w:spacing w:after="0"/>
              <w:rPr>
                <w:sz w:val="6"/>
                <w:szCs w:val="6"/>
                <w:color w:val="auto"/>
              </w:rPr>
            </w:pPr>
          </w:p>
        </w:tc>
        <w:tc>
          <w:tcPr>
            <w:tcW w:w="800" w:type="dxa"/>
            <w:vAlign w:val="bottom"/>
            <w:vMerge w:val="continue"/>
            <w:shd w:val="clear" w:color="auto" w:fill="BFE4FF"/>
          </w:tcPr>
          <w:p>
            <w:pPr>
              <w:spacing w:after="0"/>
              <w:rPr>
                <w:sz w:val="6"/>
                <w:szCs w:val="6"/>
                <w:color w:val="auto"/>
              </w:rPr>
            </w:pPr>
          </w:p>
        </w:tc>
        <w:tc>
          <w:tcPr>
            <w:tcW w:w="4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00" w:type="dxa"/>
            <w:vAlign w:val="bottom"/>
          </w:tcPr>
          <w:p>
            <w:pPr>
              <w:ind w:left="180"/>
              <w:spacing w:after="0"/>
              <w:rPr>
                <w:sz w:val="20"/>
                <w:szCs w:val="20"/>
                <w:color w:val="auto"/>
              </w:rPr>
            </w:pPr>
            <w:r>
              <w:rPr>
                <w:rFonts w:ascii="Arial" w:cs="Arial" w:eastAsia="Arial" w:hAnsi="Arial"/>
                <w:sz w:val="14"/>
                <w:szCs w:val="14"/>
                <w:color w:val="auto"/>
              </w:rPr>
              <w:t>Long-term borrowings</w:t>
            </w:r>
          </w:p>
        </w:tc>
        <w:tc>
          <w:tcPr>
            <w:tcW w:w="252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6,200</w:t>
            </w:r>
          </w:p>
        </w:tc>
        <w:tc>
          <w:tcPr>
            <w:tcW w:w="0" w:type="dxa"/>
            <w:vAlign w:val="bottom"/>
          </w:tcPr>
          <w:p>
            <w:pPr>
              <w:spacing w:after="0"/>
              <w:rPr>
                <w:sz w:val="1"/>
                <w:szCs w:val="1"/>
                <w:color w:val="auto"/>
              </w:rPr>
            </w:pPr>
          </w:p>
        </w:tc>
      </w:tr>
      <w:tr>
        <w:trPr>
          <w:trHeight w:val="74"/>
        </w:trPr>
        <w:tc>
          <w:tcPr>
            <w:tcW w:w="69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9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Long-term repayments</w:t>
            </w:r>
          </w:p>
        </w:tc>
        <w:tc>
          <w:tcPr>
            <w:tcW w:w="2520" w:type="dxa"/>
            <w:vAlign w:val="bottom"/>
            <w:shd w:val="clear" w:color="auto" w:fill="BFE4FF"/>
          </w:tcPr>
          <w:p>
            <w:pPr>
              <w:spacing w:after="0"/>
              <w:rPr>
                <w:sz w:val="17"/>
                <w:szCs w:val="17"/>
                <w:color w:val="auto"/>
              </w:rPr>
            </w:pPr>
          </w:p>
        </w:tc>
        <w:tc>
          <w:tcPr>
            <w:tcW w:w="80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b w:val="1"/>
                <w:bCs w:val="1"/>
                <w:color w:val="auto"/>
              </w:rPr>
              <w:t>(300)</w:t>
            </w:r>
          </w:p>
        </w:tc>
        <w:tc>
          <w:tcPr>
            <w:tcW w:w="4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80"/>
        </w:trPr>
        <w:tc>
          <w:tcPr>
            <w:tcW w:w="6900" w:type="dxa"/>
            <w:vAlign w:val="bottom"/>
            <w:shd w:val="clear" w:color="auto" w:fill="BFE4FF"/>
          </w:tcPr>
          <w:p>
            <w:pPr>
              <w:spacing w:after="0"/>
              <w:rPr>
                <w:sz w:val="6"/>
                <w:szCs w:val="6"/>
                <w:color w:val="auto"/>
              </w:rPr>
            </w:pPr>
          </w:p>
        </w:tc>
        <w:tc>
          <w:tcPr>
            <w:tcW w:w="2520" w:type="dxa"/>
            <w:vAlign w:val="bottom"/>
            <w:shd w:val="clear" w:color="auto" w:fill="BFE4FF"/>
          </w:tcPr>
          <w:p>
            <w:pPr>
              <w:spacing w:after="0"/>
              <w:rPr>
                <w:sz w:val="6"/>
                <w:szCs w:val="6"/>
                <w:color w:val="auto"/>
              </w:rPr>
            </w:pPr>
          </w:p>
        </w:tc>
        <w:tc>
          <w:tcPr>
            <w:tcW w:w="800" w:type="dxa"/>
            <w:vAlign w:val="bottom"/>
            <w:vMerge w:val="continue"/>
            <w:shd w:val="clear" w:color="auto" w:fill="BFE4FF"/>
          </w:tcPr>
          <w:p>
            <w:pPr>
              <w:spacing w:after="0"/>
              <w:rPr>
                <w:sz w:val="6"/>
                <w:szCs w:val="6"/>
                <w:color w:val="auto"/>
              </w:rPr>
            </w:pPr>
          </w:p>
        </w:tc>
        <w:tc>
          <w:tcPr>
            <w:tcW w:w="4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0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5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(318)</w:t>
            </w:r>
          </w:p>
        </w:tc>
        <w:tc>
          <w:tcPr>
            <w:tcW w:w="4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74"/>
        </w:trPr>
        <w:tc>
          <w:tcPr>
            <w:tcW w:w="69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9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Treasury stock purchases</w:t>
            </w:r>
          </w:p>
        </w:tc>
        <w:tc>
          <w:tcPr>
            <w:tcW w:w="2520" w:type="dxa"/>
            <w:vAlign w:val="bottom"/>
            <w:shd w:val="clear" w:color="auto" w:fill="BFE4FF"/>
          </w:tcPr>
          <w:p>
            <w:pPr>
              <w:spacing w:after="0"/>
              <w:rPr>
                <w:sz w:val="17"/>
                <w:szCs w:val="17"/>
                <w:color w:val="auto"/>
              </w:rPr>
            </w:pPr>
          </w:p>
        </w:tc>
        <w:tc>
          <w:tcPr>
            <w:tcW w:w="800" w:type="dxa"/>
            <w:vAlign w:val="bottom"/>
            <w:vMerge w:val="restart"/>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80"/>
        </w:trPr>
        <w:tc>
          <w:tcPr>
            <w:tcW w:w="6900" w:type="dxa"/>
            <w:vAlign w:val="bottom"/>
            <w:shd w:val="clear" w:color="auto" w:fill="BFE4FF"/>
          </w:tcPr>
          <w:p>
            <w:pPr>
              <w:spacing w:after="0"/>
              <w:rPr>
                <w:sz w:val="6"/>
                <w:szCs w:val="6"/>
                <w:color w:val="auto"/>
              </w:rPr>
            </w:pPr>
          </w:p>
        </w:tc>
        <w:tc>
          <w:tcPr>
            <w:tcW w:w="2520" w:type="dxa"/>
            <w:vAlign w:val="bottom"/>
            <w:shd w:val="clear" w:color="auto" w:fill="BFE4FF"/>
          </w:tcPr>
          <w:p>
            <w:pPr>
              <w:spacing w:after="0"/>
              <w:rPr>
                <w:sz w:val="6"/>
                <w:szCs w:val="6"/>
                <w:color w:val="auto"/>
              </w:rPr>
            </w:pPr>
          </w:p>
        </w:tc>
        <w:tc>
          <w:tcPr>
            <w:tcW w:w="800" w:type="dxa"/>
            <w:vAlign w:val="bottom"/>
            <w:vMerge w:val="continue"/>
            <w:shd w:val="clear" w:color="auto" w:fill="BFE4FF"/>
          </w:tcPr>
          <w:p>
            <w:pPr>
              <w:spacing w:after="0"/>
              <w:rPr>
                <w:sz w:val="6"/>
                <w:szCs w:val="6"/>
                <w:color w:val="auto"/>
              </w:rPr>
            </w:pPr>
          </w:p>
        </w:tc>
        <w:tc>
          <w:tcPr>
            <w:tcW w:w="4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00" w:type="dxa"/>
            <w:vAlign w:val="bottom"/>
          </w:tcPr>
          <w:p>
            <w:pPr>
              <w:ind w:left="180"/>
              <w:spacing w:after="0"/>
              <w:rPr>
                <w:sz w:val="20"/>
                <w:szCs w:val="20"/>
                <w:color w:val="auto"/>
              </w:rPr>
            </w:pPr>
            <w:r>
              <w:rPr>
                <w:rFonts w:ascii="Arial" w:cs="Arial" w:eastAsia="Arial" w:hAnsi="Arial"/>
                <w:sz w:val="14"/>
                <w:szCs w:val="14"/>
                <w:color w:val="auto"/>
              </w:rPr>
              <w:t>Payments related to tax withholding for stock-based compensation</w:t>
            </w:r>
          </w:p>
        </w:tc>
        <w:tc>
          <w:tcPr>
            <w:tcW w:w="25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w:t>
            </w:r>
          </w:p>
        </w:tc>
        <w:tc>
          <w:tcPr>
            <w:tcW w:w="4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69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900" w:type="dxa"/>
            <w:vAlign w:val="bottom"/>
            <w:shd w:val="clear" w:color="auto" w:fill="BFE4FF"/>
          </w:tcPr>
          <w:p>
            <w:pPr>
              <w:ind w:left="180"/>
              <w:spacing w:after="0"/>
              <w:rPr>
                <w:sz w:val="20"/>
                <w:szCs w:val="20"/>
                <w:color w:val="auto"/>
              </w:rPr>
            </w:pPr>
            <w:r>
              <w:rPr>
                <w:rFonts w:ascii="Arial" w:cs="Arial" w:eastAsia="Arial" w:hAnsi="Arial"/>
                <w:sz w:val="14"/>
                <w:szCs w:val="14"/>
                <w:color w:val="auto"/>
              </w:rPr>
              <w:t>Repurchase of noncontrolling interest</w:t>
            </w:r>
          </w:p>
        </w:tc>
        <w:tc>
          <w:tcPr>
            <w:tcW w:w="2520" w:type="dxa"/>
            <w:vAlign w:val="bottom"/>
            <w:shd w:val="clear" w:color="auto" w:fill="BFE4FF"/>
          </w:tcPr>
          <w:p>
            <w:pPr>
              <w:spacing w:after="0"/>
              <w:rPr>
                <w:sz w:val="17"/>
                <w:szCs w:val="17"/>
                <w:color w:val="auto"/>
              </w:rPr>
            </w:pPr>
          </w:p>
        </w:tc>
        <w:tc>
          <w:tcPr>
            <w:tcW w:w="800" w:type="dxa"/>
            <w:vAlign w:val="bottom"/>
            <w:vMerge w:val="restart"/>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0"/>
        </w:trPr>
        <w:tc>
          <w:tcPr>
            <w:tcW w:w="6900" w:type="dxa"/>
            <w:vAlign w:val="bottom"/>
            <w:shd w:val="clear" w:color="auto" w:fill="BFE4FF"/>
          </w:tcPr>
          <w:p>
            <w:pPr>
              <w:spacing w:after="0"/>
              <w:rPr>
                <w:sz w:val="6"/>
                <w:szCs w:val="6"/>
                <w:color w:val="auto"/>
              </w:rPr>
            </w:pPr>
          </w:p>
        </w:tc>
        <w:tc>
          <w:tcPr>
            <w:tcW w:w="2520" w:type="dxa"/>
            <w:vAlign w:val="bottom"/>
            <w:shd w:val="clear" w:color="auto" w:fill="BFE4FF"/>
          </w:tcPr>
          <w:p>
            <w:pPr>
              <w:spacing w:after="0"/>
              <w:rPr>
                <w:sz w:val="6"/>
                <w:szCs w:val="6"/>
                <w:color w:val="auto"/>
              </w:rPr>
            </w:pPr>
          </w:p>
        </w:tc>
        <w:tc>
          <w:tcPr>
            <w:tcW w:w="800" w:type="dxa"/>
            <w:vAlign w:val="bottom"/>
            <w:vMerge w:val="continue"/>
            <w:shd w:val="clear" w:color="auto" w:fill="BFE4FF"/>
          </w:tcPr>
          <w:p>
            <w:pPr>
              <w:spacing w:after="0"/>
              <w:rPr>
                <w:sz w:val="6"/>
                <w:szCs w:val="6"/>
                <w:color w:val="auto"/>
              </w:rPr>
            </w:pPr>
          </w:p>
        </w:tc>
        <w:tc>
          <w:tcPr>
            <w:tcW w:w="4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00" w:type="dxa"/>
            <w:vAlign w:val="bottom"/>
          </w:tcPr>
          <w:p>
            <w:pPr>
              <w:ind w:left="180"/>
              <w:spacing w:after="0"/>
              <w:rPr>
                <w:sz w:val="20"/>
                <w:szCs w:val="20"/>
                <w:color w:val="auto"/>
              </w:rPr>
            </w:pPr>
            <w:r>
              <w:rPr>
                <w:rFonts w:ascii="Arial" w:cs="Arial" w:eastAsia="Arial" w:hAnsi="Arial"/>
                <w:sz w:val="14"/>
                <w:szCs w:val="14"/>
                <w:color w:val="auto"/>
              </w:rPr>
              <w:t>Payments of debt issuance costs</w:t>
            </w:r>
          </w:p>
        </w:tc>
        <w:tc>
          <w:tcPr>
            <w:tcW w:w="25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74"/>
        </w:trPr>
        <w:tc>
          <w:tcPr>
            <w:tcW w:w="69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900" w:type="dxa"/>
            <w:vAlign w:val="bottom"/>
            <w:shd w:val="clear" w:color="auto" w:fill="BFE4FF"/>
          </w:tcPr>
          <w:p>
            <w:pPr>
              <w:ind w:left="60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520" w:type="dxa"/>
            <w:vAlign w:val="bottom"/>
            <w:shd w:val="clear" w:color="auto" w:fill="BFE4FF"/>
          </w:tcPr>
          <w:p>
            <w:pPr>
              <w:spacing w:after="0"/>
              <w:rPr>
                <w:sz w:val="16"/>
                <w:szCs w:val="16"/>
                <w:color w:val="auto"/>
              </w:rPr>
            </w:pPr>
          </w:p>
        </w:tc>
        <w:tc>
          <w:tcPr>
            <w:tcW w:w="80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b w:val="1"/>
                <w:bCs w:val="1"/>
                <w:color w:val="auto"/>
              </w:rPr>
              <w:t>(941)</w:t>
            </w:r>
          </w:p>
        </w:tc>
        <w:tc>
          <w:tcPr>
            <w:tcW w:w="440" w:type="dxa"/>
            <w:vAlign w:val="bottom"/>
            <w:shd w:val="clear" w:color="auto" w:fill="BFE4FF"/>
          </w:tcPr>
          <w:p>
            <w:pPr>
              <w:spacing w:after="0"/>
              <w:rPr>
                <w:sz w:val="16"/>
                <w:szCs w:val="16"/>
                <w:color w:val="auto"/>
              </w:rPr>
            </w:pPr>
          </w:p>
        </w:tc>
        <w:tc>
          <w:tcPr>
            <w:tcW w:w="76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5,865</w:t>
            </w:r>
          </w:p>
        </w:tc>
        <w:tc>
          <w:tcPr>
            <w:tcW w:w="0" w:type="dxa"/>
            <w:vAlign w:val="bottom"/>
          </w:tcPr>
          <w:p>
            <w:pPr>
              <w:spacing w:after="0"/>
              <w:rPr>
                <w:sz w:val="1"/>
                <w:szCs w:val="1"/>
                <w:color w:val="auto"/>
              </w:rPr>
            </w:pPr>
          </w:p>
        </w:tc>
      </w:tr>
      <w:tr>
        <w:trPr>
          <w:trHeight w:val="74"/>
        </w:trPr>
        <w:tc>
          <w:tcPr>
            <w:tcW w:w="6900" w:type="dxa"/>
            <w:vAlign w:val="bottom"/>
            <w:tcBorders>
              <w:bottom w:val="single" w:sz="8" w:color="auto"/>
            </w:tcBorders>
            <w:shd w:val="clear" w:color="auto" w:fill="BFE4FF"/>
          </w:tcPr>
          <w:p>
            <w:pPr>
              <w:spacing w:after="0"/>
              <w:rPr>
                <w:sz w:val="6"/>
                <w:szCs w:val="6"/>
                <w:color w:val="auto"/>
              </w:rPr>
            </w:pPr>
          </w:p>
        </w:tc>
        <w:tc>
          <w:tcPr>
            <w:tcW w:w="2520" w:type="dxa"/>
            <w:vAlign w:val="bottom"/>
            <w:tcBorders>
              <w:bottom w:val="single" w:sz="8" w:color="auto"/>
            </w:tcBorders>
            <w:shd w:val="clear" w:color="auto" w:fill="BFE4FF"/>
          </w:tcPr>
          <w:p>
            <w:pPr>
              <w:spacing w:after="0"/>
              <w:rPr>
                <w:sz w:val="6"/>
                <w:szCs w:val="6"/>
                <w:color w:val="auto"/>
              </w:rPr>
            </w:pPr>
          </w:p>
        </w:tc>
        <w:tc>
          <w:tcPr>
            <w:tcW w:w="800" w:type="dxa"/>
            <w:vAlign w:val="bottom"/>
            <w:tcBorders>
              <w:bottom w:val="single" w:sz="8" w:color="auto"/>
            </w:tcBorders>
            <w:vMerge w:val="continue"/>
            <w:shd w:val="clear" w:color="auto" w:fill="BFE4FF"/>
          </w:tcPr>
          <w:p>
            <w:pPr>
              <w:spacing w:after="0"/>
              <w:rPr>
                <w:sz w:val="6"/>
                <w:szCs w:val="6"/>
                <w:color w:val="auto"/>
              </w:rPr>
            </w:pPr>
          </w:p>
        </w:tc>
        <w:tc>
          <w:tcPr>
            <w:tcW w:w="440" w:type="dxa"/>
            <w:vAlign w:val="bottom"/>
            <w:tcBorders>
              <w:bottom w:val="single" w:sz="8" w:color="auto"/>
            </w:tcBorders>
            <w:shd w:val="clear" w:color="auto" w:fill="BFE4FF"/>
          </w:tcPr>
          <w:p>
            <w:pPr>
              <w:spacing w:after="0"/>
              <w:rPr>
                <w:sz w:val="6"/>
                <w:szCs w:val="6"/>
                <w:color w:val="auto"/>
              </w:rPr>
            </w:pPr>
          </w:p>
        </w:tc>
        <w:tc>
          <w:tcPr>
            <w:tcW w:w="760" w:type="dxa"/>
            <w:vAlign w:val="bottom"/>
            <w:tcBorders>
              <w:bottom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900" w:type="dxa"/>
            <w:vAlign w:val="bottom"/>
          </w:tcPr>
          <w:p>
            <w:pPr>
              <w:ind w:left="40"/>
              <w:spacing w:after="0"/>
              <w:rPr>
                <w:sz w:val="20"/>
                <w:szCs w:val="20"/>
                <w:color w:val="auto"/>
              </w:rPr>
            </w:pPr>
            <w:r>
              <w:rPr>
                <w:rFonts w:ascii="Arial" w:cs="Arial" w:eastAsia="Arial" w:hAnsi="Arial"/>
                <w:sz w:val="14"/>
                <w:szCs w:val="14"/>
                <w:b w:val="1"/>
                <w:bCs w:val="1"/>
                <w:color w:val="auto"/>
              </w:rPr>
              <w:t>Effect of exchange rate changes on cash</w:t>
            </w:r>
          </w:p>
        </w:tc>
        <w:tc>
          <w:tcPr>
            <w:tcW w:w="25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w:t>
            </w:r>
          </w:p>
        </w:tc>
        <w:tc>
          <w:tcPr>
            <w:tcW w:w="4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69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90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2520" w:type="dxa"/>
            <w:vAlign w:val="bottom"/>
            <w:shd w:val="clear" w:color="auto" w:fill="BFE4FF"/>
          </w:tcPr>
          <w:p>
            <w:pPr>
              <w:spacing w:after="0"/>
              <w:rPr>
                <w:sz w:val="16"/>
                <w:szCs w:val="16"/>
                <w:color w:val="auto"/>
              </w:rPr>
            </w:pPr>
          </w:p>
        </w:tc>
        <w:tc>
          <w:tcPr>
            <w:tcW w:w="80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b w:val="1"/>
                <w:bCs w:val="1"/>
                <w:color w:val="auto"/>
              </w:rPr>
              <w:t>(20)</w:t>
            </w:r>
          </w:p>
        </w:tc>
        <w:tc>
          <w:tcPr>
            <w:tcW w:w="440" w:type="dxa"/>
            <w:vAlign w:val="bottom"/>
            <w:shd w:val="clear" w:color="auto" w:fill="BFE4FF"/>
          </w:tcPr>
          <w:p>
            <w:pPr>
              <w:spacing w:after="0"/>
              <w:rPr>
                <w:sz w:val="16"/>
                <w:szCs w:val="16"/>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80"/>
        </w:trPr>
        <w:tc>
          <w:tcPr>
            <w:tcW w:w="6900" w:type="dxa"/>
            <w:vAlign w:val="bottom"/>
            <w:shd w:val="clear" w:color="auto" w:fill="BFE4FF"/>
          </w:tcPr>
          <w:p>
            <w:pPr>
              <w:spacing w:after="0"/>
              <w:rPr>
                <w:sz w:val="6"/>
                <w:szCs w:val="6"/>
                <w:color w:val="auto"/>
              </w:rPr>
            </w:pPr>
          </w:p>
        </w:tc>
        <w:tc>
          <w:tcPr>
            <w:tcW w:w="2520" w:type="dxa"/>
            <w:vAlign w:val="bottom"/>
            <w:shd w:val="clear" w:color="auto" w:fill="BFE4FF"/>
          </w:tcPr>
          <w:p>
            <w:pPr>
              <w:spacing w:after="0"/>
              <w:rPr>
                <w:sz w:val="6"/>
                <w:szCs w:val="6"/>
                <w:color w:val="auto"/>
              </w:rPr>
            </w:pPr>
          </w:p>
        </w:tc>
        <w:tc>
          <w:tcPr>
            <w:tcW w:w="800" w:type="dxa"/>
            <w:vAlign w:val="bottom"/>
            <w:vMerge w:val="continue"/>
            <w:shd w:val="clear" w:color="auto" w:fill="BFE4FF"/>
          </w:tcPr>
          <w:p>
            <w:pPr>
              <w:spacing w:after="0"/>
              <w:rPr>
                <w:sz w:val="6"/>
                <w:szCs w:val="6"/>
                <w:color w:val="auto"/>
              </w:rPr>
            </w:pPr>
          </w:p>
        </w:tc>
        <w:tc>
          <w:tcPr>
            <w:tcW w:w="4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0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 beginning of period</w:t>
            </w:r>
          </w:p>
        </w:tc>
        <w:tc>
          <w:tcPr>
            <w:tcW w:w="252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218</w:t>
            </w:r>
          </w:p>
        </w:tc>
        <w:tc>
          <w:tcPr>
            <w:tcW w:w="4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74"/>
        </w:trPr>
        <w:tc>
          <w:tcPr>
            <w:tcW w:w="69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90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Cash and cash equivalents of discontinued operations — beginning of period</w:t>
            </w:r>
          </w:p>
        </w:tc>
        <w:tc>
          <w:tcPr>
            <w:tcW w:w="252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8</w:t>
            </w:r>
          </w:p>
        </w:tc>
        <w:tc>
          <w:tcPr>
            <w:tcW w:w="4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1"/>
        </w:trPr>
        <w:tc>
          <w:tcPr>
            <w:tcW w:w="690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of discontinued operations — end of period</w:t>
            </w:r>
          </w:p>
        </w:tc>
        <w:tc>
          <w:tcPr>
            <w:tcW w:w="25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w:t>
            </w:r>
          </w:p>
        </w:tc>
        <w:tc>
          <w:tcPr>
            <w:tcW w:w="4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69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90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Cash and cash equivalents — end of period</w:t>
            </w:r>
          </w:p>
        </w:tc>
        <w:tc>
          <w:tcPr>
            <w:tcW w:w="2520" w:type="dxa"/>
            <w:vAlign w:val="bottom"/>
            <w:vMerge w:val="restart"/>
            <w:shd w:val="clear" w:color="auto" w:fill="BFE4FF"/>
          </w:tcPr>
          <w:p>
            <w:pPr>
              <w:jc w:val="right"/>
              <w:ind w:right="22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202</w:t>
            </w:r>
          </w:p>
        </w:tc>
        <w:tc>
          <w:tcPr>
            <w:tcW w:w="440" w:type="dxa"/>
            <w:vAlign w:val="bottom"/>
            <w:vMerge w:val="restart"/>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74"/>
        </w:trPr>
        <w:tc>
          <w:tcPr>
            <w:tcW w:w="6900" w:type="dxa"/>
            <w:vAlign w:val="bottom"/>
            <w:tcBorders>
              <w:bottom w:val="single" w:sz="8" w:color="auto"/>
            </w:tcBorders>
            <w:shd w:val="clear" w:color="auto" w:fill="BFE4FF"/>
          </w:tcPr>
          <w:p>
            <w:pPr>
              <w:spacing w:after="0"/>
              <w:rPr>
                <w:sz w:val="6"/>
                <w:szCs w:val="6"/>
                <w:color w:val="auto"/>
              </w:rPr>
            </w:pPr>
          </w:p>
        </w:tc>
        <w:tc>
          <w:tcPr>
            <w:tcW w:w="2520" w:type="dxa"/>
            <w:vAlign w:val="bottom"/>
            <w:tcBorders>
              <w:bottom w:val="single" w:sz="8" w:color="auto"/>
            </w:tcBorders>
            <w:vMerge w:val="continue"/>
            <w:shd w:val="clear" w:color="auto" w:fill="BFE4FF"/>
          </w:tcPr>
          <w:p>
            <w:pPr>
              <w:spacing w:after="0"/>
              <w:rPr>
                <w:sz w:val="6"/>
                <w:szCs w:val="6"/>
                <w:color w:val="auto"/>
              </w:rPr>
            </w:pPr>
          </w:p>
        </w:tc>
        <w:tc>
          <w:tcPr>
            <w:tcW w:w="800" w:type="dxa"/>
            <w:vAlign w:val="bottom"/>
            <w:tcBorders>
              <w:bottom w:val="single" w:sz="8" w:color="auto"/>
            </w:tcBorders>
            <w:vMerge w:val="continue"/>
            <w:shd w:val="clear" w:color="auto" w:fill="BFE4FF"/>
          </w:tcPr>
          <w:p>
            <w:pPr>
              <w:spacing w:after="0"/>
              <w:rPr>
                <w:sz w:val="6"/>
                <w:szCs w:val="6"/>
                <w:color w:val="auto"/>
              </w:rPr>
            </w:pPr>
          </w:p>
        </w:tc>
        <w:tc>
          <w:tcPr>
            <w:tcW w:w="440" w:type="dxa"/>
            <w:vAlign w:val="bottom"/>
            <w:tcBorders>
              <w:bottom w:val="single" w:sz="8" w:color="auto"/>
            </w:tcBorders>
            <w:vMerge w:val="continue"/>
            <w:shd w:val="clear" w:color="auto" w:fill="BFE4FF"/>
          </w:tcPr>
          <w:p>
            <w:pPr>
              <w:spacing w:after="0"/>
              <w:rPr>
                <w:sz w:val="6"/>
                <w:szCs w:val="6"/>
                <w:color w:val="auto"/>
              </w:rPr>
            </w:pPr>
          </w:p>
        </w:tc>
        <w:tc>
          <w:tcPr>
            <w:tcW w:w="760" w:type="dxa"/>
            <w:vAlign w:val="bottom"/>
            <w:tcBorders>
              <w:bottom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29" w:right="239" w:bottom="381"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381"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CAMPBELL SOUP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22"/>
                <w:szCs w:val="22"/>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5"/>
              </w:rPr>
              <w:t>Retained in</w:t>
            </w:r>
          </w:p>
        </w:tc>
        <w:tc>
          <w:tcPr>
            <w:tcW w:w="200" w:type="dxa"/>
            <w:vAlign w:val="bottom"/>
          </w:tcPr>
          <w:p>
            <w:pPr>
              <w:spacing w:after="0"/>
              <w:rPr>
                <w:sz w:val="13"/>
                <w:szCs w:val="13"/>
                <w:color w:val="auto"/>
              </w:rPr>
            </w:pPr>
          </w:p>
        </w:tc>
        <w:tc>
          <w:tcPr>
            <w:tcW w:w="11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4"/>
                <w:szCs w:val="4"/>
                <w:color w:val="auto"/>
              </w:rPr>
            </w:pPr>
          </w:p>
        </w:tc>
        <w:tc>
          <w:tcPr>
            <w:tcW w:w="78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5"/>
              </w:rPr>
              <w:t>the</w:t>
            </w:r>
          </w:p>
        </w:tc>
        <w:tc>
          <w:tcPr>
            <w:tcW w:w="20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40" w:type="dxa"/>
            <w:vAlign w:val="bottom"/>
            <w:vMerge w:val="restart"/>
          </w:tcPr>
          <w:p>
            <w:pPr>
              <w:jc w:val="right"/>
              <w:ind w:right="10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4"/>
                <w:szCs w:val="4"/>
                <w:color w:val="auto"/>
              </w:rPr>
            </w:pPr>
          </w:p>
        </w:tc>
        <w:tc>
          <w:tcPr>
            <w:tcW w:w="560" w:type="dxa"/>
            <w:vAlign w:val="bottom"/>
            <w:vMerge w:val="restart"/>
          </w:tcPr>
          <w:p>
            <w:pPr>
              <w:jc w:val="right"/>
              <w:ind w:right="10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3"/>
              </w:rPr>
              <w:t>Business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January 28,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40" w:type="dxa"/>
            <w:vAlign w:val="bottom"/>
          </w:tcPr>
          <w:p>
            <w:pPr>
              <w:ind w:left="40"/>
              <w:spacing w:after="0"/>
              <w:rPr>
                <w:sz w:val="20"/>
                <w:szCs w:val="20"/>
                <w:color w:val="auto"/>
              </w:rPr>
            </w:pPr>
            <w:r>
              <w:rPr>
                <w:rFonts w:ascii="Arial" w:cs="Arial" w:eastAsia="Arial" w:hAnsi="Arial"/>
                <w:sz w:val="14"/>
                <w:szCs w:val="14"/>
                <w:color w:val="auto"/>
              </w:rPr>
              <w:t>Noncontrolling interest acquired</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noncontrolling interest</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($.35 per share)</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 management</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incentive and stock option plans</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April 29,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7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30, 2017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40" w:type="dxa"/>
            <w:vAlign w:val="bottom"/>
          </w:tcPr>
          <w:p>
            <w:pPr>
              <w:ind w:left="40"/>
              <w:spacing w:after="0"/>
              <w:rPr>
                <w:sz w:val="20"/>
                <w:szCs w:val="20"/>
                <w:color w:val="auto"/>
              </w:rPr>
            </w:pPr>
            <w:r>
              <w:rPr>
                <w:rFonts w:ascii="Arial" w:cs="Arial" w:eastAsia="Arial" w:hAnsi="Arial"/>
                <w:sz w:val="14"/>
                <w:szCs w:val="14"/>
                <w:color w:val="auto"/>
              </w:rPr>
              <w:t>Noncontrolling interest acquired</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noncontrolling interest</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($.1.05 per share)</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 management</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incentive and stock option plans</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April 29,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7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January 27,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Net earnings (loss)</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84</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(loss)</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Dividends ($.35 per share)</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2740" w:type="dxa"/>
            <w:vAlign w:val="bottom"/>
          </w:tcPr>
          <w:p>
            <w:pPr>
              <w:ind w:left="40"/>
              <w:spacing w:after="0" w:line="153" w:lineRule="exact"/>
              <w:rPr>
                <w:sz w:val="20"/>
                <w:szCs w:val="20"/>
                <w:color w:val="auto"/>
              </w:rPr>
            </w:pPr>
            <w:r>
              <w:rPr>
                <w:rFonts w:ascii="Arial" w:cs="Arial" w:eastAsia="Arial" w:hAnsi="Arial"/>
                <w:sz w:val="14"/>
                <w:szCs w:val="14"/>
                <w:b w:val="1"/>
                <w:bCs w:val="1"/>
                <w:color w:val="auto"/>
                <w:w w:val="95"/>
              </w:rPr>
              <w:t>Treasury stock issued under management</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incentive and stock option plans</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April 28,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1,237</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7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29,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40" w:type="dxa"/>
            <w:vAlign w:val="bottom"/>
          </w:tcPr>
          <w:p>
            <w:pPr>
              <w:ind w:left="40"/>
              <w:spacing w:after="0" w:line="139" w:lineRule="exact"/>
              <w:rPr>
                <w:sz w:val="20"/>
                <w:szCs w:val="20"/>
                <w:color w:val="auto"/>
              </w:rPr>
            </w:pPr>
            <w:r>
              <w:rPr>
                <w:rFonts w:ascii="Arial" w:cs="Arial" w:eastAsia="Arial" w:hAnsi="Arial"/>
                <w:sz w:val="14"/>
                <w:szCs w:val="14"/>
                <w:b w:val="1"/>
                <w:bCs w:val="1"/>
                <w:color w:val="auto"/>
                <w:w w:val="92"/>
              </w:rPr>
              <w:t>Cumulative effect of changes in accounting</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principle:</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b w:val="1"/>
                <w:bCs w:val="1"/>
                <w:color w:val="auto"/>
              </w:rPr>
              <w:t>Stranded tax effects</w:t>
            </w:r>
            <w:r>
              <w:rPr>
                <w:rFonts w:ascii="Arial" w:cs="Arial" w:eastAsia="Arial" w:hAnsi="Arial"/>
                <w:sz w:val="8"/>
                <w:szCs w:val="8"/>
                <w:b w:val="1"/>
                <w:bCs w:val="1"/>
                <w:color w:val="auto"/>
              </w:rPr>
              <w:t>(1)</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2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219</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($1.05 per share)</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(319)</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w w:val="95"/>
              </w:rPr>
              <w:t>Treasury stock issued under management</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incentive and stock option plans</w:t>
            </w:r>
          </w:p>
        </w:tc>
        <w:tc>
          <w:tcPr>
            <w:tcW w:w="6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April 28, 2019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1,237</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33"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33"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See Note 3 for a discussion of Discontinued Operations. Certain amounts in prior-year financial statements were reclassified to conform to the current-year presentation.</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29, 2018, except as described below and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July 28, 2019.</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Our revenues primarily consist of the sale of food and beverage products through our own sales force and/or third-party brokers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distribution partners. Revenues are recognized when our performance obligation has been satisfied and control of the product passes to our customers, which typically occurs when products are delivered or accepted by customers in accordance with terms of agreements. We make shipments promptly after acceptance of orders.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7 for additional information on disaggregation of revenue. In 2019, we adopted revised guidance on the recognition of revenue from contracts with customers. See Note 2 for additional information.</w:t>
      </w:r>
    </w:p>
    <w:p>
      <w:pPr>
        <w:spacing w:after="0" w:line="184" w:lineRule="exact"/>
        <w:rPr>
          <w:sz w:val="20"/>
          <w:szCs w:val="20"/>
          <w:color w:val="auto"/>
        </w:rPr>
      </w:pPr>
    </w:p>
    <w:p>
      <w:pPr>
        <w:ind w:left="340" w:right="8300" w:hanging="332"/>
        <w:spacing w:after="0" w:line="416" w:lineRule="auto"/>
        <w:tabs>
          <w:tab w:leader="none" w:pos="34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Recently Adopted</w:t>
      </w:r>
    </w:p>
    <w:p>
      <w:pPr>
        <w:spacing w:after="0" w:line="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were permitted to adopt the new revenue standard early, but not before the original effective date. The guidance permits the use of either a full retrospective or modified retrospective transition method. We completed the review of our arrangements with customers across our businesses, including our practices of offering rebates, refunds, discounts and other price allowances, and trade and consumer promotion programs. As we evaluated our methods of estimating the amount and timing of these various forms of variable consideration, we determined we will accelerate the expense recognition of certain trade and consumer promotion programs under the new guidance. Based on our assessment, the impact is not expected to be material on an annual basis, but will impact quarterly results. We adopted the guidance in the first quarter of 2019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The impacts of the changes to our Consolidated Balance Sheet as of April 28, 2019, as a result of adoption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Balances</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Without</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Adoption</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 to suppliers and others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Soup Company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Campbell Soup Company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13,767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impacts of the changes to our Consolidated Statement of Earnings as a result of adoption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274"/>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Nine Months Ended</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April 28, 2019</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April 28, 2019</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Balances</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Increase/(Decrease)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Balances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As Reported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Without</w:t>
            </w: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As Reported</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Without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Due to Adoption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Adoption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6,119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Earnings before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on earnings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9"/>
              </w:rPr>
              <w:t>Earnings from continuing operations attributable</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5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 Campbell Soup Company</w:t>
            </w:r>
          </w:p>
        </w:tc>
        <w:tc>
          <w:tcPr>
            <w:tcW w:w="14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Per Share — Basic</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Earnings from continuing operations attributable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40" w:type="dxa"/>
            <w:vAlign w:val="bottom"/>
            <w:shd w:val="clear" w:color="auto" w:fill="CCEEFF"/>
          </w:tcPr>
          <w:p>
            <w:pPr>
              <w:ind w:left="100"/>
              <w:spacing w:after="0" w:line="257" w:lineRule="exact"/>
              <w:rPr>
                <w:sz w:val="20"/>
                <w:szCs w:val="20"/>
                <w:color w:val="auto"/>
              </w:rPr>
            </w:pPr>
            <w:r>
              <w:rPr>
                <w:rFonts w:ascii="Arial" w:cs="Arial" w:eastAsia="Arial" w:hAnsi="Arial"/>
                <w:sz w:val="18"/>
                <w:szCs w:val="18"/>
                <w:color w:val="auto"/>
              </w:rPr>
              <w:t>to Campbell Soup Company</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Per Share — Assuming Dilution</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Earnings from continuing operations attributable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 Campbell Soup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7"/>
              </w:rPr>
              <w:t>_______________________________________</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13"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 sum of individual per share amounts may not add due to rounding.</w:t>
      </w:r>
    </w:p>
    <w:p>
      <w:pPr>
        <w:spacing w:after="0" w:line="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w:t>
      </w:r>
    </w:p>
    <w:p>
      <w:pPr>
        <w:sectPr>
          <w:pgSz w:w="11900" w:h="16838" w:orient="portrait"/>
          <w:cols w:equalWidth="0" w:num="1">
            <w:col w:w="11420"/>
          </w:cols>
          <w:pgMar w:left="240" w:top="1233"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33"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auto"/>
        </w:rPr>
        <w:t>interim periods within those years. In 2019, we adopted the guidance. The adoption did not have an impact on our consolidated financial statements.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In 2019, we adopted the guidance. The adoption did not have a material impact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In 2019, we adopted the guidance. The adoption did not have an impact on our consolidated financial statements.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Beginning in 2019, we will prospectively apply the guidance to applicable transactions.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5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In July 2018, the FASB issued an adoption approach that allows entities to apply the new guidance at the adoption date and recognize a cumulative-effect adjustment to the opening balance of retained earnings in the period of adoption without restating prior periods. We are currently compiling an inventory of our lease arrangements in order to determine the impact that the new guidance will have on our consolidated financial statements. We have selected a lease software solution to facilitate the adoption of the new guidance.</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10" w:name="page11"/>
    <w:bookmarkEnd w:id="10"/>
    <w:p>
      <w:pPr>
        <w:jc w:val="both"/>
        <w:ind w:right="20" w:firstLine="324"/>
        <w:spacing w:after="0" w:line="259"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w:t>
      </w:r>
    </w:p>
    <w:p>
      <w:pPr>
        <w:spacing w:after="0" w:line="10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approximately $55, subject to customary purchase price adjustments. On April 12, 2019, we signed a definitive agreement for the sale of Bolthouse Farms to an affiliate of Butterfly Equity for $510, subject to customary purchase price adjustments. We expect to complete the sale in the fourth quarter of 2019. Beginning in the third quarter of 2019, we have reflected the results of these businesses as discontinued operations in the Consolidated Statements of Earnings for all periods presented.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28, 2019</w:t>
            </w:r>
          </w:p>
        </w:tc>
        <w:tc>
          <w:tcPr>
            <w:tcW w:w="1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April 29, 2018</w:t>
            </w:r>
          </w:p>
        </w:tc>
        <w:tc>
          <w:tcPr>
            <w:tcW w:w="140" w:type="dxa"/>
            <w:vAlign w:val="bottom"/>
          </w:tcPr>
          <w:p>
            <w:pPr>
              <w:spacing w:after="0"/>
              <w:rPr>
                <w:sz w:val="22"/>
                <w:szCs w:val="22"/>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28, 2019</w:t>
            </w:r>
          </w:p>
        </w:tc>
        <w:tc>
          <w:tcPr>
            <w:tcW w:w="12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April 29, 2018</w:t>
            </w:r>
          </w:p>
        </w:tc>
      </w:tr>
      <w:tr>
        <w:trPr>
          <w:trHeight w:val="263"/>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w:t>
            </w:r>
          </w:p>
        </w:tc>
      </w:tr>
      <w:tr>
        <w:trPr>
          <w:trHeight w:val="324"/>
        </w:trPr>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taxes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Taxes on earnings from operations</w:t>
            </w: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 / costs associated with selling the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 impact of loss on sale / costs associated with selling the businesses</w:t>
            </w: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of 2019, we performed interim impairment assessments on the intangible and tangible assets of the businesses. We revised our future outlook for earnings and cash flows for each of these businesses as the divestiture process progressed and we received initial indications of value. Within Bolthouse Farms carrot and carrot ingredients, we recorded impairment charges of $18 on the trademark, $40 on customer relationships, $15 on technology and $104 on plant assets. Within Bolthouse Farms refrigerated beverages and salad dressings, we recorded impairment charges of $74 on the trademark, $22 on customer relationships, and $9 on plant assets. On Garden Fresh Gourmet, we recorded impairment charges of $23 on the trademark, $39 on customer relationships, and $2 on plant assets. In the first quarter of 2019, we recorded an impairment charge of $14 on the U.S refrigerated soup plant assets.</w:t>
      </w:r>
    </w:p>
    <w:p>
      <w:pPr>
        <w:spacing w:after="0" w:line="54"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In the third quarter of 2019, we incurred pre-tax expenses of $24 associated with the sale process of the businesses in Campbell Fresh, including losses on the sale of the U.S. refrigerated soup business and Garden Fresh Gourmet of $15. Year-to-date in 2019, we incurred pre-tax expenses of $31 associated with the sale process of the businesses, including losses on the sale of the U.S. refrigerated soup business and Garden Fresh Gourmet of $18. In addition, due to the pending sale of Bolthouse Farms, we recorded tax expense of $29 in the three- and nine-month periods ended April 28, 2019, as deferred tax assets are not realizable.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4" w:right="239" w:bottom="1440" w:gutter="0" w:footer="0" w:header="0"/>
        </w:sectPr>
      </w:pPr>
    </w:p>
    <w:bookmarkStart w:id="11" w:name="page12"/>
    <w:bookmarkEnd w:id="11"/>
    <w:p>
      <w:pPr>
        <w:jc w:val="both"/>
        <w:ind w:firstLine="324"/>
        <w:spacing w:after="0" w:line="264" w:lineRule="auto"/>
        <w:rPr>
          <w:sz w:val="20"/>
          <w:szCs w:val="20"/>
          <w:color w:val="auto"/>
        </w:rPr>
      </w:pPr>
      <w:r>
        <w:rPr>
          <w:rFonts w:ascii="Arial" w:cs="Arial" w:eastAsia="Arial" w:hAnsi="Arial"/>
          <w:sz w:val="18"/>
          <w:szCs w:val="18"/>
          <w:color w:val="auto"/>
        </w:rPr>
        <w:t>The assets and liabilities of Bolthouse Farms have been reflected as assets and liabilities of discontinued operations as of April 28, 2019, and July 29, 2018. In addition, the assets and liabilities of the Garden Fresh Gourmet business and our U.S refrigerated soup business, which were sold in the current-year quarter, have been reflected as assets and liabilities of discontinued operations as of July 29, 2018.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April 28,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July 29,</w:t>
            </w:r>
          </w:p>
        </w:tc>
      </w:tr>
      <w:tr>
        <w:trPr>
          <w:trHeight w:val="192"/>
        </w:trPr>
        <w:tc>
          <w:tcPr>
            <w:tcW w:w="85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r>
      <w:tr>
        <w:trPr>
          <w:trHeight w:val="291"/>
        </w:trPr>
        <w:tc>
          <w:tcPr>
            <w:tcW w:w="85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381</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566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1,054</w:t>
            </w:r>
          </w:p>
        </w:tc>
      </w:tr>
      <w:tr>
        <w:trPr>
          <w:trHeight w:val="67"/>
        </w:trPr>
        <w:tc>
          <w:tcPr>
            <w:tcW w:w="85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64"/>
        </w:trPr>
        <w:tc>
          <w:tcPr>
            <w:tcW w:w="85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Payable to suppliers and others</w:t>
            </w:r>
          </w:p>
        </w:tc>
        <w:tc>
          <w:tcPr>
            <w:tcW w:w="960" w:type="dxa"/>
            <w:vAlign w:val="bottom"/>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8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960" w:type="dxa"/>
            <w:vAlign w:val="bottom"/>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104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w:t>
            </w:r>
          </w:p>
        </w:tc>
      </w:tr>
      <w:tr>
        <w:trPr>
          <w:trHeight w:val="27"/>
        </w:trPr>
        <w:tc>
          <w:tcPr>
            <w:tcW w:w="8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depreciation and amortization, capital expenditures, sale proceeds and significant operating noncash items of discontinued operations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16"/>
                <w:szCs w:val="16"/>
                <w:color w:val="auto"/>
              </w:rPr>
            </w:pPr>
          </w:p>
        </w:tc>
      </w:tr>
      <w:tr>
        <w:trPr>
          <w:trHeight w:val="152"/>
        </w:trPr>
        <w:tc>
          <w:tcPr>
            <w:tcW w:w="85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29,</w:t>
            </w:r>
          </w:p>
        </w:tc>
        <w:tc>
          <w:tcPr>
            <w:tcW w:w="400" w:type="dxa"/>
            <w:vAlign w:val="bottom"/>
          </w:tcPr>
          <w:p>
            <w:pPr>
              <w:spacing w:after="0"/>
              <w:rPr>
                <w:sz w:val="13"/>
                <w:szCs w:val="13"/>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discontinued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960" w:type="dxa"/>
            <w:vAlign w:val="bottom"/>
          </w:tcPr>
          <w:p>
            <w:pPr>
              <w:jc w:val="right"/>
              <w:ind w:right="761"/>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360</w:t>
            </w:r>
          </w:p>
        </w:tc>
        <w:tc>
          <w:tcPr>
            <w:tcW w:w="120" w:type="dxa"/>
            <w:vAlign w:val="bottom"/>
          </w:tcPr>
          <w:p>
            <w:pPr>
              <w:spacing w:after="0"/>
              <w:rPr>
                <w:sz w:val="21"/>
                <w:szCs w:val="21"/>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694</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on sale of businesses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discontinued investing activities:</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Sale of businesses, net of cash divested</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provide certain transition services to support the divested businesses.</w:t>
      </w:r>
    </w:p>
    <w:p>
      <w:pPr>
        <w:spacing w:after="0" w:line="8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Snyder's-Lance is a snack food company that manufactures, distributes, markets and sells snack food products in North America and Europe. Its primary brands include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and </w:t>
      </w:r>
      <w:r>
        <w:rPr>
          <w:rFonts w:ascii="Arial" w:cs="Arial" w:eastAsia="Arial" w:hAnsi="Arial"/>
          <w:sz w:val="18"/>
          <w:szCs w:val="18"/>
          <w:i w:val="1"/>
          <w:iCs w:val="1"/>
          <w:color w:val="auto"/>
        </w:rPr>
        <w:t>Lance</w:t>
      </w:r>
      <w:r>
        <w:rPr>
          <w:rFonts w:ascii="Arial" w:cs="Arial" w:eastAsia="Arial" w:hAnsi="Arial"/>
          <w:sz w:val="18"/>
          <w:szCs w:val="18"/>
          <w:color w:val="auto"/>
        </w:rPr>
        <w:t xml:space="preserve">, as well as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w:t>
      </w:r>
      <w:r>
        <w:rPr>
          <w:rFonts w:ascii="Arial" w:cs="Arial" w:eastAsia="Arial" w:hAnsi="Arial"/>
          <w:sz w:val="18"/>
          <w:szCs w:val="18"/>
          <w:i w:val="1"/>
          <w:iCs w:val="1"/>
          <w:color w:val="auto"/>
        </w:rPr>
        <w:t>KETTLE, Cape Cod</w:t>
      </w:r>
      <w:r>
        <w:rPr>
          <w:rFonts w:ascii="Arial" w:cs="Arial" w:eastAsia="Arial" w:hAnsi="Arial"/>
          <w:sz w:val="18"/>
          <w:szCs w:val="18"/>
          <w:color w:val="auto"/>
        </w:rPr>
        <w:t xml:space="preserve">, </w:t>
      </w:r>
      <w:r>
        <w:rPr>
          <w:rFonts w:ascii="Arial" w:cs="Arial" w:eastAsia="Arial" w:hAnsi="Arial"/>
          <w:sz w:val="18"/>
          <w:szCs w:val="18"/>
          <w:i w:val="1"/>
          <w:iCs w:val="1"/>
          <w:color w:val="auto"/>
        </w:rPr>
        <w:t>Snack</w:t>
      </w:r>
      <w:r>
        <w:rPr>
          <w:rFonts w:ascii="Arial" w:cs="Arial" w:eastAsia="Arial" w:hAnsi="Arial"/>
          <w:sz w:val="18"/>
          <w:szCs w:val="18"/>
          <w:color w:val="auto"/>
        </w:rPr>
        <w:t xml:space="preserve"> </w:t>
      </w:r>
      <w:r>
        <w:rPr>
          <w:rFonts w:ascii="Arial" w:cs="Arial" w:eastAsia="Arial" w:hAnsi="Arial"/>
          <w:sz w:val="18"/>
          <w:szCs w:val="18"/>
          <w:i w:val="1"/>
          <w:iCs w:val="1"/>
          <w:color w:val="auto"/>
        </w:rPr>
        <w:t>Factory Pretzel Crisps</w:t>
      </w:r>
      <w:r>
        <w:rPr>
          <w:rFonts w:ascii="Arial" w:cs="Arial" w:eastAsia="Arial" w:hAnsi="Arial"/>
          <w:sz w:val="18"/>
          <w:szCs w:val="18"/>
          <w:color w:val="auto"/>
        </w:rPr>
        <w:t>,</w:t>
      </w:r>
      <w:r>
        <w:rPr>
          <w:rFonts w:ascii="Arial" w:cs="Arial" w:eastAsia="Arial" w:hAnsi="Arial"/>
          <w:sz w:val="18"/>
          <w:szCs w:val="18"/>
          <w:i w:val="1"/>
          <w:iCs w:val="1"/>
          <w:color w:val="auto"/>
        </w:rPr>
        <w:t xml:space="preserve"> Pop Secret, Emerald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Late July</w:t>
      </w:r>
      <w:r>
        <w:rPr>
          <w:rFonts w:ascii="Arial" w:cs="Arial" w:eastAsia="Arial" w:hAnsi="Arial"/>
          <w:sz w:val="18"/>
          <w:szCs w:val="18"/>
          <w:color w:val="auto"/>
        </w:rPr>
        <w: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$3,006 of goodwill. The goodwill is not deductible for tax purposes. The goodwill was primarily attributable to future growth opportunities, anticipated synergies, and intangible assets that did not qualify for separate recognition. The goodwill is included in the Global Biscuits and Snacks segment.</w:t>
      </w:r>
    </w:p>
    <w:p>
      <w:pPr>
        <w:sectPr>
          <w:pgSz w:w="11900" w:h="16838" w:orient="portrait"/>
          <w:cols w:equalWidth="0" w:num="1">
            <w:col w:w="11420"/>
          </w:cols>
          <w:pgMar w:left="240" w:top="131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14" w:right="239" w:bottom="1440" w:gutter="0" w:footer="0" w:header="0"/>
          <w:type w:val="continuous"/>
        </w:sectPr>
      </w:pPr>
    </w:p>
    <w:bookmarkStart w:id="12" w:name="page13"/>
    <w:bookmarkEnd w:id="12"/>
    <w:p>
      <w:pPr>
        <w:jc w:val="both"/>
        <w:ind w:firstLine="324"/>
        <w:spacing w:after="0" w:line="302" w:lineRule="auto"/>
        <w:rPr>
          <w:sz w:val="20"/>
          <w:szCs w:val="20"/>
          <w:color w:val="auto"/>
        </w:rPr>
      </w:pPr>
      <w:r>
        <w:rPr>
          <w:rFonts w:ascii="Arial" w:cs="Arial" w:eastAsia="Arial" w:hAnsi="Arial"/>
          <w:sz w:val="16"/>
          <w:szCs w:val="16"/>
          <w:color w:val="auto"/>
        </w:rPr>
        <w:t>On December 12, 2017, we completed the acquisition of Pacific Foods of Oregon, LLC (Pacific Foods). The purchase price was $688. Pacific Foods produces broth, soups, non-dairy beverages and other simple meals. The excess of the purchase price over the estimated fair values of identifiable net assets was recorded as $202 of goodwill. The goodwill is deductible for tax purposes. The goodwill was primarily attributable to future growth opportunities, anticipated synergies, and intangible assets that did not qualify for separate recognition. The goodwill is included in the Meals and Beverages segment.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below presents the fair value that was allocated to acquired assets and assumed liabilities of Snyder's-Lance. In the first quarter ended October 28, 2018, we made measurement period adjustments to reflect facts and circumstances in existence as of the date of acquisition. These adjustments included a $134 decrease to indefinite-lived trademarks, a $52 decrease to customer relationships, a $43 decrease to Deferred taxes and a $140 increase to Goodwill.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Snyder's-Lance</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Deferred taxes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acquired and liabilities assumed</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920" w:type="dxa"/>
            <w:vAlign w:val="bottom"/>
            <w:vMerge w:val="restart"/>
          </w:tcPr>
          <w:p>
            <w:pPr>
              <w:ind w:left="260"/>
              <w:spacing w:after="0"/>
              <w:rPr>
                <w:sz w:val="20"/>
                <w:szCs w:val="20"/>
                <w:color w:val="auto"/>
              </w:rPr>
            </w:pPr>
            <w:r>
              <w:rPr>
                <w:rFonts w:ascii="Arial" w:cs="Arial" w:eastAsia="Arial" w:hAnsi="Arial"/>
                <w:sz w:val="18"/>
                <w:szCs w:val="18"/>
                <w:color w:val="auto"/>
              </w:rPr>
              <w:t>The identifiable intangible assets of Snyder's-Lance consist of:</w:t>
            </w: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Non-amortizable</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Amortizable</w:t>
            </w:r>
          </w:p>
        </w:tc>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rPr>
              <w:t>15 to  22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Amortizable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and nine-month periods ended April 28, 2019, the acquisition of Snyder's-Lance contributed $532 and $1,615 to Net sales. The contribution to Net earnings (loss) from continuing operations were losses of $9 and $26 for the three- and nine-month periods ended April 28, 2019, including expenses associated with restructuring charges and cost savings initiatives, as well as interest expense on the debt to finance the acquisition.</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transaction costs and integration costs of $64 and $88, associated with the Snyder's-Lance acquisition in the three- and nine-month periods ended April 29, 2018, respectively. Approximately $29 in the three-month period and $53 in the nine-month period represented transactions costs, including bridge financing costs and outside advisory costs, and were recorded in Other expenses / (income). Integration costs in the three- and nine-month periods included the following:</w:t>
      </w:r>
    </w:p>
    <w:p>
      <w:pPr>
        <w:spacing w:after="0" w:line="13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most of the acquisition date fair value adjustment to inventories of $37 that was recorded in Cost of products sold;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 of Restructuring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 of Administrative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 gain in Interest expense on treasury rate lock contracts used to hedge the planned financing of the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nine-month periods ended April 29, 2018, the contribution of the Snyder's-Lance acquisition to Net sales was $207. The contribution to Net earnings (loss) was a loss of $52 for the three-month period ended April 29, 2018, including the effect of the transaction and integration costs, and interest expense on the debt to finance the acquisition.</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4" w:right="239" w:bottom="1440" w:gutter="0" w:footer="0" w:header="0"/>
          <w:type w:val="continuous"/>
        </w:sectPr>
      </w:pPr>
    </w:p>
    <w:bookmarkStart w:id="13" w:name="page14"/>
    <w:bookmarkEnd w:id="13"/>
    <w:p>
      <w:pPr>
        <w:jc w:val="both"/>
        <w:ind w:firstLine="324"/>
        <w:spacing w:after="0" w:line="259" w:lineRule="auto"/>
        <w:rPr>
          <w:sz w:val="20"/>
          <w:szCs w:val="20"/>
          <w:color w:val="auto"/>
        </w:rPr>
      </w:pPr>
      <w:r>
        <w:rPr>
          <w:rFonts w:ascii="Arial" w:cs="Arial" w:eastAsia="Arial" w:hAnsi="Arial"/>
          <w:sz w:val="18"/>
          <w:szCs w:val="18"/>
          <w:color w:val="auto"/>
        </w:rPr>
        <w:t>For the three- and nine-month periods ended April 28, 2019, the acquisition of Pacific Foods contributed $55 and $182 to Net sales. The contribution to Net earnings (loss) from continuing operations were losses of $4 and $7 for the three- and nine-month periods ended April 28, 2019, including interest expense on the debt to finance the acquisition. For the nine-month period ended April 29, 2018, the contribution of the Pacific Foods acquisition to Net sales was $83. The contribution to Net earnings was not material.</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Snyder's-Lance and Pacific Foods acquisitions had occurred on August 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52"/>
        </w:trPr>
        <w:tc>
          <w:tcPr>
            <w:tcW w:w="8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29,</w:t>
            </w:r>
          </w:p>
        </w:tc>
        <w:tc>
          <w:tcPr>
            <w:tcW w:w="260" w:type="dxa"/>
            <w:vAlign w:val="bottom"/>
          </w:tcPr>
          <w:p>
            <w:pPr>
              <w:spacing w:after="0"/>
              <w:rPr>
                <w:sz w:val="13"/>
                <w:szCs w:val="13"/>
                <w:color w:val="auto"/>
              </w:rPr>
            </w:pPr>
          </w:p>
        </w:tc>
        <w:tc>
          <w:tcPr>
            <w:tcW w:w="110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7"/>
              </w:rPr>
              <w:t>April 29,</w:t>
            </w:r>
          </w:p>
        </w:tc>
      </w:tr>
      <w:tr>
        <w:trPr>
          <w:trHeight w:val="192"/>
        </w:trPr>
        <w:tc>
          <w:tcPr>
            <w:tcW w:w="8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795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per share attributable to Campbell Soup Company - basic</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Earnings from continuing operations per share attributable to Campbell Soup Company - assuming dilution</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2.63</w:t>
            </w: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 The pro forma results for the three- and nine-month periods ended April 29, 2018 do not include certain transaction costs, amortization of the acquisition date fair value adjustment to inventories, or a gain on treasury rate lock contracts, as all of these would be reflected in the nine-month period ended April 30, 2017, had the acquisitions occurred on August 1, 2016.</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the acquisition of Snyder's-Lance, we acquired an investment in Yellow Chips Holdings B.V. (Yellow Chips), and accounted for the investment under the equity method of accounting. On October 30, 2018, we purchased the remaining ownership interest in Yellow Chips, and began consolidating the business. The purchase price was $18. The pro forma results for the nine-month period ended April 28, 2019 and the three- and nine-month periods ended April 29, 2018 were not material.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14" w:right="239" w:bottom="1440" w:gutter="0" w:footer="0" w:header="0"/>
        </w:sectPr>
      </w:pPr>
    </w:p>
    <w:bookmarkStart w:id="14" w:name="page15"/>
    <w:bookmarkEnd w:id="14"/>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29,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Balance at July 29,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Cumulative effect of a change in accounting principle</w:t>
            </w:r>
            <w:r>
              <w:rPr>
                <w:rFonts w:ascii="Arial" w:cs="Arial" w:eastAsia="Arial" w:hAnsi="Arial"/>
                <w:sz w:val="25"/>
                <w:szCs w:val="25"/>
                <w:b w:val="1"/>
                <w:bCs w:val="1"/>
                <w:color w:val="auto"/>
                <w:vertAlign w:val="superscript"/>
              </w:rPr>
              <w:t>(4)</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29,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Included a tax expense of $4 as of April 28, 2019, and $6 as of July 29, 2018, April 29, 2018, and July 30, 2017.</w:t>
      </w:r>
    </w:p>
    <w:p>
      <w:pPr>
        <w:ind w:left="340" w:hanging="332"/>
        <w:spacing w:after="0" w:line="203"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Included a tax benefit of $1 as of April 28, 2019, $4 as of July 29, 2018, $5 as of April 29, 2018, and $12 as of July 30, 2017.</w:t>
      </w:r>
    </w:p>
    <w:p>
      <w:pPr>
        <w:ind w:left="340" w:hanging="332"/>
        <w:spacing w:after="0" w:line="203"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Included a tax expense of $10 as of April 28, 2019, $25 as of July 29, 2018, $24 as of April 29, 2018, and $30 as of July 30, 2017.</w:t>
      </w:r>
    </w:p>
    <w:p>
      <w:pPr>
        <w:ind w:left="340" w:right="3420" w:hanging="332"/>
        <w:spacing w:after="0" w:line="319"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Reflects the adoption of the FASB guidance on stranded tax effects. See Note 2 for additional information.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120" w:type="dxa"/>
            <w:vAlign w:val="bottom"/>
          </w:tcPr>
          <w:p>
            <w:pPr>
              <w:spacing w:after="0"/>
              <w:rPr>
                <w:sz w:val="12"/>
                <w:szCs w:val="12"/>
                <w:color w:val="auto"/>
              </w:rPr>
            </w:pPr>
          </w:p>
        </w:tc>
        <w:tc>
          <w:tcPr>
            <w:tcW w:w="10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April 28, 2019</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April 29,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April 28, 2019</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April 29, 2018</w:t>
            </w:r>
          </w:p>
        </w:tc>
        <w:tc>
          <w:tcPr>
            <w:tcW w:w="100" w:type="dxa"/>
            <w:vAlign w:val="bottom"/>
          </w:tcPr>
          <w:p>
            <w:pPr>
              <w:spacing w:after="0"/>
              <w:rPr>
                <w:sz w:val="12"/>
                <w:szCs w:val="12"/>
                <w:color w:val="auto"/>
              </w:rPr>
            </w:pPr>
          </w:p>
        </w:tc>
        <w:tc>
          <w:tcPr>
            <w:tcW w:w="2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Location of (Gain) Loss Recognized in</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(Loss) Components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Pension and postretirement benefit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20" w:type="dxa"/>
            <w:vAlign w:val="bottom"/>
            <w:gridSpan w:val="3"/>
          </w:tcPr>
          <w:p>
            <w:pPr>
              <w:ind w:left="660"/>
              <w:spacing w:after="0"/>
              <w:rPr>
                <w:sz w:val="20"/>
                <w:szCs w:val="20"/>
                <w:color w:val="auto"/>
              </w:rPr>
            </w:pPr>
            <w:r>
              <w:rPr>
                <w:rFonts w:ascii="Arial" w:cs="Arial" w:eastAsia="Arial" w:hAnsi="Arial"/>
                <w:sz w:val="18"/>
                <w:szCs w:val="18"/>
                <w:color w:val="auto"/>
              </w:rPr>
              <w:t>(20)  Other expenses / (income)</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5" w:name="page16"/>
    <w:bookmarkEnd w:id="15"/>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Global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Biscuits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Meals and Beverages</w:t>
            </w: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Snacks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29, 2018</w:t>
            </w: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Changes in preliminary purchase price allocation</w:t>
            </w:r>
          </w:p>
        </w:tc>
        <w:tc>
          <w:tcPr>
            <w:tcW w:w="5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balance at April 28, 2019</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3,727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three-month period ended October 28, 2018, we made changes in the preliminary allocation of the purchase price of the Snyder's-Lance acquisition which resulted in a change in goodwill of $140 in the Global Biscuits and Snacks segment. On October 30, 2018, we acquired the remaining ownership interest in Yellow Chips and began consolidating the business, which resulted in goodwill of $21. See Note 4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5"/>
              </w:rPr>
              <w:t>April 28, 2019</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July 29, 2018</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3"/>
                <w:szCs w:val="13"/>
                <w:color w:val="auto"/>
              </w:rPr>
            </w:pPr>
          </w:p>
        </w:tc>
        <w:tc>
          <w:tcPr>
            <w:tcW w:w="1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Estimated Useful Lives</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0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0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   to</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890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823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 to</w:t>
            </w:r>
          </w:p>
        </w:tc>
        <w:tc>
          <w:tcPr>
            <w:tcW w:w="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Total amortizable intangible assets</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Trademarks</w:t>
            </w: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2,761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intangible assets</w:t>
            </w:r>
          </w:p>
        </w:tc>
        <w:tc>
          <w:tcPr>
            <w:tcW w:w="9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intangible assets of Campbell Fresh are included in Noncurrent assets of discontinued operations on the Consolidated Balance Sheets. See also Note 3 See for additional information on discontinued operations.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Snyder's of Hanover, Lance, Kettle Brand, Pace, Pacific Foods, 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Cape Cod, Pop Secret</w:t>
      </w:r>
      <w:r>
        <w:rPr>
          <w:rFonts w:ascii="Arial" w:cs="Arial" w:eastAsia="Arial" w:hAnsi="Arial"/>
          <w:sz w:val="18"/>
          <w:szCs w:val="18"/>
          <w:color w:val="auto"/>
        </w:rPr>
        <w:t>,</w:t>
      </w:r>
      <w:r>
        <w:rPr>
          <w:rFonts w:ascii="Arial" w:cs="Arial" w:eastAsia="Arial" w:hAnsi="Arial"/>
          <w:sz w:val="18"/>
          <w:szCs w:val="18"/>
          <w:i w:val="1"/>
          <w:iCs w:val="1"/>
          <w:color w:val="auto"/>
        </w:rPr>
        <w:t xml:space="preserve"> Kjeldsens, Plum, </w:t>
      </w:r>
      <w:r>
        <w:rPr>
          <w:rFonts w:ascii="Arial" w:cs="Arial" w:eastAsia="Arial" w:hAnsi="Arial"/>
          <w:sz w:val="18"/>
          <w:szCs w:val="18"/>
          <w:color w:val="auto"/>
        </w:rPr>
        <w:t>and</w:t>
      </w:r>
      <w:r>
        <w:rPr>
          <w:rFonts w:ascii="Arial" w:cs="Arial" w:eastAsia="Arial" w:hAnsi="Arial"/>
          <w:sz w:val="18"/>
          <w:szCs w:val="18"/>
          <w:i w:val="1"/>
          <w:iCs w:val="1"/>
          <w:color w:val="auto"/>
        </w:rPr>
        <w:t xml:space="preserve"> Late July</w:t>
      </w:r>
      <w:r>
        <w:rPr>
          <w:rFonts w:ascii="Arial" w:cs="Arial" w:eastAsia="Arial" w:hAnsi="Arial"/>
          <w:sz w:val="18"/>
          <w:szCs w:val="18"/>
          <w:color w:val="auto"/>
        </w:rPr>
        <w:t>. Other amortizable intangible assets consist of recipes, non-compete agreements,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Amortization of intangible assets in Earnings from continuing operations was $37 and $9 for the nine-month periods ended April 28, 2019 and April 29, 2018, respectively. Amortization expense for the next 5 years is estimated to be $51 in 2019, $47 in 2020 and $45 in 2021 through 2023.</w:t>
      </w:r>
    </w:p>
    <w:p>
      <w:pPr>
        <w:spacing w:after="0" w:line="8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Commencing in the third quarter of 2018 with the acquisition of Snyder's-Lance, we formed a new U.S. snacking unit, which combines Snyder's-Lance and Pepperidge Farm, and is an operating segment. Through the second quarter of 2019, we had four operating segments based primarily on product type, and three reportable segments. The operating segments were Meals and Beverages; U.S. snacking; international biscuits and snacks; and Campbell Fresh. The U.S. snacking operating segment is aggregated with the international biscuits and snacks operating segment to form the Global Biscuits and Snacks reportable segment. The operating segments are aggregated based on similar economic characteristics, products, production processes, types or classes of customers, distribution methods, and regulatory environment.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segment. The international biscuits and snacks operating segment and the Campbell Fresh segment combined represent approximately $2,100 in net sales in 2018.</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10" w:right="239" w:bottom="1440" w:gutter="0" w:footer="0" w:header="0"/>
          <w:type w:val="continuous"/>
        </w:sectPr>
      </w:pPr>
    </w:p>
    <w:bookmarkStart w:id="16" w:name="page17"/>
    <w:bookmarkEnd w:id="16"/>
    <w:p>
      <w:pPr>
        <w:jc w:val="both"/>
        <w:ind w:firstLine="324"/>
        <w:spacing w:after="0" w:line="276" w:lineRule="auto"/>
        <w:rPr>
          <w:sz w:val="20"/>
          <w:szCs w:val="20"/>
          <w:color w:val="auto"/>
        </w:rPr>
      </w:pPr>
      <w:r>
        <w:rPr>
          <w:rFonts w:ascii="Arial" w:cs="Arial" w:eastAsia="Arial" w:hAnsi="Arial"/>
          <w:sz w:val="17"/>
          <w:szCs w:val="17"/>
          <w:color w:val="auto"/>
        </w:rPr>
        <w:t>On February 25, 2019, we sold our U.S refrigerated soup business. On April 25, 2019, we sold our Garden Fresh Gourmet business. On April 12, 2019, we signed a definitive agreement for the sale of Bolthouse Farms to an affiliate of Butterfly Equity. These businesses were historically included in the Campbell Fresh segment. Beginning in the third quarter of 2019, the results of these businesses are reported as discontinued operations for the periods presented. A portion of the U.S. refrigerated soup business historically included in Campbell Fresh was retained, and is now reported in Meals and Beverages. Prior periods have been adjusted to conform to the current presentation. Our reportable segments are as follows:</w:t>
      </w:r>
    </w:p>
    <w:p>
      <w:pPr>
        <w:spacing w:after="0" w:line="119" w:lineRule="exact"/>
        <w:rPr>
          <w:sz w:val="20"/>
          <w:szCs w:val="20"/>
          <w:color w:val="auto"/>
        </w:rPr>
      </w:pPr>
    </w:p>
    <w:p>
      <w:pPr>
        <w:jc w:val="both"/>
        <w:ind w:left="66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Meals and Beverages segment includes the retail and food service businesses in the U.S., Canada and Latin America.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 xml:space="preserve">Campbell’s </w:t>
      </w:r>
      <w:r>
        <w:rPr>
          <w:rFonts w:ascii="Arial" w:cs="Arial" w:eastAsia="Arial" w:hAnsi="Arial"/>
          <w:sz w:val="17"/>
          <w:szCs w:val="17"/>
          <w:color w:val="auto"/>
        </w:rPr>
        <w:t>gravies, pasta, beans and dinner sauces;</w:t>
      </w:r>
      <w:r>
        <w:rPr>
          <w:rFonts w:ascii="Arial" w:cs="Arial" w:eastAsia="Arial" w:hAnsi="Arial"/>
          <w:sz w:val="17"/>
          <w:szCs w:val="17"/>
          <w:i w:val="1"/>
          <w:iCs w:val="1"/>
          <w:color w:val="auto"/>
        </w:rPr>
        <w:t xml:space="preserve"> Swanson </w:t>
      </w:r>
      <w:r>
        <w:rPr>
          <w:rFonts w:ascii="Arial" w:cs="Arial" w:eastAsia="Arial" w:hAnsi="Arial"/>
          <w:sz w:val="17"/>
          <w:szCs w:val="17"/>
          <w:color w:val="auto"/>
        </w:rPr>
        <w:t>canned poultry;</w:t>
      </w:r>
      <w:r>
        <w:rPr>
          <w:rFonts w:ascii="Arial" w:cs="Arial" w:eastAsia="Arial" w:hAnsi="Arial"/>
          <w:sz w:val="17"/>
          <w:szCs w:val="17"/>
          <w:i w:val="1"/>
          <w:iCs w:val="1"/>
          <w:color w:val="auto"/>
        </w:rPr>
        <w:t xml:space="preserve"> Plum </w:t>
      </w:r>
      <w:r>
        <w:rPr>
          <w:rFonts w:ascii="Arial" w:cs="Arial" w:eastAsia="Arial" w:hAnsi="Arial"/>
          <w:sz w:val="17"/>
          <w:szCs w:val="17"/>
          <w:color w:val="auto"/>
        </w:rPr>
        <w:t>food and snacks;</w:t>
      </w:r>
      <w:r>
        <w:rPr>
          <w:rFonts w:ascii="Arial" w:cs="Arial" w:eastAsia="Arial" w:hAnsi="Arial"/>
          <w:sz w:val="17"/>
          <w:szCs w:val="17"/>
          <w:i w:val="1"/>
          <w:iCs w:val="1"/>
          <w:color w:val="auto"/>
        </w:rPr>
        <w:t xml:space="preserve"> V8 </w:t>
      </w:r>
      <w:r>
        <w:rPr>
          <w:rFonts w:ascii="Arial" w:cs="Arial" w:eastAsia="Arial" w:hAnsi="Arial"/>
          <w:sz w:val="17"/>
          <w:szCs w:val="17"/>
          <w:color w:val="auto"/>
        </w:rPr>
        <w:t>juices and beverages;</w:t>
      </w:r>
      <w:r>
        <w:rPr>
          <w:rFonts w:ascii="Arial" w:cs="Arial" w:eastAsia="Arial" w:hAnsi="Arial"/>
          <w:sz w:val="17"/>
          <w:szCs w:val="17"/>
          <w:i w:val="1"/>
          <w:iCs w:val="1"/>
          <w:color w:val="auto"/>
        </w:rPr>
        <w:t xml:space="preserve"> Campbell’s </w:t>
      </w:r>
      <w:r>
        <w:rPr>
          <w:rFonts w:ascii="Arial" w:cs="Arial" w:eastAsia="Arial" w:hAnsi="Arial"/>
          <w:sz w:val="17"/>
          <w:szCs w:val="17"/>
          <w:color w:val="auto"/>
        </w:rPr>
        <w:t>tomato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juice; and as of December 12, 2017, </w:t>
      </w:r>
      <w:r>
        <w:rPr>
          <w:rFonts w:ascii="Arial" w:cs="Arial" w:eastAsia="Arial" w:hAnsi="Arial"/>
          <w:sz w:val="17"/>
          <w:szCs w:val="17"/>
          <w:i w:val="1"/>
          <w:iCs w:val="1"/>
          <w:color w:val="auto"/>
        </w:rPr>
        <w:t>Pacific</w:t>
      </w:r>
      <w:r>
        <w:rPr>
          <w:rFonts w:ascii="Arial" w:cs="Arial" w:eastAsia="Arial" w:hAnsi="Arial"/>
          <w:sz w:val="17"/>
          <w:szCs w:val="17"/>
          <w:color w:val="auto"/>
        </w:rPr>
        <w:t xml:space="preserve"> broth, soups, non-dairy beverages and other simple meals; and</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Global Biscuits and Snacks segment represents an aggregation of the following operating segments: U.S. snacks operating segment, which includes Pepperidge Farm cookies, crackers, bakery and frozen products in U.S. retail, and Snyder’s-Lance pretzels, sandwich crackers, potato chips, tortilla chips and other snacking products in the U.S. and Europe; and the international biscuits and snacks operating segment, which includes Arnott’s biscuits in Australia and Asia Pacific, Kelsen cookies globally, and the simple meals and shelf-stable beverages business in Australia and Asia Pacific.</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2018, our simple meals and shelf-stable beverage business in Latin America was managed as part of the Global Biscuits and Snacks segment. Beginning in 2019, our business in Latin America is managed as part of the Meals and Beverages segment. Segment results have been adjusted retrospectively to reflect this change.</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28,</w:t>
            </w:r>
          </w:p>
        </w:tc>
        <w:tc>
          <w:tcPr>
            <w:tcW w:w="200" w:type="dxa"/>
            <w:vAlign w:val="bottom"/>
          </w:tcPr>
          <w:p>
            <w:pPr>
              <w:spacing w:after="0"/>
              <w:rPr>
                <w:sz w:val="13"/>
                <w:szCs w:val="13"/>
                <w:color w:val="auto"/>
              </w:rPr>
            </w:pPr>
          </w:p>
        </w:tc>
        <w:tc>
          <w:tcPr>
            <w:tcW w:w="9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7"/>
              </w:rPr>
              <w:t>April 29,</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BFE4FF"/>
            </w:tcBorders>
          </w:tcPr>
          <w:p>
            <w:pPr>
              <w:spacing w:after="0"/>
              <w:rPr>
                <w:sz w:val="16"/>
                <w:szCs w:val="16"/>
                <w:color w:val="auto"/>
              </w:rPr>
            </w:pPr>
          </w:p>
        </w:tc>
        <w:tc>
          <w:tcPr>
            <w:tcW w:w="22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Meals and Beverages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3,513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Global Biscuits and Snacks</w:t>
            </w:r>
          </w:p>
        </w:tc>
        <w:tc>
          <w:tcPr>
            <w:tcW w:w="2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gridSpan w:val="2"/>
            <w:shd w:val="clear" w:color="auto" w:fill="BFE4FF"/>
          </w:tcPr>
          <w:p>
            <w:pPr>
              <w:jc w:val="right"/>
              <w:ind w:right="100"/>
              <w:spacing w:after="0"/>
              <w:rPr>
                <w:sz w:val="20"/>
                <w:szCs w:val="20"/>
                <w:color w:val="auto"/>
              </w:rPr>
            </w:pPr>
            <w:r>
              <w:rPr>
                <w:rFonts w:ascii="Arial" w:cs="Arial" w:eastAsia="Arial" w:hAnsi="Arial"/>
                <w:sz w:val="18"/>
                <w:szCs w:val="18"/>
                <w:b w:val="1"/>
                <w:bCs w:val="1"/>
                <w:color w:val="auto"/>
              </w:rPr>
              <w:t>1,154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3,615</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BFE4FF"/>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BFE4FF"/>
            </w:tcBorders>
            <w:gridSpan w:val="2"/>
            <w:shd w:val="clear" w:color="auto" w:fill="BFE4FF"/>
          </w:tcPr>
          <w:p>
            <w:pPr>
              <w:jc w:val="right"/>
              <w:ind w:right="100"/>
              <w:spacing w:after="0"/>
              <w:rPr>
                <w:sz w:val="20"/>
                <w:szCs w:val="20"/>
                <w:color w:val="auto"/>
              </w:rPr>
            </w:pPr>
            <w:r>
              <w:rPr>
                <w:rFonts w:ascii="Arial" w:cs="Arial" w:eastAsia="Arial" w:hAnsi="Arial"/>
                <w:sz w:val="18"/>
                <w:szCs w:val="18"/>
                <w:b w:val="1"/>
                <w:bCs w:val="1"/>
                <w:color w:val="auto"/>
              </w:rPr>
              <w:t>2,178</w:t>
            </w:r>
          </w:p>
        </w:tc>
        <w:tc>
          <w:tcPr>
            <w:tcW w:w="26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7,129</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654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April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28,</w:t>
            </w:r>
          </w:p>
        </w:tc>
        <w:tc>
          <w:tcPr>
            <w:tcW w:w="200" w:type="dxa"/>
            <w:vAlign w:val="bottom"/>
          </w:tcPr>
          <w:p>
            <w:pPr>
              <w:spacing w:after="0"/>
              <w:rPr>
                <w:sz w:val="13"/>
                <w:szCs w:val="13"/>
                <w:color w:val="auto"/>
              </w:rPr>
            </w:pPr>
          </w:p>
        </w:tc>
        <w:tc>
          <w:tcPr>
            <w:tcW w:w="9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7"/>
              </w:rPr>
              <w:t>April 29,</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BFE4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Meals and Beverages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1"/>
                <w:szCs w:val="21"/>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753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Global Biscuits and Snacks</w:t>
            </w:r>
          </w:p>
        </w:tc>
        <w:tc>
          <w:tcPr>
            <w:tcW w:w="2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478</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0"/>
        </w:trPr>
        <w:tc>
          <w:tcPr>
            <w:tcW w:w="6540" w:type="dxa"/>
            <w:vAlign w:val="bottom"/>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0"/>
        </w:trPr>
        <w:tc>
          <w:tcPr>
            <w:tcW w:w="6540" w:type="dxa"/>
            <w:vAlign w:val="bottom"/>
            <w:shd w:val="clear" w:color="auto" w:fill="BFE4FF"/>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BFE4FF"/>
          </w:tcPr>
          <w:p>
            <w:pPr>
              <w:spacing w:after="0"/>
              <w:rPr>
                <w:sz w:val="23"/>
                <w:szCs w:val="23"/>
                <w:color w:val="auto"/>
              </w:rPr>
            </w:pPr>
          </w:p>
        </w:tc>
        <w:tc>
          <w:tcPr>
            <w:tcW w:w="100" w:type="dxa"/>
            <w:vAlign w:val="bottom"/>
            <w:tcBorders>
              <w:bottom w:val="single" w:sz="8" w:color="auto"/>
            </w:tcBorders>
            <w:shd w:val="clear" w:color="auto" w:fill="BFE4FF"/>
          </w:tcPr>
          <w:p>
            <w:pPr>
              <w:spacing w:after="0"/>
              <w:rPr>
                <w:sz w:val="23"/>
                <w:szCs w:val="23"/>
                <w:color w:val="auto"/>
              </w:rPr>
            </w:pPr>
          </w:p>
        </w:tc>
        <w:tc>
          <w:tcPr>
            <w:tcW w:w="160" w:type="dxa"/>
            <w:vAlign w:val="bottom"/>
            <w:tcBorders>
              <w:bottom w:val="single" w:sz="8" w:color="auto"/>
            </w:tcBorders>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BFE4FF"/>
          </w:tcPr>
          <w:p>
            <w:pPr>
              <w:spacing w:after="0"/>
              <w:rPr>
                <w:sz w:val="23"/>
                <w:szCs w:val="23"/>
                <w:color w:val="auto"/>
              </w:rPr>
            </w:pPr>
          </w:p>
        </w:tc>
        <w:tc>
          <w:tcPr>
            <w:tcW w:w="20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BFE4FF"/>
          </w:tcPr>
          <w:p>
            <w:pPr>
              <w:spacing w:after="0"/>
              <w:rPr>
                <w:sz w:val="23"/>
                <w:szCs w:val="23"/>
                <w:color w:val="auto"/>
              </w:rPr>
            </w:pPr>
          </w:p>
        </w:tc>
        <w:tc>
          <w:tcPr>
            <w:tcW w:w="20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0"/>
                <w:szCs w:val="20"/>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1,010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65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71"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Represents unallocated items. Pension and postretirement benefit settlement and mark-to-market adjustments are included in Corporate. There were settlement charges of $28 in the three- and nine-month periods ended April 28, 2019, and mark-to-market gains of $14 in the nine-month period ended April 29, 2018. Costs related to cost savings initiatives were $19 and $45 for the three-month periods and $68 and $89 in the nine-month periods ended April 28, 2019, and April 29, 2018, respectively. Costs of $2 and $7 associated with the planned divestiture of our international biscuits and snacks operating segment were in the three- and nine-month periods ended April 28, 2019, respectively. Transaction and integration costs associated with the</w:t>
      </w:r>
    </w:p>
    <w:p>
      <w:pPr>
        <w:sectPr>
          <w:pgSz w:w="11900" w:h="16838" w:orient="portrait"/>
          <w:cols w:equalWidth="0" w:num="1">
            <w:col w:w="11420"/>
          </w:cols>
          <w:pgMar w:left="240" w:top="131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14" w:right="239" w:bottom="1440" w:gutter="0" w:footer="0" w:header="0"/>
          <w:type w:val="continuous"/>
        </w:sectPr>
      </w:pPr>
    </w:p>
    <w:bookmarkStart w:id="17" w:name="page18"/>
    <w:bookmarkEnd w:id="17"/>
    <w:p>
      <w:pPr>
        <w:ind w:left="340"/>
        <w:spacing w:after="0" w:line="282" w:lineRule="auto"/>
        <w:rPr>
          <w:sz w:val="20"/>
          <w:szCs w:val="20"/>
          <w:color w:val="auto"/>
        </w:rPr>
      </w:pPr>
      <w:r>
        <w:rPr>
          <w:rFonts w:ascii="Arial" w:cs="Arial" w:eastAsia="Arial" w:hAnsi="Arial"/>
          <w:sz w:val="18"/>
          <w:szCs w:val="18"/>
          <w:color w:val="auto"/>
        </w:rPr>
        <w:t>acquisition of Snyder's-Lance were $72 and $96 in the three- and nine-month periods ended April 29, 2018, respectively. A charge of $22 related to the settlement of a legal claim was included in the three- and nine-month periods ended April 29, 2018.</w:t>
      </w:r>
    </w:p>
    <w:p>
      <w:pPr>
        <w:ind w:left="340" w:hanging="332"/>
        <w:spacing w:after="0" w:line="192"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See Note 8 for additional information.</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3"/>
                <w:szCs w:val="13"/>
                <w:color w:val="auto"/>
              </w:rPr>
            </w:pPr>
          </w:p>
        </w:tc>
        <w:tc>
          <w:tcPr>
            <w:tcW w:w="9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654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Soup</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560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2,108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2,113</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Snacks</w:t>
            </w:r>
          </w:p>
        </w:tc>
        <w:tc>
          <w:tcPr>
            <w:tcW w:w="2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1,138</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3,567</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2,180</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2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903</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2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574</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545</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654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2,178</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7,129</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5,743</w:t>
            </w:r>
          </w:p>
        </w:tc>
      </w:tr>
      <w:tr>
        <w:trPr>
          <w:trHeight w:val="20"/>
        </w:trPr>
        <w:tc>
          <w:tcPr>
            <w:tcW w:w="654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Snacks include cookies, pretzels, crackers, biscuits, popcorn, nuts, potato chips, tortilla chips and other salty snacks and baked products. Other simple meals include sauces and Plum products.</w:t>
      </w:r>
    </w:p>
    <w:p>
      <w:pPr>
        <w:spacing w:after="0" w:line="11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both programs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29, 2018</w:t>
            </w:r>
            <w:r>
              <w:rPr>
                <w:rFonts w:ascii="Arial" w:cs="Arial" w:eastAsia="Arial" w:hAnsi="Arial"/>
                <w:sz w:val="8"/>
                <w:szCs w:val="8"/>
                <w:b w:val="1"/>
                <w:bCs w:val="1"/>
                <w:color w:val="auto"/>
              </w:rPr>
              <w:t>(1)</w:t>
            </w:r>
          </w:p>
        </w:tc>
        <w:tc>
          <w:tcPr>
            <w:tcW w:w="26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28,</w:t>
            </w: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29, 2018</w:t>
            </w:r>
            <w:r>
              <w:rPr>
                <w:rFonts w:ascii="Arial" w:cs="Arial" w:eastAsia="Arial" w:hAnsi="Arial"/>
                <w:sz w:val="8"/>
                <w:szCs w:val="8"/>
                <w:b w:val="1"/>
                <w:bCs w:val="1"/>
                <w:color w:val="auto"/>
              </w:rPr>
              <w:t>(1)</w:t>
            </w:r>
          </w:p>
        </w:tc>
        <w:tc>
          <w:tcPr>
            <w:tcW w:w="160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8"/>
              </w:rPr>
              <w:t>Recognized as of April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13"/>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02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0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0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_______________________________________</w:t>
            </w: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16"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$10 of Restructuring charges and $6 of Administrative expenses in the three- and nine-month periods ended April 29, 2018 associated with the Snyder's-Lance cost transformation program and integration.</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$13 of Restructuring charges and $12 of Administrative expenses associated with the Snyder's-Lance cost transformation program and integration recognized in 2018.</w:t>
      </w:r>
    </w:p>
    <w:p>
      <w:pPr>
        <w:sectPr>
          <w:pgSz w:w="11900" w:h="16838" w:orient="portrait"/>
          <w:cols w:equalWidth="0" w:num="1">
            <w:col w:w="11420"/>
          </w:cols>
          <w:pgMar w:left="240" w:top="13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ind w:left="340"/>
        <w:spacing w:after="0"/>
        <w:rPr>
          <w:sz w:val="20"/>
          <w:szCs w:val="20"/>
          <w:color w:val="auto"/>
        </w:rPr>
      </w:pPr>
      <w:r>
        <w:rPr>
          <w:rFonts w:ascii="Arial" w:cs="Arial" w:eastAsia="Arial" w:hAnsi="Arial"/>
          <w:sz w:val="18"/>
          <w:szCs w:val="18"/>
          <w:color w:val="auto"/>
        </w:rPr>
        <w:t>A summary of the pre-tax charges recorded in Loss from discontinued operations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right="680"/>
              <w:spacing w:after="0" w:line="153" w:lineRule="exact"/>
              <w:rPr>
                <w:sz w:val="20"/>
                <w:szCs w:val="20"/>
                <w:color w:val="auto"/>
              </w:rPr>
            </w:pPr>
            <w:r>
              <w:rPr>
                <w:rFonts w:ascii="Arial" w:cs="Arial" w:eastAsia="Arial" w:hAnsi="Arial"/>
                <w:sz w:val="14"/>
                <w:szCs w:val="14"/>
                <w:b w:val="1"/>
                <w:bCs w:val="1"/>
                <w:color w:val="auto"/>
                <w:w w:val="97"/>
              </w:rPr>
              <w:t>April 28,</w:t>
            </w: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April 29,</w:t>
            </w:r>
          </w:p>
        </w:tc>
        <w:tc>
          <w:tcPr>
            <w:tcW w:w="260" w:type="dxa"/>
            <w:vAlign w:val="bottom"/>
          </w:tcPr>
          <w:p>
            <w:pPr>
              <w:spacing w:after="0"/>
              <w:rPr>
                <w:sz w:val="13"/>
                <w:szCs w:val="13"/>
                <w:color w:val="auto"/>
              </w:rPr>
            </w:pPr>
          </w:p>
        </w:tc>
        <w:tc>
          <w:tcPr>
            <w:tcW w:w="12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April 28,</w:t>
            </w:r>
          </w:p>
        </w:tc>
        <w:tc>
          <w:tcPr>
            <w:tcW w:w="1040" w:type="dxa"/>
            <w:vAlign w:val="bottom"/>
          </w:tcPr>
          <w:p>
            <w:pPr>
              <w:jc w:val="center"/>
              <w:ind w:left="182"/>
              <w:spacing w:after="0" w:line="153" w:lineRule="exact"/>
              <w:rPr>
                <w:sz w:val="20"/>
                <w:szCs w:val="20"/>
                <w:color w:val="auto"/>
              </w:rPr>
            </w:pPr>
            <w:r>
              <w:rPr>
                <w:rFonts w:ascii="Arial" w:cs="Arial" w:eastAsia="Arial" w:hAnsi="Arial"/>
                <w:sz w:val="14"/>
                <w:szCs w:val="14"/>
                <w:b w:val="1"/>
                <w:bCs w:val="1"/>
                <w:color w:val="auto"/>
                <w:w w:val="97"/>
              </w:rPr>
              <w:t>April 29,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19"/>
              <w:spacing w:after="0" w:line="153" w:lineRule="exact"/>
              <w:rPr>
                <w:sz w:val="20"/>
                <w:szCs w:val="20"/>
                <w:color w:val="auto"/>
              </w:rPr>
            </w:pPr>
            <w:r>
              <w:rPr>
                <w:rFonts w:ascii="Arial" w:cs="Arial" w:eastAsia="Arial" w:hAnsi="Arial"/>
                <w:sz w:val="14"/>
                <w:szCs w:val="14"/>
                <w:b w:val="1"/>
                <w:bCs w:val="1"/>
                <w:color w:val="auto"/>
                <w:w w:val="98"/>
              </w:rPr>
              <w:t>Recognized as of April</w:t>
            </w:r>
          </w:p>
        </w:tc>
      </w:tr>
      <w:tr>
        <w:trPr>
          <w:trHeight w:val="192"/>
        </w:trPr>
        <w:tc>
          <w:tcPr>
            <w:tcW w:w="2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(1)</w:t>
            </w: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_______________________________________</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76"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Includes $4 of Severance pay and benefits and $4 of Implementation costs and other related costs.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April 28, 2019, we incurred all of the costs for actions associated with discontinued operations. All of the costs were cash expenditures.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96"/>
              <w:spacing w:after="0"/>
              <w:rPr>
                <w:sz w:val="20"/>
                <w:szCs w:val="20"/>
                <w:color w:val="auto"/>
              </w:rPr>
            </w:pPr>
            <w:r>
              <w:rPr>
                <w:rFonts w:ascii="Arial" w:cs="Arial" w:eastAsia="Arial" w:hAnsi="Arial"/>
                <w:sz w:val="14"/>
                <w:szCs w:val="14"/>
                <w:b w:val="1"/>
                <w:bCs w:val="1"/>
                <w:color w:val="auto"/>
                <w:w w:val="93"/>
              </w:rPr>
              <w:t>Recognized as of</w:t>
            </w:r>
          </w:p>
        </w:tc>
        <w:tc>
          <w:tcPr>
            <w:tcW w:w="0" w:type="dxa"/>
            <w:vAlign w:val="bottom"/>
          </w:tcPr>
          <w:p>
            <w:pPr>
              <w:spacing w:after="0"/>
              <w:rPr>
                <w:sz w:val="1"/>
                <w:szCs w:val="1"/>
                <w:color w:val="auto"/>
              </w:rPr>
            </w:pPr>
          </w:p>
        </w:tc>
      </w:tr>
      <w:tr>
        <w:trPr>
          <w:trHeight w:val="192"/>
        </w:trPr>
        <w:tc>
          <w:tcPr>
            <w:tcW w:w="9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April 28, 2019</w:t>
            </w:r>
          </w:p>
        </w:tc>
        <w:tc>
          <w:tcPr>
            <w:tcW w:w="0" w:type="dxa"/>
            <w:vAlign w:val="bottom"/>
          </w:tcPr>
          <w:p>
            <w:pPr>
              <w:spacing w:after="0"/>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$13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Includes $12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6"/>
          <w:szCs w:val="16"/>
          <w:color w:val="auto"/>
        </w:rPr>
        <w:t>The total estimated pre-tax costs associated with continuing operations for actions that have been identified under both programs are approximately $610 to $655 and we expect to incur substantially all of the costs through 2020. This estimate will be updated as costs for the expanded initiatives are developed.</w:t>
      </w:r>
    </w:p>
    <w:p>
      <w:pPr>
        <w:spacing w:after="0" w:line="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associated with continuing operations under both programs to consist of the following: approximately $210 to $215 in severance pay and benefits; approximately $70 in asset impairment and accelerated depreciation; and approximately $330 to $370 in implementation costs and other related costs.We expect these pre-tax costs to be associated with our segments as follows: Meals and Beverages - approximately 37%; Global Biscuits and Snacks - approximately 40%; and Corporate - approximately 23%.</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$610 to $655 of pre-tax costs identified to date associated with continuing operations, we expect approximately $530 to $575 will be cash expenditures. In addition, we expect to invest approximately $340 in capital expenditures through 2021, of which we invested approximately $226 as of April 28, 2019. The capital expenditures primarily related to the U.S. warehouse optimization project, improvement of quality, safety and cost structure across the Snyder’s-Lance manufacturing network,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April 28,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Severance Pay and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Implementation Costs</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Other Related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Impairment/Accelerated</w:t>
            </w:r>
          </w:p>
        </w:tc>
        <w:tc>
          <w:tcPr>
            <w:tcW w:w="18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(3)</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26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Accrued balance at July 29, 2018</w:t>
            </w:r>
            <w:r>
              <w:rPr>
                <w:rFonts w:ascii="Arial" w:cs="Arial" w:eastAsia="Arial" w:hAnsi="Arial"/>
                <w:sz w:val="25"/>
                <w:szCs w:val="25"/>
                <w:color w:val="auto"/>
                <w:vertAlign w:val="superscript"/>
              </w:rPr>
              <w:t>(1)</w:t>
            </w: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2019 charges</w:t>
            </w: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540" w:type="dxa"/>
            <w:vAlign w:val="bottom"/>
          </w:tcPr>
          <w:p>
            <w:pPr>
              <w:jc w:val="right"/>
              <w:ind w:right="24"/>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2019 cash payments</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Foreign currency translation adjustment</w:t>
            </w: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Accrued balance at April 28, 2019</w:t>
            </w:r>
            <w:r>
              <w:rPr>
                <w:rFonts w:ascii="Arial" w:cs="Arial" w:eastAsia="Arial" w:hAnsi="Arial"/>
                <w:sz w:val="25"/>
                <w:szCs w:val="25"/>
                <w:b w:val="1"/>
                <w:bCs w:val="1"/>
                <w:color w:val="auto"/>
                <w:vertAlign w:val="superscript"/>
              </w:rPr>
              <w:t>(2)</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jc w:val="right"/>
              <w:ind w:right="1710"/>
              <w:spacing w:after="0"/>
              <w:rPr>
                <w:sz w:val="20"/>
                <w:szCs w:val="20"/>
                <w:color w:val="auto"/>
              </w:rPr>
            </w:pPr>
            <w:r>
              <w:rPr>
                <w:rFonts w:ascii="Arial" w:cs="Arial" w:eastAsia="Arial" w:hAnsi="Arial"/>
                <w:sz w:val="18"/>
                <w:szCs w:val="18"/>
                <w:color w:val="auto"/>
                <w:w w:val="89"/>
              </w:rPr>
              <w:t>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2"/>
        <w:spacing w:after="0" w:line="226"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Includes $24 of severance pay and benefits recorded in Other liabilities in the Consolidated Balance Sheet, $1 of which is associated with the Snyder's-Lance cost transformation program and integration. Of total accrued balance, $9 is associated with the Snyder's-Lance cost transformation program and integration.</w:t>
      </w:r>
    </w:p>
    <w:p>
      <w:pPr>
        <w:spacing w:after="0" w:line="2"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Includes $11 of severance pay and benefits recorded in Other liabilities in the Consolidated Balance Sheet.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4" w:right="239" w:bottom="1440" w:gutter="0" w:footer="0" w:header="0"/>
        </w:sectPr>
      </w:pPr>
    </w:p>
    <w:bookmarkStart w:id="19" w:name="page20"/>
    <w:bookmarkEnd w:id="19"/>
    <w:p>
      <w:pPr>
        <w:jc w:val="both"/>
        <w:ind w:left="340" w:hanging="332"/>
        <w:spacing w:after="0" w:line="226"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Sheets. The costs are included in Administrative expenses, Cost of products sold, Marketing and selling expenses, and Research and development expenses in the Consolidated Statements of Earnings.</w:t>
      </w:r>
    </w:p>
    <w:p>
      <w:pPr>
        <w:spacing w:after="0" w:line="203"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6"/>
          <w:szCs w:val="16"/>
          <w:color w:val="auto"/>
        </w:rPr>
        <w:t>Restructuring related reserves included in Current liabilities of discontinued operations were $1 and $0 at July 29, 2018 and April 28, 2019, respectively.</w:t>
      </w:r>
    </w:p>
    <w:p>
      <w:pPr>
        <w:spacing w:after="0" w:line="11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28, 2019</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3"/>
                <w:szCs w:val="13"/>
                <w:color w:val="auto"/>
              </w:rPr>
            </w:pPr>
          </w:p>
        </w:tc>
        <w:tc>
          <w:tcPr>
            <w:tcW w:w="132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4"/>
              </w:rPr>
              <w:t>Costs Incurred to</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456"/>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6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Includes $25 of pre-tax costs associated with the Global Biscuits and Snacks segment recognized in 2018 related to the Snyder's-Lance cost transformation program and integration.</w:t>
      </w:r>
    </w:p>
    <w:p>
      <w:pPr>
        <w:spacing w:after="0" w:line="64"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April 28, 2019, excludes approximately 2 million stock options that would have been antidilutive. The earnings per share calculation for the three-month period ended April 29, 2018, excludes approximately 2 million stock options that would have been antidilutive. The earnings per share calculation for the nine-month period ended April 29, 2018, excludes approximately 1 million stock options that would have been antidilutive.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13 for additional information.</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March 26, 2018, we acquired Snyder's-Lance, including an 80% interest in one of its subsidiaries. In April 2018, we purchased the remaining 20% interest for $47.</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3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Pension and Postretirement Benefits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28,</w:t>
            </w:r>
          </w:p>
        </w:tc>
        <w:tc>
          <w:tcPr>
            <w:tcW w:w="22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April 29,</w:t>
            </w:r>
          </w:p>
        </w:tc>
        <w:tc>
          <w:tcPr>
            <w:tcW w:w="18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28,</w:t>
            </w:r>
          </w:p>
        </w:tc>
        <w:tc>
          <w:tcPr>
            <w:tcW w:w="16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28,</w:t>
            </w:r>
          </w:p>
        </w:tc>
        <w:tc>
          <w:tcPr>
            <w:tcW w:w="220" w:type="dxa"/>
            <w:vAlign w:val="bottom"/>
          </w:tcPr>
          <w:p>
            <w:pPr>
              <w:spacing w:after="0"/>
              <w:rPr>
                <w:sz w:val="13"/>
                <w:szCs w:val="13"/>
                <w:color w:val="auto"/>
              </w:rPr>
            </w:pPr>
          </w:p>
        </w:tc>
        <w:tc>
          <w:tcPr>
            <w:tcW w:w="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28,</w:t>
            </w:r>
          </w:p>
        </w:tc>
        <w:tc>
          <w:tcPr>
            <w:tcW w:w="160" w:type="dxa"/>
            <w:vAlign w:val="bottom"/>
          </w:tcPr>
          <w:p>
            <w:pPr>
              <w:spacing w:after="0"/>
              <w:rPr>
                <w:sz w:val="13"/>
                <w:szCs w:val="13"/>
                <w:color w:val="auto"/>
              </w:rPr>
            </w:pPr>
          </w:p>
        </w:tc>
        <w:tc>
          <w:tcPr>
            <w:tcW w:w="86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Amortization of prior service</w:t>
            </w:r>
          </w:p>
        </w:tc>
        <w:tc>
          <w:tcPr>
            <w:tcW w:w="18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credit</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Settlement charge</w:t>
            </w: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settlement charge of $28 resulted from the level of lump sum distributions associated with a U.S. pension plan.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special termination benefits of $2 related to the planned closure of the manufacturing facility in Toronto, Ontario, and were included in Restructuring charges. See Note 8.</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net periodic benefit expense (income) from continuing operations other than the service cost component are included in Other expenses / (income) in Earnings from continuing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April 28, 2019, or July 29, 2018.</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also exposed to credit risk from our customers. During 2018, our largest customer accounted for approximately 18% of consolidated net sales from continuing operations. Our five largest customers accounted for approximately 39% of our consolidated net sales from continuing operations in 2018.</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$98 at April 28, 2019, and $104 at July 29, 2018. The effective portion of the changes in fair value on these instruments is recorded in other comprehensive income (loss) and is reclassified into the Consolidated Statements of Earnings on the same line item and the same period in which the underlying</w:t>
      </w:r>
    </w:p>
    <w:p>
      <w:pPr>
        <w:sectPr>
          <w:pgSz w:w="11900" w:h="16838" w:orient="portrait"/>
          <w:cols w:equalWidth="0" w:num="1">
            <w:col w:w="11420"/>
          </w:cols>
          <w:pgMar w:left="240" w:top="1310"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0" w:right="239" w:bottom="1440" w:gutter="0" w:footer="0" w:header="0"/>
          <w:type w:val="continuous"/>
        </w:sectPr>
      </w:pPr>
    </w:p>
    <w:bookmarkStart w:id="21" w:name="page22"/>
    <w:bookmarkEnd w:id="21"/>
    <w:p>
      <w:pPr>
        <w:jc w:val="both"/>
        <w:spacing w:after="0" w:line="342" w:lineRule="auto"/>
        <w:rPr>
          <w:sz w:val="20"/>
          <w:szCs w:val="20"/>
          <w:color w:val="auto"/>
        </w:rPr>
      </w:pPr>
      <w:r>
        <w:rPr>
          <w:rFonts w:ascii="Arial" w:cs="Arial" w:eastAsia="Arial" w:hAnsi="Arial"/>
          <w:sz w:val="16"/>
          <w:szCs w:val="16"/>
          <w:color w:val="auto"/>
        </w:rPr>
        <w:t>hedged transaction affects earnings. The notional amount of foreign exchange forward contracts that are not designated as accounting hedges was $169 and $140 at April 28, 2019, and July 29, 2018, respectively. There were no cross-currency swap contracts outstanding as of April 28, 2019, or July 29,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There were no forward starting interest rate swaps or treasury rate lock contracts outstanding as of April 28, 2019, or July 29,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diesel fuel, wheat, soybean oil, aluminum, natural gas, cocoa, soybean meal, corn,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April 28, 2019, or July 29, 2018. The notional amount of commodity contracts not designated as accounting hedges was $233 at April 28, 2019, and $118 at July 29, 2018.</w:t>
      </w:r>
    </w:p>
    <w:p>
      <w:pPr>
        <w:spacing w:after="0" w:line="1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$43 as of April 28, 2019, and $33 as of July 29, 2018. The fair value was not material as of April 28, 2019, and July 29, 2018.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were $31 as of April 28, 2019, and $41 as of July 29, 2018.</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14" w:right="239" w:bottom="1440" w:gutter="0" w:footer="0" w:header="0"/>
        </w:sectPr>
      </w:pPr>
    </w:p>
    <w:bookmarkStart w:id="22" w:name="page23"/>
    <w:bookmarkEnd w:id="22"/>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April 28, 2019, and July 29,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w w:val="97"/>
              </w:rPr>
              <w:t>April 28,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80" w:type="dxa"/>
            <w:vAlign w:val="bottom"/>
          </w:tcPr>
          <w:p>
            <w:pPr>
              <w:jc w:val="center"/>
              <w:ind w:left="335"/>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w w:val="97"/>
              </w:rPr>
              <w:t>April 28,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80" w:type="dxa"/>
            <w:vAlign w:val="bottom"/>
          </w:tcPr>
          <w:p>
            <w:pPr>
              <w:jc w:val="center"/>
              <w:ind w:left="335"/>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28, 2019, and July 29, 2018,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April 28, 2019</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29, 2018</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At April 28, 2019, and July 29, 2018, a cash margin account balance of $10 and $2, respectively, was included in Other current assets in the Consolidated Balance Sheets.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4" w:right="239" w:bottom="1440" w:gutter="0" w:footer="0" w:header="0"/>
        </w:sectPr>
      </w:pPr>
    </w:p>
    <w:bookmarkStart w:id="23" w:name="page24"/>
    <w:bookmarkEnd w:id="23"/>
    <w:p>
      <w:pPr>
        <w:jc w:val="both"/>
        <w:ind w:right="20"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 month periods ended April 28, 2019, and April 29, 2018, in other comprehensive income (loss) (OCI) and the Consolidated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Total Cash-Flow Hedge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OCI Activity</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28,</w:t>
            </w:r>
          </w:p>
        </w:tc>
        <w:tc>
          <w:tcPr>
            <w:tcW w:w="380" w:type="dxa"/>
            <w:vAlign w:val="bottom"/>
          </w:tcPr>
          <w:p>
            <w:pPr>
              <w:spacing w:after="0"/>
              <w:rPr>
                <w:sz w:val="13"/>
                <w:szCs w:val="13"/>
                <w:color w:val="auto"/>
              </w:rPr>
            </w:pPr>
          </w:p>
        </w:tc>
        <w:tc>
          <w:tcPr>
            <w:tcW w:w="98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w w:val="97"/>
              </w:rPr>
              <w:t>April 29,</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59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8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9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Pr>
          <w:p>
            <w:pPr>
              <w:spacing w:after="0"/>
              <w:rPr>
                <w:sz w:val="17"/>
                <w:szCs w:val="17"/>
                <w:color w:val="auto"/>
              </w:rPr>
            </w:pPr>
          </w:p>
        </w:tc>
        <w:tc>
          <w:tcPr>
            <w:tcW w:w="28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Other expenses / (income)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96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20" w:type="dxa"/>
            <w:vAlign w:val="bottom"/>
            <w:gridSpan w:val="3"/>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8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96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240" w:type="dxa"/>
            <w:vAlign w:val="bottom"/>
            <w:tcBorders>
              <w:bottom w:val="single" w:sz="8" w:color="CCEEFF"/>
            </w:tcBorders>
            <w:gridSpan w:val="2"/>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88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$1. The ineffective portion and amount excluded from effectiveness testing were not material.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nine-month periods ended April 28, 2019, and April 29, 2018, in Earnings from continuing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10"/>
          </w:tcPr>
          <w:p>
            <w:pPr>
              <w:jc w:val="right"/>
              <w:ind w:right="215"/>
              <w:spacing w:after="0"/>
              <w:rPr>
                <w:sz w:val="20"/>
                <w:szCs w:val="20"/>
                <w:color w:val="auto"/>
              </w:rPr>
            </w:pPr>
            <w:r>
              <w:rPr>
                <w:rFonts w:ascii="Arial" w:cs="Arial" w:eastAsia="Arial" w:hAnsi="Arial"/>
                <w:sz w:val="14"/>
                <w:szCs w:val="14"/>
                <w:b w:val="1"/>
                <w:bCs w:val="1"/>
                <w:color w:val="auto"/>
                <w:w w:val="95"/>
              </w:rPr>
              <w:t>Amount of (Gain) Loss Recognized in Earnings on Derivatives</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3"/>
                <w:szCs w:val="13"/>
                <w:color w:val="auto"/>
              </w:rPr>
            </w:pPr>
          </w:p>
        </w:tc>
        <w:tc>
          <w:tcPr>
            <w:tcW w:w="276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16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28,</w:t>
            </w:r>
          </w:p>
        </w:tc>
        <w:tc>
          <w:tcPr>
            <w:tcW w:w="18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28,</w:t>
            </w:r>
          </w:p>
        </w:tc>
        <w:tc>
          <w:tcPr>
            <w:tcW w:w="160" w:type="dxa"/>
            <w:vAlign w:val="bottom"/>
          </w:tcPr>
          <w:p>
            <w:pPr>
              <w:spacing w:after="0"/>
              <w:rPr>
                <w:sz w:val="13"/>
                <w:szCs w:val="13"/>
                <w:color w:val="auto"/>
              </w:rPr>
            </w:pPr>
          </w:p>
        </w:tc>
        <w:tc>
          <w:tcPr>
            <w:tcW w:w="8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Treasury rate lock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(gain) loss at end of quarter</w:t>
            </w: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Entity</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third-party ownership as a noncontrolling interest. Through April 28, 2019, we funded $83 of the capital commitment. On August 29, 2018,</w:t>
      </w:r>
    </w:p>
    <w:p>
      <w:pPr>
        <w:sectPr>
          <w:pgSz w:w="11900" w:h="16838" w:orient="portrait"/>
          <w:cols w:equalWidth="0" w:num="1">
            <w:col w:w="11420"/>
          </w:cols>
          <w:pgMar w:left="240" w:top="1314"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$78 as of April 28, 2019, and $77 as of July 29, 2018,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April 28, 2019, or July 29, 2018.</w:t>
      </w:r>
    </w:p>
    <w:p>
      <w:pPr>
        <w:spacing w:after="0" w:line="11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April 28, 2019, and July 29, 2018,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April 28, 2019 Using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April 28,</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93</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6"/>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April 28, 2019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April 28,</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(4)</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102</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2" w:lineRule="exact"/>
        <w:rPr>
          <w:rFonts w:ascii="Arial" w:cs="Arial" w:eastAsia="Arial" w:hAnsi="Arial"/>
          <w:sz w:val="24"/>
          <w:szCs w:val="24"/>
          <w:color w:val="auto"/>
          <w:vertAlign w:val="superscript"/>
        </w:rPr>
      </w:pPr>
    </w:p>
    <w:p>
      <w:pPr>
        <w:jc w:val="both"/>
        <w:ind w:left="340" w:hanging="332"/>
        <w:spacing w:after="0" w:line="227"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13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w:t>
      </w:r>
    </w:p>
    <w:p>
      <w:pPr>
        <w:spacing w:after="0" w:line="70"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6"/>
          <w:szCs w:val="16"/>
          <w:color w:val="auto"/>
        </w:rPr>
        <w:t>The following table summarizes the changes in fair value of Level 3 investments for the nine-month periods ended April 28, 2019 and April 29, 2018:</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6"/>
                <w:szCs w:val="16"/>
                <w:color w:val="auto"/>
              </w:rPr>
            </w:pPr>
          </w:p>
        </w:tc>
      </w:tr>
      <w:tr>
        <w:trPr>
          <w:trHeight w:val="152"/>
        </w:trPr>
        <w:tc>
          <w:tcPr>
            <w:tcW w:w="8180" w:type="dxa"/>
            <w:vAlign w:val="bottom"/>
          </w:tcPr>
          <w:p>
            <w:pPr>
              <w:spacing w:after="0"/>
              <w:rPr>
                <w:sz w:val="13"/>
                <w:szCs w:val="13"/>
                <w:color w:val="auto"/>
              </w:rPr>
            </w:pPr>
          </w:p>
        </w:tc>
        <w:tc>
          <w:tcPr>
            <w:tcW w:w="1160" w:type="dxa"/>
            <w:vAlign w:val="bottom"/>
          </w:tcPr>
          <w:p>
            <w:pPr>
              <w:jc w:val="right"/>
              <w:ind w:right="41"/>
              <w:spacing w:after="0" w:line="153" w:lineRule="exact"/>
              <w:rPr>
                <w:sz w:val="20"/>
                <w:szCs w:val="20"/>
                <w:color w:val="auto"/>
              </w:rPr>
            </w:pPr>
            <w:r>
              <w:rPr>
                <w:rFonts w:ascii="Arial" w:cs="Arial" w:eastAsia="Arial" w:hAnsi="Arial"/>
                <w:sz w:val="14"/>
                <w:szCs w:val="14"/>
                <w:b w:val="1"/>
                <w:bCs w:val="1"/>
                <w:color w:val="auto"/>
              </w:rPr>
              <w:t>April 28,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April 29,</w:t>
            </w:r>
          </w:p>
        </w:tc>
        <w:tc>
          <w:tcPr>
            <w:tcW w:w="380" w:type="dxa"/>
            <w:vAlign w:val="bottom"/>
          </w:tcPr>
          <w:p>
            <w:pPr>
              <w:spacing w:after="0"/>
              <w:rPr>
                <w:sz w:val="13"/>
                <w:szCs w:val="13"/>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beginning of year</w:t>
            </w: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Gains</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Fair value at end of quarter</w:t>
            </w:r>
          </w:p>
        </w:tc>
        <w:tc>
          <w:tcPr>
            <w:tcW w:w="1160" w:type="dxa"/>
            <w:vAlign w:val="bottom"/>
            <w:tcBorders>
              <w:top w:val="single" w:sz="8" w:color="auto"/>
            </w:tcBorders>
          </w:tcPr>
          <w:p>
            <w:pPr>
              <w:jc w:val="right"/>
              <w:ind w:right="961"/>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2019, we recognized impairment charges on trademarks, plant assets, customer relationships and technology in connection with interim assessments of fair value on intangible and tangible assets in Campbell Fresh. See also Note 3 for additional information on the impairment charges, which are included in Loss from discontinued operations.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fourth quarter of 2018, as part of our annual review of intangible assets, we recognized an impairment charge of $54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which reduced the carrying value to fair value of $61.</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was determined based on unobservable Level 3 inputs. The fair value of plant assets was determined based on cash flows associated with the asset group that include significant management assumptions, including expected proceeds. The fair values of trademarks, customer relationships and technology were determined based on discounted cash flow analyses that include significant management assumptions such as revenue growth rates, weighted average cost of capital, assumed royalty rates and attrition.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74"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The following table presents 2019 fair value measurements: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Impairment Charges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January 27, 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Plant</w:t>
            </w:r>
          </w:p>
        </w:tc>
        <w:tc>
          <w:tcPr>
            <w:tcW w:w="16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Trademarks</w:t>
            </w: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Technology</w:t>
            </w:r>
          </w:p>
        </w:tc>
        <w:tc>
          <w:tcPr>
            <w:tcW w:w="160" w:type="dxa"/>
            <w:vAlign w:val="bottom"/>
          </w:tcPr>
          <w:p>
            <w:pPr>
              <w:spacing w:after="0"/>
              <w:rPr>
                <w:sz w:val="13"/>
                <w:szCs w:val="13"/>
                <w:color w:val="auto"/>
              </w:rPr>
            </w:pPr>
          </w:p>
        </w:tc>
        <w:tc>
          <w:tcPr>
            <w:tcW w:w="7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Plant</w:t>
            </w: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Trademarks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Customer</w:t>
            </w:r>
          </w:p>
        </w:tc>
        <w:tc>
          <w:tcPr>
            <w:tcW w:w="140" w:type="dxa"/>
            <w:vAlign w:val="bottom"/>
          </w:tcPr>
          <w:p>
            <w:pPr>
              <w:spacing w:after="0"/>
              <w:rPr>
                <w:sz w:val="13"/>
                <w:szCs w:val="13"/>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92"/>
        </w:trPr>
        <w:tc>
          <w:tcPr>
            <w:tcW w:w="2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Bolthouse Farms carrot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carrot ingredients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160" w:type="dxa"/>
            <w:vAlign w:val="bottom"/>
          </w:tcPr>
          <w:p>
            <w:pPr>
              <w:ind w:left="160"/>
              <w:spacing w:after="0"/>
              <w:rPr>
                <w:sz w:val="20"/>
                <w:szCs w:val="20"/>
                <w:color w:val="auto"/>
              </w:rPr>
            </w:pPr>
            <w:r>
              <w:rPr>
                <w:rFonts w:ascii="Arial" w:cs="Arial" w:eastAsia="Arial" w:hAnsi="Arial"/>
                <w:sz w:val="18"/>
                <w:szCs w:val="18"/>
                <w:color w:val="auto"/>
              </w:rPr>
              <w:t>Bolthouse Farms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60"/>
              <w:spacing w:after="0"/>
              <w:rPr>
                <w:sz w:val="20"/>
                <w:szCs w:val="20"/>
                <w:color w:val="auto"/>
              </w:rPr>
            </w:pPr>
            <w:r>
              <w:rPr>
                <w:rFonts w:ascii="Arial" w:cs="Arial" w:eastAsia="Arial" w:hAnsi="Arial"/>
                <w:sz w:val="18"/>
                <w:szCs w:val="18"/>
                <w:color w:val="auto"/>
                <w:w w:val="91"/>
              </w:rPr>
              <w:t>refrigerated beverages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60"/>
              <w:spacing w:after="0"/>
              <w:rPr>
                <w:sz w:val="20"/>
                <w:szCs w:val="20"/>
                <w:color w:val="auto"/>
              </w:rPr>
            </w:pPr>
            <w:r>
              <w:rPr>
                <w:rFonts w:ascii="Arial" w:cs="Arial" w:eastAsia="Arial" w:hAnsi="Arial"/>
                <w:sz w:val="18"/>
                <w:szCs w:val="18"/>
                <w:color w:val="auto"/>
              </w:rPr>
              <w:t>salad dressings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Garden Fresh Gourmet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28,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Refrigerated soup</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equivalents of $19 at April 28, 2019, and $14 at July 29, 2018,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$7,985 at April 28, 2019, and $8,347 at July 29, 2018. The carrying value was $8,028 at April 28, 2019, and $8,595 at July 29, 2018.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April 28, 2019. During the nine-month period ended April 29, 2018, we repurchased 2 million shares at a cost of $86.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2019, we issued stock options, time-lapse restricted stock units, unrestricted stock, TSR performance restricted stock units and FCF performance restricted stock units. We have not issued EPS performance restricted stock units in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Earnings from continuing operations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3"/>
                <w:szCs w:val="13"/>
                <w:color w:val="auto"/>
              </w:rPr>
            </w:pPr>
          </w:p>
        </w:tc>
        <w:tc>
          <w:tcPr>
            <w:tcW w:w="94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April 29,</w:t>
            </w:r>
          </w:p>
        </w:tc>
      </w:tr>
      <w:tr>
        <w:trPr>
          <w:trHeight w:val="192"/>
        </w:trPr>
        <w:tc>
          <w:tcPr>
            <w:tcW w:w="65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860" w:type="dxa"/>
            <w:vAlign w:val="bottom"/>
          </w:tcPr>
          <w:p>
            <w:pPr>
              <w:jc w:val="right"/>
              <w:ind w:right="66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41"/>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pre-tax stock-based compensation expense recognized in Losses from discontinued operations was $1 in the three-month period ended April 28, 2019, and $2 in the nine-month periods ended April 28, 2019, and April 29, 2018. The pre-tax stock based compensation expense recognized in the three-month period ended April 29, 2018 was not material. Tax-related benefits recognized in Losses from discontinued operations in the three- and nine-month periods ended April 28, 2019 were $1 and were not material in the three-and nine-month periods ended April 29, 2018.</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87"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summarizes stock option activity as of April 28,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29,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50.36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35.74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49.05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28, 2019</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April 28, 2019</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50.88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No options were exercised during the nine-month period ended April 29, 2018.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values for grants in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3.84%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19.60%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6.1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6 years</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$6.27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$6.67</w:t>
            </w:r>
          </w:p>
        </w:tc>
      </w:tr>
      <w:tr>
        <w:trPr>
          <w:trHeight w:val="27"/>
        </w:trPr>
        <w:tc>
          <w:tcPr>
            <w:tcW w:w="9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April 28, 2019, total remaining unearned compensation related to nonvested stock options was $2, which will be amortized over the weighted-average remaining service period of 2.5 years.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April 28,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28, 2019</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66 thousand EPS performance target grants outstanding at April 28, 2019, with a weighted-average grant-date fair value of $49.10. The actual number of EPS performance restricted stock units issued at the vesting date could range from 0% to 100% of the initial grant, depending on actual performance achieved. We estimate expense based on the number of awards expected to vest.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4" w:right="239" w:bottom="1440" w:gutter="0" w:footer="0" w:header="0"/>
        </w:sectPr>
      </w:pPr>
    </w:p>
    <w:bookmarkStart w:id="28" w:name="page29"/>
    <w:bookmarkEnd w:id="28"/>
    <w:p>
      <w:pPr>
        <w:jc w:val="both"/>
        <w:ind w:firstLine="324"/>
        <w:spacing w:after="0" w:line="270" w:lineRule="auto"/>
        <w:rPr>
          <w:sz w:val="20"/>
          <w:szCs w:val="20"/>
          <w:color w:val="auto"/>
        </w:rPr>
      </w:pPr>
      <w:r>
        <w:rPr>
          <w:rFonts w:ascii="Arial" w:cs="Arial" w:eastAsia="Arial" w:hAnsi="Arial"/>
          <w:sz w:val="17"/>
          <w:szCs w:val="17"/>
          <w:color w:val="auto"/>
        </w:rPr>
        <w:t>In 2019, we issued approximately 388 thousand FCF performance restricted stock units for which vesting is contingent upon the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 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will be based upon the quoted price of our stock at the date of grant. We will expense FCF performance restricted stock units over the requisite service period of each objective. In the nine-month period ended April 28, 2019, we granted 129 thousand of the issued FCF performance restricted stock units, which are included in the table above. There were 118 thousand FCF performance target grants outstanding at April 28, 2019, with a grant date fair value of $37.62.</w:t>
      </w:r>
    </w:p>
    <w:p>
      <w:pPr>
        <w:spacing w:after="0" w:line="12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of April 28, 2019, total remaining unearned compensation related to nonvested time-lapse restricted stock units, EPS performance restricted stock units and FCF performance restricted stock units was $45, which will be amortized over the weighted-average remaining service period of 1.9 years. The fair value of restricted stock units vested during the nine-month periods ended April 28, 2019, and April 29, 2018, was $26, and $30, respectively. The weighted-average grant-date fair value of the restricted stock units granted during the nine-month period ended April 29, 2018, was $46.03.</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April 28,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28, 2019</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Weighted-average assumptions used in the Monte Carlo simulations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3.79%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3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 compensation expense on a straight-line basis over the service period. As of April 28, 2019, total remaining unearned compensation related to TSR performance restricted stock units was $18, which will be amortized over the weighted-average remaining service period of 1.7 years. In the first quarter of 2019, recipients of TSR performance restricted stock units earned 0% of the initial grants based upon our TSR ranking in a performance peer group during a three-year period ended July 27, 2018.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The fair value of TSR performance restricted stock units vested during the nine-month period ended April 29, 2018, was $38. The grant-date fair value of the TSR performance restricted stock units granted during 2018 was $39.39.</w:t>
      </w:r>
    </w:p>
    <w:p>
      <w:pPr>
        <w:spacing w:after="0" w:line="15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excess tax deficiencies of $2 in the nine-month period ended April 28, 2019, and the excess tax benefits of $4 in the nine-month period ended April 29, 2018, on vested restricted stock were presented as cash flows from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w:t>
      </w:r>
    </w:p>
    <w:p>
      <w:pPr>
        <w:sectPr>
          <w:pgSz w:w="11900" w:h="16838" w:orient="portrait"/>
          <w:cols w:equalWidth="0" w:num="1">
            <w:col w:w="11420"/>
          </w:cols>
          <w:pgMar w:left="240" w:top="1314"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14" w:right="239" w:bottom="1440" w:gutter="0" w:footer="0" w:header="0"/>
          <w:type w:val="continuous"/>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resolving through settlement numerous claims over an extended period of time, demonstrates to us that the monetary relief which may be specified in a lawsuit or claim bears little relevance to its merits or disposition value.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January 7, 2019, three purported shareholder class action lawsuits pending in the United States District Court for the District of New Jersey were consolidated under the caption, </w:t>
      </w:r>
      <w:r>
        <w:rPr>
          <w:rFonts w:ascii="Arial" w:cs="Arial" w:eastAsia="Arial" w:hAnsi="Arial"/>
          <w:sz w:val="16"/>
          <w:szCs w:val="16"/>
          <w:i w:val="1"/>
          <w:iCs w:val="1"/>
          <w:color w:val="auto"/>
        </w:rPr>
        <w:t>In re Campbell Soup Company Securities Litigation</w:t>
      </w:r>
      <w:r>
        <w:rPr>
          <w:rFonts w:ascii="Arial" w:cs="Arial" w:eastAsia="Arial" w:hAnsi="Arial"/>
          <w:sz w:val="16"/>
          <w:szCs w:val="16"/>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We are vigorously defending against the Action.</w:t>
      </w:r>
    </w:p>
    <w:p>
      <w:pPr>
        <w:spacing w:after="0" w:line="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28, 2019.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April 28,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w w:val="97"/>
              </w:rPr>
              <w:t>July 29,</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Raw materials, containers and supplies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Statements of Earnings</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380" w:type="dxa"/>
            <w:vAlign w:val="bottom"/>
            <w:tcBorders>
              <w:bottom w:val="single" w:sz="8" w:color="auto"/>
            </w:tcBorders>
            <w:gridSpan w:val="7"/>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3"/>
                <w:szCs w:val="13"/>
                <w:color w:val="auto"/>
              </w:rPr>
            </w:pPr>
          </w:p>
        </w:tc>
        <w:tc>
          <w:tcPr>
            <w:tcW w:w="940" w:type="dxa"/>
            <w:vAlign w:val="bottom"/>
            <w:gridSpan w:val="2"/>
          </w:tcPr>
          <w:p>
            <w:pPr>
              <w:jc w:val="right"/>
              <w:ind w:right="230"/>
              <w:spacing w:after="0" w:line="153"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648"/>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79"/>
              </w:rPr>
              <w:t>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income other than the 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Pension settlement charge</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79"/>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(gains) /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79"/>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hanging="172"/>
        <w:spacing w:after="0" w:line="227" w:lineRule="auto"/>
        <w:tabs>
          <w:tab w:leader="none" w:pos="21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In the three- and nine-month periods ended April 29, 2018, we recognized transaction costs of $29 and $53, respectively, related to the acquisition of Snyder's-Lance. See Note 4 for additional information.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4" w:right="239" w:bottom="1440" w:gutter="0" w:footer="0" w:header="0"/>
        </w:sectPr>
      </w:pPr>
    </w:p>
    <w:bookmarkStart w:id="30" w:name="page31"/>
    <w:bookmarkEnd w:id="30"/>
    <w:p>
      <w:pPr>
        <w:ind w:right="4140"/>
        <w:spacing w:after="0" w:line="393"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29, 2018, including but not limited to "Part I - Item 1A. Risk Factors" and "Part II - Item 7. Management's Discussion and Analysis of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 On December 12, 2017, we completed the acquisition of Pacific Foods of Oregon, LLC (Pacific Foods). The purchase price was $688 million. On March 26, 2018, we completed the acquisition of Snyder’s-Lance, Inc. (Snyder's-Lance) for total consideration of $6.112 billion. For additional information on our recent acquisitions, see Note 4 to the Consolidated Financial Statements.</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August 2018, we announced the results of our comprehensive Board of Directors-led strategy and portfolio review. The Board of Directors concluded that the best path forward was to: optimize our portfolio and focus on our core businesses with an emphasis on execution; divest certain non-core businesses in order to focus the company, while significantly paying down debt; and increase our cost savings initiatives, while driving improved asset efficiency. Following the review, we commenced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 The international biscuits and snacks operating segment and the Campbell Fresh operating segment combined represent approximately $2.1 billion in net sales in 2018. We expect to use the proceeds from these divestitures to reduce debt.</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approximately $55 million, subject to customary purchase price adjustments. On April 12, 2019, we signed a definitive agreement for the sale of Bolthouse Farms to an affiliate of Butterfly Equity for $510 million, subject to customary purchase price adjustments. We expect to complete the sale in the fourth quarter of 2019. Beginning in the third quarter of 2019, we have reflected the results of operations of these businesses as discontinued operations in the Consolidated Statements of Earnings for all periods presented. A portion of the U.S refrigerated soup business historically included in Campbell Fresh was retained, and is now reported in Meals and Beverages. Segment results in prior periods have been adjusted to conform to the current presentation. See Notes 3 and 7 to the Consolidated Financial Statements.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2018, our simple meals and shelf-stable beverage business in Latin America was managed as part of the Global Biscuits and Snacks segment. Beginning in 2019, our business in Latin America is managed as part of the Meals and Beverages segment. Segment results have been adjusted to conform to the current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sales increased 16% in the current quarter to $2.178 billion, reflecting a 17-point benefit from the acquisition of Snyder's-Lance. Excluding the acquisition, net sales declined due to lower volume and the negative impact from currency translation, partly offset by lower promotional spending.</w:t>
      </w:r>
    </w:p>
    <w:p>
      <w:pPr>
        <w:spacing w:after="0" w:line="6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Gross profit, as a percent of sales, increased to 33.2% from 32.7% in the year-ago quarter. The increase was primarily due to the negative margin impact from a fair value adjustment on inventory associated with the Snyder's-Lance acquisition in the year-ago quarter, productivity improvements and lower promotional spending, higher restructuring related costs in the year-ago quarter, partially offset by cost inflation and higher supply chain costs, and the dilutive impact of the Snyder's-Lance acquisition.</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expense increased to $92 million in the current quarter from $44 million in the year-ago quarter primarily due to higher levels of debt associated with funding the acquisitions discussed above, an $18 million gain on treasury rate lock contracts in the prior year used to hedge the planned financing of the Snyder's-Lance acquisition and higher average interest rates on the debt portfolio.</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effective tax rate was 25.1% in the current quarter compared to 37.1% in the year-ago quarter. After adjusting for items impacting comparability, the remaining decrease was primarily due to the ongoing benefit of the lower U.S. federal tax rate resulting from the enactment of the Tax Cuts and Jobs Act (the Act) in December 2017.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0" w:right="239" w:bottom="1440" w:gutter="0" w:footer="0" w:header="0"/>
        </w:sectPr>
      </w:pPr>
    </w:p>
    <w:bookmarkStart w:id="31" w:name="page32"/>
    <w:bookmarkEnd w:id="31"/>
    <w:p>
      <w:pPr>
        <w:jc w:val="both"/>
        <w:ind w:left="66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Earnings from continuing operations per share were $.43 in the current quarter, compared to $.24 in the year-ago quarter. The impact of the adoption new accounting guidance for revenue recognition was an increase of $.01 per share in the current quarter. The current and prior-year quarter included expenses of $.13 and $.35 per share, respectively, from items impacting comparability as discussed below.</w:t>
      </w:r>
    </w:p>
    <w:p>
      <w:pPr>
        <w:spacing w:after="0" w:line="111"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Loss from discontinued operations per share was $.16 in the current quarter, compared to $1.55 in the year-ago quarter. The current and prior-year quarter included expenses of $.16 and $1.65 per share, respectively, from items impacting comparability as discussed below.</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flows from operations were $1.148 billion in 2019, compared to $1.024 billion in 2018. The increase was primarily due to significant improvements in our working capital management efforts, partially offset by lower cash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71" w:lineRule="exact"/>
        <w:rPr>
          <w:sz w:val="20"/>
          <w:szCs w:val="20"/>
          <w:color w:val="auto"/>
        </w:rPr>
      </w:pPr>
    </w:p>
    <w:p>
      <w:pPr>
        <w:jc w:val="both"/>
        <w:ind w:left="660" w:hanging="328"/>
        <w:spacing w:after="0" w:line="267"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2015, we implemented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 In 2019, we began to include costs associated with the Snyder's-Lance cost transformation program and integration with these initiatives. In the third quarter of 2019, we recorded a pre-tax restructuring charge of $1 million and implementation costs and other related costs of $12 million in Administrative expenses, $4 million in Cost of products sold, $2 million in Marketing and selling expenses, and $1 million in Research and development expenses (aggregate impact of $15 million after tax, or $.05 per share) related to these initiatives. Year-to-date in 2019, we recorded a pre-tax restructuring charge of $21 million and implementation costs and other related costs of $35 million in Administrative expenses, $25 million in Cost of products sold, $6 million in Marketing and selling expenses, and $2 million in Research and development expenses (aggregate impact of $67 million after tax, or $.22 per share) related to these initiatives. In the third quarter of 2018, we recorded a pre-tax restructuring charge of $14 million and implementation costs and other related costs of $29 million in Administrative expenses, $14 million in Cost of products sold, and $2 million in Marketing and selling expenses (aggregate impact of $45 million after tax, or $.15 per share) related to these initiatives. Year-to-date in 2018, we recorded a pre-tax restructuring charge of $48 million and implementation costs and other related costs of $67 million in Administrative expenses, $20 million in Cost of products sold and $2 million in Marketing and selling expenses (aggregate impact of $102 million after tax, or $.34 per share) related to these initiatives. See Note 8 to the Consolidated Financial Statements and "Restructuring Charges and Cost Savings Initiatives" for additional information;</w:t>
      </w:r>
    </w:p>
    <w:p>
      <w:pPr>
        <w:spacing w:after="0" w:line="135"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first quarter of 2019, we announced our intent to divest our international biscuits and snacks operating segment. In the third quarter of 2019, we incurred costs of $2 million in Administrative expenses ($1 million after tax) associated with the planned divestiture. Year-to-date in 2019, we incurred costs of $7 million in Administrative expenses ($5 million after tax, or $.02 per share) associated with the planned divestitures;</w:t>
      </w:r>
    </w:p>
    <w:p>
      <w:pPr>
        <w:spacing w:after="0" w:line="92"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third quarter of 2019, we recognized a pre-tax pension settlement charge in Other expenses / (income) of $28 million ($22 million after tax, or $.07 per share) associated with a U.S. pension plan. The settlement resulted from the level of lump sum distributions from the plan's assets in 2019;</w:t>
      </w:r>
    </w:p>
    <w:p>
      <w:pPr>
        <w:spacing w:after="0" w:line="69" w:lineRule="exact"/>
        <w:rPr>
          <w:rFonts w:ascii="Arial" w:cs="Arial" w:eastAsia="Arial" w:hAnsi="Arial"/>
          <w:sz w:val="16"/>
          <w:szCs w:val="16"/>
          <w:color w:val="auto"/>
        </w:rPr>
      </w:pPr>
    </w:p>
    <w:p>
      <w:pPr>
        <w:jc w:val="both"/>
        <w:ind w:left="660" w:hanging="328"/>
        <w:spacing w:after="0" w:line="30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2019 and 2018, we reflected the impact on taxes of the enactment of the Tax Cuts and Jobs Act (the Act) that was signed into law in December 2017. Year-to-date in 2019, we recorded a tax charge of $2 million ($.01 per share) related to a transition tax on unremitted foreign earnings. Year-to-date in 2018, we recorded a tax benefit of $179 million due to the remeasurement of deferred tax assets and liabilities, and a tax charge of $59 million related to a transition tax on unremitted foreign earnings. The net impact was a tax benefit of $120 million ($.40 per share);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4" w:right="239" w:bottom="1440" w:gutter="0" w:footer="0" w:header="0"/>
        </w:sectPr>
      </w:pPr>
    </w:p>
    <w:bookmarkStart w:id="32" w:name="page33"/>
    <w:bookmarkEnd w:id="32"/>
    <w:p>
      <w:pPr>
        <w:jc w:val="both"/>
        <w:ind w:left="660" w:hanging="328"/>
        <w:spacing w:after="0" w:line="270"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second quarter of 2018, we announced our intent to acquire Snyder's-Lance and on March 26, 2018, the acquisition closed. In the third quarter of 2018, we incurred transaction costs of $29 million recorded in Other expenses / (income), $37 million in Cost of products sold associated with an acquisition date fair value adjustment for inventory, and recorded a gain in Interest expense of $18 million on treasury rate lock contracts used to hedge the planned financing of the acquisition. We also incurred integration costs in association with cost savings initiatives, of which $10 million was recorded in Restructuring charges and $6 million in Administrative expenses. The aggregate impact was $64 million, $46 million after tax, or $.15 per share. Year-to-date in 2018, we incurred transaction costs of $53 million in Other expenses / (income), $37 million in Cost of products sold, and a gain in Interest expense of $18 million on the treasury rate lock contracts. We also incurred integration costs in association with cost savings initiatives, of which $10 million was recorded in Restructuring charges and $6 million in Administrative expenses. The aggregate impact was $88 million, $65 million after tax, or $.22 per share;</w:t>
      </w:r>
    </w:p>
    <w:p>
      <w:pPr>
        <w:spacing w:after="0" w:line="127"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third quarter of 2018, we recorded expense of $22 million in Other expenses / (income) ($15 million after tax, or $.05 per share) from a settlement of a legal claim;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Year-to-date in 2018, we recognized gains of $14 million in Other expenses / (income) ($10 million after tax, or $.03 per share) associated with mark-to-market adjustments for defined benefit pension and postretirement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Year-to-date in 2019, we recorded pre-tax and after-tax charges of $1 million related to the cost savings initiatives discussed above. In the third quarter of 2018, we recorded pre-tax charges of $1 million related to these initiatives. Year-to-date in 2018, we recorded pre-tax charges of $2 million ($1 million after tax) related to these initiatives. See Note 8 to the Consolidated Financial Statements and "Restructuring Charges and Cost Savings Initiatives" for additional information;</w:t>
      </w:r>
    </w:p>
    <w:p>
      <w:pPr>
        <w:spacing w:after="0" w:line="132"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second quarter of 2019, interim impairment assessments were performed on the intangible and tangible assets within Campbell Fresh, which includes Garden Fresh Gourmet, Bolthouse Farms carrot and carrot ingredients and Bolthouse Farms refrigerated beverages and salad dressings, as we continued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($264 million after tax, or $.88 per share).</w:t>
      </w:r>
    </w:p>
    <w:p>
      <w:pPr>
        <w:spacing w:after="0" w:line="113"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In the first quarter of 2019, we recorded a non-cash impairment charge of $14 million ($11 million after tax, or $.04 per share) on our U.S. refrigerated soup plant assets. Year-to-date in 2019, we recorded non-cash impairment charges of $360 million ($275 million after tax, or $.91 per share).</w:t>
      </w:r>
    </w:p>
    <w:p>
      <w:pPr>
        <w:spacing w:after="0" w:line="46" w:lineRule="exact"/>
        <w:rPr>
          <w:rFonts w:ascii="Arial" w:cs="Arial" w:eastAsia="Arial" w:hAnsi="Arial"/>
          <w:sz w:val="16"/>
          <w:szCs w:val="16"/>
          <w:color w:val="auto"/>
        </w:rPr>
      </w:pPr>
    </w:p>
    <w:p>
      <w:pPr>
        <w:ind w:left="660" w:right="80"/>
        <w:spacing w:after="0" w:line="270" w:lineRule="auto"/>
        <w:rPr>
          <w:rFonts w:ascii="Arial" w:cs="Arial" w:eastAsia="Arial" w:hAnsi="Arial"/>
          <w:sz w:val="16"/>
          <w:szCs w:val="16"/>
          <w:color w:val="auto"/>
        </w:rPr>
      </w:pPr>
      <w:r>
        <w:rPr>
          <w:rFonts w:ascii="Arial" w:cs="Arial" w:eastAsia="Arial" w:hAnsi="Arial"/>
          <w:sz w:val="17"/>
          <w:szCs w:val="17"/>
          <w:color w:val="auto"/>
        </w:rPr>
        <w:t>In the third quarter of 2018, we performed interim impairment assessments within Campbell Fresh on the deli reporting unit, which includes Garden Fresh Gourmet and the U.S. refrigerated soup business, and the Bolthouse Farms refrigerated beverages and salad dressings reporting unit. Within the deli unit, we revised our long-term outlook due to the anticipated loss of refrigerated soup business with certain private label customers, as well as the performance of the business. In addition, the operating performance of the Bolthouse Farms refrigerated beverages and salad dressings reporting unit was below expectations. We revised our long-term outlook for future earnings and cash flows for each of these reporting units. We recorded a non-cash impairment charge of $11 million on the tangible assets and $94 million on the intangible assets ($80 million after tax, or $.27 per share) of the deli reporting unit, and a non-cash impairment charge of $514 million ($417 million after tax, or $1.39 per share) related to the intangible assets of the Bolthouse Farms refrigerated beverages and salad dressings reporting unit. The aggregate impact of the impairment charges was $619 million ($497 million after tax, or $1.65 per share).</w:t>
      </w:r>
    </w:p>
    <w:p>
      <w:pPr>
        <w:spacing w:after="0" w:line="100"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In the second quarter of 2018, we performed an interim impairment assessment on the intangible assets of the Bolthouse Farms carrot and carrot ingredients reporting unit as operating performance was below expectations. We revised our outlook for future earnings and cash flows and recorded a non-cash impairment charge of $75 million ($74 million after tax, or $.25 per share). Year-to-date in 2018, the total non-cash impairment charges recorded were $694 million ($571 million after tax, or $1.89 per share); and</w:t>
      </w:r>
    </w:p>
    <w:p>
      <w:pPr>
        <w:spacing w:after="0" w:line="105"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first quarter of 2019, we announced our intent to divest our Campbell Fresh businesses. In the third quarter of 2019, we incurred pre-tax expenses of $24 million associated with the sale process of the businesses in Campbell Fresh, including losses on the sale of the U.S. refrigerated soup business and Garden Fresh Gourmet. In addition, due to the pending sale of Bolthouse Farms, we recorded tax expense of $29 million as deferred tax assets are not realizable. The aggregate impact was $47 million after tax, or $.16 per share. Year-to-date in 2019, we incurred pre-tax expenses of $31 million associated with the sale process of the businesses in Campbell Fresh, including losses on the sale of the U.S. refrigerated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4" w:right="239" w:bottom="1440" w:gutter="0" w:footer="0" w:header="0"/>
        </w:sectPr>
      </w:pPr>
    </w:p>
    <w:bookmarkStart w:id="33" w:name="page34"/>
    <w:bookmarkEnd w:id="33"/>
    <w:p>
      <w:pPr>
        <w:ind w:left="660"/>
        <w:spacing w:after="0" w:line="324" w:lineRule="auto"/>
        <w:rPr>
          <w:sz w:val="20"/>
          <w:szCs w:val="20"/>
          <w:color w:val="auto"/>
        </w:rPr>
      </w:pPr>
      <w:r>
        <w:rPr>
          <w:rFonts w:ascii="Arial" w:cs="Arial" w:eastAsia="Arial" w:hAnsi="Arial"/>
          <w:sz w:val="18"/>
          <w:szCs w:val="18"/>
          <w:color w:val="auto"/>
        </w:rPr>
        <w:t>soup business and Garden Fresh Gourmet, and recorded tax expense of $29 million on the deferred tax assets that are not realizable. The aggregate impact was $52 million after tax, or $.17 per share.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April 28,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April 29, 2018</w:t>
            </w:r>
          </w:p>
        </w:tc>
        <w:tc>
          <w:tcPr>
            <w:tcW w:w="0" w:type="dxa"/>
            <w:vAlign w:val="bottom"/>
          </w:tcPr>
          <w:p>
            <w:pPr>
              <w:spacing w:after="0"/>
              <w:rPr>
                <w:sz w:val="1"/>
                <w:szCs w:val="1"/>
                <w:color w:val="auto"/>
              </w:rPr>
            </w:pPr>
          </w:p>
        </w:tc>
      </w:tr>
      <w:tr>
        <w:trPr>
          <w:trHeight w:val="152"/>
        </w:trPr>
        <w:tc>
          <w:tcPr>
            <w:tcW w:w="6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gridSpan w:val="4"/>
            <w:shd w:val="clear" w:color="auto" w:fill="CCEEFF"/>
          </w:tcPr>
          <w:p>
            <w:pPr>
              <w:ind w:left="40"/>
              <w:spacing w:after="0" w:line="257"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associated with planned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Pension settlement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associated with planned divestitures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Impact of items on Loss from discontinued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6980" w:type="dxa"/>
            <w:vAlign w:val="bottom"/>
            <w:gridSpan w:val="4"/>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Sum of the individual amounts may not add due to rounding.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980" w:type="dxa"/>
            <w:vAlign w:val="bottom"/>
            <w:gridSpan w:val="4"/>
          </w:tcPr>
          <w:p>
            <w:pPr>
              <w:ind w:left="56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0" w:right="239" w:bottom="1440" w:gutter="0" w:footer="0" w:header="0"/>
        </w:sectPr>
      </w:pPr>
    </w:p>
    <w:bookmarkStart w:id="34" w:name="page35"/>
    <w:bookmarkEnd w:id="3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April 28,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April 29, 2018</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EPS</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9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0" w:type="dxa"/>
            <w:vAlign w:val="bottom"/>
            <w:tcBorders>
              <w:right w:val="single" w:sz="8" w:color="CCEEFF"/>
            </w:tcBorders>
          </w:tcPr>
          <w:p>
            <w:pPr>
              <w:spacing w:after="0"/>
              <w:rPr>
                <w:sz w:val="22"/>
                <w:szCs w:val="22"/>
                <w:color w:val="auto"/>
              </w:rPr>
            </w:pPr>
          </w:p>
        </w:tc>
        <w:tc>
          <w:tcPr>
            <w:tcW w:w="6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6920" w:type="dxa"/>
            <w:vAlign w:val="bottom"/>
            <w:tcBorders>
              <w:bottom w:val="single" w:sz="8" w:color="CCEEFF"/>
            </w:tcBorders>
            <w:gridSpan w:val="3"/>
            <w:shd w:val="clear" w:color="auto" w:fill="CCEEFF"/>
          </w:tcPr>
          <w:p>
            <w:pPr>
              <w:spacing w:after="0" w:line="257"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1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Continuing operations:</w:t>
            </w:r>
          </w:p>
        </w:tc>
        <w:tc>
          <w:tcPr>
            <w:tcW w:w="52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Costs associated with planned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Pension settlement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Tax reform</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6920" w:type="dxa"/>
            <w:vAlign w:val="bottom"/>
            <w:tcBorders>
              <w:bottom w:val="single" w:sz="8" w:color="CCEEFF"/>
            </w:tcBorders>
            <w:gridSpan w:val="3"/>
            <w:shd w:val="clear" w:color="auto" w:fill="CCEEFF"/>
          </w:tcPr>
          <w:p>
            <w:pPr>
              <w:spacing w:after="0" w:line="264"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6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right w:val="single" w:sz="8" w:color="CCEEFF"/>
            </w:tcBorders>
          </w:tcPr>
          <w:p>
            <w:pPr>
              <w:spacing w:after="0"/>
              <w:rPr>
                <w:sz w:val="4"/>
                <w:szCs w:val="4"/>
                <w:color w:val="auto"/>
              </w:rPr>
            </w:pPr>
          </w:p>
        </w:tc>
        <w:tc>
          <w:tcPr>
            <w:tcW w:w="1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Costs associated with planned divestitures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6920" w:type="dxa"/>
            <w:vAlign w:val="bottom"/>
            <w:tcBorders>
              <w:bottom w:val="single" w:sz="8" w:color="CCEEFF"/>
            </w:tcBorders>
            <w:gridSpan w:val="3"/>
            <w:shd w:val="clear" w:color="auto" w:fill="CCEEFF"/>
          </w:tcPr>
          <w:p>
            <w:pPr>
              <w:spacing w:after="0" w:line="264" w:lineRule="exact"/>
              <w:rPr>
                <w:sz w:val="20"/>
                <w:szCs w:val="20"/>
                <w:color w:val="auto"/>
              </w:rPr>
            </w:pPr>
            <w:r>
              <w:rPr>
                <w:rFonts w:ascii="Arial" w:cs="Arial" w:eastAsia="Arial" w:hAnsi="Arial"/>
                <w:sz w:val="18"/>
                <w:szCs w:val="18"/>
                <w:color w:val="auto"/>
              </w:rPr>
              <w:t>Impact of items on Loss from discontinued operations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980" w:type="dxa"/>
            <w:vAlign w:val="bottom"/>
            <w:gridSpan w:val="4"/>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Sum of the individual amounts may not add due to rounding.</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324"/>
        <w:spacing w:after="0" w:line="253" w:lineRule="auto"/>
        <w:rPr>
          <w:sz w:val="20"/>
          <w:szCs w:val="20"/>
          <w:color w:val="auto"/>
        </w:rPr>
      </w:pPr>
      <w:r>
        <w:rPr>
          <w:rFonts w:ascii="Arial" w:cs="Arial" w:eastAsia="Arial" w:hAnsi="Arial"/>
          <w:sz w:val="18"/>
          <w:szCs w:val="18"/>
          <w:color w:val="auto"/>
        </w:rPr>
        <w:t>Earnings from continuing operations were $131 million ($.43 per share) in the current quarter, compared to $73 million ($.24 per share) in the year-ago quarter. After adjusting for items impacting comparability, earnings decreased reflecting higher interest expense, partly offset by a lower adjusted tax rate as declines in earnings before interest and taxes (EBIT) in the base businesses were mostly offset by incremental EBIT from the Snyder’s-Lance acquisition. The change in revenue recognition had a favorable $.01 per share impact in the quarter.</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Earnings from continuing operations were $550 million ($1.82 per share) in the nine-month period this year, compared to $690 million ($2.28 per share) in the year-ago period. After adjusting for items impacting comparability, earnings decreased reflecting higher interest expense, partly offset by a lower adjusted tax rate as declines in EBIT in the base businesses were mostly offset by incremental EBIT from the Snyder’s-Lance acquisition.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28, 2019</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29, 2018</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(1)</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1,154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0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17145</wp:posOffset>
            </wp:positionV>
            <wp:extent cx="27444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447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37" w:lineRule="auto"/>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n/m - Not meaningful.</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40"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Meals and Beverages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Snacks</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Decreased Promotional Spending</w:t>
            </w:r>
            <w:r>
              <w:rPr>
                <w:rFonts w:ascii="Arial" w:cs="Arial" w:eastAsia="Arial" w:hAnsi="Arial"/>
                <w:sz w:val="25"/>
                <w:szCs w:val="25"/>
                <w:color w:val="auto"/>
                <w:vertAlign w:val="superscript"/>
              </w:rPr>
              <w:t>(1)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line="216"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 The adoption of new accounting guidance for revenue recognition resulted in a reduction of promotional spending of 30 basis points on Net sales.</w:t>
      </w:r>
    </w:p>
    <w:p>
      <w:pPr>
        <w:spacing w:after="0" w:line="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Meals and Beverages, sales decreased 1% primarily due to declines in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The adoption of new accounting guidance for revenue recognition resulted in a positive 1-point impact on sales. Sales of U.S. soup were comparable to the prior year with gains in broth, offset by declines in condensed soups and ready-to-serve soups.</w:t>
      </w:r>
    </w:p>
    <w:p>
      <w:pPr>
        <w:spacing w:after="0" w:line="12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color w:val="auto"/>
        </w:rPr>
        <w:t xml:space="preserve">In Global Biscuits and Snacks, sales increased 37% with a 38-point benefit from the acquisition of Snyder’s-Lance. </w:t>
      </w:r>
      <w:r>
        <w:rPr>
          <w:rFonts w:ascii="Arial" w:cs="Arial" w:eastAsia="Arial" w:hAnsi="Arial"/>
          <w:sz w:val="18"/>
          <w:szCs w:val="18"/>
          <w:color w:val="auto"/>
        </w:rPr>
        <w:t>E</w:t>
      </w:r>
      <w:r>
        <w:rPr>
          <w:rFonts w:ascii="Arial" w:cs="Arial" w:eastAsia="Arial" w:hAnsi="Arial"/>
          <w:sz w:val="17"/>
          <w:szCs w:val="17"/>
          <w:color w:val="auto"/>
        </w:rPr>
        <w:t xml:space="preserve">xcluding the benefit from the acquisition of Snyder’s-Lance and the negative impact of currency translation, sales increased due to continued growth in Pepperidge Farm, driven by consumption gains in </w:t>
      </w:r>
      <w:r>
        <w:rPr>
          <w:rFonts w:ascii="Arial" w:cs="Arial" w:eastAsia="Arial" w:hAnsi="Arial"/>
          <w:sz w:val="17"/>
          <w:szCs w:val="17"/>
          <w:i w:val="1"/>
          <w:iCs w:val="1"/>
          <w:color w:val="auto"/>
        </w:rPr>
        <w:t>Pepperidge Farm</w:t>
      </w:r>
      <w:r>
        <w:rPr>
          <w:rFonts w:ascii="Arial" w:cs="Arial" w:eastAsia="Arial" w:hAnsi="Arial"/>
          <w:sz w:val="17"/>
          <w:szCs w:val="17"/>
          <w:color w:val="auto"/>
        </w:rPr>
        <w:t xml:space="preserve"> fresh bakery products and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partly offset by declines in international biscuits and snacks.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$108 million in 2019 from 2018. As a percent of sales, gross profit was 33.2% in 2019 and 32.7% in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0.5 percentage-point increase in gross profit percentage was due to the following factors: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1.5%</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Lower level of promotional spending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0.9</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restructuring-related costs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0.5</w:t>
            </w:r>
          </w:p>
        </w:tc>
      </w:tr>
      <w:tr>
        <w:trPr>
          <w:trHeight w:val="270"/>
        </w:trPr>
        <w:tc>
          <w:tcPr>
            <w:tcW w:w="8900" w:type="dxa"/>
            <w:vAlign w:val="bottom"/>
          </w:tcPr>
          <w:p>
            <w:pPr>
              <w:ind w:left="20"/>
              <w:spacing w:after="0" w:line="270" w:lineRule="exact"/>
              <w:rPr>
                <w:sz w:val="20"/>
                <w:szCs w:val="20"/>
                <w:color w:val="auto"/>
              </w:rPr>
            </w:pPr>
            <w:r>
              <w:rPr>
                <w:rFonts w:ascii="Arial" w:cs="Arial" w:eastAsia="Arial" w:hAnsi="Arial"/>
                <w:sz w:val="18"/>
                <w:szCs w:val="18"/>
                <w:color w:val="auto"/>
              </w:rPr>
              <w:t>Impact of acquisition</w:t>
            </w:r>
            <w:r>
              <w:rPr>
                <w:rFonts w:ascii="Arial" w:cs="Arial" w:eastAsia="Arial" w:hAnsi="Arial"/>
                <w:sz w:val="25"/>
                <w:szCs w:val="25"/>
                <w:color w:val="auto"/>
                <w:vertAlign w:val="superscript"/>
              </w:rPr>
              <w:t>(1)</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0.3</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0.3</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Mix</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(0.1)</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9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(2.9)</w:t>
            </w:r>
          </w:p>
        </w:tc>
      </w:tr>
      <w:tr>
        <w:trPr>
          <w:trHeight w:val="237"/>
        </w:trPr>
        <w:tc>
          <w:tcPr>
            <w:tcW w:w="89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7"/>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17145</wp:posOffset>
            </wp:positionV>
            <wp:extent cx="1149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34290</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37"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Prior year included a negative margin impact of 2.0 from a Snyder's-Lance acquisition date fair value adjustment for inventory.</w:t>
      </w:r>
    </w:p>
    <w:p>
      <w:pPr>
        <w:spacing w:after="0" w:line="56"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2"/>
        </w:numPr>
        <w:rPr>
          <w:rFonts w:ascii="Arial" w:cs="Arial" w:eastAsia="Arial" w:hAnsi="Arial"/>
          <w:sz w:val="24"/>
          <w:szCs w:val="24"/>
          <w:color w:val="auto"/>
          <w:vertAlign w:val="superscript"/>
        </w:rPr>
      </w:pPr>
      <w:r>
        <w:rPr>
          <w:rFonts w:ascii="Arial" w:cs="Arial" w:eastAsia="Arial" w:hAnsi="Arial"/>
          <w:sz w:val="17"/>
          <w:szCs w:val="17"/>
          <w:color w:val="auto"/>
        </w:rPr>
        <w:t>Includes a positive margin impact of 0.6 from cost savings initiatives, which was more than offset by cost inflation and other factors.</w:t>
      </w:r>
    </w:p>
    <w:p>
      <w:pPr>
        <w:spacing w:after="0" w:line="83"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Marketing and selling expenses as a percent of sales were 11.2% in 2019 compared to 11.7% in 2018. Marketing and selling expenses increased 11% in 2019 from 2018. The increase was primarily due to the impact of the Snyder's-Lance acquisition (approximately 14 percentage points) and higher incentive compensation (approximately 2 percentage points), partially offset by increased benefits from cost savings initiatives (approximately 3 percentage points); lower marketing overhead spending (approximately 2 percentage points); and lower selling expenses (approximately 1 percentage point).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7.6% in 2019 compared to 8.1% in 2018. Administrative expenses increased 8% in 2019 from 2018. The increase was primarily due to higher incentive compensation (approximately 11 percentage points); the impact of the Snyder's-Lance acquisition (approximately 8 percentage points); higher benefit related costs (approximately 5 percentage points); costs in the current year associated with the planned divestiture of the international biscuits and snacks operating segment (approximately 1 percentage point); and inflation (approximately 1 percentage point), partially offset by lower costs</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14" w:right="239" w:bottom="1440" w:gutter="0" w:footer="0" w:header="0"/>
          <w:type w:val="continuous"/>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color w:val="auto"/>
        </w:rPr>
        <w:t>associated with cost savings initiatives inclusive of acquisition integration costs (approximately 15 percentage points) and increased benefits from cost savings initiatives (approximately 3 percentage points).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expenses were $20 million in 2019 and $35 million in 2018. Other expenses in 2019 included a pension settlement charge of $28 million associated with a U.S. pension plan. Other expenses in 2018 included $29 million of transaction costs associated with the acquisition of Snyder's-Lance and $22 million of expense related to the settlement of a legal claim. Excluding the items impacting comparability, the remaining change was primarily due to higher amortization of intangible assets from the recent acquisitions in the current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2% in 2019 from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April 28, 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April 29,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2019/2018</w:t>
            </w: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r>
      <w:tr>
        <w:trPr>
          <w:trHeight w:val="27"/>
        </w:trPr>
        <w:tc>
          <w:tcPr>
            <w:tcW w:w="7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Pr>
          <w:p>
            <w:pPr>
              <w:jc w:val="right"/>
              <w:ind w:right="276"/>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0"/>
                <w:szCs w:val="20"/>
                <w:color w:val="auto"/>
              </w:rPr>
            </w:pP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17145</wp:posOffset>
            </wp:positionV>
            <wp:extent cx="166370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37"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1"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7"/>
          <w:szCs w:val="17"/>
          <w:color w:val="auto"/>
        </w:rPr>
        <w:t xml:space="preserve">Operating earnings from Meals and Beverages decreased 5%. </w:t>
      </w:r>
      <w:r>
        <w:rPr>
          <w:rFonts w:ascii="Arial" w:cs="Arial" w:eastAsia="Arial" w:hAnsi="Arial"/>
          <w:sz w:val="18"/>
          <w:szCs w:val="18"/>
          <w:color w:val="auto"/>
        </w:rPr>
        <w:t>T</w:t>
      </w:r>
      <w:r>
        <w:rPr>
          <w:rFonts w:ascii="Arial" w:cs="Arial" w:eastAsia="Arial" w:hAnsi="Arial"/>
          <w:sz w:val="17"/>
          <w:szCs w:val="17"/>
          <w:color w:val="auto"/>
        </w:rPr>
        <w:t>he decrease was primarily due to higher levels of cost inflation and higher administrative expenses, partly offset by supply chain productivity improvements, lower promotional spending and the benefit of recent pricing actions.</w:t>
      </w:r>
    </w:p>
    <w:p>
      <w:pPr>
        <w:spacing w:after="0" w:line="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15%. The increase reflects a 21-point benefit from the acquisition of Snyder’s-Lance. Excluding Snyder's-Lance, operating earnings decreased primarily due to cost inflation and higher administrative expenses, partially offset by supply chain productivity improvements.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Corporate in 2019 included a pension settlement charge of $28 million associated with a U.S. pension plan, costs of $19 million related to cost savings initiatives and $2 million in costs associated with the planned divestiture of our international biscuits and snacks operating segment. Corporate in 2018 included transaction and integration costs of $72 million associated with the acquisition of Snyder's-Lance, costs of $45 million related to cost savings initiatives and $22 million of expense related to the settlement of a legal claim. Excluding these amounts, the remaining increase in costs was primarily due to losses on open commodity contracts and higher administrative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$92 million in 2019 from $44 million in 2018. The increase in interest expense was due to higher levels of debt associated with funding the acquisitions, a gain of $18 million on treasury rate lock contracts in the prior year used to hedge the planned financing of the Snyder's-Lance acquisition, and higher average interest rates on the debt portfolio in the current quarter.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25.1% in 2019 and 37.1%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rate in 2019 and 2018:</w:t>
      </w:r>
    </w:p>
    <w:p>
      <w:pPr>
        <w:spacing w:after="0" w:line="171" w:lineRule="exact"/>
        <w:rPr>
          <w:sz w:val="20"/>
          <w:szCs w:val="20"/>
          <w:color w:val="auto"/>
        </w:rPr>
      </w:pPr>
    </w:p>
    <w:p>
      <w:pPr>
        <w:ind w:left="660" w:hanging="166"/>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2019, we recognized a $5 million tax benefit on $20 million of restructuring charges, implementation costs and other related costs. In 2018, we recognized a $14 million tax benefit on $59 million of restructuring charges, implementation costs and other related costs;</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2019, we recognized a $1 million tax benefit on $2 million of costs associated with the planned divestiture of our international biscuits and snacks operating segment;</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2019, we recognized a $6 million tax benefit on $28 million of a pension settlement charge;</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4" w:right="239" w:bottom="1440" w:gutter="0" w:footer="0" w:header="0"/>
          <w:type w:val="continuous"/>
        </w:sectPr>
      </w:pPr>
    </w:p>
    <w:bookmarkStart w:id="37" w:name="page38"/>
    <w:bookmarkEnd w:id="37"/>
    <w:p>
      <w:pPr>
        <w:ind w:left="660" w:hanging="166"/>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2018, we recognized an $18 million tax benefit on $64 million of transaction and integration costs associated with the acquisition of Snyder's-Lance; and</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2018, we recognized a $7 million tax benefit on $22 million of expense related to the settlement of a legal claim.</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rate was primarily due to the ongoing benefit of the lower U.S. federal tax rate resulting from the enactment of the the Act in December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28, 2019</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29, 2018</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3,615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7,129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An analysis of percent change of net sales by reportable segment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Meals and Beverages</w:t>
            </w:r>
            <w:r>
              <w:rPr>
                <w:rFonts w:ascii="Arial" w:cs="Arial" w:eastAsia="Arial" w:hAnsi="Arial"/>
                <w:sz w:val="8"/>
                <w:szCs w:val="8"/>
                <w:b w:val="1"/>
                <w:bCs w:val="1"/>
                <w:color w:val="auto"/>
              </w:rPr>
              <w:t>(2)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7"/>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Meals and Beverages, sales were comparable with prior year reflecting a 3-point benefit from the acquisition of Pacific Foods, partially offset by declines in U.S. soup, the retail business in Canada driven by the negative impact of currency translation and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Excluding Pacific Foods, sales of U.S. soup decreased 3% due to declines in condensed and ready-to-serve soups, partly offset by gains in broth. The decline in U.S. soup was driven primarily by continued competitive pressure across the market as well as increased promotional spending.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Global Biscuits and Snacks, sales increased 61% with a 63-point benefit from the acquisition of Snyder’s-Lance. Excluding Snyder’s-Lance and the negative impact of currency translation, sales increased primarily due to gains in Pepperidge Farm fresh bakery products and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partly offset by declines in international biscuits and snacks.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$229 million in 2019 from 2018. As a percent of sales, gross profit was 32.9% in 2019 and 36.9% in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14"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The 4.0 percentage-point decrease in gross profit percentage was due to the following factors: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00" w:type="dxa"/>
            <w:vAlign w:val="bottom"/>
            <w:tcBorders>
              <w:bottom w:val="single" w:sz="8" w:color="BFE4FF"/>
            </w:tcBorders>
          </w:tcPr>
          <w:p>
            <w:pPr>
              <w:spacing w:after="0"/>
              <w:rPr>
                <w:sz w:val="16"/>
                <w:szCs w:val="16"/>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r>
      <w:tr>
        <w:trPr>
          <w:trHeight w:val="270"/>
        </w:trPr>
        <w:tc>
          <w:tcPr>
            <w:tcW w:w="8900" w:type="dxa"/>
            <w:vAlign w:val="bottom"/>
            <w:shd w:val="clear" w:color="auto" w:fill="BFE4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00" w:type="dxa"/>
            <w:vAlign w:val="bottom"/>
            <w:shd w:val="clear" w:color="auto" w:fill="BFE4FF"/>
          </w:tcPr>
          <w:p>
            <w:pPr>
              <w:jc w:val="center"/>
              <w:spacing w:after="0"/>
              <w:rPr>
                <w:sz w:val="20"/>
                <w:szCs w:val="20"/>
                <w:color w:val="auto"/>
              </w:rPr>
            </w:pPr>
            <w:r>
              <w:rPr>
                <w:rFonts w:ascii="Arial" w:cs="Arial" w:eastAsia="Arial" w:hAnsi="Arial"/>
                <w:sz w:val="18"/>
                <w:szCs w:val="18"/>
                <w:b w:val="1"/>
                <w:bCs w:val="1"/>
                <w:color w:val="auto"/>
                <w:w w:val="98"/>
              </w:rPr>
              <w:t>(3.4)%</w:t>
            </w:r>
          </w:p>
        </w:tc>
      </w:tr>
      <w:tr>
        <w:trPr>
          <w:trHeight w:val="270"/>
        </w:trPr>
        <w:tc>
          <w:tcPr>
            <w:tcW w:w="8900" w:type="dxa"/>
            <w:vAlign w:val="bottom"/>
          </w:tcPr>
          <w:p>
            <w:pPr>
              <w:ind w:left="20"/>
              <w:spacing w:after="0" w:line="270" w:lineRule="exact"/>
              <w:rPr>
                <w:sz w:val="20"/>
                <w:szCs w:val="20"/>
                <w:color w:val="auto"/>
              </w:rPr>
            </w:pPr>
            <w:r>
              <w:rPr>
                <w:rFonts w:ascii="Arial" w:cs="Arial" w:eastAsia="Arial" w:hAnsi="Arial"/>
                <w:sz w:val="18"/>
                <w:szCs w:val="18"/>
                <w:color w:val="auto"/>
              </w:rPr>
              <w:t>Impact of acquisitions</w:t>
            </w:r>
            <w:r>
              <w:rPr>
                <w:rFonts w:ascii="Arial" w:cs="Arial" w:eastAsia="Arial" w:hAnsi="Arial"/>
                <w:sz w:val="25"/>
                <w:szCs w:val="25"/>
                <w:color w:val="auto"/>
                <w:vertAlign w:val="superscript"/>
              </w:rPr>
              <w:t>(2)</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(1.7)</w:t>
            </w:r>
          </w:p>
        </w:tc>
      </w:tr>
      <w:tr>
        <w:trPr>
          <w:trHeight w:val="250"/>
        </w:trPr>
        <w:tc>
          <w:tcPr>
            <w:tcW w:w="8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8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91"/>
              </w:rPr>
              <w:t>(0.4)</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Higher restructuring-related costs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(0.1)</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Mix</w:t>
            </w:r>
          </w:p>
        </w:tc>
        <w:tc>
          <w:tcPr>
            <w:tcW w:w="18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91"/>
              </w:rPr>
              <w:t>(0.1)</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0.3</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Productivity improvements</w:t>
            </w:r>
          </w:p>
        </w:tc>
        <w:tc>
          <w:tcPr>
            <w:tcW w:w="18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87"/>
              </w:rPr>
              <w:t>1.4</w:t>
            </w:r>
          </w:p>
        </w:tc>
      </w:tr>
      <w:tr>
        <w:trPr>
          <w:trHeight w:val="237"/>
        </w:trPr>
        <w:tc>
          <w:tcPr>
            <w:tcW w:w="890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17145</wp:posOffset>
            </wp:positionV>
            <wp:extent cx="1149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34290</wp:posOffset>
            </wp:positionV>
            <wp:extent cx="1149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5" w:lineRule="exact"/>
        <w:rPr>
          <w:sz w:val="20"/>
          <w:szCs w:val="20"/>
          <w:color w:val="auto"/>
        </w:rPr>
      </w:pPr>
    </w:p>
    <w:p>
      <w:pPr>
        <w:jc w:val="both"/>
        <w:ind w:left="340" w:hanging="332"/>
        <w:spacing w:after="0" w:line="226"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0.5 from cost savings initiatives, which was more than offset by cost inflation and other factors, including higher than expected distribution costs associated with the startup of a new distribution facility in Findlay, Ohio, operated by a third-party logistics provider, and higher interplant freight to maintain customer service levels.</w:t>
      </w:r>
    </w:p>
    <w:p>
      <w:pPr>
        <w:spacing w:after="0" w:line="2"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Prior year included a negative margin impact of 0.7 from a Snyder's-Lance acquisition date fair value adjustment for 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Marketing and selling expenses as a percent of sales were 10.4% in 2019 compared to 11.2% in 2018. Marketing and selling expenses increased 14% in 2019 from 2018. The increase was primarily due to the impact of acquisitions (approximately 22 percentage points); higher incentive compensation (approximately 1 percentage point) and higher costs related to costs savings initiatives (approximately 1 percentage point), partially offset by lower advertising and consumer promotion expenses (approximately 3 percentage points); lower marketing overhead spending (approximately 2 percentage points); increased benefits from cost savings initiatives (approximately 1 percentage point); the impact of currency translation (approximately 1 percentage point); and lower selling expenses (approximately 1 percentage point). The reduction in advertising and consumer promotion expenses was primarily in Meals and Beverages, reflecting a reallocation from advertising to promotional spending classified as revenue reductions, reduced support levels in light of distribution challenges faced in the first quarter and a later start to our U.S. soup campaign relative to the prior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Administrative expenses as a percent of sales were 6.9% in 2019 compared to 7.7% in 2018. Administrative expenses increased 11% in 2019 from 2018. The increase was primarily due to the impact of acquisitions (approximately 13 percentage points); higher incentive compensation (approximately 5 percentage points); costs associated with the proxy contest (approximately 2 percentage points;) costs in the current year associated with the planned divestiture of the international biscuits and snacks operating segment (approximately 2 percentage points); inflation (approximately 1 percentage point) and higher benefit costs (approximately 1 percentage point), partially offset by lower costs associated with cost savings initiatives inclusive of acquisition integration costs (approximately 9 percentage points); increased benefits from cost savings initiatives (approximately 3 percentage points) and the impact of currency translation (approximately 1 percentage point).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expenses were $13 million in 2019 compared to income of $7 million in 2018. Other expenses in 2019 included a pension settlement charge of $28 million associated with a U.S. pension plan. Other income in 2018 included $53 million of transaction costs associated with the acquisition of Snyder's-Lance and $22 million of expense related to the settlement of a legal claim. In addition, 2018 included gains on pension and postretirement benefit mark-to-market adjustments of $14 million. Excluding the items impacting comparability, the remaining change was primarily due to higher amortization of intangible assets from the recent acquisitions in the current year and lower net periodic benefit income.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1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2% in 2019 from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54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6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April 28, 2019</w:t>
            </w:r>
          </w:p>
        </w:tc>
        <w:tc>
          <w:tcPr>
            <w:tcW w:w="100" w:type="dxa"/>
            <w:vAlign w:val="bottom"/>
            <w:tcBorders>
              <w:bottom w:val="single" w:sz="8" w:color="BFE4FF"/>
            </w:tcBorders>
          </w:tcPr>
          <w:p>
            <w:pPr>
              <w:spacing w:after="0"/>
              <w:rPr>
                <w:sz w:val="22"/>
                <w:szCs w:val="22"/>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April 29, 2018</w:t>
            </w:r>
          </w:p>
        </w:tc>
        <w:tc>
          <w:tcPr>
            <w:tcW w:w="100" w:type="dxa"/>
            <w:vAlign w:val="bottom"/>
            <w:tcBorders>
              <w:bottom w:val="single" w:sz="8" w:color="BFE4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2019/2018</w:t>
            </w:r>
          </w:p>
        </w:tc>
      </w:tr>
      <w:tr>
        <w:trPr>
          <w:trHeight w:val="250"/>
        </w:trPr>
        <w:tc>
          <w:tcPr>
            <w:tcW w:w="75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Meals and Beverages</w:t>
            </w:r>
          </w:p>
        </w:tc>
        <w:tc>
          <w:tcPr>
            <w:tcW w:w="48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b w:val="1"/>
                <w:bCs w:val="1"/>
                <w:color w:val="auto"/>
              </w:rPr>
              <w:t>753</w:t>
            </w:r>
          </w:p>
        </w:tc>
        <w:tc>
          <w:tcPr>
            <w:tcW w:w="10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832</w:t>
            </w:r>
          </w:p>
        </w:tc>
        <w:tc>
          <w:tcPr>
            <w:tcW w:w="1240" w:type="dxa"/>
            <w:vAlign w:val="bottom"/>
            <w:tcBorders>
              <w:bottom w:val="single" w:sz="8" w:color="BFE4FF"/>
            </w:tcBorders>
            <w:gridSpan w:val="2"/>
            <w:shd w:val="clear" w:color="auto" w:fill="BFE4FF"/>
          </w:tcPr>
          <w:p>
            <w:pPr>
              <w:jc w:val="center"/>
              <w:ind w:left="10"/>
              <w:spacing w:after="0"/>
              <w:rPr>
                <w:sz w:val="20"/>
                <w:szCs w:val="20"/>
                <w:color w:val="auto"/>
              </w:rPr>
            </w:pPr>
            <w:r>
              <w:rPr>
                <w:rFonts w:ascii="Arial" w:cs="Arial" w:eastAsia="Arial" w:hAnsi="Arial"/>
                <w:sz w:val="18"/>
                <w:szCs w:val="18"/>
                <w:color w:val="auto"/>
                <w:w w:val="99"/>
              </w:rPr>
              <w:t>(9)</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Global Biscuits and Snacks</w:t>
            </w:r>
          </w:p>
        </w:tc>
        <w:tc>
          <w:tcPr>
            <w:tcW w:w="4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27</w:t>
            </w:r>
          </w:p>
        </w:tc>
      </w:tr>
      <w:tr>
        <w:trPr>
          <w:trHeight w:val="27"/>
        </w:trPr>
        <w:tc>
          <w:tcPr>
            <w:tcW w:w="754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b w:val="1"/>
                <w:bCs w:val="1"/>
                <w:color w:val="auto"/>
              </w:rPr>
              <w:t>1,231</w:t>
            </w:r>
          </w:p>
        </w:tc>
        <w:tc>
          <w:tcPr>
            <w:tcW w:w="10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1,207</w:t>
            </w:r>
          </w:p>
        </w:tc>
        <w:tc>
          <w:tcPr>
            <w:tcW w:w="1240" w:type="dxa"/>
            <w:vAlign w:val="bottom"/>
            <w:tcBorders>
              <w:bottom w:val="single" w:sz="8" w:color="BFE4FF"/>
            </w:tcBorders>
            <w:gridSpan w:val="2"/>
            <w:shd w:val="clear" w:color="auto" w:fill="BFE4FF"/>
          </w:tcPr>
          <w:p>
            <w:pPr>
              <w:jc w:val="center"/>
              <w:ind w:left="10"/>
              <w:spacing w:after="0"/>
              <w:rPr>
                <w:sz w:val="20"/>
                <w:szCs w:val="20"/>
                <w:color w:val="auto"/>
              </w:rPr>
            </w:pPr>
            <w:r>
              <w:rPr>
                <w:rFonts w:ascii="Arial" w:cs="Arial" w:eastAsia="Arial" w:hAnsi="Arial"/>
                <w:sz w:val="18"/>
                <w:szCs w:val="18"/>
                <w:color w:val="auto"/>
                <w:w w:val="99"/>
              </w:rPr>
              <w:t>2</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shd w:val="clear" w:color="auto" w:fill="BFE4FF"/>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80" w:type="dxa"/>
            <w:vAlign w:val="bottom"/>
            <w:tcBorders>
              <w:bottom w:val="single" w:sz="8" w:color="auto"/>
            </w:tcBorders>
            <w:shd w:val="clear" w:color="auto" w:fill="BFE4FF"/>
          </w:tcPr>
          <w:p>
            <w:pPr>
              <w:spacing w:after="0"/>
              <w:rPr>
                <w:sz w:val="23"/>
                <w:szCs w:val="23"/>
                <w:color w:val="auto"/>
              </w:rPr>
            </w:pP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BFE4FF"/>
          </w:tcPr>
          <w:p>
            <w:pPr>
              <w:spacing w:after="0"/>
              <w:rPr>
                <w:sz w:val="23"/>
                <w:szCs w:val="23"/>
                <w:color w:val="auto"/>
              </w:rPr>
            </w:pPr>
          </w:p>
        </w:tc>
        <w:tc>
          <w:tcPr>
            <w:tcW w:w="660" w:type="dxa"/>
            <w:vAlign w:val="bottom"/>
            <w:tcBorders>
              <w:bottom w:val="single" w:sz="8" w:color="auto"/>
            </w:tcBorders>
            <w:shd w:val="clear" w:color="auto" w:fill="BFE4FF"/>
          </w:tcPr>
          <w:p>
            <w:pPr>
              <w:spacing w:after="0"/>
              <w:rPr>
                <w:sz w:val="23"/>
                <w:szCs w:val="23"/>
                <w:color w:val="auto"/>
              </w:rPr>
            </w:pP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BFE4FF"/>
          </w:tcPr>
          <w:p>
            <w:pPr>
              <w:spacing w:after="0"/>
              <w:rPr>
                <w:sz w:val="23"/>
                <w:szCs w:val="23"/>
                <w:color w:val="auto"/>
              </w:rPr>
            </w:pPr>
          </w:p>
        </w:tc>
        <w:tc>
          <w:tcPr>
            <w:tcW w:w="1140" w:type="dxa"/>
            <w:vAlign w:val="bottom"/>
            <w:shd w:val="clear" w:color="auto" w:fill="BFE4FF"/>
          </w:tcPr>
          <w:p>
            <w:pPr>
              <w:spacing w:after="0"/>
              <w:rPr>
                <w:sz w:val="23"/>
                <w:szCs w:val="23"/>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480" w:type="dxa"/>
            <w:vAlign w:val="bottom"/>
          </w:tcPr>
          <w:p>
            <w:pPr>
              <w:jc w:val="right"/>
              <w:ind w:right="29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1,010</w:t>
            </w:r>
          </w:p>
        </w:tc>
        <w:tc>
          <w:tcPr>
            <w:tcW w:w="100" w:type="dxa"/>
            <w:vAlign w:val="bottom"/>
          </w:tcPr>
          <w:p>
            <w:pPr>
              <w:spacing w:after="0"/>
              <w:rPr>
                <w:sz w:val="20"/>
                <w:szCs w:val="20"/>
                <w:color w:val="auto"/>
              </w:rPr>
            </w:pP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17145</wp:posOffset>
            </wp:positionV>
            <wp:extent cx="166370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37"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earnings from Meals and Beverages decreased 9%. The decrease was primarily due to higher levels of cost inflation and higher warehousing and transportation costs, as well as higher promotional spending, offset partly by lower marketing and selling expenses and supply chain productivity improvements.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27%. The increase reflects a 33-point benefit from the acquisition of Snyder’s-Lance. Excluding Snyder’s-Lance, operating earnings declined primarily due to higher levels of cost inflation, partially offset by supply chain productivity improvements.</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Corporate in 2019 included costs of $68 million related to cost savings initiatives, a pension settlement charge of $28 million associated with a U.S. pension plan and $7 million in costs associated with the planned divestiture of our international biscuits and snacks operating segment. Corporate in 2018 included transaction and integration costs of $96 million associated with the acquisition of Snyder's-Lance; costs of $89 million related to cost savings initiatives; $22 million of expense related to the settlement of a legal claim and a $14 million gain associated with pension and postretirement benefit mark-to-market adjustments. Excluding these amounts, the remaining increase in costs was primarily due to lower pension and postretirement benefit income in the current year, higher incentive compensation, higher administrative costs and losses on open commodity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$279 million in 2019 from $107 million in 2018. The increase in interest expense was due to higher levels of debt associated with funding the acquisitions, higher average interest rates on the debt portfolio and a gain of $18 million on treasury rate lock contracts in the prior year used to hedge the planned financing of the Snyder's-Lance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25.1% in 2019 and 13.3%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rate in 2019 and 2018:</w:t>
      </w:r>
    </w:p>
    <w:p>
      <w:pPr>
        <w:spacing w:after="0" w:line="171" w:lineRule="exact"/>
        <w:rPr>
          <w:sz w:val="20"/>
          <w:szCs w:val="20"/>
          <w:color w:val="auto"/>
        </w:rPr>
      </w:pPr>
    </w:p>
    <w:p>
      <w:pPr>
        <w:ind w:left="660" w:right="20" w:hanging="16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2019, we recognized a $22 million tax benefit on $89 million of restructuring charges, implementation costs and other related costs. In 2018, we recognized a $35 million tax benefit on $137 million of restructuring charges, implementation costs and other related costs;</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2019, we recognized a $2 million tax benefit on $7 million of costs associated with the planned divestiture of our international biscuits and snacks operating segment;</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2019, we recognized a $6 million tax benefit on $28 million of a pension settlement charge;</w:t>
      </w:r>
    </w:p>
    <w:p>
      <w:pPr>
        <w:spacing w:after="0" w:line="171"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2019, we recognized a transition tax on unremitted foreign earnings of $2 million related to the enactment of the Act. In 2018, we recognized a net tax benefit of $120 million related to the enactment of the Act;</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2018, we recognized a $23 million tax benefit on $88 million of transaction and integration costs associated with the acquisition of Snyder's-Lance;</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2018, we recognized a $7 million tax benefit on the $22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2018, we recognized tax expense of $4 million on $14 million of pension and postretirement benefit mark-to-market gains.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14" w:right="239" w:bottom="1440" w:gutter="0" w:footer="0" w:header="0"/>
          <w:type w:val="continuous"/>
        </w:sectPr>
      </w:pPr>
    </w:p>
    <w:bookmarkStart w:id="40" w:name="page41"/>
    <w:bookmarkEnd w:id="40"/>
    <w:p>
      <w:pPr>
        <w:jc w:val="both"/>
        <w:ind w:right="20"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rate was primarily due to the ongoing benefit of the lower U.S. federal tax rate resulting from the enactment of the Act in December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both programs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(Millions, except per share amounts)</w:t>
            </w:r>
          </w:p>
        </w:tc>
        <w:tc>
          <w:tcPr>
            <w:tcW w:w="26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28,</w:t>
            </w:r>
          </w:p>
        </w:tc>
        <w:tc>
          <w:tcPr>
            <w:tcW w:w="140" w:type="dxa"/>
            <w:vAlign w:val="bottom"/>
          </w:tcPr>
          <w:p>
            <w:pPr>
              <w:spacing w:after="0"/>
              <w:rPr>
                <w:sz w:val="13"/>
                <w:szCs w:val="13"/>
                <w:color w:val="auto"/>
              </w:rPr>
            </w:pPr>
          </w:p>
        </w:tc>
        <w:tc>
          <w:tcPr>
            <w:tcW w:w="12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April 29, 2018</w:t>
            </w:r>
            <w:r>
              <w:rPr>
                <w:rFonts w:ascii="Arial" w:cs="Arial" w:eastAsia="Arial" w:hAnsi="Arial"/>
                <w:sz w:val="8"/>
                <w:szCs w:val="8"/>
                <w:b w:val="1"/>
                <w:bCs w:val="1"/>
                <w:color w:val="auto"/>
                <w:w w:val="99"/>
              </w:rPr>
              <w:t>(1)</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28,</w:t>
            </w:r>
          </w:p>
        </w:tc>
        <w:tc>
          <w:tcPr>
            <w:tcW w:w="160" w:type="dxa"/>
            <w:vAlign w:val="bottom"/>
          </w:tcPr>
          <w:p>
            <w:pPr>
              <w:spacing w:after="0"/>
              <w:rPr>
                <w:sz w:val="13"/>
                <w:szCs w:val="13"/>
                <w:color w:val="auto"/>
              </w:rPr>
            </w:pPr>
          </w:p>
        </w:tc>
        <w:tc>
          <w:tcPr>
            <w:tcW w:w="12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7"/>
              </w:rPr>
              <w:t>April 29, 2018</w:t>
            </w:r>
            <w:r>
              <w:rPr>
                <w:rFonts w:ascii="Arial" w:cs="Arial" w:eastAsia="Arial" w:hAnsi="Arial"/>
                <w:sz w:val="8"/>
                <w:szCs w:val="8"/>
                <w:b w:val="1"/>
                <w:bCs w:val="1"/>
                <w:color w:val="auto"/>
                <w:w w:val="97"/>
              </w:rPr>
              <w:t>(1)</w:t>
            </w:r>
          </w:p>
        </w:tc>
        <w:tc>
          <w:tcPr>
            <w:tcW w:w="100" w:type="dxa"/>
            <w:vAlign w:val="bottom"/>
          </w:tcPr>
          <w:p>
            <w:pPr>
              <w:spacing w:after="0"/>
              <w:rPr>
                <w:sz w:val="13"/>
                <w:szCs w:val="13"/>
                <w:color w:val="auto"/>
              </w:rPr>
            </w:pPr>
          </w:p>
        </w:tc>
        <w:tc>
          <w:tcPr>
            <w:tcW w:w="160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8"/>
              </w:rPr>
              <w:t>Recognized as of April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67"/>
        </w:trPr>
        <w:tc>
          <w:tcPr>
            <w:tcW w:w="3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9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Aggregate after-tax impact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impact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Includes $10 million of Restructuring charges and $6 million of Administrative expenses in the three- and nine-month periods ended April 29, 2018 associated with the Snyder's-Lance cost transformation program and integration.</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Restructuring charges and $12 million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charges recorded in Loss from discontinued operations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500" w:type="dxa"/>
            <w:vAlign w:val="bottom"/>
            <w:gridSpan w:val="3"/>
          </w:tcPr>
          <w:p>
            <w:pPr>
              <w:jc w:val="center"/>
              <w:ind w:right="680"/>
              <w:spacing w:after="0" w:line="153" w:lineRule="exact"/>
              <w:rPr>
                <w:sz w:val="20"/>
                <w:szCs w:val="20"/>
                <w:color w:val="auto"/>
              </w:rPr>
            </w:pPr>
            <w:r>
              <w:rPr>
                <w:rFonts w:ascii="Arial" w:cs="Arial" w:eastAsia="Arial" w:hAnsi="Arial"/>
                <w:sz w:val="14"/>
                <w:szCs w:val="14"/>
                <w:b w:val="1"/>
                <w:bCs w:val="1"/>
                <w:color w:val="auto"/>
                <w:w w:val="97"/>
              </w:rPr>
              <w:t>April 28,</w:t>
            </w: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April 29,</w:t>
            </w:r>
          </w:p>
        </w:tc>
        <w:tc>
          <w:tcPr>
            <w:tcW w:w="260" w:type="dxa"/>
            <w:vAlign w:val="bottom"/>
          </w:tcPr>
          <w:p>
            <w:pPr>
              <w:spacing w:after="0"/>
              <w:rPr>
                <w:sz w:val="13"/>
                <w:szCs w:val="13"/>
                <w:color w:val="auto"/>
              </w:rPr>
            </w:pPr>
          </w:p>
        </w:tc>
        <w:tc>
          <w:tcPr>
            <w:tcW w:w="12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April 28,</w:t>
            </w:r>
          </w:p>
        </w:tc>
        <w:tc>
          <w:tcPr>
            <w:tcW w:w="1040" w:type="dxa"/>
            <w:vAlign w:val="bottom"/>
          </w:tcPr>
          <w:p>
            <w:pPr>
              <w:jc w:val="center"/>
              <w:ind w:left="182"/>
              <w:spacing w:after="0" w:line="153" w:lineRule="exact"/>
              <w:rPr>
                <w:sz w:val="20"/>
                <w:szCs w:val="20"/>
                <w:color w:val="auto"/>
              </w:rPr>
            </w:pPr>
            <w:r>
              <w:rPr>
                <w:rFonts w:ascii="Arial" w:cs="Arial" w:eastAsia="Arial" w:hAnsi="Arial"/>
                <w:sz w:val="14"/>
                <w:szCs w:val="14"/>
                <w:b w:val="1"/>
                <w:bCs w:val="1"/>
                <w:color w:val="auto"/>
                <w:w w:val="97"/>
              </w:rPr>
              <w:t>April 29,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19"/>
              <w:spacing w:after="0" w:line="153" w:lineRule="exact"/>
              <w:rPr>
                <w:sz w:val="20"/>
                <w:szCs w:val="20"/>
                <w:color w:val="auto"/>
              </w:rPr>
            </w:pPr>
            <w:r>
              <w:rPr>
                <w:rFonts w:ascii="Arial" w:cs="Arial" w:eastAsia="Arial" w:hAnsi="Arial"/>
                <w:sz w:val="14"/>
                <w:szCs w:val="14"/>
                <w:b w:val="1"/>
                <w:bCs w:val="1"/>
                <w:color w:val="auto"/>
                <w:w w:val="98"/>
              </w:rPr>
              <w:t>Recognized as of April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_______________________________________</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36" w:lineRule="auto"/>
        <w:tabs>
          <w:tab w:leader="none" w:pos="34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Includes $4 million of Severance pay and benefits and $4 million of Implementation costs and other related costs.</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As of April 28, 2019, we incurred all of the costs associated with discontinued operations. All of the costs were cash expenditures.</w:t>
      </w:r>
    </w:p>
    <w:p>
      <w:pPr>
        <w:sectPr>
          <w:pgSz w:w="11900" w:h="16838" w:orient="portrait"/>
          <w:cols w:equalWidth="0" w:num="1">
            <w:col w:w="11420"/>
          </w:cols>
          <w:pgMar w:left="240" w:top="1314"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14" w:right="239" w:bottom="1440" w:gutter="0" w:footer="0" w:header="0"/>
          <w:type w:val="continuous"/>
        </w:sectPr>
      </w:pPr>
    </w:p>
    <w:bookmarkStart w:id="41" w:name="page42"/>
    <w:bookmarkEnd w:id="41"/>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6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Recognized as of April</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28, 2019</w:t>
            </w:r>
          </w:p>
        </w:tc>
        <w:tc>
          <w:tcPr>
            <w:tcW w:w="0" w:type="dxa"/>
            <w:vAlign w:val="bottom"/>
          </w:tcPr>
          <w:p>
            <w:pPr>
              <w:spacing w:after="0"/>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7"/>
        </w:trPr>
        <w:tc>
          <w:tcPr>
            <w:tcW w:w="97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Includes $12 million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estimated pre-tax costs associated with continuing operations for actions that have been identified under both programs are approximately $610 million to $655 million. This estimate will be updated as costs for the expanded initiatives are developed.</w:t>
      </w:r>
    </w:p>
    <w:p>
      <w:pPr>
        <w:spacing w:after="0" w:line="13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expect the costs for actions that have been identified to date associated with continuing operations under both programs to consist of the following: approximately $210 million to $215 million in severance pay and benefits; approximately $70 million in asset impairment and accelerated depreciation; and approximately $330 million to $370 million in implementation costs and other related costs. We expect these pre-tax costs to be associated with our segments as follows: Meals and Beverages - approximately 37%; Global Biscuits and Snacks - approximately 40%; and Corporate - approximately 23%.</w:t>
      </w:r>
    </w:p>
    <w:p>
      <w:pPr>
        <w:spacing w:after="0" w:line="1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Of the aggregate $610 million to $655 million of pre-tax costs identified to date associated with continuing operations, we expect approximately $530 million to $575 million will be cash expenditures. In addition, we expect to invest approximately $340 million in capital expenditures through 2021, of which we invested approximately $226 million as of April 28, 2019. The capital expenditures primarily related to the U.S. warehouse optimization project, improvement of quality, safety and cost structure across the Snyder’s-Lance manufacturing network,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substantially all of the costs for the actions associated with continuing operations that have been identified to date through 2020 and to fund the costs through cash flows from operations and short-term borrowings.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initiatives for actions associated with continuing operations that have been identified to date under both programs to generate pre-tax savings of over $565 million in 2019, and once all phases are implemented, to generate annual ongoing savings of approximately $850 million by the end of 2022. In the nine-month period ended April 28, 2019, we generated an additional $120 million of pre-tax savings associated with continuing operations. The annual pre-tax savings associated with continuing operations generated by both programs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29, 2018</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30, 2017</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2016</w:t>
            </w:r>
          </w:p>
        </w:tc>
        <w:tc>
          <w:tcPr>
            <w:tcW w:w="1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August 2, 2015</w:t>
            </w:r>
          </w:p>
        </w:tc>
      </w:tr>
      <w:tr>
        <w:trPr>
          <w:trHeight w:val="243"/>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the initiatives for actions associated with discontinued operations to generate pre-tax savings of over $70 million in 2019. In the nine-month period ended April 28, 2019, we generated an additional $30 million of pre-tax savings associated with discontinued operations. For the year ended July 29, 2018, the annual pre-tax savings associated with discontinued operations were $40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40" w:right="239" w:bottom="1440" w:gutter="0" w:footer="0" w:header="0"/>
        </w:sectPr>
      </w:pPr>
    </w:p>
    <w:bookmarkStart w:id="42" w:name="page43"/>
    <w:bookmarkEnd w:id="42"/>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April 28, 2019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2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8"/>
              </w:rPr>
              <w:t>Costs Incurred to</w:t>
            </w:r>
          </w:p>
        </w:tc>
        <w:tc>
          <w:tcPr>
            <w:tcW w:w="0" w:type="dxa"/>
            <w:vAlign w:val="bottom"/>
          </w:tcPr>
          <w:p>
            <w:pPr>
              <w:spacing w:after="0"/>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6"/>
                <w:szCs w:val="16"/>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742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460" w:hanging="332"/>
        <w:spacing w:after="0" w:line="216"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Includes $25 million of pre-tax costs associated with the Global Biscuits and Snacks segment recognized in 2018 related to the Snyder's-Lance cost transformation program and integration.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February 25, 2019, we sold our U.S refrigerated soup business and on April 25, 2019, we sold our Garden Fresh Gourmet business. Proceeds were approximately $55 million, subject to customary purchase price adjustments. On April 12, 2019, we signed a definitive agreement for the sale of Bolthouse Farms to an affiliate of Butterfly Equity for $510 million, subject to customary purchase price adjustments. Beginning in the third quarter of 2019, we have reflected the results of these businesses as discontinued operations in the Consolidated Statements of Earnings for all periods presented.</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28, 2019</w:t>
            </w:r>
          </w:p>
        </w:tc>
        <w:tc>
          <w:tcPr>
            <w:tcW w:w="1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April 29, 2018</w:t>
            </w:r>
          </w:p>
        </w:tc>
        <w:tc>
          <w:tcPr>
            <w:tcW w:w="14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28, 2019</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April 29, 2018</w:t>
            </w:r>
          </w:p>
        </w:tc>
      </w:tr>
      <w:tr>
        <w:trPr>
          <w:trHeight w:val="263"/>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r>
      <w:tr>
        <w:trPr>
          <w:trHeight w:val="324"/>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taxes from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 / costs associated with selling the businesses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 impact of loss on sale / costs associated with selling the businesses</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Net sales decreased 15% in the current quarter primarily due to declines in refrigerated soup, reflecting the impact of certain major private label customers beginning to insource production in 2019, as well as declines in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carrots and refrigerated beverages.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Net sales decreased 8% in the nine-month period this year primarily due to declines in refrigerated soup, reflecting the impact of certain major private label customers beginning to insource production in 2019, as well as declines in </w:t>
      </w:r>
      <w:r>
        <w:rPr>
          <w:rFonts w:ascii="Arial" w:cs="Arial" w:eastAsia="Arial" w:hAnsi="Arial"/>
          <w:sz w:val="16"/>
          <w:szCs w:val="16"/>
          <w:i w:val="1"/>
          <w:iCs w:val="1"/>
          <w:color w:val="auto"/>
        </w:rPr>
        <w:t>Bolthouse Farms</w:t>
      </w:r>
      <w:r>
        <w:rPr>
          <w:rFonts w:ascii="Arial" w:cs="Arial" w:eastAsia="Arial" w:hAnsi="Arial"/>
          <w:sz w:val="16"/>
          <w:szCs w:val="16"/>
          <w:color w:val="auto"/>
        </w:rPr>
        <w:t xml:space="preserve"> refrigerated beverages and Garden Fresh Gourmet.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and 2019, we recorded impairment charges on the reporting units in Campbell Fresh. See "Overview" and "Significant Accounting Estimates" for additional information. Year-to-date in 2019, we recorded non-cash impairment charges of $360 million ($275 million after tax, or $.91 per share). In the third quarter of 2018, the impact of the impairment charges was $619 million ($497 million after tax, or $1.65 per share). Year-to-date in 2018, the total non-cash impairment charges recorded were $694 million ($571 million after tax, or $1.89 per share)</w:t>
      </w:r>
    </w:p>
    <w:p>
      <w:pPr>
        <w:spacing w:after="0" w:line="52"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In the third quarter of 2019, we incurred pre-tax expenses of $24 million associated with the sale process of the businesses in Campbell Fresh, including losses on the sale of the U.S. refrigerated soup business and Garden Fresh Gourmet of $15 million.</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14" w:right="239" w:bottom="1440" w:gutter="0" w:footer="0" w:header="0"/>
          <w:type w:val="continuous"/>
        </w:sectPr>
      </w:pPr>
    </w:p>
    <w:bookmarkStart w:id="43" w:name="page44"/>
    <w:bookmarkEnd w:id="43"/>
    <w:p>
      <w:pPr>
        <w:jc w:val="both"/>
        <w:ind w:left="60"/>
        <w:spacing w:after="0" w:line="259" w:lineRule="auto"/>
        <w:rPr>
          <w:sz w:val="20"/>
          <w:szCs w:val="20"/>
          <w:color w:val="auto"/>
        </w:rPr>
      </w:pPr>
      <w:r>
        <w:rPr>
          <w:rFonts w:ascii="Arial" w:cs="Arial" w:eastAsia="Arial" w:hAnsi="Arial"/>
          <w:sz w:val="18"/>
          <w:szCs w:val="18"/>
          <w:color w:val="auto"/>
        </w:rPr>
        <w:t>Year-to-date in 2019, we incurred pre-tax expenses of $31 million associated with the sale process of the businesses, including losses on the sale of the U.S. refrigerated soup business and Garden Fresh Gourmet of $18 million.In addition, due to the pending sale of Bolthouse Farms, we recorded tax expense of $29 million in the third quarter as deferred tax assets are not realizable. The aggregate impact in the third quarter was $47 million after tax, or $.16 per share. The aggregate impact year-to-date was $52 million after tax, or $.17 per share.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items described above, earnings in 2018 for the quarter and year-to-date period benefited as the timing of recognizing tax expense was favorably impacted by the impairment charges, which reversed in the fourth quarter of 2018. The year-to-date period in 2018 also included a benefit from the favorable resolution of a state tax matter.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we announced the results of our comprehensive Board of Directors-led strategy and portfolio review, which included plans to pursue the divestiture of our international biscuits and snacks operating segment and our Campbell Fresh operating segment. In addition, we are driving improved asset efficiency in working capital and capital expenditures to generate cash. We expect to use the proceeds from these divestitures and cash flows from operations to reduce debt, and improve our leverage ratio over time.</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generated cash flows from operations of $1.148 billion in 2019, compared to $1.024 billion in 2018. The increase in 2019 was primarily due to lower working capital requirements, reflecting significant improvements in our working capital management efforts, partially offset by lower cash earnings.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$1.350 billion as of April 28, 2019, and $1.298 billion as of July 29, 2018. Debt maturing within one year was $1.773 billion as of April 28, 2019, and $1.896 billion as of July 29, 2018.</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were $274 million in 2019 compared to $223 million in 2018. Capital expenditures are expected to total approximately $400 million in 2019. Capital expenditures in 2019 included a U.S. warehouse optimization project, transition of production of the Toronto manufacturing facility to our U.S. thermal plants, replacement of a Pepperidge Farm refrigeration system, a Snyder's-Lance regional distribution center and insourcing manufacturing for certain simple meal products.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we completed the acquisition of Pacific Foods. The purchase price was $688 million and was funded through the issuance of commercial paper.</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26, 2018, we completed the acquisition of Snyder’s-Lance. Total consideration was $6.112 billion, which included the payoff of approximately $1.1 billion of Snyder's-Lance indebtedness. We borrowed $900 million under a single draw 3-year senior unsecured term loan facility on March 26, 2018, and issued $5.3 billion senior notes on March 16, 2018, to finance the acquisition.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30, 2018, we purchased the remaining ownership interest in Yellow Chips Holdings B.V., and began consolidating the business. The purchase price was $18 million.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approximately $55 million, subject to customary purchase price adjustments.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12, 2019, we signed a definitive agreement for the sale of Bolthouse Farms to an affiliate of Butterfly Equity for $510 million, subject to customary purchase price adjustments. We expect to complete the sale in the fourth quarter of 2019.</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$318 million in 2019 and $321 million in 2018. We repurchased approximately 2 million shares at a cost of $86 million in 2018. As a result of the acquisition of Snyder's-Lance, we suspended our share repurchases as of the second quarter of 2018. See Note 15 to the Consolidated Financial Statements for additional information.</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18, 2018, we repaid a portion of our Australian notes and refinanced the remainder by borrowing AUD $400 million, or $284 million, at a rate of 2.82% under a single-draw syndicated facility that matures on September 18, 2019. The interest rate on the AUD $400 million loan under the syndicated facility resets in one, two, three, or nine-month periods dependent on our election. The syndicated facility contains a financial covenant based on our maximum leverage ratio and contains other customary covenants and events of default for credit facilities of this type.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April 28, 2019, we had $1.773 billion of short-term borrowings due within one year, of which $934 million was comprised of commercial paper borrowings. As of April 28, 2019, we issued $57 million of standby letters of credit. We have a committed revolving credit facility totaling $1.85 billion that matures in December 2021. This U.S. facility remained unused at April 28, 2019, except for $1 million of standby letters of credit that we issued under it. The U.S. facility supports our commercial paper</w:t>
      </w:r>
    </w:p>
    <w:p>
      <w:pPr>
        <w:sectPr>
          <w:pgSz w:w="11900" w:h="16838" w:orient="portrait"/>
          <w:cols w:equalWidth="0" w:num="1">
            <w:col w:w="11420"/>
          </w:cols>
          <w:pgMar w:left="240" w:top="1233"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33" w:right="239" w:bottom="1440" w:gutter="0" w:footer="0" w:header="0"/>
          <w:type w:val="continuous"/>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programs and other general corporate purposes. As of April 28, 2019, the total commitment under our Canadian committed revolving credit facility was CAD $125 million, or $93 million, and we had borrowings of CAD $29 million, or $22 million, at a rate of 3.33% under this facility. The Canadian facility supports general corporate purposes. The Canadian facility matures in July 2019. We expect to continue to access the commercial paper markets, bank credit lines and utilize cash flows from operations to support our short-term liquidity requirements.</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2018, we entered into a $900 million 3-year senior unsecured term loan facility that contained a maximum leverage ratio. After the third quarter of 2019, we prepaid approximately $400 million of the facility. As of such prepayment, the maximum leverage ratio covenant stated in the senior unsecured term loan facility no longer applies and is no longer incorporated into our U.S., Canadian and Australian facilities. The remaining amount outstanding under the senior unsecured term loan facility may be prepaid at par at any time. The senior unsecured term loan facility contains customary covenants and events of default for credit facilities of this type. We are in compliance with the covenants contained in our revolving credit facilities and debt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29, 2018 (2018 Annual Report on Form 10-K). The accounting policies we used in preparing these financial statements are substantially consistent with those we applied in our 2018 Annual Report on Form 10-K, with the exception of the adoption of revised guidance on the recognition of revenue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2018 Annual Report on Form 10-K.</w:t>
      </w:r>
    </w:p>
    <w:p>
      <w:pPr>
        <w:spacing w:after="0" w:line="11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Trade and consumer promotion programs — </w:t>
      </w:r>
      <w:r>
        <w:rPr>
          <w:rFonts w:ascii="Arial" w:cs="Arial" w:eastAsia="Arial" w:hAnsi="Arial"/>
          <w:sz w:val="16"/>
          <w:szCs w:val="16"/>
          <w:color w:val="auto"/>
        </w:rPr>
        <w:t>We offer various sales incentive programs to customers and consumers, such as feature price discounts, 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We adopted revised guidance on the recognition of revenue in the first quarter of 2019. See Notes 1 and 2 to the Consolidated Financial Statements for additional information.</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 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carrying value exceeds fair value, an impairment charge will be recorded to reduce the asset to fair value.</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30, 2018, we announced plans to pursue the divestiture of our international biscuits and snacks operating segment and the Campbell Fresh operating segment. As we continued to pursue the divestiture of these businesses, in the second quarter of 2019, we performed interim impairment assessments on the intangible and tangible assets within Campbell Fresh, which includes Garden Fresh Gourmet, Bolthouse Farms carrot and carrot ingredients, and Bolthouse Farms refrigerated beverages and salad dressings. We revised our future outlook for earnings and cash flows for each of these businesses as the divestiture process progressed and we received initial indications of value.</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Within Bolthouse Farms carrot and carrot ingredients, we recorded impairment charges of $18 million on the trademark, and $159 million on the plant assets and amortizable intangible assets.Within Bolthouse Farms refrigerated beverages and salad dressings, we recorded impairment charges of $74 million on the trademark, and $31 million on the plant assets and amortizable intangible assets. On Garden Fresh Gourmet, we recorded impairment charges of $23 million on the trademark and $39 million on customer relationships, which eliminated the carrying value of these assets, and $2 million on plant assets. There is no goodwill in Campbell Fresh.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14" w:right="239" w:bottom="1440" w:gutter="0" w:footer="0" w:header="0"/>
        </w:sectPr>
      </w:pPr>
    </w:p>
    <w:bookmarkStart w:id="45" w:name="page46"/>
    <w:bookmarkEnd w:id="45"/>
    <w:p>
      <w:pPr>
        <w:jc w:val="both"/>
        <w:ind w:firstLine="324"/>
        <w:spacing w:after="0" w:line="271" w:lineRule="auto"/>
        <w:rPr>
          <w:sz w:val="20"/>
          <w:szCs w:val="20"/>
          <w:color w:val="auto"/>
        </w:rPr>
      </w:pPr>
      <w:r>
        <w:rPr>
          <w:rFonts w:ascii="Arial" w:cs="Arial" w:eastAsia="Arial" w:hAnsi="Arial"/>
          <w:sz w:val="17"/>
          <w:szCs w:val="17"/>
          <w:color w:val="auto"/>
        </w:rPr>
        <w:t>On February 25, 2019, we sold our U.S refrigerated soup business, and on April 25, 2019, we sold our Garden Fresh Gourmet business. Proceeds were approximately $55 million, subject to customary purchase price adjustments. On April 12, 2019, we signed a definitive agreement for the sale of Bolthouse Farms to an affiliate of Butterfly Equity for $510 million, subject to customary purchase price adjustments. We expect to complete the sale in the fourth quarter of 2019. Beginning in the third quarter of 2019, we have reflected the results of these businesses as discontinued operations in the Consolidated Statements of Earnings for all periods presented. The assets and liabilities of Bolthouse Farms have been reflected as assets and liabilities of discontinued operations as of April 28, 2019, and July 29, 2018. In addition, the assets and liabilities of the Garden Fresh Gourmet business and our U.S refrigerated soup business have been reflected as assets and liabilities of discontinued operations as of July 29, 2018. See Note 3 to the Consolidated Financial Statements for additional information on discontinued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to the Consolidated Financial Statements for additional information on intangible assets.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cost of capital and potential divestitures. Inherent in estimating the future cash flows are uncertainties beyond our control, such as changes in capital markets. The actual cash flows could differ materially from management’s estimates due to changes in any of the assumptions.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 We will continue to monitor the valuation of our long-lived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"plan," "vision"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2018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ability to execute on and realize the expected benefits from the actions we intend to take as a result of our recent strategy and portfolio review;</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differentiate our products and protect our category leading positions, especially in soup;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complete and to realize the projected benefits of planned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realize the projected benefits, including cost synergies, from the recent acquisitions of Snyder's-Lance and Pacific Foods;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efficiency and/or restructuring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14" w:right="239" w:bottom="1440" w:gutter="0" w:footer="0" w:header="0"/>
          <w:type w:val="continuous"/>
        </w:sectPr>
      </w:pPr>
    </w:p>
    <w:bookmarkStart w:id="46" w:name="page47"/>
    <w:bookmarkEnd w:id="46"/>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impact of non-U.S. operations, including trade restrictions, public corruption and compliance with foreign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2018 Annual Report on Form 10-K. There have been no significant changes in our portfolio of financial instruments or market risk exposures from the 2018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April 28, 2019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April 28, 2019.</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17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ectPr>
          <w:pgSz w:w="11900" w:h="16838" w:orient="portrait"/>
          <w:cols w:equalWidth="0" w:num="1">
            <w:col w:w="11420"/>
          </w:cols>
          <w:pgMar w:left="240" w:top="1314" w:right="239" w:bottom="1108"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14" w:right="239" w:bottom="1108"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color w:val="auto"/>
        </w:rPr>
        <w:t>INDEX TO EXHIBITS</w:t>
      </w:r>
    </w:p>
    <w:p>
      <w:pPr>
        <w:spacing w:after="0" w:line="387" w:lineRule="exact"/>
        <w:rPr>
          <w:sz w:val="20"/>
          <w:szCs w:val="20"/>
          <w:color w:val="auto"/>
        </w:rPr>
      </w:pPr>
    </w:p>
    <w:p>
      <w:pPr>
        <w:ind w:left="1220"/>
        <w:spacing w:after="0"/>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Stock Purchase Agreement, dated April 12, 2019, by and among Pepperidge Fam, Incorporated, Wm. Bolthouse Farms, Inc., Campbell</w:t>
        </w:r>
      </w:hyperlink>
    </w:p>
    <w:p>
      <w:pPr>
        <w:spacing w:after="0" w:line="46" w:lineRule="exact"/>
        <w:rPr>
          <w:sz w:val="20"/>
          <w:szCs w:val="20"/>
          <w:color w:val="auto"/>
        </w:rPr>
      </w:pPr>
    </w:p>
    <w:p>
      <w:pPr>
        <w:jc w:val="both"/>
        <w:ind w:left="1220" w:hanging="1144"/>
        <w:spacing w:after="0" w:line="187" w:lineRule="auto"/>
        <w:tabs>
          <w:tab w:leader="none" w:pos="1220" w:val="left"/>
        </w:tabs>
        <w:numPr>
          <w:ilvl w:val="0"/>
          <w:numId w:val="69"/>
        </w:numPr>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Soup Company (solely for the purposes of Sections 2.03, 2.04, 2.07, 3.05, 6.02, 6.03, 6.06, 6.09(e), 6.10, 8.02, 8.03, 8.04, 8.07, 11.06, 11.11</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and 11.15) and Generis Holdings, LP is incorporated by reference to Exhibit 2.1 to Campbell's Form 8-K (SEC file number 1-3822) filed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with the SEC on April 12, 2019.</w:t>
        </w:r>
      </w:hyperlink>
    </w:p>
    <w:p>
      <w:pPr>
        <w:spacing w:after="0" w:line="161" w:lineRule="exact"/>
        <w:rPr>
          <w:rFonts w:ascii="Arial" w:cs="Arial" w:eastAsia="Arial" w:hAnsi="Arial"/>
          <w:sz w:val="18"/>
          <w:szCs w:val="18"/>
          <w:u w:val="single" w:color="auto"/>
          <w:color w:val="0000FF"/>
        </w:rPr>
      </w:pPr>
    </w:p>
    <w:tbl>
      <w:tblPr>
        <w:tblLayout w:type="fixed"/>
        <w:tblInd w:w="80" w:type="dxa"/>
        <w:tblCellMar>
          <w:top w:w="0" w:type="dxa"/>
          <w:left w:w="0" w:type="dxa"/>
          <w:bottom w:w="0" w:type="dxa"/>
          <w:right w:w="0" w:type="dxa"/>
        </w:tblCellMar>
      </w:tblPr>
      <w:tr>
        <w:trPr>
          <w:trHeight w:val="207"/>
        </w:trPr>
        <w:tc>
          <w:tcPr>
            <w:tcW w:w="1140" w:type="dxa"/>
            <w:vAlign w:val="bottom"/>
            <w:vMerge w:val="restart"/>
          </w:tcPr>
          <w:p>
            <w:pPr>
              <w:spacing w:after="0"/>
              <w:rPr>
                <w:sz w:val="20"/>
                <w:szCs w:val="20"/>
                <w:color w:val="auto"/>
              </w:rPr>
            </w:pPr>
            <w:r>
              <w:rPr>
                <w:rFonts w:ascii="Arial" w:cs="Arial" w:eastAsia="Arial" w:hAnsi="Arial"/>
                <w:sz w:val="18"/>
                <w:szCs w:val="18"/>
                <w:color w:val="auto"/>
              </w:rPr>
              <w:t>10(a)*</w:t>
            </w:r>
          </w:p>
        </w:tc>
        <w:tc>
          <w:tcPr>
            <w:tcW w:w="10120" w:type="dxa"/>
            <w:vAlign w:val="bottom"/>
            <w:tcBorders>
              <w:bottom w:val="single" w:sz="8" w:color="0000FF"/>
            </w:tcBorders>
            <w:gridSpan w:val="6"/>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Campbell Soup Company Executive Severance Pay Plan is incorporated by reference to Exhibit 10 to Campbell's Form 8-K (SEC file</w:t>
              </w:r>
            </w:hyperlink>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3820" w:type="dxa"/>
            <w:vAlign w:val="bottom"/>
            <w:vMerge w:val="restart"/>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number 1-3822) filed with the SEC on April 2, 2019.</w:t>
              </w:r>
            </w:hyperlink>
          </w:p>
        </w:tc>
        <w:tc>
          <w:tcPr>
            <w:tcW w:w="630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3820" w:type="dxa"/>
            <w:vAlign w:val="bottom"/>
            <w:tcBorders>
              <w:bottom w:val="single" w:sz="8" w:color="0000FF"/>
            </w:tcBorders>
            <w:vMerge w:val="continue"/>
          </w:tcPr>
          <w:p>
            <w:pPr>
              <w:spacing w:after="0"/>
              <w:rPr>
                <w:sz w:val="5"/>
                <w:szCs w:val="5"/>
                <w:color w:val="auto"/>
              </w:rPr>
            </w:pPr>
          </w:p>
        </w:tc>
        <w:tc>
          <w:tcPr>
            <w:tcW w:w="63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43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Mark A. Clouse pursuant to Rule 13a-14(a).</w:t>
              </w:r>
            </w:hyperlink>
          </w:p>
        </w:tc>
        <w:tc>
          <w:tcPr>
            <w:tcW w:w="5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10120" w:type="dxa"/>
            <w:vAlign w:val="bottom"/>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Anthony P. DiSilvestro pursuant to Rule 13a-14(a).</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49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of Mark A. Clouse pursuant to 18 U.S.C. Section 1350.</w:t>
              </w:r>
            </w:hyperlink>
          </w:p>
        </w:tc>
        <w:tc>
          <w:tcPr>
            <w:tcW w:w="5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1012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of Anthony P. DiSilvestro pursuant to 18 U.S.C. Section 1350.</w:t>
              </w:r>
            </w:hyperlink>
          </w:p>
        </w:tc>
        <w:tc>
          <w:tcPr>
            <w:tcW w:w="0" w:type="dxa"/>
            <w:vAlign w:val="bottom"/>
          </w:tcPr>
          <w:p>
            <w:pPr>
              <w:spacing w:after="0"/>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80" w:right="5580" w:hanging="5615"/>
        <w:spacing w:after="0" w:line="449" w:lineRule="auto"/>
        <w:rPr>
          <w:sz w:val="20"/>
          <w:szCs w:val="20"/>
          <w:color w:val="auto"/>
        </w:rPr>
      </w:pPr>
      <w:r>
        <w:rPr>
          <w:rFonts w:ascii="Arial" w:cs="Arial" w:eastAsia="Arial" w:hAnsi="Arial"/>
          <w:sz w:val="16"/>
          <w:szCs w:val="16"/>
          <w:color w:val="auto"/>
        </w:rPr>
        <w:t>*This exhibit is a management contract or compensatory plan or arrangement. 48</w:t>
      </w:r>
    </w:p>
    <w:p>
      <w:pPr>
        <w:sectPr>
          <w:pgSz w:w="11900" w:h="16838" w:orient="portrait"/>
          <w:cols w:equalWidth="0" w:num="1">
            <w:col w:w="11340"/>
          </w:cols>
          <w:pgMar w:left="280" w:top="1233" w:right="27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16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CAMPBELL SOUP COMPANY</w:t>
      </w:r>
    </w:p>
    <w:p>
      <w:pPr>
        <w:spacing w:after="0" w:line="35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16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16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1229"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76"/>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2019</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Mark A. Clouse</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2019</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28, 2019 (the “Report”), I, Mark A. Clouse,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5, 2019</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28, 2019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5, 2019</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360"/>
    </w:lvl>
  </w:abstractNum>
  <w:abstractNum w:abstractNumId="1">
    <w:nsid w:val="7724C67E"/>
    <w:multiLevelType w:val="hybridMultilevel"/>
    <w:lvl w:ilvl="0">
      <w:lvlJc w:val="left"/>
      <w:lvlText w:val="%1"/>
      <w:numFmt w:val="decimal"/>
      <w:start w:val="22"/>
    </w:lvl>
  </w:abstractNum>
  <w:abstractNum w:abstractNumId="2">
    <w:nsid w:val="5C482A97"/>
    <w:multiLevelType w:val="hybridMultilevel"/>
    <w:lvl w:ilvl="0">
      <w:lvlJc w:val="left"/>
      <w:lvlText w:val="%1"/>
      <w:numFmt w:val="decimal"/>
      <w:start w:val="45"/>
    </w:lvl>
  </w:abstractNum>
  <w:abstractNum w:abstractNumId="3">
    <w:nsid w:val="2463B9EA"/>
    <w:multiLevelType w:val="hybridMultilevel"/>
    <w:lvl w:ilvl="0">
      <w:lvlJc w:val="left"/>
      <w:lvlText w:val="\emdash "/>
      <w:numFmt w:val="bullet"/>
      <w:start w:val="1"/>
    </w:lvl>
  </w:abstractNum>
  <w:abstractNum w:abstractNumId="4">
    <w:nsid w:val="5E884ADC"/>
    <w:multiLevelType w:val="hybridMultilevel"/>
    <w:lvl w:ilvl="0">
      <w:lvlJc w:val="left"/>
      <w:lvlText w:val="(%1)"/>
      <w:numFmt w:val="decimal"/>
      <w:start w:val="16"/>
    </w:lvl>
  </w:abstractNum>
  <w:abstractNum w:abstractNumId="5">
    <w:nsid w:val="51EAD36B"/>
    <w:multiLevelType w:val="hybridMultilevel"/>
    <w:lvl w:ilvl="0">
      <w:lvlJc w:val="left"/>
      <w:lvlText w:val="%1"/>
      <w:numFmt w:val="decimal"/>
      <w:start w:val="349"/>
    </w:lvl>
  </w:abstractNum>
  <w:abstractNum w:abstractNumId="6">
    <w:nsid w:val="2D517796"/>
    <w:multiLevelType w:val="hybridMultilevel"/>
    <w:lvl w:ilvl="0">
      <w:lvlJc w:val="left"/>
      <w:lvlText w:val="%1"/>
      <w:numFmt w:val="decimal"/>
      <w:start w:val="50"/>
    </w:lvl>
  </w:abstractNum>
  <w:abstractNum w:abstractNumId="7">
    <w:nsid w:val="580BD78F"/>
    <w:multiLevelType w:val="hybridMultilevel"/>
    <w:lvl w:ilvl="0">
      <w:lvlJc w:val="left"/>
      <w:lvlText w:val="%1"/>
      <w:numFmt w:val="decimal"/>
      <w:start w:val="18"/>
    </w:lvl>
  </w:abstractNum>
  <w:abstractNum w:abstractNumId="8">
    <w:nsid w:val="153EA438"/>
    <w:multiLevelType w:val="hybridMultilevel"/>
    <w:lvl w:ilvl="0">
      <w:lvlJc w:val="left"/>
      <w:lvlText w:val="%1"/>
      <w:numFmt w:val="decimal"/>
      <w:start w:val="21"/>
    </w:lvl>
  </w:abstractNum>
  <w:abstractNum w:abstractNumId="9">
    <w:nsid w:val="3855585C"/>
    <w:multiLevelType w:val="hybridMultilevel"/>
    <w:lvl w:ilvl="0">
      <w:lvlJc w:val="left"/>
      <w:lvlText w:val="(%1)"/>
      <w:numFmt w:val="decimal"/>
      <w:start w:val="63"/>
    </w:lvl>
  </w:abstractNum>
  <w:abstractNum w:abstractNumId="10">
    <w:nsid w:val="70A64E2A"/>
    <w:multiLevelType w:val="hybridMultilevel"/>
    <w:lvl w:ilvl="0">
      <w:lvlJc w:val="left"/>
      <w:lvlText w:val="%1"/>
      <w:numFmt w:val="decimal"/>
      <w:start w:val="156"/>
    </w:lvl>
    <w:lvl w:ilvl="1">
      <w:lvlJc w:val="left"/>
      <w:lvlText w:val="(%2)"/>
      <w:numFmt w:val="decimal"/>
      <w:start w:val="19"/>
    </w:lvl>
  </w:abstractNum>
  <w:abstractNum w:abstractNumId="11">
    <w:nsid w:val="6A2342EC"/>
    <w:multiLevelType w:val="hybridMultilevel"/>
    <w:lvl w:ilvl="0">
      <w:lvlJc w:val="left"/>
      <w:lvlText w:val="%1"/>
      <w:numFmt w:val="decimal"/>
      <w:start w:val="60"/>
    </w:lvl>
  </w:abstractNum>
  <w:abstractNum w:abstractNumId="12">
    <w:nsid w:val="2A487CB0"/>
    <w:multiLevelType w:val="hybridMultilevel"/>
    <w:lvl w:ilvl="0">
      <w:lvlJc w:val="left"/>
      <w:lvlText w:val="(%1)"/>
      <w:numFmt w:val="decimal"/>
      <w:start w:val="54"/>
    </w:lvl>
  </w:abstractNum>
  <w:abstractNum w:abstractNumId="13">
    <w:nsid w:val="1D4ED43B"/>
    <w:multiLevelType w:val="hybridMultilevel"/>
    <w:lvl w:ilvl="0">
      <w:lvlJc w:val="left"/>
      <w:lvlText w:val="(%1)"/>
      <w:numFmt w:val="decimal"/>
      <w:start w:val="274"/>
    </w:lvl>
  </w:abstractNum>
  <w:abstractNum w:abstractNumId="14">
    <w:nsid w:val="725A06FB"/>
    <w:multiLevelType w:val="hybridMultilevel"/>
    <w:lvl w:ilvl="0">
      <w:lvlJc w:val="left"/>
      <w:lvlText w:val="(%1)"/>
      <w:numFmt w:val="decimal"/>
      <w:start w:val="27"/>
    </w:lvl>
  </w:abstractNum>
  <w:abstractNum w:abstractNumId="15">
    <w:nsid w:val="2CD89A32"/>
    <w:multiLevelType w:val="hybridMultilevel"/>
    <w:lvl w:ilvl="0">
      <w:lvlJc w:val="left"/>
      <w:lvlText w:val="%1"/>
      <w:numFmt w:val="decimal"/>
      <w:start w:val="29"/>
    </w:lvl>
  </w:abstractNum>
  <w:abstractNum w:abstractNumId="16">
    <w:nsid w:val="57E4CCAF"/>
    <w:multiLevelType w:val="hybridMultilevel"/>
    <w:lvl w:ilvl="0">
      <w:lvlJc w:val="left"/>
      <w:lvlText w:val="(%1)"/>
      <w:numFmt w:val="decimal"/>
      <w:start w:val="18"/>
    </w:lvl>
  </w:abstractNum>
  <w:abstractNum w:abstractNumId="17">
    <w:nsid w:val="7A6D8D3C"/>
    <w:multiLevelType w:val="hybridMultilevel"/>
    <w:lvl w:ilvl="0">
      <w:lvlJc w:val="left"/>
      <w:lvlText w:val="%1"/>
      <w:numFmt w:val="decimal"/>
      <w:start w:val="54"/>
    </w:lvl>
  </w:abstractNum>
  <w:abstractNum w:abstractNumId="18">
    <w:nsid w:val="4B588F54"/>
    <w:multiLevelType w:val="hybridMultilevel"/>
    <w:lvl w:ilvl="0">
      <w:lvlJc w:val="left"/>
      <w:lvlText w:val="%1"/>
      <w:numFmt w:val="decimal"/>
      <w:start w:val="14"/>
    </w:lvl>
  </w:abstractNum>
  <w:abstractNum w:abstractNumId="19">
    <w:nsid w:val="542289EC"/>
    <w:multiLevelType w:val="hybridMultilevel"/>
    <w:lvl w:ilvl="0">
      <w:lvlJc w:val="left"/>
      <w:lvlText w:val="(%1)"/>
      <w:numFmt w:val="decimal"/>
      <w:start w:val="222"/>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2"/>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3"/>
    </w:lvl>
  </w:abstractNum>
  <w:abstractNum w:abstractNumId="25">
    <w:nsid w:val="579478FE"/>
    <w:multiLevelType w:val="hybridMultilevel"/>
    <w:lvl w:ilvl="0">
      <w:lvlJc w:val="left"/>
      <w:lvlText w:val="%1."/>
      <w:numFmt w:val="decimal"/>
      <w:start w:val="4"/>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5"/>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6"/>
    </w:lvl>
  </w:abstractNum>
  <w:abstractNum w:abstractNumId="30">
    <w:nsid w:val="75C6C33A"/>
    <w:multiLevelType w:val="hybridMultilevel"/>
    <w:lvl w:ilvl="0">
      <w:lvlJc w:val="left"/>
      <w:lvlText w:val="%1."/>
      <w:numFmt w:val="decimal"/>
      <w:start w:val="7"/>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2"/>
    </w:lvl>
  </w:abstractNum>
  <w:abstractNum w:abstractNumId="34">
    <w:nsid w:val="374A3FE6"/>
    <w:multiLevelType w:val="hybridMultilevel"/>
    <w:lvl w:ilvl="0">
      <w:lvlJc w:val="left"/>
      <w:lvlText w:val="%1."/>
      <w:numFmt w:val="decimal"/>
      <w:start w:val="8"/>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3"/>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9"/>
    </w:lvl>
  </w:abstractNum>
  <w:abstractNum w:abstractNumId="42">
    <w:nsid w:val="235BA861"/>
    <w:multiLevelType w:val="hybridMultilevel"/>
    <w:lvl w:ilvl="0">
      <w:lvlJc w:val="left"/>
      <w:lvlText w:val="%1."/>
      <w:numFmt w:val="decimal"/>
      <w:start w:val="14"/>
    </w:lvl>
    <w:lvl w:ilvl="1">
      <w:lvlJc w:val="left"/>
      <w:lvlText w:val="•"/>
      <w:numFmt w:val="bullet"/>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2"/>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5" Type="http://schemas.openxmlformats.org/officeDocument/2006/relationships/hyperlink" Target="http://www.sec.gov/Archives/edgar/data/16732/000095015919000062/ex2-1.htm" TargetMode="External"/><Relationship Id="rId36" Type="http://schemas.openxmlformats.org/officeDocument/2006/relationships/hyperlink" Target="http://www.sec.gov/Archives/edgar/data/16732/000162828019003777/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2019-12-28T11:18:50Z</dcterms:created>
  <dcterms:modified xsi:type="dcterms:W3CDTF">2019-12-28T11:18:50Z</dcterms:modified>
</cp:coreProperties>
</file>