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10-Q</w:t>
      </w: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QUARTERLY REPORT PURSUANT TO SECTION 13 OR 15(d)</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OF THE SECURITIES EXCHANGE ACT OF 1934</w:t>
      </w:r>
    </w:p>
    <w:p>
      <w:pPr>
        <w:spacing w:after="0" w:line="20" w:lineRule="exact"/>
        <w:rPr>
          <w:sz w:val="24"/>
          <w:szCs w:val="24"/>
          <w:color w:val="auto"/>
        </w:rPr>
      </w:pPr>
    </w:p>
    <w:p>
      <w:pPr>
        <w:ind w:left="420"/>
        <w:spacing w:after="0"/>
        <w:tabs>
          <w:tab w:leader="none" w:pos="8600" w:val="left"/>
        </w:tabs>
        <w:rPr>
          <w:sz w:val="20"/>
          <w:szCs w:val="20"/>
          <w:color w:val="auto"/>
        </w:rPr>
      </w:pPr>
      <w:r>
        <w:rPr>
          <w:rFonts w:ascii="Times New Roman" w:cs="Times New Roman" w:eastAsia="Times New Roman" w:hAnsi="Times New Roman"/>
          <w:sz w:val="18"/>
          <w:szCs w:val="18"/>
          <w:b w:val="1"/>
          <w:bCs w:val="1"/>
          <w:color w:val="auto"/>
        </w:rPr>
        <w:t>For The Quarterly Period Ended</w:t>
      </w:r>
      <w:r>
        <w:rPr>
          <w:sz w:val="20"/>
          <w:szCs w:val="20"/>
          <w:color w:val="auto"/>
        </w:rPr>
        <w:tab/>
      </w:r>
      <w:r>
        <w:rPr>
          <w:rFonts w:ascii="Times New Roman" w:cs="Times New Roman" w:eastAsia="Times New Roman" w:hAnsi="Times New Roman"/>
          <w:sz w:val="17"/>
          <w:szCs w:val="17"/>
          <w:b w:val="1"/>
          <w:bCs w:val="1"/>
          <w:color w:val="auto"/>
        </w:rPr>
        <w:t>Commission File Number</w:t>
      </w:r>
    </w:p>
    <w:p>
      <w:pPr>
        <w:spacing w:after="0" w:line="26" w:lineRule="exact"/>
        <w:rPr>
          <w:sz w:val="24"/>
          <w:szCs w:val="24"/>
          <w:color w:val="auto"/>
        </w:rPr>
      </w:pPr>
    </w:p>
    <w:p>
      <w:pPr>
        <w:ind w:left="1020"/>
        <w:spacing w:after="0"/>
        <w:tabs>
          <w:tab w:leader="none" w:pos="9320" w:val="left"/>
        </w:tabs>
        <w:rPr>
          <w:sz w:val="20"/>
          <w:szCs w:val="20"/>
          <w:color w:val="auto"/>
        </w:rPr>
      </w:pPr>
      <w:r>
        <w:rPr>
          <w:rFonts w:ascii="Times New Roman" w:cs="Times New Roman" w:eastAsia="Times New Roman" w:hAnsi="Times New Roman"/>
          <w:sz w:val="18"/>
          <w:szCs w:val="18"/>
          <w:b w:val="1"/>
          <w:bCs w:val="1"/>
          <w:color w:val="auto"/>
        </w:rPr>
        <w:t>October 30, 2022</w:t>
      </w:r>
      <w:r>
        <w:rPr>
          <w:sz w:val="20"/>
          <w:szCs w:val="20"/>
          <w:color w:val="auto"/>
        </w:rPr>
        <w:tab/>
      </w:r>
      <w:r>
        <w:rPr>
          <w:rFonts w:ascii="Times New Roman" w:cs="Times New Roman" w:eastAsia="Times New Roman" w:hAnsi="Times New Roman"/>
          <w:sz w:val="17"/>
          <w:szCs w:val="17"/>
          <w:b w:val="1"/>
          <w:bCs w:val="1"/>
          <w:color w:val="auto"/>
        </w:rPr>
        <w:t>1-3822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2847340</wp:posOffset>
            </wp:positionH>
            <wp:positionV relativeFrom="paragraph">
              <wp:posOffset>69850</wp:posOffset>
            </wp:positionV>
            <wp:extent cx="1447165" cy="5219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7165" cy="5219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5"/>
          <w:szCs w:val="35"/>
          <w:b w:val="1"/>
          <w:bCs w:val="1"/>
          <w:color w:val="auto"/>
        </w:rPr>
        <w:t>CAMPBELL SOUP COMPANY</w:t>
      </w:r>
    </w:p>
    <w:p>
      <w:pPr>
        <w:spacing w:after="0" w:line="70" w:lineRule="exact"/>
        <w:rPr>
          <w:sz w:val="24"/>
          <w:szCs w:val="24"/>
          <w:color w:val="auto"/>
        </w:rPr>
      </w:pPr>
    </w:p>
    <w:p>
      <w:pPr>
        <w:ind w:left="2440"/>
        <w:spacing w:after="0"/>
        <w:tabs>
          <w:tab w:leader="none" w:pos="7920" w:val="left"/>
        </w:tabs>
        <w:rPr>
          <w:sz w:val="20"/>
          <w:szCs w:val="20"/>
          <w:color w:val="auto"/>
        </w:rPr>
      </w:pPr>
      <w:r>
        <w:rPr>
          <w:rFonts w:ascii="Times New Roman" w:cs="Times New Roman" w:eastAsia="Times New Roman" w:hAnsi="Times New Roman"/>
          <w:sz w:val="18"/>
          <w:szCs w:val="18"/>
          <w:b w:val="1"/>
          <w:bCs w:val="1"/>
          <w:color w:val="auto"/>
        </w:rPr>
        <w:t>New Jersey</w:t>
      </w:r>
      <w:r>
        <w:rPr>
          <w:sz w:val="20"/>
          <w:szCs w:val="20"/>
          <w:color w:val="auto"/>
        </w:rPr>
        <w:tab/>
      </w:r>
      <w:r>
        <w:rPr>
          <w:rFonts w:ascii="Times New Roman" w:cs="Times New Roman" w:eastAsia="Times New Roman" w:hAnsi="Times New Roman"/>
          <w:sz w:val="17"/>
          <w:szCs w:val="17"/>
          <w:b w:val="1"/>
          <w:bCs w:val="1"/>
          <w:color w:val="auto"/>
        </w:rPr>
        <w:t>21-0419870</w:t>
      </w:r>
    </w:p>
    <w:p>
      <w:pPr>
        <w:spacing w:after="0" w:line="26" w:lineRule="exact"/>
        <w:rPr>
          <w:sz w:val="24"/>
          <w:szCs w:val="24"/>
          <w:color w:val="auto"/>
        </w:rPr>
      </w:pPr>
    </w:p>
    <w:p>
      <w:pPr>
        <w:ind w:left="2080"/>
        <w:spacing w:after="0"/>
        <w:tabs>
          <w:tab w:leader="none" w:pos="7140" w:val="left"/>
        </w:tabs>
        <w:rPr>
          <w:sz w:val="20"/>
          <w:szCs w:val="20"/>
          <w:color w:val="auto"/>
        </w:rPr>
      </w:pPr>
      <w:r>
        <w:rPr>
          <w:rFonts w:ascii="Times New Roman" w:cs="Times New Roman" w:eastAsia="Times New Roman" w:hAnsi="Times New Roman"/>
          <w:sz w:val="18"/>
          <w:szCs w:val="18"/>
          <w:i w:val="1"/>
          <w:iCs w:val="1"/>
          <w:color w:val="auto"/>
        </w:rPr>
        <w:t>State of Incorporation</w:t>
      </w:r>
      <w:r>
        <w:rPr>
          <w:sz w:val="20"/>
          <w:szCs w:val="20"/>
          <w:color w:val="auto"/>
        </w:rPr>
        <w:tab/>
      </w:r>
      <w:r>
        <w:rPr>
          <w:rFonts w:ascii="Times New Roman" w:cs="Times New Roman" w:eastAsia="Times New Roman" w:hAnsi="Times New Roman"/>
          <w:sz w:val="17"/>
          <w:szCs w:val="17"/>
          <w:i w:val="1"/>
          <w:iCs w:val="1"/>
          <w:color w:val="auto"/>
        </w:rPr>
        <w:t>I.R.S. Employer Identification No.</w:t>
      </w:r>
    </w:p>
    <w:p>
      <w:pPr>
        <w:spacing w:after="0" w:line="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 Campbell Place</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Camden, New Jersey 08103-1799</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Principal Executive Offices</w:t>
      </w:r>
    </w:p>
    <w:p>
      <w:pPr>
        <w:spacing w:after="0" w:line="2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Number: (856) 342-4800</w:t>
      </w:r>
    </w:p>
    <w:p>
      <w:pPr>
        <w:spacing w:after="0" w:line="2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45" w:lineRule="exact"/>
        <w:rPr>
          <w:sz w:val="24"/>
          <w:szCs w:val="24"/>
          <w:color w:val="auto"/>
        </w:rPr>
      </w:pPr>
    </w:p>
    <w:p>
      <w:pPr>
        <w:ind w:left="1560"/>
        <w:spacing w:after="0"/>
        <w:tabs>
          <w:tab w:leader="none" w:pos="4980" w:val="left"/>
          <w:tab w:leader="none" w:pos="7220" w:val="left"/>
        </w:tabs>
        <w:rPr>
          <w:sz w:val="20"/>
          <w:szCs w:val="20"/>
          <w:color w:val="auto"/>
        </w:rPr>
      </w:pPr>
      <w:r>
        <w:rPr>
          <w:rFonts w:ascii="Times New Roman" w:cs="Times New Roman" w:eastAsia="Times New Roman" w:hAnsi="Times New Roman"/>
          <w:sz w:val="18"/>
          <w:szCs w:val="18"/>
          <w:b w:val="1"/>
          <w:bCs w:val="1"/>
          <w:color w:val="auto"/>
        </w:rPr>
        <w:t>Title of Each Class</w:t>
      </w:r>
      <w:r>
        <w:rPr>
          <w:sz w:val="20"/>
          <w:szCs w:val="20"/>
          <w:color w:val="auto"/>
        </w:rPr>
        <w:tab/>
      </w:r>
      <w:r>
        <w:rPr>
          <w:rFonts w:ascii="Times New Roman" w:cs="Times New Roman" w:eastAsia="Times New Roman" w:hAnsi="Times New Roman"/>
          <w:sz w:val="18"/>
          <w:szCs w:val="18"/>
          <w:b w:val="1"/>
          <w:bCs w:val="1"/>
          <w:color w:val="auto"/>
        </w:rPr>
        <w:t>Trading Symbol</w:t>
      </w:r>
      <w:r>
        <w:rPr>
          <w:sz w:val="20"/>
          <w:szCs w:val="20"/>
          <w:color w:val="auto"/>
        </w:rPr>
        <w:tab/>
      </w:r>
      <w:r>
        <w:rPr>
          <w:rFonts w:ascii="Times New Roman" w:cs="Times New Roman" w:eastAsia="Times New Roman" w:hAnsi="Times New Roman"/>
          <w:sz w:val="17"/>
          <w:szCs w:val="17"/>
          <w:b w:val="1"/>
          <w:bCs w:val="1"/>
          <w:color w:val="auto"/>
        </w:rPr>
        <w:t>Name of Each Exchange on Which Registered</w:t>
      </w:r>
    </w:p>
    <w:p>
      <w:pPr>
        <w:spacing w:after="0" w:line="26" w:lineRule="exact"/>
        <w:rPr>
          <w:sz w:val="24"/>
          <w:szCs w:val="24"/>
          <w:color w:val="auto"/>
        </w:rPr>
      </w:pPr>
    </w:p>
    <w:p>
      <w:pPr>
        <w:ind w:left="1140"/>
        <w:spacing w:after="0"/>
        <w:tabs>
          <w:tab w:leader="none" w:pos="5420" w:val="left"/>
          <w:tab w:leader="none" w:pos="8000" w:val="left"/>
        </w:tabs>
        <w:rPr>
          <w:sz w:val="20"/>
          <w:szCs w:val="20"/>
          <w:color w:val="auto"/>
        </w:rPr>
      </w:pPr>
      <w:r>
        <w:rPr>
          <w:rFonts w:ascii="Times New Roman" w:cs="Times New Roman" w:eastAsia="Times New Roman" w:hAnsi="Times New Roman"/>
          <w:sz w:val="18"/>
          <w:szCs w:val="18"/>
          <w:color w:val="auto"/>
        </w:rPr>
        <w:t>Capital Stock, par value $.0375</w:t>
      </w:r>
      <w:r>
        <w:rPr>
          <w:sz w:val="20"/>
          <w:szCs w:val="20"/>
          <w:color w:val="auto"/>
        </w:rPr>
        <w:tab/>
      </w:r>
      <w:r>
        <w:rPr>
          <w:rFonts w:ascii="Times New Roman" w:cs="Times New Roman" w:eastAsia="Times New Roman" w:hAnsi="Times New Roman"/>
          <w:sz w:val="18"/>
          <w:szCs w:val="18"/>
          <w:color w:val="auto"/>
        </w:rPr>
        <w:t>CPB</w:t>
      </w:r>
      <w:r>
        <w:rPr>
          <w:sz w:val="20"/>
          <w:szCs w:val="20"/>
          <w:color w:val="auto"/>
        </w:rPr>
        <w:tab/>
      </w:r>
      <w:r>
        <w:rPr>
          <w:rFonts w:ascii="Times New Roman" w:cs="Times New Roman" w:eastAsia="Times New Roman" w:hAnsi="Times New Roman"/>
          <w:sz w:val="17"/>
          <w:szCs w:val="17"/>
          <w:color w:val="auto"/>
        </w:rPr>
        <w:t>New York Stock Exchange</w:t>
      </w:r>
    </w:p>
    <w:p>
      <w:pPr>
        <w:spacing w:after="0" w:line="1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 None</w:t>
      </w:r>
    </w:p>
    <w:p>
      <w:pPr>
        <w:spacing w:after="0" w:line="246" w:lineRule="exact"/>
        <w:rPr>
          <w:sz w:val="24"/>
          <w:szCs w:val="24"/>
          <w:color w:val="auto"/>
        </w:rPr>
      </w:pPr>
    </w:p>
    <w:p>
      <w:pPr>
        <w:jc w:val="both"/>
        <w:ind w:firstLine="318"/>
        <w:spacing w:after="0" w:line="22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6" w:lineRule="exact"/>
        <w:rPr>
          <w:sz w:val="24"/>
          <w:szCs w:val="24"/>
          <w:color w:val="auto"/>
        </w:rPr>
      </w:pPr>
    </w:p>
    <w:p>
      <w:pPr>
        <w:jc w:val="both"/>
        <w:ind w:firstLine="318"/>
        <w:spacing w:after="0" w:line="231"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6" w:lineRule="exact"/>
        <w:rPr>
          <w:sz w:val="24"/>
          <w:szCs w:val="24"/>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252" w:right="339" w:bottom="1440" w:gutter="0" w:footer="0" w:header="0"/>
        </w:sectPr>
      </w:pPr>
    </w:p>
    <w:p>
      <w:pPr>
        <w:spacing w:after="0" w:line="151" w:lineRule="exact"/>
        <w:rPr>
          <w:sz w:val="24"/>
          <w:szCs w:val="24"/>
          <w:color w:val="auto"/>
        </w:rPr>
      </w:pPr>
    </w:p>
    <w:p>
      <w:pPr>
        <w:ind w:left="1740"/>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4" w:lineRule="exact"/>
        <w:rPr>
          <w:sz w:val="24"/>
          <w:szCs w:val="24"/>
          <w:color w:val="auto"/>
        </w:rPr>
      </w:pPr>
    </w:p>
    <w:p>
      <w:pPr>
        <w:ind w:left="1740"/>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18" w:lineRule="exact"/>
        <w:rPr>
          <w:sz w:val="24"/>
          <w:szCs w:val="24"/>
          <w:color w:val="auto"/>
        </w:rPr>
      </w:pPr>
    </w:p>
    <w:p>
      <w:pPr>
        <w:ind w:left="1740"/>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20" w:lineRule="exact"/>
        <w:rPr>
          <w:sz w:val="24"/>
          <w:szCs w:val="24"/>
          <w:color w:val="auto"/>
        </w:rPr>
      </w:pPr>
      <w:r>
        <w:rPr>
          <w:sz w:val="24"/>
          <w:szCs w:val="24"/>
          <w:color w:val="auto"/>
        </w:rPr>
        <w:br w:type="column"/>
      </w:r>
    </w:p>
    <w:p>
      <w:pPr>
        <w:spacing w:after="0" w:line="255" w:lineRule="exact"/>
        <w:tabs>
          <w:tab w:leader="none" w:pos="1720" w:val="left"/>
          <w:tab w:leader="none" w:pos="4220" w:val="left"/>
        </w:tabs>
        <w:rPr>
          <w:sz w:val="20"/>
          <w:szCs w:val="20"/>
          <w:color w:val="auto"/>
        </w:rPr>
      </w:pPr>
      <w:r>
        <w:rPr>
          <w:rFonts w:ascii="MS PGothic" w:cs="MS PGothic" w:eastAsia="MS PGothic" w:hAnsi="MS PGothic"/>
          <w:sz w:val="35"/>
          <w:szCs w:val="35"/>
          <w:color w:val="auto"/>
          <w:vertAlign w:val="superscript"/>
        </w:rPr>
        <w:t>☑</w:t>
      </w:r>
      <w:r>
        <w:rPr>
          <w:sz w:val="20"/>
          <w:szCs w:val="20"/>
          <w:color w:val="auto"/>
        </w:rPr>
        <w:tab/>
      </w:r>
      <w:r>
        <w:rPr>
          <w:rFonts w:ascii="Times New Roman" w:cs="Times New Roman" w:eastAsia="Times New Roman" w:hAnsi="Times New Roman"/>
          <w:sz w:val="18"/>
          <w:szCs w:val="18"/>
          <w:color w:val="auto"/>
        </w:rPr>
        <w:t>Accelerated filer</w:t>
      </w:r>
      <w:r>
        <w:rPr>
          <w:sz w:val="20"/>
          <w:szCs w:val="20"/>
          <w:color w:val="auto"/>
        </w:rPr>
        <w:tab/>
      </w:r>
      <w:r>
        <w:rPr>
          <w:rFonts w:ascii="MS PGothic" w:cs="MS PGothic" w:eastAsia="MS PGothic" w:hAnsi="MS PGothic"/>
          <w:sz w:val="15"/>
          <w:szCs w:val="15"/>
          <w:color w:val="auto"/>
        </w:rPr>
        <w:t>☐</w:t>
      </w:r>
    </w:p>
    <w:p>
      <w:pPr>
        <w:spacing w:after="0" w:line="116" w:lineRule="exact"/>
        <w:rPr>
          <w:sz w:val="24"/>
          <w:szCs w:val="24"/>
          <w:color w:val="auto"/>
        </w:rPr>
      </w:pPr>
    </w:p>
    <w:p>
      <w:pPr>
        <w:spacing w:after="0" w:line="207" w:lineRule="exact"/>
        <w:tabs>
          <w:tab w:leader="none" w:pos="1720" w:val="left"/>
          <w:tab w:leader="none" w:pos="422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Smaller reporting company</w:t>
      </w:r>
      <w:r>
        <w:rPr>
          <w:sz w:val="20"/>
          <w:szCs w:val="20"/>
          <w:color w:val="auto"/>
        </w:rPr>
        <w:tab/>
      </w:r>
      <w:r>
        <w:rPr>
          <w:rFonts w:ascii="MS PGothic" w:cs="MS PGothic" w:eastAsia="MS PGothic" w:hAnsi="MS PGothic"/>
          <w:sz w:val="15"/>
          <w:szCs w:val="15"/>
          <w:color w:val="auto"/>
        </w:rPr>
        <w:t>☐</w:t>
      </w:r>
    </w:p>
    <w:p>
      <w:pPr>
        <w:spacing w:after="0" w:line="18"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8" w:lineRule="exact"/>
        <w:rPr>
          <w:sz w:val="24"/>
          <w:szCs w:val="24"/>
          <w:color w:val="auto"/>
        </w:rPr>
      </w:pPr>
    </w:p>
    <w:p>
      <w:pPr>
        <w:sectPr>
          <w:pgSz w:w="11900" w:h="16838" w:orient="portrait"/>
          <w:cols w:equalWidth="0" w:num="2">
            <w:col w:w="3740" w:space="720"/>
            <w:col w:w="6780"/>
          </w:cols>
          <w:pgMar w:left="320" w:top="1252" w:right="339" w:bottom="1440" w:gutter="0" w:footer="0" w:header="0"/>
          <w:type w:val="continuous"/>
        </w:sectPr>
      </w:pPr>
    </w:p>
    <w:p>
      <w:pPr>
        <w:spacing w:after="0" w:line="195" w:lineRule="exact"/>
        <w:rPr>
          <w:sz w:val="24"/>
          <w:szCs w:val="24"/>
          <w:color w:val="auto"/>
        </w:rPr>
      </w:pPr>
    </w:p>
    <w:p>
      <w:pPr>
        <w:ind w:firstLine="318"/>
        <w:spacing w:after="0" w:line="231"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79" w:lineRule="exact"/>
        <w:rPr>
          <w:sz w:val="24"/>
          <w:szCs w:val="24"/>
          <w:color w:val="auto"/>
        </w:rPr>
      </w:pPr>
    </w:p>
    <w:p>
      <w:pPr>
        <w:ind w:left="32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3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There were 299,467,564 shares of capital stock outstanding as of December 1, 2022.</w:t>
      </w:r>
    </w:p>
    <w:p>
      <w:pPr>
        <w:sectPr>
          <w:pgSz w:w="11900" w:h="16838" w:orient="portrait"/>
          <w:cols w:equalWidth="0" w:num="1">
            <w:col w:w="11240"/>
          </w:cols>
          <w:pgMar w:left="320" w:top="1252" w:right="339" w:bottom="1440" w:gutter="0" w:footer="0" w:header="0"/>
          <w:type w:val="continuous"/>
        </w:sectPr>
      </w:pPr>
    </w:p>
    <w:p>
      <w:pPr>
        <w:spacing w:after="0" w:line="200" w:lineRule="exact"/>
        <w:rPr>
          <w:sz w:val="24"/>
          <w:szCs w:val="24"/>
          <w:color w:val="auto"/>
        </w:rPr>
      </w:pPr>
    </w:p>
    <w:p>
      <w:pPr>
        <w:spacing w:after="0" w:line="3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91440</wp:posOffset>
            </wp:positionV>
            <wp:extent cx="716026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52"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80" w:type="dxa"/>
            <w:vAlign w:val="bottom"/>
            <w:gridSpan w:val="4"/>
          </w:tcPr>
          <w:p>
            <w:pPr>
              <w:jc w:val="center"/>
              <w:ind w:right="1100"/>
              <w:spacing w:after="0"/>
              <w:rPr>
                <w:sz w:val="20"/>
                <w:szCs w:val="20"/>
                <w:color w:val="auto"/>
              </w:rPr>
            </w:pPr>
            <w:r>
              <w:rPr>
                <w:rFonts w:ascii="Times New Roman" w:cs="Times New Roman" w:eastAsia="Times New Roman" w:hAnsi="Times New Roman"/>
                <w:sz w:val="18"/>
                <w:szCs w:val="18"/>
                <w:b w:val="1"/>
                <w:bCs w:val="1"/>
                <w:color w:val="auto"/>
                <w:w w:val="96"/>
              </w:rPr>
              <w:t>TABLE OF CONTENTS</w:t>
            </w:r>
          </w:p>
        </w:tc>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470"/>
        </w:trPr>
        <w:tc>
          <w:tcPr>
            <w:tcW w:w="20" w:type="dxa"/>
            <w:vAlign w:val="bottom"/>
          </w:tcPr>
          <w:p>
            <w:pPr>
              <w:spacing w:after="0"/>
              <w:rPr>
                <w:sz w:val="24"/>
                <w:szCs w:val="24"/>
                <w:color w:val="auto"/>
              </w:rPr>
            </w:pPr>
          </w:p>
        </w:tc>
        <w:tc>
          <w:tcPr>
            <w:tcW w:w="29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6"/>
              </w:rPr>
              <w:t>PART I - FINANCIAL INFORMATION</w:t>
            </w:r>
          </w:p>
        </w:tc>
        <w:tc>
          <w:tcPr>
            <w:tcW w:w="1760" w:type="dxa"/>
            <w:vAlign w:val="bottom"/>
            <w:gridSpan w:val="7"/>
          </w:tcPr>
          <w:p>
            <w:pPr>
              <w:spacing w:after="0"/>
              <w:rPr>
                <w:sz w:val="24"/>
                <w:szCs w:val="24"/>
                <w:color w:val="auto"/>
              </w:rPr>
            </w:pPr>
          </w:p>
        </w:tc>
        <w:tc>
          <w:tcPr>
            <w:tcW w:w="1880" w:type="dxa"/>
            <w:vAlign w:val="bottom"/>
            <w:tcBorders>
              <w:top w:val="single" w:sz="8" w:color="auto"/>
            </w:tcBorders>
            <w:gridSpan w:val="3"/>
          </w:tcPr>
          <w:p>
            <w:pPr>
              <w:spacing w:after="0"/>
              <w:rPr>
                <w:sz w:val="24"/>
                <w:szCs w:val="24"/>
                <w:color w:val="auto"/>
              </w:rPr>
            </w:pPr>
          </w:p>
        </w:tc>
        <w:tc>
          <w:tcPr>
            <w:tcW w:w="1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88"/>
              </w:rPr>
              <w:t>3</w:t>
            </w: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20" w:type="dxa"/>
            <w:vAlign w:val="bottom"/>
            <w:tcBorders>
              <w:bottom w:val="single" w:sz="8" w:color="0000FF"/>
            </w:tcBorders>
            <w:gridSpan w:val="6"/>
          </w:tcPr>
          <w:p>
            <w:pPr>
              <w:spacing w:after="0" w:line="205" w:lineRule="exact"/>
              <w:rPr>
                <w:sz w:val="20"/>
                <w:szCs w:val="20"/>
                <w:color w:val="auto"/>
              </w:rPr>
            </w:pPr>
            <w:r>
              <w:rPr>
                <w:rFonts w:ascii="Times New Roman" w:cs="Times New Roman" w:eastAsia="Times New Roman" w:hAnsi="Times New Roman"/>
                <w:sz w:val="18"/>
                <w:szCs w:val="18"/>
                <w:color w:val="0000FF"/>
                <w:w w:val="97"/>
              </w:rPr>
              <w:t>Item 1. Financial Statements</w:t>
            </w:r>
          </w:p>
        </w:tc>
        <w:tc>
          <w:tcPr>
            <w:tcW w:w="4840" w:type="dxa"/>
            <w:vAlign w:val="bottom"/>
            <w:gridSpan w:val="12"/>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Borders>
              <w:bottom w:val="single" w:sz="8" w:color="0000FF"/>
            </w:tcBorders>
          </w:tcPr>
          <w:p>
            <w:pPr>
              <w:spacing w:after="0" w:line="205" w:lineRule="exact"/>
              <w:rPr>
                <w:sz w:val="20"/>
                <w:szCs w:val="20"/>
                <w:color w:val="auto"/>
              </w:rPr>
            </w:pPr>
            <w:r>
              <w:rPr>
                <w:rFonts w:ascii="Times New Roman" w:cs="Times New Roman" w:eastAsia="Times New Roman" w:hAnsi="Times New Roman"/>
                <w:sz w:val="18"/>
                <w:szCs w:val="18"/>
                <w:color w:val="0000FF"/>
                <w:w w:val="88"/>
              </w:rPr>
              <w:t>3</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20" w:type="dxa"/>
            <w:vAlign w:val="bottom"/>
            <w:tcBorders>
              <w:bottom w:val="single" w:sz="8" w:color="0000FF"/>
            </w:tcBorders>
            <w:gridSpan w:val="10"/>
          </w:tcPr>
          <w:p>
            <w:pPr>
              <w:spacing w:after="0" w:line="205" w:lineRule="exact"/>
              <w:rPr>
                <w:sz w:val="20"/>
                <w:szCs w:val="20"/>
                <w:color w:val="auto"/>
              </w:rPr>
            </w:pPr>
            <w:r>
              <w:rPr>
                <w:rFonts w:ascii="Times New Roman" w:cs="Times New Roman" w:eastAsia="Times New Roman" w:hAnsi="Times New Roman"/>
                <w:sz w:val="18"/>
                <w:szCs w:val="18"/>
                <w:color w:val="0000FF"/>
                <w:w w:val="97"/>
              </w:rPr>
              <w:t>Consolidated Statements of Earnings</w:t>
            </w:r>
          </w:p>
        </w:tc>
        <w:tc>
          <w:tcPr>
            <w:tcW w:w="4040" w:type="dxa"/>
            <w:vAlign w:val="bottom"/>
            <w:gridSpan w:val="7"/>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Borders>
              <w:bottom w:val="single" w:sz="8" w:color="0000FF"/>
            </w:tcBorders>
          </w:tcPr>
          <w:p>
            <w:pPr>
              <w:spacing w:after="0" w:line="205" w:lineRule="exact"/>
              <w:rPr>
                <w:sz w:val="20"/>
                <w:szCs w:val="20"/>
                <w:color w:val="auto"/>
              </w:rPr>
            </w:pPr>
            <w:r>
              <w:rPr>
                <w:rFonts w:ascii="Times New Roman" w:cs="Times New Roman" w:eastAsia="Times New Roman" w:hAnsi="Times New Roman"/>
                <w:sz w:val="18"/>
                <w:szCs w:val="18"/>
                <w:color w:val="0000FF"/>
                <w:w w:val="88"/>
              </w:rPr>
              <w:t>3</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80" w:type="dxa"/>
            <w:vAlign w:val="bottom"/>
            <w:tcBorders>
              <w:bottom w:val="single" w:sz="8" w:color="0000FF"/>
            </w:tcBorders>
            <w:gridSpan w:val="13"/>
          </w:tcPr>
          <w:p>
            <w:pPr>
              <w:spacing w:after="0" w:line="205" w:lineRule="exact"/>
              <w:rPr>
                <w:sz w:val="20"/>
                <w:szCs w:val="20"/>
                <w:color w:val="auto"/>
              </w:rPr>
            </w:pPr>
            <w:r>
              <w:rPr>
                <w:rFonts w:ascii="Times New Roman" w:cs="Times New Roman" w:eastAsia="Times New Roman" w:hAnsi="Times New Roman"/>
                <w:sz w:val="18"/>
                <w:szCs w:val="18"/>
                <w:color w:val="0000FF"/>
                <w:w w:val="97"/>
              </w:rPr>
              <w:t>Consolidated Statements of Comprehensive Income</w:t>
            </w:r>
          </w:p>
        </w:tc>
        <w:tc>
          <w:tcPr>
            <w:tcW w:w="2980" w:type="dxa"/>
            <w:vAlign w:val="bottom"/>
            <w:gridSpan w:val="4"/>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Borders>
              <w:bottom w:val="single" w:sz="8" w:color="0000FF"/>
            </w:tcBorders>
          </w:tcPr>
          <w:p>
            <w:pPr>
              <w:spacing w:after="0" w:line="205" w:lineRule="exact"/>
              <w:rPr>
                <w:sz w:val="20"/>
                <w:szCs w:val="20"/>
                <w:color w:val="auto"/>
              </w:rPr>
            </w:pPr>
            <w:r>
              <w:rPr>
                <w:rFonts w:ascii="Times New Roman" w:cs="Times New Roman" w:eastAsia="Times New Roman" w:hAnsi="Times New Roman"/>
                <w:sz w:val="18"/>
                <w:szCs w:val="18"/>
                <w:color w:val="0000FF"/>
                <w:w w:val="88"/>
              </w:rPr>
              <w:t>4</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60" w:type="dxa"/>
            <w:vAlign w:val="bottom"/>
            <w:tcBorders>
              <w:bottom w:val="single" w:sz="8" w:color="0000FF"/>
            </w:tcBorders>
            <w:gridSpan w:val="7"/>
          </w:tcPr>
          <w:p>
            <w:pPr>
              <w:spacing w:after="0" w:line="205" w:lineRule="exact"/>
              <w:rPr>
                <w:sz w:val="20"/>
                <w:szCs w:val="20"/>
                <w:color w:val="auto"/>
              </w:rPr>
            </w:pPr>
            <w:r>
              <w:rPr>
                <w:rFonts w:ascii="Times New Roman" w:cs="Times New Roman" w:eastAsia="Times New Roman" w:hAnsi="Times New Roman"/>
                <w:sz w:val="18"/>
                <w:szCs w:val="18"/>
                <w:color w:val="0000FF"/>
                <w:w w:val="97"/>
              </w:rPr>
              <w:t>Consolidated Balance Sheets</w:t>
            </w:r>
          </w:p>
        </w:tc>
        <w:tc>
          <w:tcPr>
            <w:tcW w:w="4600" w:type="dxa"/>
            <w:vAlign w:val="bottom"/>
            <w:gridSpan w:val="10"/>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Borders>
              <w:bottom w:val="single" w:sz="8" w:color="0000FF"/>
            </w:tcBorders>
          </w:tcPr>
          <w:p>
            <w:pPr>
              <w:spacing w:after="0" w:line="205" w:lineRule="exact"/>
              <w:rPr>
                <w:sz w:val="20"/>
                <w:szCs w:val="20"/>
                <w:color w:val="auto"/>
              </w:rPr>
            </w:pPr>
            <w:r>
              <w:rPr>
                <w:rFonts w:ascii="Times New Roman" w:cs="Times New Roman" w:eastAsia="Times New Roman" w:hAnsi="Times New Roman"/>
                <w:sz w:val="18"/>
                <w:szCs w:val="18"/>
                <w:color w:val="0000FF"/>
                <w:w w:val="88"/>
              </w:rPr>
              <w:t>5</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20" w:type="dxa"/>
            <w:vAlign w:val="bottom"/>
            <w:tcBorders>
              <w:bottom w:val="single" w:sz="8" w:color="0000FF"/>
            </w:tcBorders>
            <w:gridSpan w:val="11"/>
          </w:tcPr>
          <w:p>
            <w:pPr>
              <w:spacing w:after="0" w:line="205" w:lineRule="exact"/>
              <w:rPr>
                <w:sz w:val="20"/>
                <w:szCs w:val="20"/>
                <w:color w:val="auto"/>
              </w:rPr>
            </w:pPr>
            <w:r>
              <w:rPr>
                <w:rFonts w:ascii="Times New Roman" w:cs="Times New Roman" w:eastAsia="Times New Roman" w:hAnsi="Times New Roman"/>
                <w:sz w:val="18"/>
                <w:szCs w:val="18"/>
                <w:color w:val="0000FF"/>
                <w:w w:val="97"/>
              </w:rPr>
              <w:t>Consolidated Statements of Cash Flows</w:t>
            </w:r>
          </w:p>
        </w:tc>
        <w:tc>
          <w:tcPr>
            <w:tcW w:w="3840" w:type="dxa"/>
            <w:vAlign w:val="bottom"/>
            <w:gridSpan w:val="6"/>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Borders>
              <w:bottom w:val="single" w:sz="8" w:color="0000FF"/>
            </w:tcBorders>
          </w:tcPr>
          <w:p>
            <w:pPr>
              <w:spacing w:after="0" w:line="205" w:lineRule="exact"/>
              <w:rPr>
                <w:sz w:val="20"/>
                <w:szCs w:val="20"/>
                <w:color w:val="auto"/>
              </w:rPr>
            </w:pPr>
            <w:r>
              <w:rPr>
                <w:rFonts w:ascii="Times New Roman" w:cs="Times New Roman" w:eastAsia="Times New Roman" w:hAnsi="Times New Roman"/>
                <w:sz w:val="18"/>
                <w:szCs w:val="18"/>
                <w:color w:val="0000FF"/>
                <w:w w:val="88"/>
              </w:rPr>
              <w:t>6</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60" w:type="dxa"/>
            <w:vAlign w:val="bottom"/>
            <w:gridSpan w:val="17"/>
          </w:tcPr>
          <w:p>
            <w:pPr>
              <w:spacing w:after="0" w:line="205" w:lineRule="exact"/>
              <w:rPr>
                <w:sz w:val="20"/>
                <w:szCs w:val="20"/>
                <w:color w:val="auto"/>
              </w:rPr>
            </w:pPr>
            <w:r>
              <w:rPr>
                <w:rFonts w:ascii="Times New Roman" w:cs="Times New Roman" w:eastAsia="Times New Roman" w:hAnsi="Times New Roman"/>
                <w:sz w:val="18"/>
                <w:szCs w:val="18"/>
                <w:color w:val="0000FF"/>
              </w:rPr>
              <w:t>Consolidated Statements of Equity</w:t>
            </w:r>
          </w:p>
        </w:tc>
        <w:tc>
          <w:tcPr>
            <w:tcW w:w="2460" w:type="dxa"/>
            <w:vAlign w:val="bottom"/>
            <w:gridSpan w:val="3"/>
          </w:tcPr>
          <w:p>
            <w:pPr>
              <w:ind w:left="2280"/>
              <w:spacing w:after="0" w:line="205" w:lineRule="exact"/>
              <w:rPr>
                <w:sz w:val="20"/>
                <w:szCs w:val="20"/>
                <w:color w:val="auto"/>
              </w:rPr>
            </w:pPr>
            <w:r>
              <w:rPr>
                <w:rFonts w:ascii="Times New Roman" w:cs="Times New Roman" w:eastAsia="Times New Roman" w:hAnsi="Times New Roman"/>
                <w:sz w:val="18"/>
                <w:szCs w:val="18"/>
                <w:color w:val="0000FF"/>
              </w:rPr>
              <w:t>7</w:t>
            </w:r>
          </w:p>
        </w:tc>
        <w:tc>
          <w:tcPr>
            <w:tcW w:w="11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gridSpan w:val="4"/>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100" w:type="dxa"/>
            <w:vAlign w:val="bottom"/>
            <w:tcBorders>
              <w:bottom w:val="single" w:sz="8" w:color="0000FF"/>
            </w:tcBorders>
            <w:gridSpan w:val="12"/>
          </w:tcPr>
          <w:p>
            <w:pPr>
              <w:spacing w:after="0" w:line="205" w:lineRule="exact"/>
              <w:rPr>
                <w:sz w:val="20"/>
                <w:szCs w:val="20"/>
                <w:color w:val="auto"/>
              </w:rPr>
            </w:pPr>
            <w:r>
              <w:rPr>
                <w:rFonts w:ascii="Times New Roman" w:cs="Times New Roman" w:eastAsia="Times New Roman" w:hAnsi="Times New Roman"/>
                <w:sz w:val="18"/>
                <w:szCs w:val="18"/>
                <w:color w:val="0000FF"/>
                <w:w w:val="97"/>
              </w:rPr>
              <w:t>Notes to Consolidated Financial Statements</w:t>
            </w:r>
          </w:p>
        </w:tc>
        <w:tc>
          <w:tcPr>
            <w:tcW w:w="3560" w:type="dxa"/>
            <w:vAlign w:val="bottom"/>
            <w:gridSpan w:val="5"/>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Borders>
              <w:bottom w:val="single" w:sz="8" w:color="0000FF"/>
            </w:tcBorders>
          </w:tcPr>
          <w:p>
            <w:pPr>
              <w:spacing w:after="0" w:line="205" w:lineRule="exact"/>
              <w:rPr>
                <w:sz w:val="20"/>
                <w:szCs w:val="20"/>
                <w:color w:val="auto"/>
              </w:rPr>
            </w:pPr>
            <w:r>
              <w:rPr>
                <w:rFonts w:ascii="Times New Roman" w:cs="Times New Roman" w:eastAsia="Times New Roman" w:hAnsi="Times New Roman"/>
                <w:sz w:val="18"/>
                <w:szCs w:val="18"/>
                <w:color w:val="0000FF"/>
                <w:w w:val="88"/>
              </w:rPr>
              <w:t>8</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60" w:type="dxa"/>
            <w:vAlign w:val="bottom"/>
            <w:tcBorders>
              <w:bottom w:val="single" w:sz="8" w:color="0000FF"/>
            </w:tcBorders>
            <w:gridSpan w:val="18"/>
          </w:tcPr>
          <w:p>
            <w:pPr>
              <w:spacing w:after="0" w:line="205" w:lineRule="exact"/>
              <w:rPr>
                <w:sz w:val="20"/>
                <w:szCs w:val="20"/>
                <w:color w:val="auto"/>
              </w:rPr>
            </w:pPr>
            <w:r>
              <w:rPr>
                <w:rFonts w:ascii="Times New Roman" w:cs="Times New Roman" w:eastAsia="Times New Roman" w:hAnsi="Times New Roman"/>
                <w:sz w:val="18"/>
                <w:szCs w:val="18"/>
                <w:color w:val="0000FF"/>
                <w:w w:val="97"/>
              </w:rPr>
              <w:t>Item 2. Management's Discussion and Analysis of Financial Condition and Results of Operations</w:t>
            </w:r>
          </w:p>
        </w:tc>
        <w:tc>
          <w:tcPr>
            <w:tcW w:w="2280" w:type="dxa"/>
            <w:vAlign w:val="bottom"/>
          </w:tcPr>
          <w:p>
            <w:pPr>
              <w:spacing w:after="0"/>
              <w:rPr>
                <w:sz w:val="17"/>
                <w:szCs w:val="17"/>
                <w:color w:val="auto"/>
              </w:rPr>
            </w:pPr>
          </w:p>
        </w:tc>
        <w:tc>
          <w:tcPr>
            <w:tcW w:w="180" w:type="dxa"/>
            <w:vAlign w:val="bottom"/>
            <w:tcBorders>
              <w:bottom w:val="single" w:sz="8" w:color="0000FF"/>
            </w:tcBorders>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88"/>
              </w:rPr>
              <w:t>23</w:t>
            </w: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60" w:type="dxa"/>
            <w:vAlign w:val="bottom"/>
            <w:gridSpan w:val="18"/>
          </w:tcPr>
          <w:p>
            <w:pPr>
              <w:spacing w:after="0" w:line="205" w:lineRule="exact"/>
              <w:rPr>
                <w:sz w:val="20"/>
                <w:szCs w:val="20"/>
                <w:color w:val="auto"/>
              </w:rPr>
            </w:pPr>
            <w:r>
              <w:rPr>
                <w:rFonts w:ascii="Times New Roman" w:cs="Times New Roman" w:eastAsia="Times New Roman" w:hAnsi="Times New Roman"/>
                <w:sz w:val="18"/>
                <w:szCs w:val="18"/>
                <w:color w:val="0000FF"/>
              </w:rPr>
              <w:t>Item 3. Quantitative and Qualitative Disclosure About Market Risk</w:t>
            </w:r>
          </w:p>
        </w:tc>
        <w:tc>
          <w:tcPr>
            <w:tcW w:w="2460" w:type="dxa"/>
            <w:vAlign w:val="bottom"/>
            <w:gridSpan w:val="3"/>
          </w:tcPr>
          <w:p>
            <w:pPr>
              <w:ind w:left="2280"/>
              <w:spacing w:after="0" w:line="205" w:lineRule="exact"/>
              <w:rPr>
                <w:sz w:val="20"/>
                <w:szCs w:val="20"/>
                <w:color w:val="auto"/>
              </w:rPr>
            </w:pPr>
            <w:r>
              <w:rPr>
                <w:rFonts w:ascii="Times New Roman" w:cs="Times New Roman" w:eastAsia="Times New Roman" w:hAnsi="Times New Roman"/>
                <w:sz w:val="18"/>
                <w:szCs w:val="18"/>
                <w:color w:val="0000FF"/>
                <w:w w:val="88"/>
              </w:rPr>
              <w:t>30</w:t>
            </w: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80" w:type="dxa"/>
            <w:vAlign w:val="bottom"/>
            <w:tcBorders>
              <w:top w:val="single" w:sz="8" w:color="0000FF"/>
              <w:bottom w:val="single" w:sz="8" w:color="0000FF"/>
            </w:tcBorders>
            <w:gridSpan w:val="9"/>
          </w:tcPr>
          <w:p>
            <w:pPr>
              <w:spacing w:after="0" w:line="205" w:lineRule="exact"/>
              <w:rPr>
                <w:sz w:val="20"/>
                <w:szCs w:val="20"/>
                <w:color w:val="auto"/>
              </w:rPr>
            </w:pPr>
            <w:r>
              <w:rPr>
                <w:rFonts w:ascii="Times New Roman" w:cs="Times New Roman" w:eastAsia="Times New Roman" w:hAnsi="Times New Roman"/>
                <w:sz w:val="18"/>
                <w:szCs w:val="18"/>
                <w:color w:val="0000FF"/>
                <w:w w:val="97"/>
              </w:rPr>
              <w:t>Item 4. Controls and Procedures</w:t>
            </w:r>
          </w:p>
        </w:tc>
        <w:tc>
          <w:tcPr>
            <w:tcW w:w="2460" w:type="dxa"/>
            <w:vAlign w:val="bottom"/>
            <w:tcBorders>
              <w:top w:val="single" w:sz="8" w:color="0000FF"/>
            </w:tcBorders>
            <w:gridSpan w:val="6"/>
          </w:tcPr>
          <w:p>
            <w:pPr>
              <w:spacing w:after="0"/>
              <w:rPr>
                <w:sz w:val="17"/>
                <w:szCs w:val="17"/>
                <w:color w:val="auto"/>
              </w:rPr>
            </w:pPr>
          </w:p>
        </w:tc>
        <w:tc>
          <w:tcPr>
            <w:tcW w:w="2120" w:type="dxa"/>
            <w:vAlign w:val="bottom"/>
            <w:gridSpan w:val="3"/>
          </w:tcPr>
          <w:p>
            <w:pPr>
              <w:spacing w:after="0"/>
              <w:rPr>
                <w:sz w:val="17"/>
                <w:szCs w:val="17"/>
                <w:color w:val="auto"/>
              </w:rPr>
            </w:pPr>
          </w:p>
        </w:tc>
        <w:tc>
          <w:tcPr>
            <w:tcW w:w="2280" w:type="dxa"/>
            <w:vAlign w:val="bottom"/>
          </w:tcPr>
          <w:p>
            <w:pPr>
              <w:spacing w:after="0"/>
              <w:rPr>
                <w:sz w:val="17"/>
                <w:szCs w:val="17"/>
                <w:color w:val="auto"/>
              </w:rPr>
            </w:pPr>
          </w:p>
        </w:tc>
        <w:tc>
          <w:tcPr>
            <w:tcW w:w="180" w:type="dxa"/>
            <w:vAlign w:val="bottom"/>
            <w:tcBorders>
              <w:top w:val="single" w:sz="8" w:color="0000FF"/>
              <w:bottom w:val="single" w:sz="8" w:color="0000FF"/>
            </w:tcBorders>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88"/>
              </w:rPr>
              <w:t>30</w:t>
            </w: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640" w:type="dxa"/>
            <w:vAlign w:val="bottom"/>
            <w:gridSpan w:val="19"/>
          </w:tcPr>
          <w:p>
            <w:pPr>
              <w:spacing w:after="0" w:line="205" w:lineRule="exact"/>
              <w:rPr>
                <w:sz w:val="20"/>
                <w:szCs w:val="20"/>
                <w:color w:val="auto"/>
              </w:rPr>
            </w:pPr>
            <w:r>
              <w:rPr>
                <w:rFonts w:ascii="Times New Roman" w:cs="Times New Roman" w:eastAsia="Times New Roman" w:hAnsi="Times New Roman"/>
                <w:sz w:val="18"/>
                <w:szCs w:val="18"/>
                <w:color w:val="0000FF"/>
              </w:rPr>
              <w:t>PART II - OTHER INFORMATION</w:t>
            </w:r>
          </w:p>
        </w:tc>
        <w:tc>
          <w:tcPr>
            <w:tcW w:w="2460" w:type="dxa"/>
            <w:vAlign w:val="bottom"/>
            <w:gridSpan w:val="3"/>
          </w:tcPr>
          <w:p>
            <w:pPr>
              <w:ind w:left="2280"/>
              <w:spacing w:after="0" w:line="205" w:lineRule="exact"/>
              <w:rPr>
                <w:sz w:val="20"/>
                <w:szCs w:val="20"/>
                <w:color w:val="auto"/>
              </w:rPr>
            </w:pPr>
            <w:r>
              <w:rPr>
                <w:rFonts w:ascii="Times New Roman" w:cs="Times New Roman" w:eastAsia="Times New Roman" w:hAnsi="Times New Roman"/>
                <w:sz w:val="18"/>
                <w:szCs w:val="18"/>
                <w:color w:val="0000FF"/>
                <w:w w:val="88"/>
              </w:rPr>
              <w:t>31</w:t>
            </w:r>
          </w:p>
        </w:tc>
        <w:tc>
          <w:tcPr>
            <w:tcW w:w="11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000" w:type="dxa"/>
            <w:vAlign w:val="bottom"/>
            <w:gridSpan w:val="11"/>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60" w:type="dxa"/>
            <w:vAlign w:val="bottom"/>
            <w:gridSpan w:val="18"/>
          </w:tcPr>
          <w:p>
            <w:pPr>
              <w:spacing w:after="0" w:line="205" w:lineRule="exact"/>
              <w:rPr>
                <w:sz w:val="20"/>
                <w:szCs w:val="20"/>
                <w:color w:val="auto"/>
              </w:rPr>
            </w:pPr>
            <w:r>
              <w:rPr>
                <w:rFonts w:ascii="Times New Roman" w:cs="Times New Roman" w:eastAsia="Times New Roman" w:hAnsi="Times New Roman"/>
                <w:sz w:val="18"/>
                <w:szCs w:val="18"/>
                <w:color w:val="0000FF"/>
              </w:rPr>
              <w:t>Item 1. Legal Proceedings</w:t>
            </w:r>
          </w:p>
        </w:tc>
        <w:tc>
          <w:tcPr>
            <w:tcW w:w="2460" w:type="dxa"/>
            <w:vAlign w:val="bottom"/>
            <w:gridSpan w:val="3"/>
          </w:tcPr>
          <w:p>
            <w:pPr>
              <w:ind w:left="2280"/>
              <w:spacing w:after="0" w:line="205" w:lineRule="exact"/>
              <w:rPr>
                <w:sz w:val="20"/>
                <w:szCs w:val="20"/>
                <w:color w:val="auto"/>
              </w:rPr>
            </w:pPr>
            <w:r>
              <w:rPr>
                <w:rFonts w:ascii="Times New Roman" w:cs="Times New Roman" w:eastAsia="Times New Roman" w:hAnsi="Times New Roman"/>
                <w:sz w:val="18"/>
                <w:szCs w:val="18"/>
                <w:color w:val="0000FF"/>
                <w:w w:val="88"/>
              </w:rPr>
              <w:t>31</w:t>
            </w:r>
          </w:p>
        </w:tc>
        <w:tc>
          <w:tcPr>
            <w:tcW w:w="11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60" w:type="dxa"/>
            <w:vAlign w:val="bottom"/>
            <w:gridSpan w:val="18"/>
          </w:tcPr>
          <w:p>
            <w:pPr>
              <w:spacing w:after="0" w:line="205" w:lineRule="exact"/>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2460" w:type="dxa"/>
            <w:vAlign w:val="bottom"/>
            <w:gridSpan w:val="3"/>
          </w:tcPr>
          <w:p>
            <w:pPr>
              <w:ind w:left="2280"/>
              <w:spacing w:after="0" w:line="205" w:lineRule="exact"/>
              <w:rPr>
                <w:sz w:val="20"/>
                <w:szCs w:val="20"/>
                <w:color w:val="auto"/>
              </w:rPr>
            </w:pPr>
            <w:r>
              <w:rPr>
                <w:rFonts w:ascii="Times New Roman" w:cs="Times New Roman" w:eastAsia="Times New Roman" w:hAnsi="Times New Roman"/>
                <w:sz w:val="18"/>
                <w:szCs w:val="18"/>
                <w:color w:val="0000FF"/>
                <w:w w:val="88"/>
              </w:rPr>
              <w:t>31</w:t>
            </w: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0" w:type="dxa"/>
            <w:vAlign w:val="bottom"/>
            <w:tcBorders>
              <w:top w:val="single" w:sz="8" w:color="0000FF"/>
            </w:tcBorders>
            <w:gridSpan w:val="16"/>
          </w:tcPr>
          <w:p>
            <w:pPr>
              <w:spacing w:after="0" w:line="205" w:lineRule="exact"/>
              <w:rPr>
                <w:sz w:val="20"/>
                <w:szCs w:val="20"/>
                <w:color w:val="auto"/>
              </w:rPr>
            </w:pPr>
            <w:r>
              <w:rPr>
                <w:rFonts w:ascii="Times New Roman" w:cs="Times New Roman" w:eastAsia="Times New Roman" w:hAnsi="Times New Roman"/>
                <w:sz w:val="18"/>
                <w:szCs w:val="18"/>
                <w:color w:val="0000FF"/>
              </w:rPr>
              <w:t>Item 6. Exhibits</w:t>
            </w:r>
          </w:p>
        </w:tc>
        <w:tc>
          <w:tcPr>
            <w:tcW w:w="2060" w:type="dxa"/>
            <w:vAlign w:val="bottom"/>
            <w:gridSpan w:val="2"/>
          </w:tcPr>
          <w:p>
            <w:pPr>
              <w:spacing w:after="0"/>
              <w:rPr>
                <w:sz w:val="17"/>
                <w:szCs w:val="17"/>
                <w:color w:val="auto"/>
              </w:rPr>
            </w:pPr>
          </w:p>
        </w:tc>
        <w:tc>
          <w:tcPr>
            <w:tcW w:w="2280" w:type="dxa"/>
            <w:vAlign w:val="bottom"/>
          </w:tcPr>
          <w:p>
            <w:pPr>
              <w:spacing w:after="0"/>
              <w:rPr>
                <w:sz w:val="17"/>
                <w:szCs w:val="17"/>
                <w:color w:val="auto"/>
              </w:rPr>
            </w:pPr>
          </w:p>
        </w:tc>
        <w:tc>
          <w:tcPr>
            <w:tcW w:w="180" w:type="dxa"/>
            <w:vAlign w:val="bottom"/>
            <w:tcBorders>
              <w:top w:val="single" w:sz="8" w:color="0000FF"/>
            </w:tcBorders>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88"/>
              </w:rPr>
              <w:t>31</w:t>
            </w:r>
          </w:p>
        </w:tc>
        <w:tc>
          <w:tcPr>
            <w:tcW w:w="11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740" w:type="dxa"/>
            <w:vAlign w:val="bottom"/>
            <w:gridSpan w:val="14"/>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680" w:type="dxa"/>
            <w:vAlign w:val="bottom"/>
            <w:tcBorders>
              <w:bottom w:val="single" w:sz="8" w:color="0000FF"/>
            </w:tcBorders>
            <w:gridSpan w:val="4"/>
          </w:tcPr>
          <w:p>
            <w:pPr>
              <w:spacing w:after="0" w:line="205" w:lineRule="exact"/>
              <w:rPr>
                <w:sz w:val="20"/>
                <w:szCs w:val="20"/>
                <w:color w:val="auto"/>
              </w:rPr>
            </w:pPr>
            <w:r>
              <w:rPr>
                <w:rFonts w:ascii="Times New Roman" w:cs="Times New Roman" w:eastAsia="Times New Roman" w:hAnsi="Times New Roman"/>
                <w:sz w:val="18"/>
                <w:szCs w:val="18"/>
                <w:color w:val="0000FF"/>
                <w:w w:val="97"/>
              </w:rPr>
              <w:t>INDEX TO EXHIBITS</w:t>
            </w:r>
          </w:p>
        </w:tc>
        <w:tc>
          <w:tcPr>
            <w:tcW w:w="5960" w:type="dxa"/>
            <w:vAlign w:val="bottom"/>
            <w:gridSpan w:val="15"/>
          </w:tcPr>
          <w:p>
            <w:pPr>
              <w:spacing w:after="0"/>
              <w:rPr>
                <w:sz w:val="17"/>
                <w:szCs w:val="17"/>
                <w:color w:val="auto"/>
              </w:rPr>
            </w:pPr>
          </w:p>
        </w:tc>
        <w:tc>
          <w:tcPr>
            <w:tcW w:w="2280" w:type="dxa"/>
            <w:vAlign w:val="bottom"/>
          </w:tcPr>
          <w:p>
            <w:pPr>
              <w:spacing w:after="0"/>
              <w:rPr>
                <w:sz w:val="17"/>
                <w:szCs w:val="17"/>
                <w:color w:val="auto"/>
              </w:rPr>
            </w:pPr>
          </w:p>
        </w:tc>
        <w:tc>
          <w:tcPr>
            <w:tcW w:w="180" w:type="dxa"/>
            <w:vAlign w:val="bottom"/>
            <w:tcBorders>
              <w:bottom w:val="single" w:sz="8" w:color="0000FF"/>
            </w:tcBorders>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88"/>
              </w:rPr>
              <w:t>31</w:t>
            </w: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640" w:type="dxa"/>
            <w:vAlign w:val="bottom"/>
            <w:gridSpan w:val="19"/>
          </w:tcPr>
          <w:p>
            <w:pPr>
              <w:spacing w:after="0" w:line="205" w:lineRule="exact"/>
              <w:rPr>
                <w:sz w:val="20"/>
                <w:szCs w:val="20"/>
                <w:color w:val="auto"/>
              </w:rPr>
            </w:pPr>
            <w:r>
              <w:rPr>
                <w:rFonts w:ascii="Times New Roman" w:cs="Times New Roman" w:eastAsia="Times New Roman" w:hAnsi="Times New Roman"/>
                <w:sz w:val="18"/>
                <w:szCs w:val="18"/>
                <w:color w:val="0000FF"/>
              </w:rPr>
              <w:t>SIGNATURES</w:t>
            </w:r>
          </w:p>
        </w:tc>
        <w:tc>
          <w:tcPr>
            <w:tcW w:w="2460" w:type="dxa"/>
            <w:vAlign w:val="bottom"/>
            <w:gridSpan w:val="3"/>
          </w:tcPr>
          <w:p>
            <w:pPr>
              <w:ind w:left="2280"/>
              <w:spacing w:after="0" w:line="205" w:lineRule="exact"/>
              <w:rPr>
                <w:sz w:val="20"/>
                <w:szCs w:val="20"/>
                <w:color w:val="auto"/>
              </w:rPr>
            </w:pPr>
            <w:r>
              <w:rPr>
                <w:rFonts w:ascii="Times New Roman" w:cs="Times New Roman" w:eastAsia="Times New Roman" w:hAnsi="Times New Roman"/>
                <w:sz w:val="18"/>
                <w:szCs w:val="18"/>
                <w:color w:val="0000FF"/>
                <w:w w:val="88"/>
              </w:rPr>
              <w:t>32</w:t>
            </w:r>
          </w:p>
        </w:tc>
        <w:tc>
          <w:tcPr>
            <w:tcW w:w="1120" w:type="dxa"/>
            <w:vAlign w:val="bottom"/>
          </w:tcPr>
          <w:p>
            <w:pPr>
              <w:spacing w:after="0"/>
              <w:rPr>
                <w:sz w:val="17"/>
                <w:szCs w:val="17"/>
                <w:color w:val="auto"/>
              </w:rPr>
            </w:pPr>
          </w:p>
        </w:tc>
      </w:tr>
      <w:tr>
        <w:trPr>
          <w:trHeight w:val="869"/>
        </w:trPr>
        <w:tc>
          <w:tcPr>
            <w:tcW w:w="20" w:type="dxa"/>
            <w:vAlign w:val="bottom"/>
          </w:tcPr>
          <w:p>
            <w:pPr>
              <w:spacing w:after="0"/>
              <w:rPr>
                <w:sz w:val="24"/>
                <w:szCs w:val="24"/>
                <w:color w:val="auto"/>
              </w:rPr>
            </w:pPr>
          </w:p>
        </w:tc>
        <w:tc>
          <w:tcPr>
            <w:tcW w:w="1080" w:type="dxa"/>
            <w:vAlign w:val="bottom"/>
            <w:tcBorders>
              <w:top w:val="single" w:sz="8" w:color="0000FF"/>
            </w:tcBorders>
            <w:gridSpan w:val="3"/>
          </w:tcPr>
          <w:p>
            <w:pPr>
              <w:spacing w:after="0"/>
              <w:rPr>
                <w:sz w:val="24"/>
                <w:szCs w:val="24"/>
                <w:color w:val="auto"/>
              </w:rPr>
            </w:pPr>
          </w:p>
        </w:tc>
        <w:tc>
          <w:tcPr>
            <w:tcW w:w="5460" w:type="dxa"/>
            <w:vAlign w:val="bottom"/>
            <w:gridSpan w:val="15"/>
          </w:tcPr>
          <w:p>
            <w:pPr>
              <w:jc w:val="right"/>
              <w:ind w:right="900"/>
              <w:spacing w:after="0"/>
              <w:rPr>
                <w:sz w:val="20"/>
                <w:szCs w:val="20"/>
                <w:color w:val="auto"/>
              </w:rPr>
            </w:pPr>
            <w:r>
              <w:rPr>
                <w:rFonts w:ascii="Times New Roman" w:cs="Times New Roman" w:eastAsia="Times New Roman" w:hAnsi="Times New Roman"/>
                <w:sz w:val="18"/>
                <w:szCs w:val="18"/>
                <w:color w:val="auto"/>
              </w:rPr>
              <w:t>2</w:t>
            </w:r>
          </w:p>
        </w:tc>
        <w:tc>
          <w:tcPr>
            <w:tcW w:w="1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120" w:type="dxa"/>
            <w:vAlign w:val="bottom"/>
          </w:tcPr>
          <w:p>
            <w:pPr>
              <w:spacing w:after="0"/>
              <w:rPr>
                <w:sz w:val="24"/>
                <w:szCs w:val="24"/>
                <w:color w:val="auto"/>
              </w:rPr>
            </w:pPr>
          </w:p>
        </w:tc>
      </w:tr>
      <w:tr>
        <w:trPr>
          <w:trHeight w:val="111"/>
        </w:trPr>
        <w:tc>
          <w:tcPr>
            <w:tcW w:w="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22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2" w:name="page3"/>
    <w:bookmarkEnd w:id="2"/>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3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Financial Statements</w:t>
      </w:r>
    </w:p>
    <w:p>
      <w:pPr>
        <w:spacing w:after="0" w:line="100"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CAMPBELL SOUP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Earnings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(millions, except per share amounts)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20" w:type="dxa"/>
            <w:vAlign w:val="bottom"/>
          </w:tcPr>
          <w:p>
            <w:pPr>
              <w:spacing w:after="0"/>
              <w:rPr>
                <w:sz w:val="16"/>
                <w:szCs w:val="16"/>
                <w:color w:val="auto"/>
              </w:rPr>
            </w:pPr>
          </w:p>
        </w:tc>
      </w:tr>
      <w:tr>
        <w:trPr>
          <w:trHeight w:val="24"/>
        </w:trPr>
        <w:tc>
          <w:tcPr>
            <w:tcW w:w="8780" w:type="dxa"/>
            <w:vAlign w:val="bottom"/>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r>
      <w:tr>
        <w:trPr>
          <w:trHeight w:val="186"/>
        </w:trPr>
        <w:tc>
          <w:tcPr>
            <w:tcW w:w="8780" w:type="dxa"/>
            <w:vAlign w:val="bottom"/>
          </w:tcPr>
          <w:p>
            <w:pPr>
              <w:spacing w:after="0"/>
              <w:rPr>
                <w:sz w:val="16"/>
                <w:szCs w:val="16"/>
                <w:color w:val="auto"/>
              </w:rPr>
            </w:pPr>
          </w:p>
        </w:tc>
        <w:tc>
          <w:tcPr>
            <w:tcW w:w="12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October 30, 2022</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31, 2021</w:t>
            </w:r>
          </w:p>
        </w:tc>
      </w:tr>
      <w:tr>
        <w:trPr>
          <w:trHeight w:val="225"/>
        </w:trPr>
        <w:tc>
          <w:tcPr>
            <w:tcW w:w="878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40" w:type="dxa"/>
            <w:vAlign w:val="bottom"/>
            <w:tcBorders>
              <w:top w:val="single" w:sz="8" w:color="auto"/>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2,575</w:t>
            </w:r>
          </w:p>
        </w:tc>
        <w:tc>
          <w:tcPr>
            <w:tcW w:w="100" w:type="dxa"/>
            <w:vAlign w:val="bottom"/>
            <w:tcBorders>
              <w:top w:val="single" w:sz="8" w:color="CCEEFF"/>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ind w:right="47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w:t>
            </w:r>
          </w:p>
        </w:tc>
      </w:tr>
      <w:tr>
        <w:trPr>
          <w:trHeight w:val="218"/>
        </w:trPr>
        <w:tc>
          <w:tcPr>
            <w:tcW w:w="8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25"/>
        </w:trPr>
        <w:tc>
          <w:tcPr>
            <w:tcW w:w="8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products sold</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1,741</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w:t>
            </w:r>
          </w:p>
        </w:tc>
      </w:tr>
      <w:tr>
        <w:trPr>
          <w:trHeight w:val="225"/>
        </w:trPr>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Marketing and selling expenses</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25"/>
        </w:trPr>
        <w:tc>
          <w:tcPr>
            <w:tcW w:w="8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Administrative expenses</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25"/>
        </w:trPr>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5"/>
        </w:trPr>
        <w:tc>
          <w:tcPr>
            <w:tcW w:w="8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expenses / (income)</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5"/>
        </w:trPr>
        <w:tc>
          <w:tcPr>
            <w:tcW w:w="87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Restructuring charges</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8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2,139</w:t>
            </w:r>
          </w:p>
        </w:tc>
        <w:tc>
          <w:tcPr>
            <w:tcW w:w="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w:t>
            </w:r>
          </w:p>
        </w:tc>
      </w:tr>
      <w:tr>
        <w:trPr>
          <w:trHeight w:val="218"/>
        </w:trPr>
        <w:tc>
          <w:tcPr>
            <w:tcW w:w="8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before interest and taxes</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436</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r>
      <w:tr>
        <w:trPr>
          <w:trHeight w:val="225"/>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5"/>
        </w:trPr>
        <w:tc>
          <w:tcPr>
            <w:tcW w:w="8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before taxes</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390</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r>
      <w:tr>
        <w:trPr>
          <w:trHeight w:val="225"/>
        </w:trPr>
        <w:tc>
          <w:tcPr>
            <w:tcW w:w="8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Taxes on earnings</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w:t>
            </w: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8"/>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25"/>
        </w:trPr>
        <w:tc>
          <w:tcPr>
            <w:tcW w:w="87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Less: Net earnings (loss) attributable to noncontrolling interests</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 attributable to Campbell Soup Company</w:t>
            </w: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w:t>
            </w:r>
          </w:p>
        </w:tc>
        <w:tc>
          <w:tcPr>
            <w:tcW w:w="1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47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0"/>
        </w:trPr>
        <w:tc>
          <w:tcPr>
            <w:tcW w:w="87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87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rPr>
              <w:t>Per Share — Basic</w:t>
            </w: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50"/>
        </w:trPr>
        <w:tc>
          <w:tcPr>
            <w:tcW w:w="8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 attributable to Campbell Soup Company</w:t>
            </w: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w:t>
            </w:r>
          </w:p>
        </w:tc>
        <w:tc>
          <w:tcPr>
            <w:tcW w:w="1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7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0"/>
        </w:trPr>
        <w:tc>
          <w:tcPr>
            <w:tcW w:w="87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8780" w:type="dxa"/>
            <w:vAlign w:val="bottom"/>
            <w:tcBorders>
              <w:bottom w:val="single" w:sz="8" w:color="auto"/>
            </w:tcBorders>
          </w:tcPr>
          <w:p>
            <w:pPr>
              <w:ind w:left="20"/>
              <w:spacing w:after="0" w:line="198" w:lineRule="exact"/>
              <w:rPr>
                <w:sz w:val="20"/>
                <w:szCs w:val="20"/>
                <w:color w:val="auto"/>
              </w:rPr>
            </w:pPr>
            <w:r>
              <w:rPr>
                <w:rFonts w:ascii="Times New Roman" w:cs="Times New Roman" w:eastAsia="Times New Roman" w:hAnsi="Times New Roman"/>
                <w:sz w:val="18"/>
                <w:szCs w:val="18"/>
                <w:color w:val="auto"/>
              </w:rPr>
              <w:t>Weighted average shares outstanding — basic</w:t>
            </w:r>
          </w:p>
        </w:tc>
        <w:tc>
          <w:tcPr>
            <w:tcW w:w="3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299</w:t>
            </w: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302</w:t>
            </w:r>
          </w:p>
        </w:tc>
      </w:tr>
      <w:tr>
        <w:trPr>
          <w:trHeight w:val="20"/>
        </w:trPr>
        <w:tc>
          <w:tcPr>
            <w:tcW w:w="8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218"/>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Per Share — Assuming Dilution</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25"/>
        </w:trPr>
        <w:tc>
          <w:tcPr>
            <w:tcW w:w="8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 attributable to Campbell Soup Company</w:t>
            </w:r>
          </w:p>
        </w:tc>
        <w:tc>
          <w:tcPr>
            <w:tcW w:w="34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w:t>
            </w: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0"/>
        </w:trPr>
        <w:tc>
          <w:tcPr>
            <w:tcW w:w="8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243"/>
        </w:trPr>
        <w:tc>
          <w:tcPr>
            <w:tcW w:w="8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assuming dilution</w:t>
            </w:r>
          </w:p>
        </w:tc>
        <w:tc>
          <w:tcPr>
            <w:tcW w:w="3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301</w:t>
            </w:r>
          </w:p>
        </w:tc>
        <w:tc>
          <w:tcPr>
            <w:tcW w:w="1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r>
      <w:tr>
        <w:trPr>
          <w:trHeight w:val="20"/>
        </w:trPr>
        <w:tc>
          <w:tcPr>
            <w:tcW w:w="87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CAMPBELL SOUP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Comprehensive Income</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(millions)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4"/>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4"/>
        </w:trPr>
        <w:tc>
          <w:tcPr>
            <w:tcW w:w="5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5"/>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86"/>
        </w:trPr>
        <w:tc>
          <w:tcPr>
            <w:tcW w:w="5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October 30, 2022</w:t>
            </w: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October 31, 2021</w:t>
            </w:r>
          </w:p>
        </w:tc>
        <w:tc>
          <w:tcPr>
            <w:tcW w:w="720" w:type="dxa"/>
            <w:vAlign w:val="bottom"/>
            <w:tcBorders>
              <w:bottom w:val="single" w:sz="8" w:color="auto"/>
            </w:tcBorders>
          </w:tcPr>
          <w:p>
            <w:pPr>
              <w:spacing w:after="0"/>
              <w:rPr>
                <w:sz w:val="16"/>
                <w:szCs w:val="16"/>
                <w:color w:val="auto"/>
              </w:rPr>
            </w:pPr>
          </w:p>
        </w:tc>
      </w:tr>
      <w:tr>
        <w:trPr>
          <w:trHeight w:val="134"/>
        </w:trPr>
        <w:tc>
          <w:tcPr>
            <w:tcW w:w="5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Times New Roman" w:cs="Times New Roman" w:eastAsia="Times New Roman" w:hAnsi="Times New Roman"/>
                <w:sz w:val="14"/>
                <w:szCs w:val="14"/>
                <w:b w:val="1"/>
                <w:bCs w:val="1"/>
                <w:color w:val="auto"/>
              </w:rPr>
              <w:t>Pre-tax</w:t>
            </w:r>
          </w:p>
        </w:tc>
        <w:tc>
          <w:tcPr>
            <w:tcW w:w="100" w:type="dxa"/>
            <w:vAlign w:val="bottom"/>
          </w:tcPr>
          <w:p>
            <w:pPr>
              <w:spacing w:after="0"/>
              <w:rPr>
                <w:sz w:val="11"/>
                <w:szCs w:val="11"/>
                <w:color w:val="auto"/>
              </w:rPr>
            </w:pPr>
          </w:p>
        </w:tc>
        <w:tc>
          <w:tcPr>
            <w:tcW w:w="980" w:type="dxa"/>
            <w:vAlign w:val="bottom"/>
            <w:gridSpan w:val="3"/>
          </w:tcPr>
          <w:p>
            <w:pPr>
              <w:jc w:val="center"/>
              <w:ind w:right="100"/>
              <w:spacing w:after="0" w:line="134" w:lineRule="exact"/>
              <w:rPr>
                <w:sz w:val="20"/>
                <w:szCs w:val="20"/>
                <w:color w:val="auto"/>
              </w:rPr>
            </w:pPr>
            <w:r>
              <w:rPr>
                <w:rFonts w:ascii="Times New Roman" w:cs="Times New Roman" w:eastAsia="Times New Roman" w:hAnsi="Times New Roman"/>
                <w:sz w:val="14"/>
                <w:szCs w:val="14"/>
                <w:b w:val="1"/>
                <w:bCs w:val="1"/>
                <w:color w:val="auto"/>
                <w:w w:val="99"/>
              </w:rPr>
              <w:t>Tax benefit</w:t>
            </w:r>
          </w:p>
        </w:tc>
        <w:tc>
          <w:tcPr>
            <w:tcW w:w="120" w:type="dxa"/>
            <w:vAlign w:val="bottom"/>
          </w:tcPr>
          <w:p>
            <w:pPr>
              <w:spacing w:after="0"/>
              <w:rPr>
                <w:sz w:val="11"/>
                <w:szCs w:val="11"/>
                <w:color w:val="auto"/>
              </w:rPr>
            </w:pPr>
          </w:p>
        </w:tc>
        <w:tc>
          <w:tcPr>
            <w:tcW w:w="700" w:type="dxa"/>
            <w:vAlign w:val="bottom"/>
          </w:tcPr>
          <w:p>
            <w:pPr>
              <w:jc w:val="center"/>
              <w:ind w:right="43"/>
              <w:spacing w:after="0" w:line="134" w:lineRule="exact"/>
              <w:rPr>
                <w:sz w:val="20"/>
                <w:szCs w:val="20"/>
                <w:color w:val="auto"/>
              </w:rPr>
            </w:pPr>
            <w:r>
              <w:rPr>
                <w:rFonts w:ascii="Times New Roman" w:cs="Times New Roman" w:eastAsia="Times New Roman" w:hAnsi="Times New Roman"/>
                <w:sz w:val="14"/>
                <w:szCs w:val="14"/>
                <w:b w:val="1"/>
                <w:bCs w:val="1"/>
                <w:color w:val="auto"/>
                <w:w w:val="97"/>
              </w:rPr>
              <w:t>After-tax</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ind w:right="83"/>
              <w:spacing w:after="0" w:line="134" w:lineRule="exact"/>
              <w:rPr>
                <w:sz w:val="20"/>
                <w:szCs w:val="20"/>
                <w:color w:val="auto"/>
              </w:rPr>
            </w:pPr>
            <w:r>
              <w:rPr>
                <w:rFonts w:ascii="Times New Roman" w:cs="Times New Roman" w:eastAsia="Times New Roman" w:hAnsi="Times New Roman"/>
                <w:sz w:val="14"/>
                <w:szCs w:val="14"/>
                <w:b w:val="1"/>
                <w:bCs w:val="1"/>
                <w:color w:val="auto"/>
              </w:rPr>
              <w:t>Pre-tax</w:t>
            </w:r>
          </w:p>
        </w:tc>
        <w:tc>
          <w:tcPr>
            <w:tcW w:w="100" w:type="dxa"/>
            <w:vAlign w:val="bottom"/>
          </w:tcPr>
          <w:p>
            <w:pPr>
              <w:spacing w:after="0"/>
              <w:rPr>
                <w:sz w:val="11"/>
                <w:szCs w:val="11"/>
                <w:color w:val="auto"/>
              </w:rPr>
            </w:pPr>
          </w:p>
        </w:tc>
        <w:tc>
          <w:tcPr>
            <w:tcW w:w="1060" w:type="dxa"/>
            <w:vAlign w:val="bottom"/>
            <w:gridSpan w:val="4"/>
          </w:tcPr>
          <w:p>
            <w:pPr>
              <w:ind w:left="80"/>
              <w:spacing w:after="0" w:line="134" w:lineRule="exact"/>
              <w:rPr>
                <w:sz w:val="20"/>
                <w:szCs w:val="20"/>
                <w:color w:val="auto"/>
              </w:rPr>
            </w:pPr>
            <w:r>
              <w:rPr>
                <w:rFonts w:ascii="Times New Roman" w:cs="Times New Roman" w:eastAsia="Times New Roman" w:hAnsi="Times New Roman"/>
                <w:sz w:val="14"/>
                <w:szCs w:val="14"/>
                <w:b w:val="1"/>
                <w:bCs w:val="1"/>
                <w:color w:val="auto"/>
              </w:rPr>
              <w:t>Tax benefit</w:t>
            </w:r>
          </w:p>
        </w:tc>
        <w:tc>
          <w:tcPr>
            <w:tcW w:w="720" w:type="dxa"/>
            <w:vAlign w:val="bottom"/>
          </w:tcPr>
          <w:p>
            <w:pPr>
              <w:jc w:val="right"/>
              <w:ind w:right="62"/>
              <w:spacing w:after="0" w:line="134" w:lineRule="exact"/>
              <w:rPr>
                <w:sz w:val="20"/>
                <w:szCs w:val="20"/>
                <w:color w:val="auto"/>
              </w:rPr>
            </w:pPr>
            <w:r>
              <w:rPr>
                <w:rFonts w:ascii="Times New Roman" w:cs="Times New Roman" w:eastAsia="Times New Roman" w:hAnsi="Times New Roman"/>
                <w:sz w:val="14"/>
                <w:szCs w:val="14"/>
                <w:b w:val="1"/>
                <w:bCs w:val="1"/>
                <w:color w:val="auto"/>
              </w:rPr>
              <w:t>After-tax</w:t>
            </w:r>
          </w:p>
        </w:tc>
      </w:tr>
      <w:tr>
        <w:trPr>
          <w:trHeight w:val="191"/>
        </w:trPr>
        <w:tc>
          <w:tcPr>
            <w:tcW w:w="5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(expense)</w:t>
            </w:r>
          </w:p>
        </w:tc>
        <w:tc>
          <w:tcPr>
            <w:tcW w:w="120" w:type="dxa"/>
            <w:vAlign w:val="bottom"/>
          </w:tcPr>
          <w:p>
            <w:pPr>
              <w:spacing w:after="0"/>
              <w:rPr>
                <w:sz w:val="16"/>
                <w:szCs w:val="16"/>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640" w:type="dxa"/>
            <w:vAlign w:val="bottom"/>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720" w:type="dxa"/>
            <w:vAlign w:val="bottom"/>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11"/>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earnings (loss)</w:t>
            </w: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w:t>
            </w:r>
          </w:p>
        </w:tc>
      </w:tr>
      <w:tr>
        <w:trPr>
          <w:trHeight w:val="211"/>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income (loss):</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3"/>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Foreign currency translation:</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1"/>
        </w:trPr>
        <w:tc>
          <w:tcPr>
            <w:tcW w:w="57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Pr>
          <w:p>
            <w:pPr>
              <w:jc w:val="center"/>
              <w:ind w:left="383"/>
              <w:spacing w:after="0"/>
              <w:rPr>
                <w:sz w:val="20"/>
                <w:szCs w:val="20"/>
                <w:color w:val="auto"/>
              </w:rPr>
            </w:pPr>
            <w:r>
              <w:rPr>
                <w:rFonts w:ascii="Times New Roman" w:cs="Times New Roman" w:eastAsia="Times New Roman" w:hAnsi="Times New Roman"/>
                <w:sz w:val="16"/>
                <w:szCs w:val="16"/>
                <w:b w:val="1"/>
                <w:bCs w:val="1"/>
                <w:color w:val="auto"/>
              </w:rPr>
              <w:t>(8)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3"/>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Cash-flow hedges: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1"/>
        </w:trPr>
        <w:tc>
          <w:tcPr>
            <w:tcW w:w="57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Unrealized gains (losses) arising during the period</w:t>
            </w:r>
          </w:p>
        </w:tc>
        <w:tc>
          <w:tcPr>
            <w:tcW w:w="140" w:type="dxa"/>
            <w:vAlign w:val="bottom"/>
          </w:tcPr>
          <w:p>
            <w:pPr>
              <w:spacing w:after="0"/>
              <w:rPr>
                <w:sz w:val="18"/>
                <w:szCs w:val="18"/>
                <w:color w:val="auto"/>
              </w:rPr>
            </w:pPr>
          </w:p>
        </w:tc>
        <w:tc>
          <w:tcPr>
            <w:tcW w:w="700" w:type="dxa"/>
            <w:vAlign w:val="bottom"/>
          </w:tcPr>
          <w:p>
            <w:pPr>
              <w:jc w:val="center"/>
              <w:ind w:left="423"/>
              <w:spacing w:after="0"/>
              <w:rPr>
                <w:sz w:val="20"/>
                <w:szCs w:val="20"/>
                <w:color w:val="auto"/>
              </w:rPr>
            </w:pPr>
            <w:r>
              <w:rPr>
                <w:rFonts w:ascii="Times New Roman" w:cs="Times New Roman" w:eastAsia="Times New Roman" w:hAnsi="Times New Roman"/>
                <w:sz w:val="16"/>
                <w:szCs w:val="16"/>
                <w:b w:val="1"/>
                <w:bCs w:val="1"/>
                <w:color w:val="auto"/>
                <w:w w:val="99"/>
              </w:rPr>
              <w:t>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2"/>
        </w:trPr>
        <w:tc>
          <w:tcPr>
            <w:tcW w:w="570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Reclassification adjustment for losses (gains) included in net earnings</w:t>
            </w: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center"/>
              <w:ind w:left="383"/>
              <w:spacing w:after="0"/>
              <w:rPr>
                <w:sz w:val="20"/>
                <w:szCs w:val="20"/>
                <w:color w:val="auto"/>
              </w:rPr>
            </w:pPr>
            <w:r>
              <w:rPr>
                <w:rFonts w:ascii="Times New Roman" w:cs="Times New Roman" w:eastAsia="Times New Roman" w:hAnsi="Times New Roman"/>
                <w:sz w:val="16"/>
                <w:szCs w:val="16"/>
                <w:b w:val="1"/>
                <w:bCs w:val="1"/>
                <w:color w:val="auto"/>
              </w:rPr>
              <w:t>(4)</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1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3"/>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5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income (loss)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Borders>
              <w:bottom w:val="single" w:sz="8" w:color="auto"/>
            </w:tcBorders>
          </w:tcPr>
          <w:p>
            <w:pPr>
              <w:jc w:val="center"/>
              <w:ind w:left="383"/>
              <w:spacing w:after="0"/>
              <w:rPr>
                <w:sz w:val="20"/>
                <w:szCs w:val="20"/>
                <w:color w:val="auto"/>
              </w:rPr>
            </w:pPr>
            <w:r>
              <w:rPr>
                <w:rFonts w:ascii="Times New Roman" w:cs="Times New Roman" w:eastAsia="Times New Roman" w:hAnsi="Times New Roman"/>
                <w:sz w:val="16"/>
                <w:szCs w:val="16"/>
                <w:b w:val="1"/>
                <w:bCs w:val="1"/>
                <w:color w:val="auto"/>
              </w:rPr>
              <w:t>(5)</w:t>
            </w:r>
          </w:p>
        </w:tc>
        <w:tc>
          <w:tcPr>
            <w:tcW w:w="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w:t>
            </w: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05"/>
        </w:trPr>
        <w:tc>
          <w:tcPr>
            <w:tcW w:w="5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comprehensive income (loss)</w:t>
            </w: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291</w:t>
            </w:r>
          </w:p>
        </w:tc>
        <w:tc>
          <w:tcPr>
            <w:tcW w:w="1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gridSpan w:val="3"/>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w:t>
            </w:r>
          </w:p>
        </w:tc>
      </w:tr>
      <w:tr>
        <w:trPr>
          <w:trHeight w:val="205"/>
        </w:trPr>
        <w:tc>
          <w:tcPr>
            <w:tcW w:w="5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comprehensive income (loss) attributable to noncontrolling interests</w:t>
            </w: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0"/>
        </w:trPr>
        <w:tc>
          <w:tcPr>
            <w:tcW w:w="5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comprehensive income (loss) attributable to Campbell Soup Company</w:t>
            </w: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291</w:t>
            </w:r>
          </w:p>
        </w:tc>
        <w:tc>
          <w:tcPr>
            <w:tcW w:w="1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3"/>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w:t>
            </w:r>
          </w:p>
        </w:tc>
      </w:tr>
      <w:tr>
        <w:trPr>
          <w:trHeight w:val="20"/>
        </w:trPr>
        <w:tc>
          <w:tcPr>
            <w:tcW w:w="5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7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CAMPBELL SOUP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Balance Sheets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(millions, except per share amounts)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30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October 30, 2022</w:t>
            </w:r>
          </w:p>
        </w:tc>
        <w:tc>
          <w:tcPr>
            <w:tcW w:w="260" w:type="dxa"/>
            <w:vAlign w:val="bottom"/>
          </w:tcPr>
          <w:p>
            <w:pPr>
              <w:spacing w:after="0"/>
              <w:rPr>
                <w:sz w:val="16"/>
                <w:szCs w:val="16"/>
                <w:color w:val="auto"/>
              </w:rPr>
            </w:pPr>
          </w:p>
        </w:tc>
        <w:tc>
          <w:tcPr>
            <w:tcW w:w="120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July 31, 2022</w:t>
            </w:r>
          </w:p>
        </w:tc>
      </w:tr>
      <w:tr>
        <w:trPr>
          <w:trHeight w:val="24"/>
        </w:trPr>
        <w:tc>
          <w:tcPr>
            <w:tcW w:w="68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8"/>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6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5"/>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130</w:t>
            </w:r>
          </w:p>
        </w:tc>
        <w:tc>
          <w:tcPr>
            <w:tcW w:w="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25"/>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733</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r>
      <w:tr>
        <w:trPr>
          <w:trHeight w:val="225"/>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166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1,361</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w:t>
            </w:r>
          </w:p>
        </w:tc>
      </w:tr>
      <w:tr>
        <w:trPr>
          <w:trHeight w:val="225"/>
        </w:trPr>
        <w:tc>
          <w:tcPr>
            <w:tcW w:w="68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16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80</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9"/>
        </w:trPr>
        <w:tc>
          <w:tcPr>
            <w:tcW w:w="6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6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2,304</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1,963</w:t>
            </w:r>
          </w:p>
        </w:tc>
      </w:tr>
      <w:tr>
        <w:trPr>
          <w:trHeight w:val="218"/>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Plant assets, net of depreciation</w:t>
            </w:r>
          </w:p>
        </w:tc>
        <w:tc>
          <w:tcPr>
            <w:tcW w:w="16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2,312</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w:t>
            </w:r>
          </w:p>
        </w:tc>
      </w:tr>
      <w:tr>
        <w:trPr>
          <w:trHeight w:val="225"/>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66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3,973</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3,979</w:t>
            </w:r>
          </w:p>
        </w:tc>
      </w:tr>
      <w:tr>
        <w:trPr>
          <w:trHeight w:val="225"/>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 net of amortization</w:t>
            </w:r>
          </w:p>
        </w:tc>
        <w:tc>
          <w:tcPr>
            <w:tcW w:w="16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3,187</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3,198</w:t>
            </w:r>
          </w:p>
        </w:tc>
      </w:tr>
      <w:tr>
        <w:trPr>
          <w:trHeight w:val="225"/>
        </w:trPr>
        <w:tc>
          <w:tcPr>
            <w:tcW w:w="6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401</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w:t>
            </w:r>
          </w:p>
        </w:tc>
      </w:tr>
      <w:tr>
        <w:trPr>
          <w:trHeight w:val="243"/>
        </w:trPr>
        <w:tc>
          <w:tcPr>
            <w:tcW w:w="6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12,177</w:t>
            </w:r>
          </w:p>
        </w:tc>
        <w:tc>
          <w:tcPr>
            <w:tcW w:w="2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11,892</w:t>
            </w:r>
          </w:p>
        </w:tc>
      </w:tr>
      <w:tr>
        <w:trPr>
          <w:trHeight w:val="20"/>
        </w:trPr>
        <w:tc>
          <w:tcPr>
            <w:tcW w:w="68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68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rPr>
              <w:t>Current liabilities</w:t>
            </w:r>
          </w:p>
        </w:tc>
        <w:tc>
          <w:tcPr>
            <w:tcW w:w="16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25"/>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Short-term borrowings</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858</w:t>
            </w:r>
          </w:p>
        </w:tc>
        <w:tc>
          <w:tcPr>
            <w:tcW w:w="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r>
      <w:tr>
        <w:trPr>
          <w:trHeight w:val="225"/>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Payable to suppliers and others</w:t>
            </w:r>
          </w:p>
        </w:tc>
        <w:tc>
          <w:tcPr>
            <w:tcW w:w="166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1,447</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w:t>
            </w:r>
          </w:p>
        </w:tc>
      </w:tr>
      <w:tr>
        <w:trPr>
          <w:trHeight w:val="225"/>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liabilities</w:t>
            </w:r>
          </w:p>
        </w:tc>
        <w:tc>
          <w:tcPr>
            <w:tcW w:w="16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534</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r>
      <w:tr>
        <w:trPr>
          <w:trHeight w:val="225"/>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Dividends payable</w:t>
            </w:r>
          </w:p>
        </w:tc>
        <w:tc>
          <w:tcPr>
            <w:tcW w:w="166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112</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25"/>
        </w:trPr>
        <w:tc>
          <w:tcPr>
            <w:tcW w:w="68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income taxes</w:t>
            </w:r>
          </w:p>
        </w:tc>
        <w:tc>
          <w:tcPr>
            <w:tcW w:w="16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82</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8"/>
        </w:trPr>
        <w:tc>
          <w:tcPr>
            <w:tcW w:w="6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6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3,033</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2,886</w:t>
            </w:r>
          </w:p>
        </w:tc>
      </w:tr>
      <w:tr>
        <w:trPr>
          <w:trHeight w:val="218"/>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6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3,994</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3,996</w:t>
            </w:r>
          </w:p>
        </w:tc>
      </w:tr>
      <w:tr>
        <w:trPr>
          <w:trHeight w:val="225"/>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taxes</w:t>
            </w:r>
          </w:p>
        </w:tc>
        <w:tc>
          <w:tcPr>
            <w:tcW w:w="166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1,078</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w:t>
            </w:r>
          </w:p>
        </w:tc>
      </w:tr>
      <w:tr>
        <w:trPr>
          <w:trHeight w:val="225"/>
        </w:trPr>
        <w:tc>
          <w:tcPr>
            <w:tcW w:w="6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6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603</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r>
      <w:tr>
        <w:trPr>
          <w:trHeight w:val="218"/>
        </w:trPr>
        <w:tc>
          <w:tcPr>
            <w:tcW w:w="6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8,708</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8,559</w:t>
            </w:r>
          </w:p>
        </w:tc>
      </w:tr>
      <w:tr>
        <w:trPr>
          <w:trHeight w:val="21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6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5"/>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Campbell Soup Company shareholders' equity</w:t>
            </w:r>
          </w:p>
        </w:tc>
        <w:tc>
          <w:tcPr>
            <w:tcW w:w="16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5"/>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Preferred stock; authorized 40 shares; none issued</w:t>
            </w:r>
          </w:p>
        </w:tc>
        <w:tc>
          <w:tcPr>
            <w:tcW w:w="16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 stock, $.0375 par value; authorized 560 shares; issued 323 shares</w:t>
            </w:r>
          </w:p>
        </w:tc>
        <w:tc>
          <w:tcPr>
            <w:tcW w:w="166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12</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5"/>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375</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r>
      <w:tr>
        <w:trPr>
          <w:trHeight w:val="225"/>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Earnings retained in the business</w:t>
            </w:r>
          </w:p>
        </w:tc>
        <w:tc>
          <w:tcPr>
            <w:tcW w:w="166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4,224</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4,040</w:t>
            </w:r>
          </w:p>
        </w:tc>
      </w:tr>
      <w:tr>
        <w:trPr>
          <w:trHeight w:val="225"/>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Capital stock in treasury, at cost</w:t>
            </w:r>
          </w:p>
        </w:tc>
        <w:tc>
          <w:tcPr>
            <w:tcW w:w="16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(1,140)</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w:t>
            </w:r>
          </w:p>
        </w:tc>
      </w:tr>
      <w:tr>
        <w:trPr>
          <w:trHeight w:val="225"/>
        </w:trPr>
        <w:tc>
          <w:tcPr>
            <w:tcW w:w="68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6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8"/>
        </w:trPr>
        <w:tc>
          <w:tcPr>
            <w:tcW w:w="6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Campbell Soup Company shareholders' equity</w:t>
            </w:r>
          </w:p>
        </w:tc>
        <w:tc>
          <w:tcPr>
            <w:tcW w:w="16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3,467</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3,331</w:t>
            </w:r>
          </w:p>
        </w:tc>
      </w:tr>
      <w:tr>
        <w:trPr>
          <w:trHeight w:val="218"/>
        </w:trPr>
        <w:tc>
          <w:tcPr>
            <w:tcW w:w="6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6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9"/>
        </w:trPr>
        <w:tc>
          <w:tcPr>
            <w:tcW w:w="6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6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3,469</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w:t>
            </w:r>
          </w:p>
        </w:tc>
      </w:tr>
      <w:tr>
        <w:trPr>
          <w:trHeight w:val="218"/>
        </w:trPr>
        <w:tc>
          <w:tcPr>
            <w:tcW w:w="6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12,177</w:t>
            </w:r>
          </w:p>
        </w:tc>
        <w:tc>
          <w:tcPr>
            <w:tcW w:w="2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11,892</w:t>
            </w:r>
          </w:p>
        </w:tc>
      </w:tr>
      <w:tr>
        <w:trPr>
          <w:trHeight w:val="20"/>
        </w:trPr>
        <w:tc>
          <w:tcPr>
            <w:tcW w:w="68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7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CAMPBELL SOUP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(millions)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00" w:type="dxa"/>
            <w:vAlign w:val="bottom"/>
          </w:tcPr>
          <w:p>
            <w:pPr>
              <w:spacing w:after="0"/>
              <w:rPr>
                <w:sz w:val="16"/>
                <w:szCs w:val="16"/>
                <w:color w:val="auto"/>
              </w:rPr>
            </w:pPr>
          </w:p>
        </w:tc>
      </w:tr>
      <w:tr>
        <w:trPr>
          <w:trHeight w:val="24"/>
        </w:trPr>
        <w:tc>
          <w:tcPr>
            <w:tcW w:w="8780" w:type="dxa"/>
            <w:vAlign w:val="bottom"/>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r>
      <w:tr>
        <w:trPr>
          <w:trHeight w:val="186"/>
        </w:trPr>
        <w:tc>
          <w:tcPr>
            <w:tcW w:w="8780" w:type="dxa"/>
            <w:vAlign w:val="bottom"/>
          </w:tcPr>
          <w:p>
            <w:pPr>
              <w:spacing w:after="0"/>
              <w:rPr>
                <w:sz w:val="16"/>
                <w:szCs w:val="16"/>
                <w:color w:val="auto"/>
              </w:rPr>
            </w:pPr>
          </w:p>
        </w:tc>
        <w:tc>
          <w:tcPr>
            <w:tcW w:w="12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October 30, 2022</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31, 2021</w:t>
            </w:r>
          </w:p>
        </w:tc>
      </w:tr>
      <w:tr>
        <w:trPr>
          <w:trHeight w:val="212"/>
        </w:trPr>
        <w:tc>
          <w:tcPr>
            <w:tcW w:w="8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r>
      <w:tr>
        <w:trPr>
          <w:trHeight w:val="225"/>
        </w:trPr>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earnings</w:t>
            </w:r>
          </w:p>
        </w:tc>
        <w:tc>
          <w:tcPr>
            <w:tcW w:w="340" w:type="dxa"/>
            <w:vAlign w:val="bottom"/>
          </w:tcPr>
          <w:p>
            <w:pPr>
              <w:jc w:val="right"/>
              <w:ind w:right="15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297</w:t>
            </w:r>
          </w:p>
        </w:tc>
        <w:tc>
          <w:tcPr>
            <w:tcW w:w="100" w:type="dxa"/>
            <w:vAlign w:val="bottom"/>
          </w:tcPr>
          <w:p>
            <w:pPr>
              <w:spacing w:after="0"/>
              <w:rPr>
                <w:sz w:val="19"/>
                <w:szCs w:val="19"/>
                <w:color w:val="auto"/>
              </w:rPr>
            </w:pPr>
          </w:p>
        </w:tc>
        <w:tc>
          <w:tcPr>
            <w:tcW w:w="680" w:type="dxa"/>
            <w:vAlign w:val="bottom"/>
          </w:tcPr>
          <w:p>
            <w:pPr>
              <w:jc w:val="right"/>
              <w:ind w:right="498"/>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25"/>
        </w:trPr>
        <w:tc>
          <w:tcPr>
            <w:tcW w:w="8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earnings to operating cash flow</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r>
      <w:tr>
        <w:trPr>
          <w:trHeight w:val="225"/>
        </w:trPr>
        <w:tc>
          <w:tcPr>
            <w:tcW w:w="8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5"/>
        </w:trPr>
        <w:tc>
          <w:tcPr>
            <w:tcW w:w="8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Pension and postretirement benefit expense (income)</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5"/>
        </w:trPr>
        <w:tc>
          <w:tcPr>
            <w:tcW w:w="8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91</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25"/>
        </w:trPr>
        <w:tc>
          <w:tcPr>
            <w:tcW w:w="8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5"/>
        </w:trPr>
        <w:tc>
          <w:tcPr>
            <w:tcW w:w="8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5"/>
        </w:trPr>
        <w:tc>
          <w:tcPr>
            <w:tcW w:w="8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Changes in working capital</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r>
      <w:tr>
        <w:trPr>
          <w:trHeight w:val="225"/>
        </w:trPr>
        <w:tc>
          <w:tcPr>
            <w:tcW w:w="8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(198)</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25"/>
        </w:trPr>
        <w:tc>
          <w:tcPr>
            <w:tcW w:w="8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5"/>
        </w:trPr>
        <w:tc>
          <w:tcPr>
            <w:tcW w:w="8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5"/>
        </w:trPr>
        <w:tc>
          <w:tcPr>
            <w:tcW w:w="8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25"/>
        </w:trPr>
        <w:tc>
          <w:tcPr>
            <w:tcW w:w="87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8"/>
        </w:trPr>
        <w:tc>
          <w:tcPr>
            <w:tcW w:w="878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227</w:t>
            </w:r>
          </w:p>
        </w:tc>
        <w:tc>
          <w:tcPr>
            <w:tcW w:w="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r>
      <w:tr>
        <w:trPr>
          <w:trHeight w:val="218"/>
        </w:trPr>
        <w:tc>
          <w:tcPr>
            <w:tcW w:w="8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25"/>
        </w:trPr>
        <w:tc>
          <w:tcPr>
            <w:tcW w:w="8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Purchases of plant assets</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25"/>
        </w:trPr>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route businesses</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7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of route businesses</w:t>
            </w:r>
          </w:p>
        </w:tc>
        <w:tc>
          <w:tcPr>
            <w:tcW w:w="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9"/>
        </w:trPr>
        <w:tc>
          <w:tcPr>
            <w:tcW w:w="87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w:t>
            </w: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8"/>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r>
      <w:tr>
        <w:trPr>
          <w:trHeight w:val="225"/>
        </w:trPr>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borrowings, including commercial paper</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557</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r>
      <w:tr>
        <w:trPr>
          <w:trHeight w:val="225"/>
        </w:trPr>
        <w:tc>
          <w:tcPr>
            <w:tcW w:w="8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Short-term repayments, including commercial paper</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(512)</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r>
      <w:tr>
        <w:trPr>
          <w:trHeight w:val="225"/>
        </w:trPr>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Dividends paid</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(115)</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25"/>
        </w:trPr>
        <w:tc>
          <w:tcPr>
            <w:tcW w:w="8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Treasury stock purchases</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25"/>
        </w:trPr>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Treasury stock issuances</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5"/>
        </w:trPr>
        <w:tc>
          <w:tcPr>
            <w:tcW w:w="8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Payments related to tax withholding for stock-based compensation</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5"/>
        </w:trPr>
        <w:tc>
          <w:tcPr>
            <w:tcW w:w="87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8"/>
        </w:trPr>
        <w:tc>
          <w:tcPr>
            <w:tcW w:w="878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w:t>
            </w:r>
          </w:p>
        </w:tc>
        <w:tc>
          <w:tcPr>
            <w:tcW w:w="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19"/>
        </w:trPr>
        <w:tc>
          <w:tcPr>
            <w:tcW w:w="8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change in cash and cash equivalents</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 beginning of period</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w:t>
            </w: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43"/>
        </w:trPr>
        <w:tc>
          <w:tcPr>
            <w:tcW w:w="8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 end of period</w:t>
            </w:r>
          </w:p>
        </w:tc>
        <w:tc>
          <w:tcPr>
            <w:tcW w:w="340" w:type="dxa"/>
            <w:vAlign w:val="bottom"/>
            <w:tcBorders>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w:t>
            </w:r>
          </w:p>
        </w:tc>
        <w:tc>
          <w:tcPr>
            <w:tcW w:w="1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498"/>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0"/>
        </w:trPr>
        <w:tc>
          <w:tcPr>
            <w:tcW w:w="87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bl>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CAMPBELL SOUP COMPANY</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Equity</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(millions, except per share amounts)</w:t>
      </w:r>
    </w:p>
    <w:p>
      <w:pPr>
        <w:spacing w:after="0" w:line="19"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20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60" w:type="dxa"/>
            <w:vAlign w:val="bottom"/>
            <w:gridSpan w:val="7"/>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Campbell Soup Company Shareholders’ Equity</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8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Capital Stock</w:t>
            </w: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restart"/>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80" w:type="dxa"/>
            <w:vAlign w:val="bottom"/>
          </w:tcPr>
          <w:p>
            <w:pPr>
              <w:spacing w:after="0"/>
              <w:rPr>
                <w:sz w:val="7"/>
                <w:szCs w:val="7"/>
                <w:color w:val="auto"/>
              </w:rPr>
            </w:pPr>
          </w:p>
        </w:tc>
        <w:tc>
          <w:tcPr>
            <w:tcW w:w="1540" w:type="dxa"/>
            <w:vAlign w:val="bottom"/>
            <w:gridSpan w:val="3"/>
            <w:vMerge w:val="restart"/>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120" w:type="dxa"/>
            <w:vAlign w:val="bottom"/>
            <w:vMerge w:val="restart"/>
          </w:tcPr>
          <w:p>
            <w:pPr>
              <w:spacing w:after="0"/>
              <w:rPr>
                <w:sz w:val="7"/>
                <w:szCs w:val="7"/>
                <w:color w:val="auto"/>
              </w:rPr>
            </w:pPr>
          </w:p>
        </w:tc>
        <w:tc>
          <w:tcPr>
            <w:tcW w:w="1540" w:type="dxa"/>
            <w:vAlign w:val="bottom"/>
            <w:gridSpan w:val="3"/>
            <w:vMerge w:val="restart"/>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In Treasury</w:t>
            </w:r>
          </w:p>
        </w:tc>
        <w:tc>
          <w:tcPr>
            <w:tcW w:w="2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2080" w:type="dxa"/>
            <w:vAlign w:val="bottom"/>
          </w:tcPr>
          <w:p>
            <w:pPr>
              <w:spacing w:after="0"/>
              <w:rPr>
                <w:sz w:val="10"/>
                <w:szCs w:val="10"/>
                <w:color w:val="auto"/>
              </w:rPr>
            </w:pPr>
          </w:p>
        </w:tc>
        <w:tc>
          <w:tcPr>
            <w:tcW w:w="1540" w:type="dxa"/>
            <w:vAlign w:val="bottom"/>
            <w:tcBorders>
              <w:bottom w:val="single" w:sz="8" w:color="auto"/>
            </w:tcBorders>
            <w:gridSpan w:val="3"/>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1540" w:type="dxa"/>
            <w:vAlign w:val="bottom"/>
            <w:tcBorders>
              <w:bottom w:val="single" w:sz="8" w:color="auto"/>
            </w:tcBorders>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ind w:left="40"/>
              <w:spacing w:after="0" w:line="124"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0"/>
                <w:szCs w:val="10"/>
                <w:color w:val="auto"/>
              </w:rPr>
            </w:pPr>
          </w:p>
        </w:tc>
        <w:tc>
          <w:tcPr>
            <w:tcW w:w="880" w:type="dxa"/>
            <w:vAlign w:val="bottom"/>
          </w:tcPr>
          <w:p>
            <w:pPr>
              <w:jc w:val="center"/>
              <w:ind w:right="69"/>
              <w:spacing w:after="0" w:line="124" w:lineRule="exact"/>
              <w:rPr>
                <w:sz w:val="20"/>
                <w:szCs w:val="20"/>
                <w:color w:val="auto"/>
              </w:rPr>
            </w:pPr>
            <w:r>
              <w:rPr>
                <w:rFonts w:ascii="Times New Roman" w:cs="Times New Roman" w:eastAsia="Times New Roman" w:hAnsi="Times New Roman"/>
                <w:sz w:val="14"/>
                <w:szCs w:val="14"/>
                <w:b w:val="1"/>
                <w:bCs w:val="1"/>
                <w:color w:val="auto"/>
              </w:rPr>
              <w:t>Retained in</w:t>
            </w:r>
          </w:p>
        </w:tc>
        <w:tc>
          <w:tcPr>
            <w:tcW w:w="1340" w:type="dxa"/>
            <w:vAlign w:val="bottom"/>
            <w:gridSpan w:val="2"/>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080" w:type="dxa"/>
            <w:vAlign w:val="bottom"/>
          </w:tcPr>
          <w:p>
            <w:pPr>
              <w:spacing w:after="0"/>
              <w:rPr>
                <w:sz w:val="12"/>
                <w:szCs w:val="12"/>
                <w:color w:val="auto"/>
              </w:rPr>
            </w:pPr>
          </w:p>
        </w:tc>
        <w:tc>
          <w:tcPr>
            <w:tcW w:w="74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2"/>
                <w:szCs w:val="12"/>
                <w:color w:val="auto"/>
              </w:rPr>
            </w:pP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vMerge w:val="restart"/>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62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20" w:type="dxa"/>
            <w:vAlign w:val="bottom"/>
          </w:tcPr>
          <w:p>
            <w:pPr>
              <w:spacing w:after="0"/>
              <w:rPr>
                <w:sz w:val="12"/>
                <w:szCs w:val="12"/>
                <w:color w:val="auto"/>
              </w:rPr>
            </w:pPr>
          </w:p>
        </w:tc>
        <w:tc>
          <w:tcPr>
            <w:tcW w:w="860" w:type="dxa"/>
            <w:vAlign w:val="bottom"/>
          </w:tcPr>
          <w:p>
            <w:pPr>
              <w:ind w:left="140"/>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2"/>
                <w:szCs w:val="12"/>
                <w:color w:val="auto"/>
              </w:rPr>
            </w:pPr>
          </w:p>
        </w:tc>
        <w:tc>
          <w:tcPr>
            <w:tcW w:w="880" w:type="dxa"/>
            <w:vAlign w:val="bottom"/>
          </w:tcPr>
          <w:p>
            <w:pPr>
              <w:jc w:val="center"/>
              <w:ind w:right="69"/>
              <w:spacing w:after="0" w:line="146" w:lineRule="exact"/>
              <w:rPr>
                <w:sz w:val="20"/>
                <w:szCs w:val="20"/>
                <w:color w:val="auto"/>
              </w:rPr>
            </w:pPr>
            <w:r>
              <w:rPr>
                <w:rFonts w:ascii="Times New Roman" w:cs="Times New Roman" w:eastAsia="Times New Roman" w:hAnsi="Times New Roman"/>
                <w:sz w:val="14"/>
                <w:szCs w:val="14"/>
                <w:b w:val="1"/>
                <w:bCs w:val="1"/>
                <w:color w:val="auto"/>
                <w:w w:val="96"/>
              </w:rPr>
              <w:t>the</w:t>
            </w:r>
          </w:p>
        </w:tc>
        <w:tc>
          <w:tcPr>
            <w:tcW w:w="180" w:type="dxa"/>
            <w:vAlign w:val="bottom"/>
          </w:tcPr>
          <w:p>
            <w:pPr>
              <w:spacing w:after="0"/>
              <w:rPr>
                <w:sz w:val="12"/>
                <w:szCs w:val="12"/>
                <w:color w:val="auto"/>
              </w:rPr>
            </w:pPr>
          </w:p>
        </w:tc>
        <w:tc>
          <w:tcPr>
            <w:tcW w:w="1160" w:type="dxa"/>
            <w:vAlign w:val="bottom"/>
          </w:tcPr>
          <w:p>
            <w:pPr>
              <w:jc w:val="center"/>
              <w:ind w:right="29"/>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40" w:type="dxa"/>
            <w:vAlign w:val="bottom"/>
          </w:tcPr>
          <w:p>
            <w:pPr>
              <w:spacing w:after="0"/>
              <w:rPr>
                <w:sz w:val="12"/>
                <w:szCs w:val="12"/>
                <w:color w:val="auto"/>
              </w:rPr>
            </w:pPr>
          </w:p>
        </w:tc>
        <w:tc>
          <w:tcPr>
            <w:tcW w:w="1120" w:type="dxa"/>
            <w:vAlign w:val="bottom"/>
          </w:tcPr>
          <w:p>
            <w:pPr>
              <w:jc w:val="right"/>
              <w:ind w:right="109"/>
              <w:spacing w:after="0" w:line="146"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280" w:type="dxa"/>
            <w:vAlign w:val="bottom"/>
          </w:tcPr>
          <w:p>
            <w:pPr>
              <w:spacing w:after="0"/>
              <w:rPr>
                <w:sz w:val="12"/>
                <w:szCs w:val="12"/>
                <w:color w:val="auto"/>
              </w:rPr>
            </w:pPr>
          </w:p>
        </w:tc>
        <w:tc>
          <w:tcPr>
            <w:tcW w:w="820" w:type="dxa"/>
            <w:vAlign w:val="bottom"/>
          </w:tcPr>
          <w:p>
            <w:pPr>
              <w:jc w:val="right"/>
              <w:ind w:right="289"/>
              <w:spacing w:after="0" w:line="146"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3"/>
        </w:trPr>
        <w:tc>
          <w:tcPr>
            <w:tcW w:w="20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w w:val="97"/>
              </w:rPr>
              <w:t>Business</w:t>
            </w: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w w:val="99"/>
              </w:rPr>
              <w:t>Income (Loss)</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6"/>
        </w:trPr>
        <w:tc>
          <w:tcPr>
            <w:tcW w:w="2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August 1, 2021</w:t>
            </w: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414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3,742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center"/>
              <w:ind w:left="909"/>
              <w:spacing w:after="0"/>
              <w:rPr>
                <w:sz w:val="20"/>
                <w:szCs w:val="20"/>
                <w:color w:val="auto"/>
              </w:rPr>
            </w:pPr>
            <w:r>
              <w:rPr>
                <w:rFonts w:ascii="Times New Roman" w:cs="Times New Roman" w:eastAsia="Times New Roman" w:hAnsi="Times New Roman"/>
                <w:sz w:val="14"/>
                <w:szCs w:val="14"/>
                <w:color w:val="auto"/>
                <w:w w:val="85"/>
              </w:rPr>
              <w:t>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w:t>
            </w:r>
          </w:p>
        </w:tc>
        <w:tc>
          <w:tcPr>
            <w:tcW w:w="28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3,154</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earnings (loss)</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261</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0" w:type="dxa"/>
            <w:vAlign w:val="bottom"/>
          </w:tcPr>
          <w:p>
            <w:pPr>
              <w:spacing w:after="0"/>
              <w:rPr>
                <w:sz w:val="1"/>
                <w:szCs w:val="1"/>
                <w:color w:val="auto"/>
              </w:rPr>
            </w:pPr>
          </w:p>
        </w:tc>
      </w:tr>
      <w:tr>
        <w:trPr>
          <w:trHeight w:val="206"/>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jc w:val="center"/>
              <w:ind w:left="909"/>
              <w:spacing w:after="0"/>
              <w:rPr>
                <w:sz w:val="20"/>
                <w:szCs w:val="20"/>
                <w:color w:val="auto"/>
              </w:rPr>
            </w:pPr>
            <w:r>
              <w:rPr>
                <w:rFonts w:ascii="Times New Roman" w:cs="Times New Roman" w:eastAsia="Times New Roman" w:hAnsi="Times New Roman"/>
                <w:sz w:val="14"/>
                <w:szCs w:val="14"/>
                <w:color w:val="auto"/>
                <w:w w:val="85"/>
              </w:rPr>
              <w:t>2</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1"/>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($.37 per share)</w:t>
            </w: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(113)</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0" w:type="dxa"/>
            <w:vAlign w:val="bottom"/>
          </w:tcPr>
          <w:p>
            <w:pPr>
              <w:spacing w:after="0"/>
              <w:rPr>
                <w:sz w:val="1"/>
                <w:szCs w:val="1"/>
                <w:color w:val="auto"/>
              </w:rPr>
            </w:pPr>
          </w:p>
        </w:tc>
      </w:tr>
      <w:tr>
        <w:trPr>
          <w:trHeight w:val="206"/>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Treasury stock purchased</w:t>
            </w: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0" w:type="dxa"/>
            <w:vAlign w:val="bottom"/>
          </w:tcPr>
          <w:p>
            <w:pPr>
              <w:spacing w:after="0"/>
              <w:rPr>
                <w:sz w:val="1"/>
                <w:szCs w:val="1"/>
                <w:color w:val="auto"/>
              </w:rPr>
            </w:pPr>
          </w:p>
        </w:tc>
      </w:tr>
      <w:tr>
        <w:trPr>
          <w:trHeight w:val="136"/>
        </w:trPr>
        <w:tc>
          <w:tcPr>
            <w:tcW w:w="2080" w:type="dxa"/>
            <w:vAlign w:val="bottom"/>
          </w:tcPr>
          <w:p>
            <w:pPr>
              <w:ind w:left="20"/>
              <w:spacing w:after="0" w:line="137" w:lineRule="exact"/>
              <w:rPr>
                <w:sz w:val="20"/>
                <w:szCs w:val="20"/>
                <w:color w:val="auto"/>
              </w:rPr>
            </w:pPr>
            <w:r>
              <w:rPr>
                <w:rFonts w:ascii="Times New Roman" w:cs="Times New Roman" w:eastAsia="Times New Roman" w:hAnsi="Times New Roman"/>
                <w:sz w:val="14"/>
                <w:szCs w:val="14"/>
                <w:color w:val="auto"/>
              </w:rPr>
              <w:t>Treasury stock issued under</w:t>
            </w: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8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management incentive and stock</w:t>
            </w: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220" w:type="dxa"/>
            <w:vAlign w:val="bottom"/>
          </w:tcPr>
          <w:p>
            <w:pPr>
              <w:spacing w:after="0"/>
              <w:rPr>
                <w:sz w:val="12"/>
                <w:szCs w:val="12"/>
                <w:color w:val="auto"/>
              </w:rPr>
            </w:pPr>
          </w:p>
        </w:tc>
        <w:tc>
          <w:tcPr>
            <w:tcW w:w="860" w:type="dxa"/>
            <w:vAlign w:val="bottom"/>
            <w:vMerge w:val="restart"/>
          </w:tcPr>
          <w:p>
            <w:pPr>
              <w:ind w:left="560"/>
              <w:spacing w:after="0"/>
              <w:rPr>
                <w:sz w:val="20"/>
                <w:szCs w:val="20"/>
                <w:color w:val="auto"/>
              </w:rPr>
            </w:pPr>
            <w:r>
              <w:rPr>
                <w:rFonts w:ascii="Times New Roman" w:cs="Times New Roman" w:eastAsia="Times New Roman" w:hAnsi="Times New Roman"/>
                <w:sz w:val="14"/>
                <w:szCs w:val="14"/>
                <w:color w:val="auto"/>
              </w:rPr>
              <w:t>(42)</w:t>
            </w:r>
          </w:p>
        </w:tc>
        <w:tc>
          <w:tcPr>
            <w:tcW w:w="160" w:type="dxa"/>
            <w:vAlign w:val="bottom"/>
          </w:tcPr>
          <w:p>
            <w:pPr>
              <w:spacing w:after="0"/>
              <w:rPr>
                <w:sz w:val="12"/>
                <w:szCs w:val="12"/>
                <w:color w:val="auto"/>
              </w:rPr>
            </w:pPr>
          </w:p>
        </w:tc>
        <w:tc>
          <w:tcPr>
            <w:tcW w:w="88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(8)</w:t>
            </w: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92"/>
        </w:trPr>
        <w:tc>
          <w:tcPr>
            <w:tcW w:w="2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option plans</w:t>
            </w:r>
          </w:p>
        </w:tc>
        <w:tc>
          <w:tcPr>
            <w:tcW w:w="7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October 31, 2021</w:t>
            </w: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372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3,882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center"/>
              <w:ind w:left="909"/>
              <w:spacing w:after="0"/>
              <w:rPr>
                <w:sz w:val="20"/>
                <w:szCs w:val="20"/>
                <w:color w:val="auto"/>
              </w:rPr>
            </w:pPr>
            <w:r>
              <w:rPr>
                <w:rFonts w:ascii="Times New Roman" w:cs="Times New Roman" w:eastAsia="Times New Roman" w:hAnsi="Times New Roman"/>
                <w:sz w:val="14"/>
                <w:szCs w:val="14"/>
                <w:color w:val="auto"/>
                <w:w w:val="85"/>
              </w:rPr>
              <w:t>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w:t>
            </w:r>
          </w:p>
        </w:tc>
        <w:tc>
          <w:tcPr>
            <w:tcW w:w="28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3,237</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
        </w:trPr>
        <w:tc>
          <w:tcPr>
            <w:tcW w:w="20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July 31, 2022</w:t>
            </w: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415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4,040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center"/>
              <w:ind w:left="909"/>
              <w:spacing w:after="0"/>
              <w:rPr>
                <w:sz w:val="20"/>
                <w:szCs w:val="20"/>
                <w:color w:val="auto"/>
              </w:rPr>
            </w:pPr>
            <w:r>
              <w:rPr>
                <w:rFonts w:ascii="Times New Roman" w:cs="Times New Roman" w:eastAsia="Times New Roman" w:hAnsi="Times New Roman"/>
                <w:sz w:val="14"/>
                <w:szCs w:val="14"/>
                <w:color w:val="auto"/>
                <w:w w:val="85"/>
              </w:rPr>
              <w:t>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w:t>
            </w:r>
          </w:p>
        </w:tc>
        <w:tc>
          <w:tcPr>
            <w:tcW w:w="28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3,333</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earnings (loss)</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297</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297</w:t>
            </w:r>
          </w:p>
        </w:tc>
        <w:tc>
          <w:tcPr>
            <w:tcW w:w="0" w:type="dxa"/>
            <w:vAlign w:val="bottom"/>
          </w:tcPr>
          <w:p>
            <w:pPr>
              <w:spacing w:after="0"/>
              <w:rPr>
                <w:sz w:val="1"/>
                <w:szCs w:val="1"/>
                <w:color w:val="auto"/>
              </w:rPr>
            </w:pPr>
          </w:p>
        </w:tc>
      </w:tr>
      <w:tr>
        <w:trPr>
          <w:trHeight w:val="141"/>
        </w:trPr>
        <w:tc>
          <w:tcPr>
            <w:tcW w:w="2080" w:type="dxa"/>
            <w:vAlign w:val="bottom"/>
            <w:shd w:val="clear" w:color="auto" w:fill="CCEEFF"/>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Other comprehensive income</w:t>
            </w: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center"/>
              <w:ind w:left="889"/>
              <w:spacing w:after="0"/>
              <w:rPr>
                <w:sz w:val="20"/>
                <w:szCs w:val="20"/>
                <w:color w:val="auto"/>
              </w:rPr>
            </w:pPr>
            <w:r>
              <w:rPr>
                <w:rFonts w:ascii="Times New Roman" w:cs="Times New Roman" w:eastAsia="Times New Roman" w:hAnsi="Times New Roman"/>
                <w:sz w:val="14"/>
                <w:szCs w:val="14"/>
                <w:b w:val="1"/>
                <w:bCs w:val="1"/>
                <w:color w:val="auto"/>
                <w:w w:val="97"/>
              </w:rPr>
              <w:t>(6)</w:t>
            </w:r>
          </w:p>
        </w:tc>
        <w:tc>
          <w:tcPr>
            <w:tcW w:w="24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w:t>
            </w:r>
          </w:p>
        </w:tc>
        <w:tc>
          <w:tcPr>
            <w:tcW w:w="0" w:type="dxa"/>
            <w:vAlign w:val="bottom"/>
          </w:tcPr>
          <w:p>
            <w:pPr>
              <w:spacing w:after="0"/>
              <w:rPr>
                <w:sz w:val="1"/>
                <w:szCs w:val="1"/>
                <w:color w:val="auto"/>
              </w:rPr>
            </w:pPr>
          </w:p>
        </w:tc>
      </w:tr>
      <w:tr>
        <w:trPr>
          <w:trHeight w:val="197"/>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Dividends ($.37 per share)</w:t>
            </w: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(113)</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(113)</w:t>
            </w:r>
          </w:p>
        </w:tc>
        <w:tc>
          <w:tcPr>
            <w:tcW w:w="0" w:type="dxa"/>
            <w:vAlign w:val="bottom"/>
          </w:tcPr>
          <w:p>
            <w:pPr>
              <w:spacing w:after="0"/>
              <w:rPr>
                <w:sz w:val="1"/>
                <w:szCs w:val="1"/>
                <w:color w:val="auto"/>
              </w:rPr>
            </w:pPr>
          </w:p>
        </w:tc>
      </w:tr>
      <w:tr>
        <w:trPr>
          <w:trHeight w:val="205"/>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Treasury stock purchased</w:t>
            </w: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(41)</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(41)</w:t>
            </w:r>
          </w:p>
        </w:tc>
        <w:tc>
          <w:tcPr>
            <w:tcW w:w="0" w:type="dxa"/>
            <w:vAlign w:val="bottom"/>
          </w:tcPr>
          <w:p>
            <w:pPr>
              <w:spacing w:after="0"/>
              <w:rPr>
                <w:sz w:val="1"/>
                <w:szCs w:val="1"/>
                <w:color w:val="auto"/>
              </w:rPr>
            </w:pPr>
          </w:p>
        </w:tc>
      </w:tr>
      <w:tr>
        <w:trPr>
          <w:trHeight w:val="134"/>
        </w:trPr>
        <w:tc>
          <w:tcPr>
            <w:tcW w:w="20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Treasury stock issued under</w:t>
            </w: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80" w:type="dxa"/>
            <w:vAlign w:val="bottom"/>
          </w:tcPr>
          <w:p>
            <w:pPr>
              <w:ind w:left="20"/>
              <w:spacing w:after="0" w:line="144" w:lineRule="exact"/>
              <w:rPr>
                <w:sz w:val="20"/>
                <w:szCs w:val="20"/>
                <w:color w:val="auto"/>
              </w:rPr>
            </w:pPr>
            <w:r>
              <w:rPr>
                <w:rFonts w:ascii="Times New Roman" w:cs="Times New Roman" w:eastAsia="Times New Roman" w:hAnsi="Times New Roman"/>
                <w:sz w:val="14"/>
                <w:szCs w:val="14"/>
                <w:b w:val="1"/>
                <w:bCs w:val="1"/>
                <w:color w:val="auto"/>
              </w:rPr>
              <w:t>management incentive and stock</w:t>
            </w: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1</w:t>
            </w:r>
          </w:p>
        </w:tc>
        <w:tc>
          <w:tcPr>
            <w:tcW w:w="16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39</w:t>
            </w:r>
          </w:p>
        </w:tc>
        <w:tc>
          <w:tcPr>
            <w:tcW w:w="220" w:type="dxa"/>
            <w:vAlign w:val="bottom"/>
          </w:tcPr>
          <w:p>
            <w:pPr>
              <w:spacing w:after="0"/>
              <w:rPr>
                <w:sz w:val="12"/>
                <w:szCs w:val="12"/>
                <w:color w:val="auto"/>
              </w:rPr>
            </w:pPr>
          </w:p>
        </w:tc>
        <w:tc>
          <w:tcPr>
            <w:tcW w:w="860" w:type="dxa"/>
            <w:vAlign w:val="bottom"/>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(40)</w:t>
            </w:r>
          </w:p>
        </w:tc>
        <w:tc>
          <w:tcPr>
            <w:tcW w:w="160" w:type="dxa"/>
            <w:vAlign w:val="bottom"/>
          </w:tcPr>
          <w:p>
            <w:pPr>
              <w:spacing w:after="0"/>
              <w:rPr>
                <w:sz w:val="12"/>
                <w:szCs w:val="12"/>
                <w:color w:val="auto"/>
              </w:rPr>
            </w:pPr>
          </w:p>
        </w:tc>
        <w:tc>
          <w:tcPr>
            <w:tcW w:w="88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0" w:type="dxa"/>
            <w:vAlign w:val="bottom"/>
          </w:tcPr>
          <w:p>
            <w:pPr>
              <w:spacing w:after="0"/>
              <w:rPr>
                <w:sz w:val="1"/>
                <w:szCs w:val="1"/>
                <w:color w:val="auto"/>
              </w:rPr>
            </w:pPr>
          </w:p>
        </w:tc>
      </w:tr>
      <w:tr>
        <w:trPr>
          <w:trHeight w:val="192"/>
        </w:trPr>
        <w:tc>
          <w:tcPr>
            <w:tcW w:w="2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option plans</w:t>
            </w:r>
          </w:p>
        </w:tc>
        <w:tc>
          <w:tcPr>
            <w:tcW w:w="7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October 30, 2022</w:t>
            </w: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323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w:t>
            </w: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(1,140)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b w:val="1"/>
                <w:bCs w:val="1"/>
                <w:color w:val="auto"/>
              </w:rPr>
              <w:t>375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4,224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Borders>
              <w:bottom w:val="single" w:sz="8" w:color="auto"/>
            </w:tcBorders>
            <w:shd w:val="clear" w:color="auto" w:fill="CCEEFF"/>
          </w:tcPr>
          <w:p>
            <w:pPr>
              <w:jc w:val="center"/>
              <w:ind w:left="889"/>
              <w:spacing w:after="0"/>
              <w:rPr>
                <w:sz w:val="20"/>
                <w:szCs w:val="20"/>
                <w:color w:val="auto"/>
              </w:rPr>
            </w:pPr>
            <w:r>
              <w:rPr>
                <w:rFonts w:ascii="Times New Roman" w:cs="Times New Roman" w:eastAsia="Times New Roman" w:hAnsi="Times New Roman"/>
                <w:sz w:val="14"/>
                <w:szCs w:val="14"/>
                <w:b w:val="1"/>
                <w:bCs w:val="1"/>
                <w:color w:val="auto"/>
                <w:w w:val="97"/>
              </w:rPr>
              <w:t>(4)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w:t>
            </w:r>
          </w:p>
        </w:tc>
        <w:tc>
          <w:tcPr>
            <w:tcW w:w="28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3,469</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755" w:right="35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 and Significant Accounting Policies</w:t>
      </w:r>
    </w:p>
    <w:p>
      <w:pPr>
        <w:spacing w:after="0" w:line="10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this Form 10-Q, unless otherwise stated, the terms "we," "us," "our" and the "company" refer to Campbell Soup Company and its consolidated subsidiaries.</w:t>
      </w:r>
    </w:p>
    <w:p>
      <w:pPr>
        <w:spacing w:after="0" w:line="4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financial statements reflect all adjustments which are, in our opinion, necessary for a fair statement of the results of operations, financial position and cash flows for the indicated periods. The accounting policies we used in preparing these financial statements are substantially consistent with those we applied in our Annual Report on Form 10-K for the year ended July 31, 2022.</w:t>
      </w:r>
    </w:p>
    <w:p>
      <w:pPr>
        <w:spacing w:after="0" w:line="4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results for the period are not necessarily indicative of the results to be expected for other interim periods or the full year. Our fiscal year ends on the Sunday nearest July 31, which is July 30, 2023.</w:t>
      </w:r>
    </w:p>
    <w:p>
      <w:pPr>
        <w:spacing w:after="0" w:line="135" w:lineRule="exact"/>
        <w:rPr>
          <w:sz w:val="20"/>
          <w:szCs w:val="20"/>
          <w:color w:val="auto"/>
        </w:rPr>
      </w:pPr>
    </w:p>
    <w:p>
      <w:pPr>
        <w:ind w:left="320" w:right="7700" w:hanging="314"/>
        <w:spacing w:after="0" w:line="367" w:lineRule="auto"/>
        <w:tabs>
          <w:tab w:leader="none" w:pos="179" w:val="left"/>
        </w:tabs>
        <w:numPr>
          <w:ilvl w:val="0"/>
          <w:numId w:val="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Recent Accounting Pronouncements </w:t>
      </w:r>
      <w:r>
        <w:rPr>
          <w:rFonts w:ascii="Times New Roman" w:cs="Times New Roman" w:eastAsia="Times New Roman" w:hAnsi="Times New Roman"/>
          <w:sz w:val="17"/>
          <w:szCs w:val="17"/>
          <w:i w:val="1"/>
          <w:iCs w:val="1"/>
          <w:u w:val="single" w:color="auto"/>
          <w:color w:val="auto"/>
        </w:rPr>
        <w:t>Accounting Pronouncements Not Yet Adopted</w:t>
      </w: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September 2022, the Financial Accounting Standards Board (FASB) issued guidance that enhances the transparency of supplier finance programs by requiring disclosure of the key terms of these programs and a related rollforward of these obligations to understand the effect on working capital, liquidity and cash flows. The guidance is effective for fiscal years beginning after December 15, 2022, including interim periods in those fiscal years, except for the rollforward requirement, which is effective for fiscal years beginning after December 15, 2023. Early adoption is permitted. We are currently evaluating the impact that the new guidance will have on our disclosures.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Accumulated Other Comprehensive Income (Loss)</w:t>
      </w:r>
    </w:p>
    <w:p>
      <w:pPr>
        <w:spacing w:after="0" w:line="1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components of Accumulated other comprehensive income (loss) consisted of the following:</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6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Pension and</w:t>
            </w:r>
          </w:p>
        </w:tc>
        <w:tc>
          <w:tcPr>
            <w:tcW w:w="140" w:type="dxa"/>
            <w:vAlign w:val="bottom"/>
          </w:tcPr>
          <w:p>
            <w:pPr>
              <w:spacing w:after="0"/>
              <w:rPr>
                <w:sz w:val="13"/>
                <w:szCs w:val="13"/>
                <w:color w:val="auto"/>
              </w:rPr>
            </w:pPr>
          </w:p>
        </w:tc>
        <w:tc>
          <w:tcPr>
            <w:tcW w:w="130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w w:val="99"/>
              </w:rPr>
              <w:t>Total Accumulated</w:t>
            </w:r>
          </w:p>
        </w:tc>
        <w:tc>
          <w:tcPr>
            <w:tcW w:w="0" w:type="dxa"/>
            <w:vAlign w:val="bottom"/>
          </w:tcPr>
          <w:p>
            <w:pPr>
              <w:spacing w:after="0"/>
              <w:rPr>
                <w:sz w:val="1"/>
                <w:szCs w:val="1"/>
                <w:color w:val="auto"/>
              </w:rPr>
            </w:pPr>
          </w:p>
        </w:tc>
      </w:tr>
      <w:tr>
        <w:trPr>
          <w:trHeight w:val="133"/>
        </w:trPr>
        <w:tc>
          <w:tcPr>
            <w:tcW w:w="5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60" w:type="dxa"/>
            <w:vAlign w:val="bottom"/>
          </w:tcPr>
          <w:p>
            <w:pPr>
              <w:spacing w:after="0"/>
              <w:rPr>
                <w:sz w:val="11"/>
                <w:szCs w:val="11"/>
                <w:color w:val="auto"/>
              </w:rPr>
            </w:pPr>
          </w:p>
        </w:tc>
        <w:tc>
          <w:tcPr>
            <w:tcW w:w="1400" w:type="dxa"/>
            <w:vAlign w:val="bottom"/>
            <w:gridSpan w:val="2"/>
          </w:tcPr>
          <w:p>
            <w:pPr>
              <w:jc w:val="center"/>
              <w:ind w:right="260"/>
              <w:spacing w:after="0" w:line="133"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15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Cash-Flow Hedges</w:t>
            </w:r>
            <w:r>
              <w:rPr>
                <w:rFonts w:ascii="Times New Roman" w:cs="Times New Roman" w:eastAsia="Times New Roman" w:hAnsi="Times New Roman"/>
                <w:sz w:val="18"/>
                <w:szCs w:val="18"/>
                <w:b w:val="1"/>
                <w:bCs w:val="1"/>
                <w:color w:val="auto"/>
                <w:vertAlign w:val="superscript"/>
              </w:rPr>
              <w:t>(2)</w:t>
            </w:r>
          </w:p>
        </w:tc>
        <w:tc>
          <w:tcPr>
            <w:tcW w:w="1540" w:type="dxa"/>
            <w:vAlign w:val="bottom"/>
            <w:gridSpan w:val="3"/>
          </w:tcPr>
          <w:p>
            <w:pPr>
              <w:jc w:val="center"/>
              <w:ind w:right="100"/>
              <w:spacing w:after="0" w:line="133" w:lineRule="exact"/>
              <w:rPr>
                <w:sz w:val="20"/>
                <w:szCs w:val="20"/>
                <w:color w:val="auto"/>
              </w:rPr>
            </w:pPr>
            <w:r>
              <w:rPr>
                <w:rFonts w:ascii="Times New Roman" w:cs="Times New Roman" w:eastAsia="Times New Roman" w:hAnsi="Times New Roman"/>
                <w:sz w:val="14"/>
                <w:szCs w:val="14"/>
                <w:b w:val="1"/>
                <w:bCs w:val="1"/>
                <w:color w:val="auto"/>
              </w:rPr>
              <w:t>Postretirement Benefit</w:t>
            </w:r>
          </w:p>
        </w:tc>
        <w:tc>
          <w:tcPr>
            <w:tcW w:w="140" w:type="dxa"/>
            <w:vAlign w:val="bottom"/>
          </w:tcPr>
          <w:p>
            <w:pPr>
              <w:spacing w:after="0"/>
              <w:rPr>
                <w:sz w:val="11"/>
                <w:szCs w:val="11"/>
                <w:color w:val="auto"/>
              </w:rPr>
            </w:pPr>
          </w:p>
        </w:tc>
        <w:tc>
          <w:tcPr>
            <w:tcW w:w="1300" w:type="dxa"/>
            <w:vAlign w:val="bottom"/>
          </w:tcPr>
          <w:p>
            <w:pPr>
              <w:jc w:val="center"/>
              <w:ind w:right="36"/>
              <w:spacing w:after="0" w:line="133"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212"/>
        </w:trPr>
        <w:tc>
          <w:tcPr>
            <w:tcW w:w="51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5"/>
              </w:rPr>
              <w:t>Adjustments</w:t>
            </w:r>
            <w:r>
              <w:rPr>
                <w:rFonts w:ascii="Times New Roman" w:cs="Times New Roman" w:eastAsia="Times New Roman" w:hAnsi="Times New Roman"/>
                <w:sz w:val="18"/>
                <w:szCs w:val="18"/>
                <w:b w:val="1"/>
                <w:bCs w:val="1"/>
                <w:color w:val="auto"/>
                <w:w w:val="95"/>
                <w:vertAlign w:val="superscript"/>
              </w:rPr>
              <w:t>(1)</w:t>
            </w:r>
          </w:p>
        </w:tc>
        <w:tc>
          <w:tcPr>
            <w:tcW w:w="154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Plan Adjustments</w:t>
            </w:r>
            <w:r>
              <w:rPr>
                <w:rFonts w:ascii="Times New Roman" w:cs="Times New Roman" w:eastAsia="Times New Roman" w:hAnsi="Times New Roman"/>
                <w:sz w:val="18"/>
                <w:szCs w:val="18"/>
                <w:b w:val="1"/>
                <w:bCs w:val="1"/>
                <w:color w:val="auto"/>
                <w:w w:val="97"/>
                <w:vertAlign w:val="superscript"/>
              </w:rPr>
              <w:t>(3)</w:t>
            </w:r>
          </w:p>
        </w:tc>
        <w:tc>
          <w:tcPr>
            <w:tcW w:w="140" w:type="dxa"/>
            <w:vAlign w:val="bottom"/>
          </w:tcPr>
          <w:p>
            <w:pPr>
              <w:spacing w:after="0"/>
              <w:rPr>
                <w:sz w:val="18"/>
                <w:szCs w:val="18"/>
                <w:color w:val="auto"/>
              </w:rPr>
            </w:pPr>
          </w:p>
        </w:tc>
        <w:tc>
          <w:tcPr>
            <w:tcW w:w="130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0" w:type="dxa"/>
            <w:vAlign w:val="bottom"/>
          </w:tcPr>
          <w:p>
            <w:pPr>
              <w:spacing w:after="0"/>
              <w:rPr>
                <w:sz w:val="1"/>
                <w:szCs w:val="1"/>
                <w:color w:val="auto"/>
              </w:rPr>
            </w:pPr>
          </w:p>
        </w:tc>
      </w:tr>
      <w:tr>
        <w:trPr>
          <w:trHeight w:val="219"/>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August 1, 2021</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ind w:right="455"/>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8"/>
        </w:trPr>
        <w:tc>
          <w:tcPr>
            <w:tcW w:w="5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72"/>
        </w:trPr>
        <w:tc>
          <w:tcPr>
            <w:tcW w:w="5100" w:type="dxa"/>
            <w:vAlign w:val="bottom"/>
            <w:shd w:val="clear" w:color="auto" w:fill="CCEEFF"/>
          </w:tcPr>
          <w:p>
            <w:pPr>
              <w:ind w:left="220"/>
              <w:spacing w:after="0" w:line="172" w:lineRule="exact"/>
              <w:rPr>
                <w:sz w:val="20"/>
                <w:szCs w:val="20"/>
                <w:color w:val="auto"/>
              </w:rPr>
            </w:pPr>
            <w:r>
              <w:rPr>
                <w:rFonts w:ascii="Times New Roman" w:cs="Times New Roman" w:eastAsia="Times New Roman" w:hAnsi="Times New Roman"/>
                <w:sz w:val="18"/>
                <w:szCs w:val="18"/>
                <w:color w:val="auto"/>
              </w:rPr>
              <w:t>Losses (gains) reclassified from accumulated other comprehensive</w:t>
            </w:r>
          </w:p>
        </w:tc>
        <w:tc>
          <w:tcPr>
            <w:tcW w:w="1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5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(loss)</w:t>
            </w: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1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6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3"/>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October 31, 2021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455"/>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July 31, 2022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455"/>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9"/>
        </w:trPr>
        <w:tc>
          <w:tcPr>
            <w:tcW w:w="51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Other comprehensive income (loss) before reclassifications</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0" w:type="dxa"/>
            <w:vAlign w:val="bottom"/>
          </w:tcPr>
          <w:p>
            <w:pPr>
              <w:spacing w:after="0"/>
              <w:rPr>
                <w:sz w:val="1"/>
                <w:szCs w:val="1"/>
                <w:color w:val="auto"/>
              </w:rPr>
            </w:pPr>
          </w:p>
        </w:tc>
      </w:tr>
      <w:tr>
        <w:trPr>
          <w:trHeight w:val="172"/>
        </w:trPr>
        <w:tc>
          <w:tcPr>
            <w:tcW w:w="5100" w:type="dxa"/>
            <w:vAlign w:val="bottom"/>
            <w:shd w:val="clear" w:color="auto" w:fill="CCEEFF"/>
          </w:tcPr>
          <w:p>
            <w:pPr>
              <w:ind w:left="220"/>
              <w:spacing w:after="0" w:line="172" w:lineRule="exact"/>
              <w:rPr>
                <w:sz w:val="20"/>
                <w:szCs w:val="20"/>
                <w:color w:val="auto"/>
              </w:rPr>
            </w:pPr>
            <w:r>
              <w:rPr>
                <w:rFonts w:ascii="Times New Roman" w:cs="Times New Roman" w:eastAsia="Times New Roman" w:hAnsi="Times New Roman"/>
                <w:sz w:val="18"/>
                <w:szCs w:val="18"/>
                <w:b w:val="1"/>
                <w:bCs w:val="1"/>
                <w:color w:val="auto"/>
              </w:rPr>
              <w:t>Losses (gains) reclassified from accumulated other</w:t>
            </w:r>
          </w:p>
        </w:tc>
        <w:tc>
          <w:tcPr>
            <w:tcW w:w="16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0" w:type="dxa"/>
            <w:vAlign w:val="bottom"/>
          </w:tcPr>
          <w:p>
            <w:pPr>
              <w:spacing w:after="0"/>
              <w:rPr>
                <w:sz w:val="1"/>
                <w:szCs w:val="1"/>
                <w:color w:val="auto"/>
              </w:rPr>
            </w:pPr>
          </w:p>
        </w:tc>
      </w:tr>
      <w:tr>
        <w:trPr>
          <w:trHeight w:val="238"/>
        </w:trPr>
        <w:tc>
          <w:tcPr>
            <w:tcW w:w="5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160" w:type="dxa"/>
            <w:vAlign w:val="bottom"/>
            <w:shd w:val="clear" w:color="auto" w:fill="CCEEFF"/>
          </w:tcPr>
          <w:p>
            <w:pPr>
              <w:spacing w:after="0"/>
              <w:rPr>
                <w:sz w:val="20"/>
                <w:szCs w:val="20"/>
                <w:color w:val="auto"/>
              </w:rPr>
            </w:pPr>
          </w:p>
        </w:tc>
        <w:tc>
          <w:tcPr>
            <w:tcW w:w="1400" w:type="dxa"/>
            <w:vAlign w:val="bottom"/>
            <w:gridSpan w:val="2"/>
            <w:vMerge w:val="continue"/>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78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2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current-period other comprehensive income (loss)</w:t>
            </w:r>
          </w:p>
        </w:tc>
        <w:tc>
          <w:tcPr>
            <w:tcW w:w="1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00" w:type="dxa"/>
            <w:vAlign w:val="bottom"/>
            <w:tcBorders>
              <w:bottom w:val="single" w:sz="8" w:color="CCEEFF"/>
            </w:tcBorders>
          </w:tcPr>
          <w:p>
            <w:pPr>
              <w:spacing w:after="0"/>
              <w:rPr>
                <w:sz w:val="19"/>
                <w:szCs w:val="19"/>
                <w:color w:val="auto"/>
              </w:rPr>
            </w:pPr>
          </w:p>
        </w:tc>
        <w:tc>
          <w:tcPr>
            <w:tcW w:w="6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0" w:type="dxa"/>
            <w:vAlign w:val="bottom"/>
          </w:tcPr>
          <w:p>
            <w:pPr>
              <w:spacing w:after="0"/>
              <w:rPr>
                <w:sz w:val="1"/>
                <w:szCs w:val="1"/>
                <w:color w:val="auto"/>
              </w:rPr>
            </w:pPr>
          </w:p>
        </w:tc>
      </w:tr>
      <w:tr>
        <w:trPr>
          <w:trHeight w:val="243"/>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October 30, 2022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45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25" w:lineRule="exact"/>
        <w:rPr>
          <w:sz w:val="20"/>
          <w:szCs w:val="20"/>
          <w:color w:val="auto"/>
        </w:rPr>
      </w:pPr>
    </w:p>
    <w:p>
      <w:pPr>
        <w:ind w:left="320" w:hanging="314"/>
        <w:spacing w:after="0"/>
        <w:tabs>
          <w:tab w:leader="none" w:pos="320" w:val="left"/>
        </w:tabs>
        <w:numPr>
          <w:ilvl w:val="0"/>
          <w:numId w:val="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Included no tax as of October 30, 2022, July 31, 2022, October 31, 2021 and August 1, 2021.</w:t>
      </w:r>
    </w:p>
    <w:p>
      <w:pPr>
        <w:ind w:left="320" w:right="720" w:hanging="314"/>
        <w:spacing w:after="0" w:line="215" w:lineRule="auto"/>
        <w:tabs>
          <w:tab w:leader="none" w:pos="308" w:val="left"/>
        </w:tabs>
        <w:numPr>
          <w:ilvl w:val="0"/>
          <w:numId w:val="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Included tax expense of $1 million as of October 30, 2022, no tax as of July 31, 2022 and October 31, 2021, and a tax benefit of $1 million as of August 1, 2021.</w:t>
      </w:r>
    </w:p>
    <w:p>
      <w:pPr>
        <w:spacing w:after="0" w:line="1" w:lineRule="exact"/>
        <w:rPr>
          <w:rFonts w:ascii="Times New Roman" w:cs="Times New Roman" w:eastAsia="Times New Roman" w:hAnsi="Times New Roman"/>
          <w:sz w:val="23"/>
          <w:szCs w:val="23"/>
          <w:color w:val="auto"/>
          <w:vertAlign w:val="superscript"/>
        </w:rPr>
      </w:pPr>
    </w:p>
    <w:p>
      <w:pPr>
        <w:ind w:left="320" w:right="2940" w:hanging="314"/>
        <w:spacing w:after="0" w:line="277" w:lineRule="auto"/>
        <w:tabs>
          <w:tab w:leader="none" w:pos="308" w:val="left"/>
        </w:tabs>
        <w:numPr>
          <w:ilvl w:val="0"/>
          <w:numId w:val="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Included tax expense of $1 million as of October 30, 2022, July 31, 2022, October 31, 2021, and August 1, 2021. Amounts related to noncontrolling interests were not material.</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8" w:name="page9"/>
    <w:bookmarkEnd w:id="8"/>
    <w:p>
      <w:pPr>
        <w:ind w:left="320"/>
        <w:spacing w:after="0"/>
        <w:rPr>
          <w:sz w:val="20"/>
          <w:szCs w:val="20"/>
          <w:color w:val="auto"/>
        </w:rPr>
      </w:pPr>
      <w:r>
        <w:rPr>
          <w:rFonts w:ascii="Times New Roman" w:cs="Times New Roman" w:eastAsia="Times New Roman" w:hAnsi="Times New Roman"/>
          <w:sz w:val="18"/>
          <w:szCs w:val="18"/>
          <w:color w:val="auto"/>
        </w:rPr>
        <w:t>The amounts reclassified from Accumulated other comprehensive income (loss) consisted of the following:</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0" w:type="dxa"/>
            <w:vAlign w:val="bottom"/>
            <w:gridSpan w:val="4"/>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2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60" w:type="dxa"/>
            <w:vAlign w:val="bottom"/>
            <w:gridSpan w:val="6"/>
            <w:vMerge w:val="restart"/>
          </w:tcPr>
          <w:p>
            <w:pPr>
              <w:ind w:left="80"/>
              <w:spacing w:after="0" w:line="159" w:lineRule="exact"/>
              <w:rPr>
                <w:sz w:val="20"/>
                <w:szCs w:val="20"/>
                <w:color w:val="auto"/>
              </w:rPr>
            </w:pPr>
            <w:r>
              <w:rPr>
                <w:rFonts w:ascii="Times New Roman" w:cs="Times New Roman" w:eastAsia="Times New Roman" w:hAnsi="Times New Roman"/>
                <w:sz w:val="14"/>
                <w:szCs w:val="14"/>
                <w:b w:val="1"/>
                <w:bCs w:val="1"/>
                <w:color w:val="auto"/>
              </w:rPr>
              <w:t>Location of Loss (Gain) Recognized in</w:t>
            </w:r>
          </w:p>
        </w:tc>
        <w:tc>
          <w:tcPr>
            <w:tcW w:w="0" w:type="dxa"/>
            <w:vAlign w:val="bottom"/>
          </w:tcPr>
          <w:p>
            <w:pPr>
              <w:spacing w:after="0"/>
              <w:rPr>
                <w:sz w:val="1"/>
                <w:szCs w:val="1"/>
                <w:color w:val="auto"/>
              </w:rPr>
            </w:pPr>
          </w:p>
        </w:tc>
      </w:tr>
      <w:tr>
        <w:trPr>
          <w:trHeight w:val="114"/>
        </w:trPr>
        <w:tc>
          <w:tcPr>
            <w:tcW w:w="6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8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October 30, 2022</w:t>
            </w:r>
          </w:p>
        </w:tc>
        <w:tc>
          <w:tcPr>
            <w:tcW w:w="11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31, 2021</w:t>
            </w:r>
          </w:p>
        </w:tc>
        <w:tc>
          <w:tcPr>
            <w:tcW w:w="100" w:type="dxa"/>
            <w:vAlign w:val="bottom"/>
          </w:tcPr>
          <w:p>
            <w:pPr>
              <w:spacing w:after="0"/>
              <w:rPr>
                <w:sz w:val="9"/>
                <w:szCs w:val="9"/>
                <w:color w:val="auto"/>
              </w:rPr>
            </w:pPr>
          </w:p>
        </w:tc>
        <w:tc>
          <w:tcPr>
            <w:tcW w:w="24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6220" w:type="dxa"/>
            <w:vAlign w:val="bottom"/>
            <w:vMerge w:val="continue"/>
          </w:tcPr>
          <w:p>
            <w:pPr>
              <w:spacing w:after="0"/>
              <w:rPr>
                <w:sz w:val="16"/>
                <w:szCs w:val="16"/>
                <w:color w:val="auto"/>
              </w:rPr>
            </w:pPr>
          </w:p>
        </w:tc>
        <w:tc>
          <w:tcPr>
            <w:tcW w:w="1280" w:type="dxa"/>
            <w:vAlign w:val="bottom"/>
            <w:gridSpan w:val="4"/>
            <w:vMerge w:val="continue"/>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(gains) on cash-flow hedges:</w:t>
            </w:r>
          </w:p>
        </w:tc>
        <w:tc>
          <w:tcPr>
            <w:tcW w:w="3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Commodity contracts</w:t>
            </w:r>
          </w:p>
        </w:tc>
        <w:tc>
          <w:tcPr>
            <w:tcW w:w="340" w:type="dxa"/>
            <w:vAlign w:val="bottom"/>
          </w:tcPr>
          <w:p>
            <w:pPr>
              <w:jc w:val="right"/>
              <w:ind w:right="15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gridSpan w:val="2"/>
          </w:tcPr>
          <w:p>
            <w:pPr>
              <w:jc w:val="center"/>
              <w:ind w:left="495"/>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Pr>
          <w:p>
            <w:pPr>
              <w:spacing w:after="0"/>
              <w:rPr>
                <w:sz w:val="19"/>
                <w:szCs w:val="19"/>
                <w:color w:val="auto"/>
              </w:rPr>
            </w:pPr>
          </w:p>
        </w:tc>
        <w:tc>
          <w:tcPr>
            <w:tcW w:w="860" w:type="dxa"/>
            <w:vAlign w:val="bottom"/>
          </w:tcPr>
          <w:p>
            <w:pPr>
              <w:jc w:val="right"/>
              <w:ind w:right="655"/>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w w:val="97"/>
              </w:rPr>
              <w:t>Cost of products sold</w:t>
            </w: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gridSpan w:val="2"/>
            <w:shd w:val="clear" w:color="auto" w:fill="CCEEFF"/>
          </w:tcPr>
          <w:p>
            <w:pPr>
              <w:jc w:val="center"/>
              <w:ind w:left="495"/>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5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Cost of products sold</w:t>
            </w: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2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Total before tax</w:t>
            </w:r>
          </w:p>
        </w:tc>
        <w:tc>
          <w:tcPr>
            <w:tcW w:w="340" w:type="dxa"/>
            <w:vAlign w:val="bottom"/>
          </w:tcPr>
          <w:p>
            <w:pPr>
              <w:spacing w:after="0"/>
              <w:rPr>
                <w:sz w:val="19"/>
                <w:szCs w:val="19"/>
                <w:color w:val="auto"/>
              </w:rPr>
            </w:pPr>
          </w:p>
        </w:tc>
        <w:tc>
          <w:tcPr>
            <w:tcW w:w="840" w:type="dxa"/>
            <w:vAlign w:val="bottom"/>
            <w:gridSpan w:val="2"/>
          </w:tcPr>
          <w:p>
            <w:pPr>
              <w:jc w:val="center"/>
              <w:ind w:left="495"/>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Tax expense (benefit)</w:t>
            </w: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gridSpan w:val="2"/>
            <w:shd w:val="clear" w:color="auto" w:fill="CCEEFF"/>
          </w:tcPr>
          <w:p>
            <w:pPr>
              <w:jc w:val="center"/>
              <w:ind w:left="515"/>
              <w:spacing w:after="0"/>
              <w:rPr>
                <w:sz w:val="20"/>
                <w:szCs w:val="20"/>
                <w:color w:val="auto"/>
              </w:rPr>
            </w:pPr>
            <w:r>
              <w:rPr>
                <w:rFonts w:ascii="Times New Roman" w:cs="Times New Roman" w:eastAsia="Times New Roman" w:hAnsi="Times New Roman"/>
                <w:sz w:val="18"/>
                <w:szCs w:val="18"/>
                <w:b w:val="1"/>
                <w:bCs w:val="1"/>
                <w:color w:val="auto"/>
                <w:w w:val="88"/>
              </w:rPr>
              <w:t>1</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2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Loss (gain), net of tax</w:t>
            </w:r>
          </w:p>
        </w:tc>
        <w:tc>
          <w:tcPr>
            <w:tcW w:w="34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gridSpan w:val="2"/>
          </w:tcPr>
          <w:p>
            <w:pPr>
              <w:jc w:val="center"/>
              <w:ind w:left="495"/>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Pr>
          <w:p>
            <w:pPr>
              <w:spacing w:after="0"/>
              <w:rPr>
                <w:sz w:val="19"/>
                <w:szCs w:val="19"/>
                <w:color w:val="auto"/>
              </w:rPr>
            </w:pPr>
          </w:p>
        </w:tc>
        <w:tc>
          <w:tcPr>
            <w:tcW w:w="86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4. Goodwill and Intangible Assets</w:t>
            </w:r>
          </w:p>
        </w:tc>
        <w:tc>
          <w:tcPr>
            <w:tcW w:w="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5"/>
        </w:trPr>
        <w:tc>
          <w:tcPr>
            <w:tcW w:w="62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62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6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following table shows the changes in the carrying amount of goodwill:</w:t>
            </w: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6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Meals &amp; Beverages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Snacks</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4"/>
        </w:trPr>
        <w:tc>
          <w:tcPr>
            <w:tcW w:w="62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balance at July 31, 2022</w:t>
            </w:r>
          </w:p>
        </w:tc>
        <w:tc>
          <w:tcPr>
            <w:tcW w:w="3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2,986</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Foreign currency translation adjustment</w:t>
            </w:r>
          </w:p>
        </w:tc>
        <w:tc>
          <w:tcPr>
            <w:tcW w:w="34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balance at October 30, 2022</w:t>
            </w:r>
          </w:p>
        </w:tc>
        <w:tc>
          <w:tcPr>
            <w:tcW w:w="3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2,986</w:t>
            </w:r>
          </w:p>
        </w:tc>
        <w:tc>
          <w:tcPr>
            <w:tcW w:w="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3,973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balance sheet information for intangible assets, excluding goodwill:</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October 30, 2022</w:t>
            </w: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July 31, 2022</w:t>
            </w: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0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Cost</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center"/>
              <w:ind w:right="260"/>
              <w:spacing w:after="0" w:line="128"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1"/>
                <w:szCs w:val="11"/>
                <w:color w:val="auto"/>
              </w:rPr>
            </w:pPr>
          </w:p>
        </w:tc>
        <w:tc>
          <w:tcPr>
            <w:tcW w:w="840" w:type="dxa"/>
            <w:vAlign w:val="bottom"/>
            <w:vMerge w:val="restart"/>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1"/>
                <w:szCs w:val="11"/>
                <w:color w:val="auto"/>
              </w:rPr>
            </w:pPr>
          </w:p>
        </w:tc>
        <w:tc>
          <w:tcPr>
            <w:tcW w:w="1100" w:type="dxa"/>
            <w:vAlign w:val="bottom"/>
            <w:gridSpan w:val="2"/>
          </w:tcPr>
          <w:p>
            <w:pPr>
              <w:ind w:left="40"/>
              <w:spacing w:after="0" w:line="128"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1"/>
                <w:szCs w:val="11"/>
                <w:color w:val="auto"/>
              </w:rPr>
            </w:pPr>
          </w:p>
        </w:tc>
        <w:tc>
          <w:tcPr>
            <w:tcW w:w="840" w:type="dxa"/>
            <w:vAlign w:val="bottom"/>
            <w:vMerge w:val="restart"/>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1"/>
        </w:trPr>
        <w:tc>
          <w:tcPr>
            <w:tcW w:w="400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Amortizable intangible assets</w:t>
            </w:r>
          </w:p>
        </w:tc>
        <w:tc>
          <w:tcPr>
            <w:tcW w:w="7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Customer relationships</w:t>
            </w:r>
          </w:p>
        </w:tc>
        <w:tc>
          <w:tcPr>
            <w:tcW w:w="720" w:type="dxa"/>
            <w:vAlign w:val="bottom"/>
          </w:tcPr>
          <w:p>
            <w:pPr>
              <w:jc w:val="right"/>
              <w:ind w:right="54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(192)</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638</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830</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0" w:type="dxa"/>
            <w:vAlign w:val="bottom"/>
          </w:tcPr>
          <w:p>
            <w:pPr>
              <w:spacing w:after="0"/>
              <w:rPr>
                <w:sz w:val="1"/>
                <w:szCs w:val="1"/>
                <w:color w:val="auto"/>
              </w:rPr>
            </w:pPr>
          </w:p>
        </w:tc>
      </w:tr>
      <w:tr>
        <w:trPr>
          <w:trHeight w:val="225"/>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Non-amortizable intangible assets</w:t>
            </w:r>
          </w:p>
        </w:tc>
        <w:tc>
          <w:tcPr>
            <w:tcW w:w="7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00" w:type="dxa"/>
            <w:vAlign w:val="bottom"/>
          </w:tcPr>
          <w:p>
            <w:pPr>
              <w:ind w:left="580"/>
              <w:spacing w:after="0"/>
              <w:rPr>
                <w:sz w:val="20"/>
                <w:szCs w:val="20"/>
                <w:color w:val="auto"/>
              </w:rPr>
            </w:pPr>
            <w:r>
              <w:rPr>
                <w:rFonts w:ascii="Times New Roman" w:cs="Times New Roman" w:eastAsia="Times New Roman" w:hAnsi="Times New Roman"/>
                <w:sz w:val="18"/>
                <w:szCs w:val="18"/>
                <w:i w:val="1"/>
                <w:iCs w:val="1"/>
                <w:color w:val="auto"/>
              </w:rPr>
              <w:t>Snyder's of Hanover</w:t>
            </w: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0" w:type="dxa"/>
            <w:vAlign w:val="bottom"/>
          </w:tcPr>
          <w:p>
            <w:pPr>
              <w:spacing w:after="0"/>
              <w:rPr>
                <w:sz w:val="1"/>
                <w:szCs w:val="1"/>
                <w:color w:val="auto"/>
              </w:rPr>
            </w:pPr>
          </w:p>
        </w:tc>
      </w:tr>
      <w:tr>
        <w:trPr>
          <w:trHeight w:val="225"/>
        </w:trPr>
        <w:tc>
          <w:tcPr>
            <w:tcW w:w="40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i w:val="1"/>
                <w:iCs w:val="1"/>
                <w:color w:val="auto"/>
              </w:rPr>
              <w:t>Lance</w:t>
            </w:r>
          </w:p>
        </w:tc>
        <w:tc>
          <w:tcPr>
            <w:tcW w:w="7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25"/>
        </w:trPr>
        <w:tc>
          <w:tcPr>
            <w:tcW w:w="4000" w:type="dxa"/>
            <w:vAlign w:val="bottom"/>
          </w:tcPr>
          <w:p>
            <w:pPr>
              <w:ind w:left="580"/>
              <w:spacing w:after="0"/>
              <w:rPr>
                <w:sz w:val="20"/>
                <w:szCs w:val="20"/>
                <w:color w:val="auto"/>
              </w:rPr>
            </w:pPr>
            <w:r>
              <w:rPr>
                <w:rFonts w:ascii="Times New Roman" w:cs="Times New Roman" w:eastAsia="Times New Roman" w:hAnsi="Times New Roman"/>
                <w:sz w:val="18"/>
                <w:szCs w:val="18"/>
                <w:i w:val="1"/>
                <w:iCs w:val="1"/>
                <w:color w:val="auto"/>
              </w:rPr>
              <w:t>Kettle Brand</w:t>
            </w: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25"/>
        </w:trPr>
        <w:tc>
          <w:tcPr>
            <w:tcW w:w="40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i w:val="1"/>
                <w:iCs w:val="1"/>
                <w:color w:val="auto"/>
              </w:rPr>
              <w:t>Pace</w:t>
            </w:r>
          </w:p>
        </w:tc>
        <w:tc>
          <w:tcPr>
            <w:tcW w:w="7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25"/>
        </w:trPr>
        <w:tc>
          <w:tcPr>
            <w:tcW w:w="4000" w:type="dxa"/>
            <w:vAlign w:val="bottom"/>
          </w:tcPr>
          <w:p>
            <w:pPr>
              <w:ind w:left="580"/>
              <w:spacing w:after="0"/>
              <w:rPr>
                <w:sz w:val="20"/>
                <w:szCs w:val="20"/>
                <w:color w:val="auto"/>
              </w:rPr>
            </w:pPr>
            <w:r>
              <w:rPr>
                <w:rFonts w:ascii="Times New Roman" w:cs="Times New Roman" w:eastAsia="Times New Roman" w:hAnsi="Times New Roman"/>
                <w:sz w:val="18"/>
                <w:szCs w:val="18"/>
                <w:i w:val="1"/>
                <w:iCs w:val="1"/>
                <w:color w:val="auto"/>
              </w:rPr>
              <w:t>Pacific Foods</w:t>
            </w: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25"/>
        </w:trPr>
        <w:tc>
          <w:tcPr>
            <w:tcW w:w="4000" w:type="dxa"/>
            <w:vAlign w:val="bottom"/>
            <w:shd w:val="clear" w:color="auto" w:fill="CCEEFF"/>
          </w:tcPr>
          <w:p>
            <w:pPr>
              <w:ind w:left="580"/>
              <w:spacing w:after="0" w:line="225" w:lineRule="exact"/>
              <w:rPr>
                <w:sz w:val="20"/>
                <w:szCs w:val="20"/>
                <w:color w:val="auto"/>
              </w:rPr>
            </w:pPr>
            <w:r>
              <w:rPr>
                <w:rFonts w:ascii="Times New Roman" w:cs="Times New Roman" w:eastAsia="Times New Roman" w:hAnsi="Times New Roman"/>
                <w:sz w:val="18"/>
                <w:szCs w:val="18"/>
                <w:color w:val="auto"/>
              </w:rPr>
              <w:t>Various other Snacks</w:t>
            </w:r>
            <w:r>
              <w:rPr>
                <w:rFonts w:ascii="Times New Roman" w:cs="Times New Roman" w:eastAsia="Times New Roman" w:hAnsi="Times New Roman"/>
                <w:sz w:val="22"/>
                <w:szCs w:val="22"/>
                <w:color w:val="auto"/>
                <w:vertAlign w:val="superscript"/>
              </w:rPr>
              <w:t>(1)</w:t>
            </w:r>
          </w:p>
        </w:tc>
        <w:tc>
          <w:tcPr>
            <w:tcW w:w="7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0" w:type="dxa"/>
            <w:vAlign w:val="bottom"/>
          </w:tcPr>
          <w:p>
            <w:pPr>
              <w:spacing w:after="0"/>
              <w:rPr>
                <w:sz w:val="1"/>
                <w:szCs w:val="1"/>
                <w:color w:val="auto"/>
              </w:rPr>
            </w:pPr>
          </w:p>
        </w:tc>
      </w:tr>
      <w:tr>
        <w:trPr>
          <w:trHeight w:val="219"/>
        </w:trPr>
        <w:tc>
          <w:tcPr>
            <w:tcW w:w="4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trademarks</w:t>
            </w:r>
          </w:p>
        </w:tc>
        <w:tc>
          <w:tcPr>
            <w:tcW w:w="72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2,549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2,549</w:t>
            </w:r>
          </w:p>
        </w:tc>
        <w:tc>
          <w:tcPr>
            <w:tcW w:w="0" w:type="dxa"/>
            <w:vAlign w:val="bottom"/>
          </w:tcPr>
          <w:p>
            <w:pPr>
              <w:spacing w:after="0"/>
              <w:rPr>
                <w:sz w:val="1"/>
                <w:szCs w:val="1"/>
                <w:color w:val="auto"/>
              </w:rPr>
            </w:pPr>
          </w:p>
        </w:tc>
      </w:tr>
      <w:tr>
        <w:trPr>
          <w:trHeight w:val="243"/>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intangible assets</w:t>
            </w:r>
          </w:p>
        </w:tc>
        <w:tc>
          <w:tcPr>
            <w:tcW w:w="7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3,187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3,198</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65" w:lineRule="exact"/>
        <w:rPr>
          <w:sz w:val="20"/>
          <w:szCs w:val="20"/>
          <w:color w:val="auto"/>
        </w:rPr>
      </w:pPr>
    </w:p>
    <w:p>
      <w:pPr>
        <w:ind w:left="320" w:hanging="314"/>
        <w:spacing w:after="0"/>
        <w:tabs>
          <w:tab w:leader="none" w:pos="320"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Associated with the acquisition of Snyder's-Lance, Inc. (Snyder's-Lance).</w:t>
      </w:r>
    </w:p>
    <w:p>
      <w:pPr>
        <w:spacing w:after="0" w:line="7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Amortization of intangible assets was $11 million for both the three-month periods ended October 30, 2022 and October 31, 2021. As of October 30, 2022, amortizable intangible assets had a weighted-average remaining useful life of 16 years. Amortization expense for the next 5 years is estimated to be approximately $41 million per year.</w:t>
      </w:r>
    </w:p>
    <w:p>
      <w:pPr>
        <w:spacing w:after="0" w:line="4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 xml:space="preserve">As of our 2022 annual impairment testing, indefinite-lived trademarks with 10% or less of excess coverage of fair value over carrying value had an aggregate carrying value of $434 million and included </w:t>
      </w:r>
      <w:r>
        <w:rPr>
          <w:rFonts w:ascii="Times New Roman" w:cs="Times New Roman" w:eastAsia="Times New Roman" w:hAnsi="Times New Roman"/>
          <w:sz w:val="18"/>
          <w:szCs w:val="18"/>
          <w:i w:val="1"/>
          <w:iCs w:val="1"/>
          <w:color w:val="auto"/>
        </w:rPr>
        <w:t>Pacific Foods</w:t>
      </w:r>
      <w:r>
        <w:rPr>
          <w:rFonts w:ascii="Times New Roman" w:cs="Times New Roman" w:eastAsia="Times New Roman" w:hAnsi="Times New Roman"/>
          <w:sz w:val="18"/>
          <w:szCs w:val="18"/>
          <w:color w:val="auto"/>
        </w:rPr>
        <w:t xml:space="preserve"> and certain other Snacks trademarks.</w:t>
      </w:r>
    </w:p>
    <w:p>
      <w:pPr>
        <w:spacing w:after="0" w:line="4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estimates of future cash flows used in determining the fair value of goodwill and intangible assets involve significant management judgment and are based upon assumptions about expected future operating performance, economic conditions, market conditions and cost of capital. Inherent in estimating the future cash flows are uncertainties beyond our control, such as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9" w:name="page10"/>
    <w:bookmarkEnd w:id="9"/>
    <w:p>
      <w:pPr>
        <w:spacing w:after="0" w:line="274" w:lineRule="auto"/>
        <w:rPr>
          <w:sz w:val="20"/>
          <w:szCs w:val="20"/>
          <w:color w:val="auto"/>
        </w:rPr>
      </w:pPr>
      <w:r>
        <w:rPr>
          <w:rFonts w:ascii="Times New Roman" w:cs="Times New Roman" w:eastAsia="Times New Roman" w:hAnsi="Times New Roman"/>
          <w:sz w:val="18"/>
          <w:szCs w:val="18"/>
          <w:color w:val="auto"/>
        </w:rPr>
        <w:t>changes in capital markets. The actual cash flows could differ materially from management’s estimates due to changes in business conditions, operating performance and economic conditions.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Segment Information</w:t>
      </w:r>
    </w:p>
    <w:p>
      <w:pPr>
        <w:spacing w:after="0" w:line="1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reportable segments are as follows:</w:t>
      </w:r>
    </w:p>
    <w:p>
      <w:pPr>
        <w:spacing w:after="0" w:line="85" w:lineRule="exact"/>
        <w:rPr>
          <w:sz w:val="20"/>
          <w:szCs w:val="20"/>
          <w:color w:val="auto"/>
        </w:rPr>
      </w:pPr>
    </w:p>
    <w:p>
      <w:pPr>
        <w:jc w:val="both"/>
        <w:ind w:left="640" w:hanging="316"/>
        <w:spacing w:after="0" w:line="255"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Meals &amp; Beverages, which consists of our soup, simple meals and beverages products in retail and foodservice in the U.S. and Canada. The segment includes the following products: </w:t>
      </w:r>
      <w:r>
        <w:rPr>
          <w:rFonts w:ascii="Times New Roman" w:cs="Times New Roman" w:eastAsia="Times New Roman" w:hAnsi="Times New Roman"/>
          <w:sz w:val="18"/>
          <w:szCs w:val="18"/>
          <w:i w:val="1"/>
          <w:iCs w:val="1"/>
          <w:color w:val="auto"/>
        </w:rPr>
        <w:t>Campbell’s</w:t>
      </w:r>
      <w:r>
        <w:rPr>
          <w:rFonts w:ascii="Times New Roman" w:cs="Times New Roman" w:eastAsia="Times New Roman" w:hAnsi="Times New Roman"/>
          <w:sz w:val="18"/>
          <w:szCs w:val="18"/>
          <w:color w:val="auto"/>
        </w:rPr>
        <w:t xml:space="preserve"> condensed and ready-to-serve soups; </w:t>
      </w:r>
      <w:r>
        <w:rPr>
          <w:rFonts w:ascii="Times New Roman" w:cs="Times New Roman" w:eastAsia="Times New Roman" w:hAnsi="Times New Roman"/>
          <w:sz w:val="18"/>
          <w:szCs w:val="18"/>
          <w:i w:val="1"/>
          <w:iCs w:val="1"/>
          <w:color w:val="auto"/>
        </w:rPr>
        <w:t>Swanson</w:t>
      </w:r>
      <w:r>
        <w:rPr>
          <w:rFonts w:ascii="Times New Roman" w:cs="Times New Roman" w:eastAsia="Times New Roman" w:hAnsi="Times New Roman"/>
          <w:sz w:val="18"/>
          <w:szCs w:val="18"/>
          <w:color w:val="auto"/>
        </w:rPr>
        <w:t xml:space="preserve"> broth and stocks; </w:t>
      </w:r>
      <w:r>
        <w:rPr>
          <w:rFonts w:ascii="Times New Roman" w:cs="Times New Roman" w:eastAsia="Times New Roman" w:hAnsi="Times New Roman"/>
          <w:sz w:val="18"/>
          <w:szCs w:val="18"/>
          <w:i w:val="1"/>
          <w:iCs w:val="1"/>
          <w:color w:val="auto"/>
        </w:rPr>
        <w:t>Pacific Foods</w:t>
      </w:r>
      <w:r>
        <w:rPr>
          <w:rFonts w:ascii="Times New Roman" w:cs="Times New Roman" w:eastAsia="Times New Roman" w:hAnsi="Times New Roman"/>
          <w:sz w:val="18"/>
          <w:szCs w:val="18"/>
          <w:color w:val="auto"/>
        </w:rPr>
        <w:t xml:space="preserve"> broth, soups and non-dairy beverages; </w:t>
      </w:r>
      <w:r>
        <w:rPr>
          <w:rFonts w:ascii="Times New Roman" w:cs="Times New Roman" w:eastAsia="Times New Roman" w:hAnsi="Times New Roman"/>
          <w:sz w:val="18"/>
          <w:szCs w:val="18"/>
          <w:i w:val="1"/>
          <w:iCs w:val="1"/>
          <w:color w:val="auto"/>
        </w:rPr>
        <w:t>Prego</w:t>
      </w:r>
      <w:r>
        <w:rPr>
          <w:rFonts w:ascii="Times New Roman" w:cs="Times New Roman" w:eastAsia="Times New Roman" w:hAnsi="Times New Roman"/>
          <w:sz w:val="18"/>
          <w:szCs w:val="18"/>
          <w:color w:val="auto"/>
        </w:rPr>
        <w:t xml:space="preserve"> pasta sauces; </w:t>
      </w:r>
      <w:r>
        <w:rPr>
          <w:rFonts w:ascii="Times New Roman" w:cs="Times New Roman" w:eastAsia="Times New Roman" w:hAnsi="Times New Roman"/>
          <w:sz w:val="18"/>
          <w:szCs w:val="18"/>
          <w:i w:val="1"/>
          <w:iCs w:val="1"/>
          <w:color w:val="auto"/>
        </w:rPr>
        <w:t>Pace</w:t>
      </w:r>
      <w:r>
        <w:rPr>
          <w:rFonts w:ascii="Times New Roman" w:cs="Times New Roman" w:eastAsia="Times New Roman" w:hAnsi="Times New Roman"/>
          <w:sz w:val="18"/>
          <w:szCs w:val="18"/>
          <w:color w:val="auto"/>
        </w:rPr>
        <w:t xml:space="preserve"> Mexican sauces; </w:t>
      </w:r>
      <w:r>
        <w:rPr>
          <w:rFonts w:ascii="Times New Roman" w:cs="Times New Roman" w:eastAsia="Times New Roman" w:hAnsi="Times New Roman"/>
          <w:sz w:val="18"/>
          <w:szCs w:val="18"/>
          <w:i w:val="1"/>
          <w:iCs w:val="1"/>
          <w:color w:val="auto"/>
        </w:rPr>
        <w:t>Campbell’s</w:t>
      </w:r>
      <w:r>
        <w:rPr>
          <w:rFonts w:ascii="Times New Roman" w:cs="Times New Roman" w:eastAsia="Times New Roman" w:hAnsi="Times New Roman"/>
          <w:sz w:val="18"/>
          <w:szCs w:val="18"/>
          <w:color w:val="auto"/>
        </w:rPr>
        <w:t xml:space="preserve"> gravies, pasta, beans and dinner sauces; </w:t>
      </w:r>
      <w:r>
        <w:rPr>
          <w:rFonts w:ascii="Times New Roman" w:cs="Times New Roman" w:eastAsia="Times New Roman" w:hAnsi="Times New Roman"/>
          <w:sz w:val="18"/>
          <w:szCs w:val="18"/>
          <w:i w:val="1"/>
          <w:iCs w:val="1"/>
          <w:color w:val="auto"/>
        </w:rPr>
        <w:t>Swanson</w:t>
      </w:r>
      <w:r>
        <w:rPr>
          <w:rFonts w:ascii="Times New Roman" w:cs="Times New Roman" w:eastAsia="Times New Roman" w:hAnsi="Times New Roman"/>
          <w:sz w:val="18"/>
          <w:szCs w:val="18"/>
          <w:color w:val="auto"/>
        </w:rPr>
        <w:t xml:space="preserve"> canned poultry; </w:t>
      </w:r>
      <w:r>
        <w:rPr>
          <w:rFonts w:ascii="Times New Roman" w:cs="Times New Roman" w:eastAsia="Times New Roman" w:hAnsi="Times New Roman"/>
          <w:sz w:val="18"/>
          <w:szCs w:val="18"/>
          <w:i w:val="1"/>
          <w:iCs w:val="1"/>
          <w:color w:val="auto"/>
        </w:rPr>
        <w:t>V8</w:t>
      </w:r>
      <w:r>
        <w:rPr>
          <w:rFonts w:ascii="Times New Roman" w:cs="Times New Roman" w:eastAsia="Times New Roman" w:hAnsi="Times New Roman"/>
          <w:sz w:val="18"/>
          <w:szCs w:val="18"/>
          <w:color w:val="auto"/>
        </w:rPr>
        <w:t xml:space="preserve"> juices and beverages; and </w:t>
      </w:r>
      <w:r>
        <w:rPr>
          <w:rFonts w:ascii="Times New Roman" w:cs="Times New Roman" w:eastAsia="Times New Roman" w:hAnsi="Times New Roman"/>
          <w:sz w:val="18"/>
          <w:szCs w:val="18"/>
          <w:i w:val="1"/>
          <w:iCs w:val="1"/>
          <w:color w:val="auto"/>
        </w:rPr>
        <w:t>Campbell’s</w:t>
      </w:r>
      <w:r>
        <w:rPr>
          <w:rFonts w:ascii="Times New Roman" w:cs="Times New Roman" w:eastAsia="Times New Roman" w:hAnsi="Times New Roman"/>
          <w:sz w:val="18"/>
          <w:szCs w:val="18"/>
          <w:color w:val="auto"/>
        </w:rPr>
        <w:t xml:space="preserve"> tomato juice. The segment also includes snacking products in foodservice and Canada; and</w:t>
      </w:r>
    </w:p>
    <w:p>
      <w:pPr>
        <w:spacing w:after="0" w:line="59" w:lineRule="exact"/>
        <w:rPr>
          <w:rFonts w:ascii="Times New Roman" w:cs="Times New Roman" w:eastAsia="Times New Roman" w:hAnsi="Times New Roman"/>
          <w:sz w:val="18"/>
          <w:szCs w:val="18"/>
          <w:color w:val="auto"/>
        </w:rPr>
      </w:pPr>
    </w:p>
    <w:p>
      <w:pPr>
        <w:jc w:val="both"/>
        <w:ind w:left="640" w:hanging="316"/>
        <w:spacing w:after="0" w:line="256"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Snacks, which consists of Pepperidge Farm cookies*, crackers, fresh bakery and frozen products, including </w:t>
      </w:r>
      <w:r>
        <w:rPr>
          <w:rFonts w:ascii="Times New Roman" w:cs="Times New Roman" w:eastAsia="Times New Roman" w:hAnsi="Times New Roman"/>
          <w:sz w:val="18"/>
          <w:szCs w:val="18"/>
          <w:i w:val="1"/>
          <w:iCs w:val="1"/>
          <w:color w:val="auto"/>
        </w:rPr>
        <w:t>Goldfish</w:t>
      </w:r>
      <w:r>
        <w:rPr>
          <w:rFonts w:ascii="Times New Roman" w:cs="Times New Roman" w:eastAsia="Times New Roman" w:hAnsi="Times New Roman"/>
          <w:sz w:val="18"/>
          <w:szCs w:val="18"/>
          <w:color w:val="auto"/>
        </w:rPr>
        <w:t xml:space="preserve"> crackers*, </w:t>
      </w:r>
      <w:r>
        <w:rPr>
          <w:rFonts w:ascii="Times New Roman" w:cs="Times New Roman" w:eastAsia="Times New Roman" w:hAnsi="Times New Roman"/>
          <w:sz w:val="18"/>
          <w:szCs w:val="18"/>
          <w:i w:val="1"/>
          <w:iCs w:val="1"/>
          <w:color w:val="auto"/>
        </w:rPr>
        <w:t>Snyder’s of Hanover</w:t>
      </w:r>
      <w:r>
        <w:rPr>
          <w:rFonts w:ascii="Times New Roman" w:cs="Times New Roman" w:eastAsia="Times New Roman" w:hAnsi="Times New Roman"/>
          <w:sz w:val="18"/>
          <w:szCs w:val="18"/>
          <w:color w:val="auto"/>
        </w:rPr>
        <w:t xml:space="preserve"> pretzels*, </w:t>
      </w:r>
      <w:r>
        <w:rPr>
          <w:rFonts w:ascii="Times New Roman" w:cs="Times New Roman" w:eastAsia="Times New Roman" w:hAnsi="Times New Roman"/>
          <w:sz w:val="18"/>
          <w:szCs w:val="18"/>
          <w:i w:val="1"/>
          <w:iCs w:val="1"/>
          <w:color w:val="auto"/>
        </w:rPr>
        <w:t>Lance</w:t>
      </w:r>
      <w:r>
        <w:rPr>
          <w:rFonts w:ascii="Times New Roman" w:cs="Times New Roman" w:eastAsia="Times New Roman" w:hAnsi="Times New Roman"/>
          <w:sz w:val="18"/>
          <w:szCs w:val="18"/>
          <w:color w:val="auto"/>
        </w:rPr>
        <w:t xml:space="preserve"> sandwich crackers*, </w:t>
      </w:r>
      <w:r>
        <w:rPr>
          <w:rFonts w:ascii="Times New Roman" w:cs="Times New Roman" w:eastAsia="Times New Roman" w:hAnsi="Times New Roman"/>
          <w:sz w:val="18"/>
          <w:szCs w:val="18"/>
          <w:i w:val="1"/>
          <w:iCs w:val="1"/>
          <w:color w:val="auto"/>
        </w:rPr>
        <w:t>Cape Cod</w:t>
      </w:r>
      <w:r>
        <w:rPr>
          <w:rFonts w:ascii="Times New Roman" w:cs="Times New Roman" w:eastAsia="Times New Roman" w:hAnsi="Times New Roman"/>
          <w:sz w:val="18"/>
          <w:szCs w:val="18"/>
          <w:color w:val="auto"/>
        </w:rPr>
        <w:t xml:space="preserve"> potato chips*, </w:t>
      </w:r>
      <w:r>
        <w:rPr>
          <w:rFonts w:ascii="Times New Roman" w:cs="Times New Roman" w:eastAsia="Times New Roman" w:hAnsi="Times New Roman"/>
          <w:sz w:val="18"/>
          <w:szCs w:val="18"/>
          <w:i w:val="1"/>
          <w:iCs w:val="1"/>
          <w:color w:val="auto"/>
        </w:rPr>
        <w:t>Kettle Brand</w:t>
      </w:r>
      <w:r>
        <w:rPr>
          <w:rFonts w:ascii="Times New Roman" w:cs="Times New Roman" w:eastAsia="Times New Roman" w:hAnsi="Times New Roman"/>
          <w:sz w:val="18"/>
          <w:szCs w:val="18"/>
          <w:color w:val="auto"/>
        </w:rPr>
        <w:t xml:space="preserve"> potato chips*, </w:t>
      </w:r>
      <w:r>
        <w:rPr>
          <w:rFonts w:ascii="Times New Roman" w:cs="Times New Roman" w:eastAsia="Times New Roman" w:hAnsi="Times New Roman"/>
          <w:sz w:val="18"/>
          <w:szCs w:val="18"/>
          <w:i w:val="1"/>
          <w:iCs w:val="1"/>
          <w:color w:val="auto"/>
        </w:rPr>
        <w:t>Late July</w:t>
      </w:r>
      <w:r>
        <w:rPr>
          <w:rFonts w:ascii="Times New Roman" w:cs="Times New Roman" w:eastAsia="Times New Roman" w:hAnsi="Times New Roman"/>
          <w:sz w:val="18"/>
          <w:szCs w:val="18"/>
          <w:color w:val="auto"/>
        </w:rPr>
        <w:t xml:space="preserve"> snacks*, </w:t>
      </w:r>
      <w:r>
        <w:rPr>
          <w:rFonts w:ascii="Times New Roman" w:cs="Times New Roman" w:eastAsia="Times New Roman" w:hAnsi="Times New Roman"/>
          <w:sz w:val="18"/>
          <w:szCs w:val="18"/>
          <w:i w:val="1"/>
          <w:iCs w:val="1"/>
          <w:color w:val="auto"/>
        </w:rPr>
        <w:t>Snack Factory</w:t>
      </w:r>
      <w:r>
        <w:rPr>
          <w:rFonts w:ascii="Times New Roman" w:cs="Times New Roman" w:eastAsia="Times New Roman" w:hAnsi="Times New Roman"/>
          <w:sz w:val="18"/>
          <w:szCs w:val="18"/>
          <w:color w:val="auto"/>
        </w:rPr>
        <w:t xml:space="preserve"> pretzel crisps*, </w:t>
      </w:r>
      <w:r>
        <w:rPr>
          <w:rFonts w:ascii="Times New Roman" w:cs="Times New Roman" w:eastAsia="Times New Roman" w:hAnsi="Times New Roman"/>
          <w:sz w:val="18"/>
          <w:szCs w:val="18"/>
          <w:i w:val="1"/>
          <w:iCs w:val="1"/>
          <w:color w:val="auto"/>
        </w:rPr>
        <w:t>Pop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Secret </w:t>
      </w:r>
      <w:r>
        <w:rPr>
          <w:rFonts w:ascii="Times New Roman" w:cs="Times New Roman" w:eastAsia="Times New Roman" w:hAnsi="Times New Roman"/>
          <w:sz w:val="18"/>
          <w:szCs w:val="18"/>
          <w:color w:val="auto"/>
        </w:rPr>
        <w:t>popcorn,</w:t>
      </w:r>
      <w:r>
        <w:rPr>
          <w:rFonts w:ascii="Times New Roman" w:cs="Times New Roman" w:eastAsia="Times New Roman" w:hAnsi="Times New Roman"/>
          <w:sz w:val="18"/>
          <w:szCs w:val="18"/>
          <w:i w:val="1"/>
          <w:iCs w:val="1"/>
          <w:color w:val="auto"/>
        </w:rPr>
        <w:t xml:space="preserve"> Emerald </w:t>
      </w:r>
      <w:r>
        <w:rPr>
          <w:rFonts w:ascii="Times New Roman" w:cs="Times New Roman" w:eastAsia="Times New Roman" w:hAnsi="Times New Roman"/>
          <w:sz w:val="18"/>
          <w:szCs w:val="18"/>
          <w:color w:val="auto"/>
        </w:rPr>
        <w:t>nuts, and other snacking products in retail in the U.S. We refer to the * brands as our "power brands." The segment also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includes the retail business in Latin America.</w:t>
      </w:r>
    </w:p>
    <w:p>
      <w:pPr>
        <w:spacing w:after="0" w:line="60"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evaluate segment performance before interest, taxes and costs associated with restructuring activities and impairment charges. Unrealized gains and losses on outstanding undesignated commodity hedging activities are excluded from segment operating earnings and are recorded in Corporate as these open positions represent hedges of future purchases. Upon closing of the contracts, the realized gain or loss is transferred to segment operating earnings, which allows the segments to reflect the economic effects of the hedge without exposure to quarterly volatility of unrealized gains and losses. Only the service cost component of pension and postretirement expense is allocated to segments. All other components of expense, including interest cost, expected return on assets, amortization of prior service credits and recognized actuarial gains and losses are reflected in Corporate and not included in segment operating results. Asset information by segment is not discretely maintained for internal reporting or used in evaluating performance.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8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gridSpan w:val="7"/>
          </w:tcPr>
          <w:p>
            <w:pPr>
              <w:ind w:left="6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4"/>
        </w:trPr>
        <w:tc>
          <w:tcPr>
            <w:tcW w:w="8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480" w:type="dxa"/>
            <w:vAlign w:val="bottom"/>
            <w:tcBorders>
              <w:bottom w:val="single" w:sz="8" w:color="CCEEFF"/>
            </w:tcBorders>
            <w:gridSpan w:val="2"/>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October 30, 2022</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October 31, 2021</w:t>
            </w:r>
          </w:p>
        </w:tc>
        <w:tc>
          <w:tcPr>
            <w:tcW w:w="0" w:type="dxa"/>
            <w:vAlign w:val="bottom"/>
          </w:tcPr>
          <w:p>
            <w:pPr>
              <w:spacing w:after="0"/>
              <w:rPr>
                <w:sz w:val="1"/>
                <w:szCs w:val="1"/>
                <w:color w:val="auto"/>
              </w:rPr>
            </w:pPr>
          </w:p>
        </w:tc>
      </w:tr>
      <w:tr>
        <w:trPr>
          <w:trHeight w:val="212"/>
        </w:trPr>
        <w:tc>
          <w:tcPr>
            <w:tcW w:w="8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8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Meals &amp; Beverages</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1,455</w:t>
            </w:r>
          </w:p>
        </w:tc>
        <w:tc>
          <w:tcPr>
            <w:tcW w:w="20" w:type="dxa"/>
            <w:vAlign w:val="bottom"/>
          </w:tcPr>
          <w:p>
            <w:pPr>
              <w:spacing w:after="0"/>
              <w:rPr>
                <w:sz w:val="19"/>
                <w:szCs w:val="19"/>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 w:type="dxa"/>
            <w:vAlign w:val="bottom"/>
            <w:shd w:val="clear" w:color="auto" w:fill="CCEEFF"/>
          </w:tcPr>
          <w:p>
            <w:pPr>
              <w:spacing w:after="0"/>
              <w:rPr>
                <w:sz w:val="19"/>
                <w:szCs w:val="19"/>
                <w:color w:val="auto"/>
              </w:rPr>
            </w:pPr>
          </w:p>
        </w:tc>
        <w:tc>
          <w:tcPr>
            <w:tcW w:w="8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Snacks</w:t>
            </w:r>
          </w:p>
        </w:tc>
        <w:tc>
          <w:tcPr>
            <w:tcW w:w="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1,120</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2,575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40" w:type="dxa"/>
            <w:vAlign w:val="bottom"/>
          </w:tcPr>
          <w:p>
            <w:pPr>
              <w:spacing w:after="0"/>
              <w:rPr>
                <w:sz w:val="23"/>
                <w:szCs w:val="23"/>
                <w:color w:val="auto"/>
              </w:rPr>
            </w:pPr>
          </w:p>
        </w:tc>
        <w:tc>
          <w:tcPr>
            <w:tcW w:w="8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20" w:type="dxa"/>
            <w:vAlign w:val="bottom"/>
            <w:gridSpan w:val="7"/>
          </w:tcPr>
          <w:p>
            <w:pPr>
              <w:ind w:left="5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4"/>
        </w:trPr>
        <w:tc>
          <w:tcPr>
            <w:tcW w:w="40" w:type="dxa"/>
            <w:vAlign w:val="bottom"/>
          </w:tcPr>
          <w:p>
            <w:pPr>
              <w:spacing w:after="0"/>
              <w:rPr>
                <w:sz w:val="2"/>
                <w:szCs w:val="2"/>
                <w:color w:val="auto"/>
              </w:rPr>
            </w:pPr>
          </w:p>
        </w:tc>
        <w:tc>
          <w:tcPr>
            <w:tcW w:w="8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8440" w:type="dxa"/>
            <w:vAlign w:val="bottom"/>
            <w:vMerge w:val="continue"/>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October 30, 2022</w:t>
            </w:r>
          </w:p>
        </w:tc>
        <w:tc>
          <w:tcPr>
            <w:tcW w:w="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October 31, 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8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before interest and taxes</w:t>
            </w: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8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Meals &amp; Beverages</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331</w:t>
            </w:r>
          </w:p>
        </w:tc>
        <w:tc>
          <w:tcPr>
            <w:tcW w:w="20" w:type="dxa"/>
            <w:vAlign w:val="bottom"/>
          </w:tcPr>
          <w:p>
            <w:pPr>
              <w:spacing w:after="0"/>
              <w:rPr>
                <w:sz w:val="19"/>
                <w:szCs w:val="19"/>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8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Snacks</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8440" w:type="dxa"/>
            <w:vAlign w:val="bottom"/>
          </w:tcPr>
          <w:p>
            <w:pPr>
              <w:ind w:left="120"/>
              <w:spacing w:after="0" w:line="225" w:lineRule="exact"/>
              <w:rPr>
                <w:sz w:val="20"/>
                <w:szCs w:val="20"/>
                <w:color w:val="auto"/>
              </w:rPr>
            </w:pPr>
            <w:r>
              <w:rPr>
                <w:rFonts w:ascii="Times New Roman" w:cs="Times New Roman" w:eastAsia="Times New Roman" w:hAnsi="Times New Roman"/>
                <w:sz w:val="18"/>
                <w:szCs w:val="18"/>
                <w:color w:val="auto"/>
              </w:rPr>
              <w:t>Corporate income (expense)</w:t>
            </w:r>
            <w:r>
              <w:rPr>
                <w:rFonts w:ascii="Times New Roman" w:cs="Times New Roman" w:eastAsia="Times New Roman" w:hAnsi="Times New Roman"/>
                <w:sz w:val="22"/>
                <w:szCs w:val="22"/>
                <w:color w:val="auto"/>
                <w:vertAlign w:val="superscript"/>
              </w:rPr>
              <w:t>(1)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8440" w:type="dxa"/>
            <w:vAlign w:val="bottom"/>
            <w:shd w:val="clear" w:color="auto" w:fill="CCEEFF"/>
          </w:tcPr>
          <w:p>
            <w:pPr>
              <w:ind w:left="120"/>
              <w:spacing w:after="0" w:line="225" w:lineRule="exact"/>
              <w:rPr>
                <w:sz w:val="20"/>
                <w:szCs w:val="20"/>
                <w:color w:val="auto"/>
              </w:rPr>
            </w:pPr>
            <w:r>
              <w:rPr>
                <w:rFonts w:ascii="Times New Roman" w:cs="Times New Roman" w:eastAsia="Times New Roman" w:hAnsi="Times New Roman"/>
                <w:sz w:val="18"/>
                <w:szCs w:val="18"/>
                <w:color w:val="auto"/>
              </w:rPr>
              <w:t>Restructuring charges</w:t>
            </w:r>
            <w:r>
              <w:rPr>
                <w:rFonts w:ascii="Times New Roman" w:cs="Times New Roman" w:eastAsia="Times New Roman" w:hAnsi="Times New Roman"/>
                <w:sz w:val="22"/>
                <w:szCs w:val="22"/>
                <w:color w:val="auto"/>
                <w:vertAlign w:val="superscript"/>
              </w:rPr>
              <w:t>(2)</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9"/>
                <w:szCs w:val="19"/>
                <w:color w:val="auto"/>
              </w:rPr>
            </w:pPr>
          </w:p>
        </w:tc>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w:t>
      </w:r>
    </w:p>
    <w:p>
      <w:pPr>
        <w:spacing w:after="0" w:line="58" w:lineRule="exact"/>
        <w:rPr>
          <w:sz w:val="20"/>
          <w:szCs w:val="20"/>
          <w:color w:val="auto"/>
        </w:rPr>
      </w:pPr>
    </w:p>
    <w:p>
      <w:pPr>
        <w:jc w:val="both"/>
        <w:ind w:left="320" w:hanging="314"/>
        <w:spacing w:after="0" w:line="235" w:lineRule="auto"/>
        <w:tabs>
          <w:tab w:leader="none" w:pos="308"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unallocated items. There were pension actuarial losses of $15 million and $6 million in the three-month periods ended October 30, 2022, and October 31, 2021, respectively. Costs related to the cost savings initiatives were $3 million and $4 million in the three-month periods ended October 30, 2022, and October 31, 2021, respectively. Unrealized mark-to-market adjustments on outstanding undesignated commodity hedges were gains of $5 million and losses of $3 million in the three-month periods ended October 30, 2022, and October 31, 2021, respectively.</w:t>
      </w:r>
    </w:p>
    <w:p>
      <w:pPr>
        <w:ind w:left="320" w:hanging="314"/>
        <w:spacing w:after="0" w:line="192" w:lineRule="auto"/>
        <w:tabs>
          <w:tab w:leader="none" w:pos="320"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Note 6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10" w:name="page11"/>
    <w:bookmarkEnd w:id="10"/>
    <w:p>
      <w:pPr>
        <w:ind w:left="320"/>
        <w:spacing w:after="0"/>
        <w:rPr>
          <w:sz w:val="20"/>
          <w:szCs w:val="20"/>
          <w:color w:val="auto"/>
        </w:rPr>
      </w:pPr>
      <w:r>
        <w:rPr>
          <w:rFonts w:ascii="Times New Roman" w:cs="Times New Roman" w:eastAsia="Times New Roman" w:hAnsi="Times New Roman"/>
          <w:sz w:val="18"/>
          <w:szCs w:val="18"/>
          <w:color w:val="auto"/>
        </w:rPr>
        <w:t>Our net sales based on product categories are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gridSpan w:val="4"/>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4"/>
        </w:trPr>
        <w:tc>
          <w:tcPr>
            <w:tcW w:w="8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5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October 30, 2022</w:t>
            </w:r>
          </w:p>
        </w:tc>
        <w:tc>
          <w:tcPr>
            <w:tcW w:w="120" w:type="dxa"/>
            <w:vAlign w:val="bottom"/>
          </w:tcPr>
          <w:p>
            <w:pPr>
              <w:spacing w:after="0"/>
              <w:rPr>
                <w:sz w:val="16"/>
                <w:szCs w:val="16"/>
                <w:color w:val="auto"/>
              </w:rPr>
            </w:pPr>
          </w:p>
        </w:tc>
        <w:tc>
          <w:tcPr>
            <w:tcW w:w="118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October 31, 2021</w:t>
            </w:r>
          </w:p>
        </w:tc>
        <w:tc>
          <w:tcPr>
            <w:tcW w:w="0" w:type="dxa"/>
            <w:vAlign w:val="bottom"/>
          </w:tcPr>
          <w:p>
            <w:pPr>
              <w:spacing w:after="0"/>
              <w:rPr>
                <w:sz w:val="1"/>
                <w:szCs w:val="1"/>
                <w:color w:val="auto"/>
              </w:rPr>
            </w:pPr>
          </w:p>
        </w:tc>
      </w:tr>
      <w:tr>
        <w:trPr>
          <w:trHeight w:val="212"/>
        </w:trPr>
        <w:tc>
          <w:tcPr>
            <w:tcW w:w="8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Soup</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893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0" w:type="dxa"/>
            <w:vAlign w:val="bottom"/>
          </w:tcPr>
          <w:p>
            <w:pPr>
              <w:spacing w:after="0"/>
              <w:rPr>
                <w:sz w:val="1"/>
                <w:szCs w:val="1"/>
                <w:color w:val="auto"/>
              </w:rPr>
            </w:pPr>
          </w:p>
        </w:tc>
      </w:tr>
      <w:tr>
        <w:trPr>
          <w:trHeight w:val="225"/>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Snacks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0" w:type="dxa"/>
            <w:vAlign w:val="bottom"/>
          </w:tcPr>
          <w:p>
            <w:pPr>
              <w:spacing w:after="0"/>
              <w:rPr>
                <w:sz w:val="1"/>
                <w:szCs w:val="1"/>
                <w:color w:val="auto"/>
              </w:rPr>
            </w:pPr>
          </w:p>
        </w:tc>
      </w:tr>
      <w:tr>
        <w:trPr>
          <w:trHeight w:val="225"/>
        </w:trPr>
        <w:tc>
          <w:tcPr>
            <w:tcW w:w="8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simple meals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25"/>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Beverages</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194</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18"/>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2,575</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 xml:space="preserve">Soup includes various soup, broths and stock products. Snacks include cookies, pretzels, crackers, popcorn, nuts, potato chips, tortilla chips and other salty snacks and baked products. Other simple meals include sauces, gravies, pasta, beans and canned poultry. Beverages include </w:t>
      </w:r>
      <w:r>
        <w:rPr>
          <w:rFonts w:ascii="Times New Roman" w:cs="Times New Roman" w:eastAsia="Times New Roman" w:hAnsi="Times New Roman"/>
          <w:sz w:val="18"/>
          <w:szCs w:val="18"/>
          <w:i w:val="1"/>
          <w:iCs w:val="1"/>
          <w:color w:val="auto"/>
        </w:rPr>
        <w:t>V8</w:t>
      </w:r>
      <w:r>
        <w:rPr>
          <w:rFonts w:ascii="Times New Roman" w:cs="Times New Roman" w:eastAsia="Times New Roman" w:hAnsi="Times New Roman"/>
          <w:sz w:val="18"/>
          <w:szCs w:val="18"/>
          <w:color w:val="auto"/>
        </w:rPr>
        <w:t xml:space="preserve"> juices and beverages, </w:t>
      </w:r>
      <w:r>
        <w:rPr>
          <w:rFonts w:ascii="Times New Roman" w:cs="Times New Roman" w:eastAsia="Times New Roman" w:hAnsi="Times New Roman"/>
          <w:sz w:val="18"/>
          <w:szCs w:val="18"/>
          <w:i w:val="1"/>
          <w:iCs w:val="1"/>
          <w:color w:val="auto"/>
        </w:rPr>
        <w:t xml:space="preserve">Campbell’s </w:t>
      </w:r>
      <w:r>
        <w:rPr>
          <w:rFonts w:ascii="Times New Roman" w:cs="Times New Roman" w:eastAsia="Times New Roman" w:hAnsi="Times New Roman"/>
          <w:sz w:val="18"/>
          <w:szCs w:val="18"/>
          <w:color w:val="auto"/>
        </w:rPr>
        <w:t>tomato juice and</w:t>
      </w:r>
      <w:r>
        <w:rPr>
          <w:rFonts w:ascii="Times New Roman" w:cs="Times New Roman" w:eastAsia="Times New Roman" w:hAnsi="Times New Roman"/>
          <w:sz w:val="18"/>
          <w:szCs w:val="18"/>
          <w:i w:val="1"/>
          <w:iCs w:val="1"/>
          <w:color w:val="auto"/>
        </w:rPr>
        <w:t xml:space="preserve"> Pacific Foods </w:t>
      </w:r>
      <w:r>
        <w:rPr>
          <w:rFonts w:ascii="Times New Roman" w:cs="Times New Roman" w:eastAsia="Times New Roman" w:hAnsi="Times New Roman"/>
          <w:sz w:val="18"/>
          <w:szCs w:val="18"/>
          <w:color w:val="auto"/>
        </w:rPr>
        <w:t>non-dairy beverages.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Restructuring Charges and Cost Savings Initiatives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Multi-year Cost Savings Initiatives and Snyder's-Lance Cost Transformation Program and Integration</w:t>
      </w:r>
    </w:p>
    <w:p>
      <w:pPr>
        <w:spacing w:after="0" w:line="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Continuing Operations</w:t>
      </w:r>
    </w:p>
    <w:p>
      <w:pPr>
        <w:spacing w:after="0" w:line="1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Beginning in fiscal 2015, we implemented initiatives to reduce costs and to streamline our organizational structure.</w:t>
      </w:r>
    </w:p>
    <w:p>
      <w:pPr>
        <w:spacing w:after="0" w:line="8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Over the years, we expanded these initiatives by continuing to optimize our supply chain and manufacturing networks, as well as our information technology infrastructure.</w:t>
      </w:r>
    </w:p>
    <w:p>
      <w:pPr>
        <w:spacing w:after="0" w:line="4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On March 26, 2018, we completed the acquisition of Snyder's-Lance. Prior to the acquisition, Snyder's-Lance launched a cost transformation program following a comprehensive review of its operations with the goal of significantly improving its financial performance. We continued to implement this program and identified opportunities for additional cost synergies as we integrated Snyder's-Lance.</w:t>
      </w:r>
    </w:p>
    <w:p>
      <w:pPr>
        <w:spacing w:after="0" w:line="5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2022, we expanded these initiatives as we continue to pursue cost savings by further optimizing our supply chain and manufacturing network and through effective cost management. Cost estimates for these expanded initiatives, as well as timing for certain activities, are continuing to be developed.</w:t>
      </w:r>
    </w:p>
    <w:p>
      <w:pPr>
        <w:spacing w:after="0" w:line="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summary of the pre-tax charges recognized in the Consolidated Statements of Earnings related to these initiatives is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6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7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gridSpan w:val="3"/>
            <w:vMerge w:val="restart"/>
          </w:tcPr>
          <w:p>
            <w:pPr>
              <w:jc w:val="right"/>
              <w:spacing w:after="0" w:line="159" w:lineRule="exact"/>
              <w:rPr>
                <w:sz w:val="20"/>
                <w:szCs w:val="20"/>
                <w:color w:val="auto"/>
              </w:rPr>
            </w:pPr>
            <w:r>
              <w:rPr>
                <w:rFonts w:ascii="Times New Roman" w:cs="Times New Roman" w:eastAsia="Times New Roman" w:hAnsi="Times New Roman"/>
                <w:sz w:val="14"/>
                <w:szCs w:val="14"/>
                <w:b w:val="1"/>
                <w:bCs w:val="1"/>
                <w:color w:val="auto"/>
              </w:rPr>
              <w:t>Recognized as of October</w:t>
            </w:r>
          </w:p>
        </w:tc>
        <w:tc>
          <w:tcPr>
            <w:tcW w:w="0" w:type="dxa"/>
            <w:vAlign w:val="bottom"/>
          </w:tcPr>
          <w:p>
            <w:pPr>
              <w:spacing w:after="0"/>
              <w:rPr>
                <w:sz w:val="1"/>
                <w:szCs w:val="1"/>
                <w:color w:val="auto"/>
              </w:rPr>
            </w:pPr>
          </w:p>
        </w:tc>
      </w:tr>
      <w:tr>
        <w:trPr>
          <w:trHeight w:val="114"/>
        </w:trPr>
        <w:tc>
          <w:tcPr>
            <w:tcW w:w="6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40" w:type="dxa"/>
            <w:vAlign w:val="bottom"/>
          </w:tcPr>
          <w:p>
            <w:pPr>
              <w:spacing w:after="0"/>
              <w:rPr>
                <w:sz w:val="9"/>
                <w:szCs w:val="9"/>
                <w:color w:val="auto"/>
              </w:rPr>
            </w:pPr>
          </w:p>
        </w:tc>
        <w:tc>
          <w:tcPr>
            <w:tcW w:w="1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October 30, 2022</w:t>
            </w:r>
          </w:p>
        </w:tc>
        <w:tc>
          <w:tcPr>
            <w:tcW w:w="140" w:type="dxa"/>
            <w:vAlign w:val="bottom"/>
          </w:tcPr>
          <w:p>
            <w:pPr>
              <w:spacing w:after="0"/>
              <w:rPr>
                <w:sz w:val="9"/>
                <w:szCs w:val="9"/>
                <w:color w:val="auto"/>
              </w:rPr>
            </w:pPr>
          </w:p>
        </w:tc>
        <w:tc>
          <w:tcPr>
            <w:tcW w:w="1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October 31, 2021</w:t>
            </w:r>
          </w:p>
        </w:tc>
        <w:tc>
          <w:tcPr>
            <w:tcW w:w="16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67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30, 2022</w:t>
            </w:r>
          </w:p>
        </w:tc>
        <w:tc>
          <w:tcPr>
            <w:tcW w:w="0" w:type="dxa"/>
            <w:vAlign w:val="bottom"/>
          </w:tcPr>
          <w:p>
            <w:pPr>
              <w:spacing w:after="0"/>
              <w:rPr>
                <w:sz w:val="1"/>
                <w:szCs w:val="1"/>
                <w:color w:val="auto"/>
              </w:rPr>
            </w:pPr>
          </w:p>
        </w:tc>
      </w:tr>
      <w:tr>
        <w:trPr>
          <w:trHeight w:val="224"/>
        </w:trPr>
        <w:tc>
          <w:tcPr>
            <w:tcW w:w="6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25"/>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0" w:type="dxa"/>
            <w:vAlign w:val="bottom"/>
          </w:tcPr>
          <w:p>
            <w:pPr>
              <w:spacing w:after="0"/>
              <w:rPr>
                <w:sz w:val="1"/>
                <w:szCs w:val="1"/>
                <w:color w:val="auto"/>
              </w:rPr>
            </w:pPr>
          </w:p>
        </w:tc>
      </w:tr>
      <w:tr>
        <w:trPr>
          <w:trHeight w:val="225"/>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25"/>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Marketing and selling expenses</w:t>
            </w: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5"/>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pre-tax charges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0" w:type="dxa"/>
            <w:vAlign w:val="bottom"/>
          </w:tcPr>
          <w:p>
            <w:pPr>
              <w:spacing w:after="0"/>
              <w:rPr>
                <w:sz w:val="1"/>
                <w:szCs w:val="1"/>
                <w:color w:val="auto"/>
              </w:rPr>
            </w:pPr>
          </w:p>
        </w:tc>
      </w:tr>
      <w:tr>
        <w:trPr>
          <w:trHeight w:val="20"/>
        </w:trPr>
        <w:tc>
          <w:tcPr>
            <w:tcW w:w="672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A summary of the pre-tax costs associated with the initiatives is as follows:</w:t>
            </w: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67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6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tcPr>
          <w:p>
            <w:pPr>
              <w:jc w:val="right"/>
              <w:ind w:right="196"/>
              <w:spacing w:after="0" w:line="160" w:lineRule="exact"/>
              <w:rPr>
                <w:sz w:val="20"/>
                <w:szCs w:val="20"/>
                <w:color w:val="auto"/>
              </w:rPr>
            </w:pPr>
            <w:r>
              <w:rPr>
                <w:rFonts w:ascii="Times New Roman" w:cs="Times New Roman" w:eastAsia="Times New Roman" w:hAnsi="Times New Roman"/>
                <w:sz w:val="14"/>
                <w:szCs w:val="14"/>
                <w:b w:val="1"/>
                <w:bCs w:val="1"/>
                <w:color w:val="auto"/>
              </w:rPr>
              <w:t>Recognized as of</w:t>
            </w:r>
          </w:p>
        </w:tc>
        <w:tc>
          <w:tcPr>
            <w:tcW w:w="0" w:type="dxa"/>
            <w:vAlign w:val="bottom"/>
          </w:tcPr>
          <w:p>
            <w:pPr>
              <w:spacing w:after="0"/>
              <w:rPr>
                <w:sz w:val="1"/>
                <w:szCs w:val="1"/>
                <w:color w:val="auto"/>
              </w:rPr>
            </w:pPr>
          </w:p>
        </w:tc>
      </w:tr>
      <w:tr>
        <w:trPr>
          <w:trHeight w:val="191"/>
        </w:trPr>
        <w:tc>
          <w:tcPr>
            <w:tcW w:w="67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2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2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October 30, 2022</w:t>
            </w:r>
          </w:p>
        </w:tc>
        <w:tc>
          <w:tcPr>
            <w:tcW w:w="0" w:type="dxa"/>
            <w:vAlign w:val="bottom"/>
          </w:tcPr>
          <w:p>
            <w:pPr>
              <w:spacing w:after="0"/>
              <w:rPr>
                <w:sz w:val="1"/>
                <w:szCs w:val="1"/>
                <w:color w:val="auto"/>
              </w:rPr>
            </w:pP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 pay and benefits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25"/>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impairment/accelerated depreciation</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25"/>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Implementation costs and other related costs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r>
        <w:trPr>
          <w:trHeight w:val="21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total estimated pre-tax costs for actions that have been identified are approximately $735 million to $740 million and we expect to incur the costs through 2023. These estimates will be updated as the expanded initiatives are developed.</w:t>
      </w:r>
    </w:p>
    <w:p>
      <w:pPr>
        <w:spacing w:after="0" w:line="31"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We expect the costs for actions that have been identified to date to consist of the following: approximately $230 million in severance pay and benefits; approximately $85 million in asset impairment and accelerated depreciation; and approximately</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$420 million to $425 million in implementation costs and other related costs. We expect these pre-tax costs to be associated with our segments as follows: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Meals &amp; Beverages - approximately 30%; Snacks - approximately 44%; and Corporate - approximately 26%.</w:t>
      </w:r>
    </w:p>
    <w:p>
      <w:pPr>
        <w:spacing w:after="0" w:line="6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Of the aggregate $735 million to $740 million of pre-tax costs identified to date, we expect approximately $635 million to $640 million will be cash expenditures. In addition, we expect to invest approximately $450 million in capital expenditures, of which we invested $440 million as of October 30, 2022. We expect to invest in substantially all of the capital expenditures through 2023. The capital expenditures primarily relate to a U.S. warehouse optimization project, improvement of quality, safety and cost structure across the Snyder’s-Lance manufacturing network, implementation of our existing SAP enterprise-resource planning system for Snyder's-Lance, transition of production within our Meals &amp; Beverages manufacturing network, optimization of information technology infrastructure and applications and optimization of the Snyder’s-Lance warehouse and distribution network.</w:t>
      </w:r>
    </w:p>
    <w:p>
      <w:pPr>
        <w:spacing w:after="0" w:line="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summary of the restructuring activity and related reserves at October 30, 2022, is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Implementation</w:t>
            </w: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7660" w:type="dxa"/>
            <w:vAlign w:val="bottom"/>
          </w:tcPr>
          <w:p>
            <w:pPr>
              <w:spacing w:after="0"/>
              <w:rPr>
                <w:sz w:val="12"/>
                <w:szCs w:val="12"/>
                <w:color w:val="auto"/>
              </w:rPr>
            </w:pPr>
          </w:p>
        </w:tc>
        <w:tc>
          <w:tcPr>
            <w:tcW w:w="1060" w:type="dxa"/>
            <w:vAlign w:val="bottom"/>
            <w:gridSpan w:val="2"/>
            <w:vMerge w:val="restart"/>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Severance Pay</w:t>
            </w:r>
          </w:p>
        </w:tc>
        <w:tc>
          <w:tcPr>
            <w:tcW w:w="120" w:type="dxa"/>
            <w:vAlign w:val="bottom"/>
          </w:tcPr>
          <w:p>
            <w:pPr>
              <w:spacing w:after="0"/>
              <w:rPr>
                <w:sz w:val="12"/>
                <w:szCs w:val="12"/>
                <w:color w:val="auto"/>
              </w:rPr>
            </w:pPr>
          </w:p>
        </w:tc>
        <w:tc>
          <w:tcPr>
            <w:tcW w:w="144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rPr>
              <w:t>Costs and Other</w:t>
            </w: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Related</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Charges</w:t>
            </w:r>
          </w:p>
        </w:tc>
        <w:tc>
          <w:tcPr>
            <w:tcW w:w="0" w:type="dxa"/>
            <w:vAlign w:val="bottom"/>
          </w:tcPr>
          <w:p>
            <w:pPr>
              <w:spacing w:after="0"/>
              <w:rPr>
                <w:sz w:val="1"/>
                <w:szCs w:val="1"/>
                <w:color w:val="auto"/>
              </w:rPr>
            </w:pPr>
          </w:p>
        </w:tc>
      </w:tr>
      <w:tr>
        <w:trPr>
          <w:trHeight w:val="199"/>
        </w:trPr>
        <w:tc>
          <w:tcPr>
            <w:tcW w:w="76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and Benefits</w:t>
            </w:r>
          </w:p>
        </w:tc>
        <w:tc>
          <w:tcPr>
            <w:tcW w:w="120" w:type="dxa"/>
            <w:vAlign w:val="bottom"/>
          </w:tcPr>
          <w:p>
            <w:pPr>
              <w:spacing w:after="0"/>
              <w:rPr>
                <w:sz w:val="17"/>
                <w:szCs w:val="17"/>
                <w:color w:val="auto"/>
              </w:rPr>
            </w:pPr>
          </w:p>
        </w:tc>
        <w:tc>
          <w:tcPr>
            <w:tcW w:w="1440" w:type="dxa"/>
            <w:vAlign w:val="bottom"/>
            <w:gridSpan w:val="2"/>
          </w:tcPr>
          <w:p>
            <w:pPr>
              <w:jc w:val="center"/>
              <w:ind w:right="120"/>
              <w:spacing w:after="0" w:line="199" w:lineRule="exact"/>
              <w:rPr>
                <w:sz w:val="20"/>
                <w:szCs w:val="20"/>
                <w:color w:val="auto"/>
              </w:rPr>
            </w:pPr>
            <w:r>
              <w:rPr>
                <w:rFonts w:ascii="Times New Roman" w:cs="Times New Roman" w:eastAsia="Times New Roman" w:hAnsi="Times New Roman"/>
                <w:sz w:val="14"/>
                <w:szCs w:val="14"/>
                <w:b w:val="1"/>
                <w:bCs w:val="1"/>
                <w:color w:val="auto"/>
                <w:w w:val="94"/>
              </w:rPr>
              <w:t>Costs</w:t>
            </w:r>
            <w:r>
              <w:rPr>
                <w:rFonts w:ascii="Times New Roman" w:cs="Times New Roman" w:eastAsia="Times New Roman" w:hAnsi="Times New Roman"/>
                <w:sz w:val="18"/>
                <w:szCs w:val="18"/>
                <w:b w:val="1"/>
                <w:bCs w:val="1"/>
                <w:color w:val="auto"/>
                <w:w w:val="94"/>
                <w:vertAlign w:val="superscript"/>
              </w:rPr>
              <w:t>(1)</w:t>
            </w:r>
          </w:p>
        </w:tc>
        <w:tc>
          <w:tcPr>
            <w:tcW w:w="9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7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balance at July 31, 2022</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6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2023 charges</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20" w:type="dxa"/>
            <w:vAlign w:val="bottom"/>
          </w:tcPr>
          <w:p>
            <w:pPr>
              <w:spacing w:after="0"/>
              <w:rPr>
                <w:sz w:val="19"/>
                <w:szCs w:val="19"/>
                <w:color w:val="auto"/>
              </w:rPr>
            </w:pPr>
          </w:p>
        </w:tc>
        <w:tc>
          <w:tcPr>
            <w:tcW w:w="460" w:type="dxa"/>
            <w:vAlign w:val="bottom"/>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0" w:type="dxa"/>
            <w:vAlign w:val="bottom"/>
          </w:tcPr>
          <w:p>
            <w:pPr>
              <w:spacing w:after="0"/>
              <w:rPr>
                <w:sz w:val="1"/>
                <w:szCs w:val="1"/>
                <w:color w:val="auto"/>
              </w:rPr>
            </w:pPr>
          </w:p>
        </w:tc>
      </w:tr>
      <w:tr>
        <w:trPr>
          <w:trHeight w:val="225"/>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2023 cash payments</w:t>
            </w: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Accrued balance at October 30, 2022</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w:t>
      </w:r>
    </w:p>
    <w:p>
      <w:pPr>
        <w:spacing w:after="0" w:line="63" w:lineRule="exact"/>
        <w:rPr>
          <w:sz w:val="20"/>
          <w:szCs w:val="20"/>
          <w:color w:val="auto"/>
        </w:rPr>
      </w:pPr>
    </w:p>
    <w:p>
      <w:pPr>
        <w:ind w:left="320" w:hanging="314"/>
        <w:spacing w:after="0" w:line="225" w:lineRule="auto"/>
        <w:tabs>
          <w:tab w:leader="none" w:pos="308"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other costs recognized as incurred that are not reflected in the restructuring reserve in the Consolidated Balance Sheet. The costs are included in Administrative expenses in the Consolidated Statements of Earnings.</w:t>
      </w:r>
    </w:p>
    <w:p>
      <w:pPr>
        <w:spacing w:after="0" w:line="62"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8"/>
          <w:szCs w:val="18"/>
          <w:color w:val="auto"/>
        </w:rPr>
        <w:t>Segment operating results do not include restructuring charges, implementation costs and other related costs because we evaluate segment performance excluding such charges. A summary of the pre-tax costs associated with segments is as follows:</w:t>
      </w:r>
    </w:p>
    <w:tbl>
      <w:tblPr>
        <w:tblLayout w:type="fixed"/>
        <w:tblInd w:w="0" w:type="dxa"/>
        <w:tblCellMar>
          <w:top w:w="0" w:type="dxa"/>
          <w:left w:w="0" w:type="dxa"/>
          <w:bottom w:w="0" w:type="dxa"/>
          <w:right w:w="0" w:type="dxa"/>
        </w:tblCellMar>
      </w:tblPr>
      <w:tr>
        <w:trPr>
          <w:trHeight w:val="186"/>
        </w:trPr>
        <w:tc>
          <w:tcPr>
            <w:tcW w:w="8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20" w:type="dxa"/>
            <w:vAlign w:val="bottom"/>
            <w:gridSpan w:val="4"/>
          </w:tcPr>
          <w:p>
            <w:pPr>
              <w:jc w:val="right"/>
              <w:ind w:right="918"/>
              <w:spacing w:after="0"/>
              <w:rPr>
                <w:sz w:val="20"/>
                <w:szCs w:val="20"/>
                <w:color w:val="auto"/>
              </w:rPr>
            </w:pPr>
            <w:r>
              <w:rPr>
                <w:rFonts w:ascii="Times New Roman" w:cs="Times New Roman" w:eastAsia="Times New Roman" w:hAnsi="Times New Roman"/>
                <w:sz w:val="14"/>
                <w:szCs w:val="14"/>
                <w:b w:val="1"/>
                <w:bCs w:val="1"/>
                <w:color w:val="auto"/>
              </w:rPr>
              <w:t>October 30, 2022</w:t>
            </w:r>
          </w:p>
        </w:tc>
        <w:tc>
          <w:tcPr>
            <w:tcW w:w="0" w:type="dxa"/>
            <w:vAlign w:val="bottom"/>
          </w:tcPr>
          <w:p>
            <w:pPr>
              <w:spacing w:after="0"/>
              <w:rPr>
                <w:sz w:val="1"/>
                <w:szCs w:val="1"/>
                <w:color w:val="auto"/>
              </w:rPr>
            </w:pPr>
          </w:p>
        </w:tc>
      </w:tr>
      <w:tr>
        <w:trPr>
          <w:trHeight w:val="24"/>
        </w:trPr>
        <w:tc>
          <w:tcPr>
            <w:tcW w:w="8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8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0" w:type="dxa"/>
            <w:vAlign w:val="bottom"/>
          </w:tcPr>
          <w:p>
            <w:pPr>
              <w:spacing w:after="0"/>
              <w:rPr>
                <w:sz w:val="11"/>
                <w:szCs w:val="11"/>
                <w:color w:val="auto"/>
              </w:rPr>
            </w:pPr>
          </w:p>
        </w:tc>
        <w:tc>
          <w:tcPr>
            <w:tcW w:w="1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1"/>
                <w:szCs w:val="11"/>
                <w:color w:val="auto"/>
              </w:rPr>
            </w:pPr>
          </w:p>
        </w:tc>
        <w:tc>
          <w:tcPr>
            <w:tcW w:w="1260" w:type="dxa"/>
            <w:vAlign w:val="bottom"/>
          </w:tcPr>
          <w:p>
            <w:pPr>
              <w:jc w:val="right"/>
              <w:ind w:right="98"/>
              <w:spacing w:after="0" w:line="128" w:lineRule="exact"/>
              <w:rPr>
                <w:sz w:val="20"/>
                <w:szCs w:val="20"/>
                <w:color w:val="auto"/>
              </w:rPr>
            </w:pPr>
            <w:r>
              <w:rPr>
                <w:rFonts w:ascii="Times New Roman" w:cs="Times New Roman" w:eastAsia="Times New Roman" w:hAnsi="Times New Roman"/>
                <w:sz w:val="14"/>
                <w:szCs w:val="14"/>
                <w:b w:val="1"/>
                <w:bCs w:val="1"/>
                <w:color w:val="auto"/>
              </w:rPr>
              <w:t>Costs Incurred to</w:t>
            </w:r>
          </w:p>
        </w:tc>
        <w:tc>
          <w:tcPr>
            <w:tcW w:w="0" w:type="dxa"/>
            <w:vAlign w:val="bottom"/>
          </w:tcPr>
          <w:p>
            <w:pPr>
              <w:spacing w:after="0"/>
              <w:rPr>
                <w:sz w:val="1"/>
                <w:szCs w:val="1"/>
                <w:color w:val="auto"/>
              </w:rPr>
            </w:pPr>
          </w:p>
        </w:tc>
      </w:tr>
      <w:tr>
        <w:trPr>
          <w:trHeight w:val="191"/>
        </w:trPr>
        <w:tc>
          <w:tcPr>
            <w:tcW w:w="8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24"/>
        </w:trPr>
        <w:tc>
          <w:tcPr>
            <w:tcW w:w="8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Meals &amp; Beverages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25"/>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Snacks</w:t>
            </w:r>
          </w:p>
        </w:tc>
        <w:tc>
          <w:tcPr>
            <w:tcW w:w="12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25"/>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18"/>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Earnings per Share (EPS)</w:t>
      </w:r>
    </w:p>
    <w:p>
      <w:pPr>
        <w:spacing w:after="0" w:line="10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For the periods presented in the Consolidated Statements of Earnings, the calculations of basic EPS and EPS assuming dilution vary in that the weighted average shares outstanding assuming dilution include the incremental effect of stock options and other share-based payment awards, except when such effect would be antidilutive. The earnings per share calculation for the three-month periods ended October 30, 2022, and October 31, 2021, excludes approximately 1 million stock options that would have been antidilutive.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Pension and Postretirement Benefits</w:t>
      </w:r>
    </w:p>
    <w:p>
      <w:pPr>
        <w:spacing w:after="0" w:line="1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Components of net benefit expense (income) were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160" w:type="dxa"/>
            <w:vAlign w:val="bottom"/>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4"/>
        </w:trPr>
        <w:tc>
          <w:tcPr>
            <w:tcW w:w="46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gridSpan w:val="4"/>
          </w:tcPr>
          <w:p>
            <w:pPr>
              <w:spacing w:after="0"/>
              <w:rPr>
                <w:sz w:val="2"/>
                <w:szCs w:val="2"/>
                <w:color w:val="auto"/>
              </w:rPr>
            </w:pPr>
          </w:p>
        </w:tc>
      </w:tr>
      <w:tr>
        <w:trPr>
          <w:trHeight w:val="185"/>
        </w:trPr>
        <w:tc>
          <w:tcPr>
            <w:tcW w:w="46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13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1074"/>
              <w:spacing w:after="0"/>
              <w:rPr>
                <w:sz w:val="20"/>
                <w:szCs w:val="20"/>
                <w:color w:val="auto"/>
              </w:rPr>
            </w:pPr>
            <w:r>
              <w:rPr>
                <w:rFonts w:ascii="Times New Roman" w:cs="Times New Roman" w:eastAsia="Times New Roman" w:hAnsi="Times New Roman"/>
                <w:sz w:val="14"/>
                <w:szCs w:val="14"/>
                <w:b w:val="1"/>
                <w:bCs w:val="1"/>
                <w:color w:val="auto"/>
              </w:rPr>
              <w:t>Postretirement</w:t>
            </w:r>
          </w:p>
        </w:tc>
      </w:tr>
      <w:tr>
        <w:trPr>
          <w:trHeight w:val="192"/>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80" w:type="dxa"/>
            <w:vAlign w:val="bottom"/>
          </w:tcPr>
          <w:p>
            <w:pPr>
              <w:spacing w:after="0"/>
              <w:rPr>
                <w:sz w:val="16"/>
                <w:szCs w:val="16"/>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October 30, 2022</w:t>
            </w:r>
          </w:p>
        </w:tc>
        <w:tc>
          <w:tcPr>
            <w:tcW w:w="180" w:type="dxa"/>
            <w:vAlign w:val="bottom"/>
          </w:tcPr>
          <w:p>
            <w:pPr>
              <w:spacing w:after="0"/>
              <w:rPr>
                <w:sz w:val="16"/>
                <w:szCs w:val="16"/>
                <w:color w:val="auto"/>
              </w:rPr>
            </w:pPr>
          </w:p>
        </w:tc>
        <w:tc>
          <w:tcPr>
            <w:tcW w:w="132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October 31, 2021</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October 30, 2022</w:t>
            </w:r>
          </w:p>
        </w:tc>
        <w:tc>
          <w:tcPr>
            <w:tcW w:w="180" w:type="dxa"/>
            <w:vAlign w:val="bottom"/>
          </w:tcPr>
          <w:p>
            <w:pPr>
              <w:spacing w:after="0"/>
              <w:rPr>
                <w:sz w:val="16"/>
                <w:szCs w:val="16"/>
                <w:color w:val="auto"/>
              </w:rPr>
            </w:pPr>
          </w:p>
        </w:tc>
        <w:tc>
          <w:tcPr>
            <w:tcW w:w="136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October 31, 2021</w:t>
            </w:r>
          </w:p>
        </w:tc>
      </w:tr>
      <w:tr>
        <w:trPr>
          <w:trHeight w:val="225"/>
        </w:trPr>
        <w:tc>
          <w:tcPr>
            <w:tcW w:w="4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5"/>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180" w:type="dxa"/>
            <w:vAlign w:val="bottom"/>
          </w:tcPr>
          <w:p>
            <w:pPr>
              <w:spacing w:after="0"/>
              <w:rPr>
                <w:sz w:val="19"/>
                <w:szCs w:val="19"/>
                <w:color w:val="auto"/>
              </w:rPr>
            </w:pP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Actuarial losses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periodic benefit expense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4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actuarial losses resulted from the remeasurement of a U.S. pension plan for the three-month period ended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12" w:name="page13"/>
    <w:bookmarkEnd w:id="12"/>
    <w:p>
      <w:pPr>
        <w:jc w:val="both"/>
        <w:spacing w:after="0" w:line="255" w:lineRule="auto"/>
        <w:rPr>
          <w:sz w:val="20"/>
          <w:szCs w:val="20"/>
          <w:color w:val="auto"/>
        </w:rPr>
      </w:pPr>
      <w:r>
        <w:rPr>
          <w:rFonts w:ascii="Times New Roman" w:cs="Times New Roman" w:eastAsia="Times New Roman" w:hAnsi="Times New Roman"/>
          <w:sz w:val="18"/>
          <w:szCs w:val="18"/>
          <w:color w:val="auto"/>
        </w:rPr>
        <w:t>October 30, 2022 and a U.S. and a Canadian pension plan for the three-month period ended October 31, 2021. These remeasurements were each due to lump sum distributions that exceeded or are expected to exceed service and interest costs resulting in settlement accounting for the plans. The actuarial losses recognized for the three-month periods ended October 30, 2022, and October 31, 2021, were primarily due to losses on plan assets, partially offset by increases in discount rates used to determine the benefit obligation.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1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components of lease costs were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gridSpan w:val="3"/>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8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300" w:type="dxa"/>
            <w:vAlign w:val="bottom"/>
            <w:tcBorders>
              <w:bottom w:val="single" w:sz="8" w:color="auto"/>
            </w:tcBorders>
            <w:gridSpan w:val="3"/>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740" w:type="dxa"/>
            <w:vAlign w:val="bottom"/>
            <w:vMerge w:val="continue"/>
          </w:tcPr>
          <w:p>
            <w:pPr>
              <w:spacing w:after="0"/>
              <w:rPr>
                <w:sz w:val="16"/>
                <w:szCs w:val="16"/>
                <w:color w:val="auto"/>
              </w:rPr>
            </w:pPr>
          </w:p>
        </w:tc>
        <w:tc>
          <w:tcPr>
            <w:tcW w:w="13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October 30, 2022</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31, 2021</w:t>
            </w:r>
          </w:p>
        </w:tc>
        <w:tc>
          <w:tcPr>
            <w:tcW w:w="0" w:type="dxa"/>
            <w:vAlign w:val="bottom"/>
          </w:tcPr>
          <w:p>
            <w:pPr>
              <w:spacing w:after="0"/>
              <w:rPr>
                <w:sz w:val="1"/>
                <w:szCs w:val="1"/>
                <w:color w:val="auto"/>
              </w:rPr>
            </w:pPr>
          </w:p>
        </w:tc>
      </w:tr>
      <w:tr>
        <w:trPr>
          <w:trHeight w:val="225"/>
        </w:trPr>
        <w:tc>
          <w:tcPr>
            <w:tcW w:w="8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360" w:type="dxa"/>
            <w:vAlign w:val="bottom"/>
            <w:tcBorders>
              <w:top w:val="single" w:sz="8" w:color="auto"/>
            </w:tcBorders>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598"/>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5"/>
        </w:trPr>
        <w:tc>
          <w:tcPr>
            <w:tcW w:w="8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 amortization of right-of-use (ROU) assets</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5"/>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5"/>
        </w:trPr>
        <w:tc>
          <w:tcPr>
            <w:tcW w:w="8740" w:type="dxa"/>
            <w:vAlign w:val="bottom"/>
            <w:tcBorders>
              <w:bottom w:val="single" w:sz="8" w:color="CCEEFF"/>
            </w:tcBorders>
          </w:tcPr>
          <w:p>
            <w:pPr>
              <w:ind w:left="20"/>
              <w:spacing w:after="0" w:line="225" w:lineRule="exact"/>
              <w:rPr>
                <w:sz w:val="20"/>
                <w:szCs w:val="20"/>
                <w:color w:val="auto"/>
              </w:rPr>
            </w:pPr>
            <w:r>
              <w:rPr>
                <w:rFonts w:ascii="Times New Roman" w:cs="Times New Roman" w:eastAsia="Times New Roman" w:hAnsi="Times New Roman"/>
                <w:sz w:val="18"/>
                <w:szCs w:val="18"/>
                <w:color w:val="auto"/>
              </w:rPr>
              <w:t>Variable lease cost</w:t>
            </w:r>
            <w:r>
              <w:rPr>
                <w:rFonts w:ascii="Times New Roman" w:cs="Times New Roman" w:eastAsia="Times New Roman" w:hAnsi="Times New Roman"/>
                <w:sz w:val="22"/>
                <w:szCs w:val="22"/>
                <w:color w:val="auto"/>
                <w:vertAlign w:val="superscript"/>
              </w:rPr>
              <w:t>(1)</w:t>
            </w: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43"/>
        </w:trPr>
        <w:tc>
          <w:tcPr>
            <w:tcW w:w="8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598"/>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0"/>
        </w:trPr>
        <w:tc>
          <w:tcPr>
            <w:tcW w:w="8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__________________________________________</w:t>
      </w:r>
    </w:p>
    <w:p>
      <w:pPr>
        <w:spacing w:after="0" w:line="30" w:lineRule="exact"/>
        <w:rPr>
          <w:sz w:val="20"/>
          <w:szCs w:val="20"/>
          <w:color w:val="auto"/>
        </w:rPr>
      </w:pPr>
    </w:p>
    <w:p>
      <w:pPr>
        <w:ind w:left="320" w:hanging="314"/>
        <w:spacing w:after="0"/>
        <w:tabs>
          <w:tab w:leader="none" w:pos="320"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labor and other overhead in our service contracts with embedded leases.</w:t>
      </w:r>
    </w:p>
    <w:p>
      <w:pPr>
        <w:spacing w:after="0" w:line="67" w:lineRule="exact"/>
        <w:rPr>
          <w:rFonts w:ascii="Times New Roman" w:cs="Times New Roman" w:eastAsia="Times New Roman" w:hAnsi="Times New Roman"/>
          <w:sz w:val="23"/>
          <w:szCs w:val="23"/>
          <w:color w:val="auto"/>
          <w:vertAlign w:val="superscript"/>
        </w:rPr>
      </w:pPr>
    </w:p>
    <w:p>
      <w:pPr>
        <w:ind w:left="32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following tables summarize the lease amounts recorded in the Consolidated Balance Sheets: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60" w:type="dxa"/>
            <w:vAlign w:val="bottom"/>
          </w:tcPr>
          <w:p>
            <w:pPr>
              <w:spacing w:after="0"/>
              <w:rPr>
                <w:sz w:val="16"/>
                <w:szCs w:val="16"/>
                <w:color w:val="auto"/>
              </w:rPr>
            </w:pPr>
          </w:p>
        </w:tc>
        <w:tc>
          <w:tcPr>
            <w:tcW w:w="3380" w:type="dxa"/>
            <w:vAlign w:val="bottom"/>
            <w:gridSpan w:val="2"/>
          </w:tcPr>
          <w:p>
            <w:pPr>
              <w:ind w:left="222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760" w:type="dxa"/>
            <w:vAlign w:val="bottom"/>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380" w:type="dxa"/>
            <w:vAlign w:val="bottom"/>
            <w:gridSpan w:val="2"/>
            <w:vMerge w:val="restart"/>
          </w:tcPr>
          <w:p>
            <w:pPr>
              <w:ind w:left="80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120" w:type="dxa"/>
            <w:vAlign w:val="bottom"/>
          </w:tcPr>
          <w:p>
            <w:pPr>
              <w:spacing w:after="0"/>
              <w:rPr>
                <w:sz w:val="11"/>
                <w:szCs w:val="11"/>
                <w:color w:val="auto"/>
              </w:rPr>
            </w:pPr>
          </w:p>
        </w:tc>
        <w:tc>
          <w:tcPr>
            <w:tcW w:w="980" w:type="dxa"/>
            <w:vAlign w:val="bottom"/>
            <w:gridSpan w:val="2"/>
          </w:tcPr>
          <w:p>
            <w:pPr>
              <w:jc w:val="center"/>
              <w:ind w:right="220"/>
              <w:spacing w:after="0" w:line="128" w:lineRule="exact"/>
              <w:rPr>
                <w:sz w:val="20"/>
                <w:szCs w:val="20"/>
                <w:color w:val="auto"/>
              </w:rPr>
            </w:pPr>
            <w:r>
              <w:rPr>
                <w:rFonts w:ascii="Times New Roman" w:cs="Times New Roman" w:eastAsia="Times New Roman" w:hAnsi="Times New Roman"/>
                <w:sz w:val="14"/>
                <w:szCs w:val="14"/>
                <w:b w:val="1"/>
                <w:bCs w:val="1"/>
                <w:color w:val="auto"/>
              </w:rPr>
              <w:t>October 30,</w:t>
            </w:r>
          </w:p>
        </w:tc>
        <w:tc>
          <w:tcPr>
            <w:tcW w:w="100" w:type="dxa"/>
            <w:vAlign w:val="bottom"/>
          </w:tcPr>
          <w:p>
            <w:pPr>
              <w:spacing w:after="0"/>
              <w:rPr>
                <w:sz w:val="11"/>
                <w:szCs w:val="11"/>
                <w:color w:val="auto"/>
              </w:rPr>
            </w:pPr>
          </w:p>
        </w:tc>
        <w:tc>
          <w:tcPr>
            <w:tcW w:w="900" w:type="dxa"/>
            <w:vAlign w:val="bottom"/>
            <w:vMerge w:val="restart"/>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w w:val="99"/>
              </w:rPr>
              <w:t>July 31, 2022</w:t>
            </w:r>
          </w:p>
        </w:tc>
        <w:tc>
          <w:tcPr>
            <w:tcW w:w="0" w:type="dxa"/>
            <w:vAlign w:val="bottom"/>
          </w:tcPr>
          <w:p>
            <w:pPr>
              <w:spacing w:after="0"/>
              <w:rPr>
                <w:sz w:val="1"/>
                <w:szCs w:val="1"/>
                <w:color w:val="auto"/>
              </w:rPr>
            </w:pPr>
          </w:p>
        </w:tc>
      </w:tr>
      <w:tr>
        <w:trPr>
          <w:trHeight w:val="191"/>
        </w:trPr>
        <w:tc>
          <w:tcPr>
            <w:tcW w:w="5760" w:type="dxa"/>
            <w:vAlign w:val="bottom"/>
            <w:vMerge w:val="continue"/>
          </w:tcPr>
          <w:p>
            <w:pPr>
              <w:spacing w:after="0"/>
              <w:rPr>
                <w:sz w:val="16"/>
                <w:szCs w:val="16"/>
                <w:color w:val="auto"/>
              </w:rPr>
            </w:pPr>
          </w:p>
        </w:tc>
        <w:tc>
          <w:tcPr>
            <w:tcW w:w="33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ROU assets, net</w:t>
            </w:r>
          </w:p>
        </w:tc>
        <w:tc>
          <w:tcPr>
            <w:tcW w:w="3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235</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25"/>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 (current)</w:t>
            </w:r>
          </w:p>
        </w:tc>
        <w:tc>
          <w:tcPr>
            <w:tcW w:w="3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25"/>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 (noncurrent)</w:t>
            </w:r>
          </w:p>
        </w:tc>
        <w:tc>
          <w:tcPr>
            <w:tcW w:w="3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440"/>
        </w:trPr>
        <w:tc>
          <w:tcPr>
            <w:tcW w:w="5760" w:type="dxa"/>
            <w:vAlign w:val="bottom"/>
          </w:tcPr>
          <w:p>
            <w:pPr>
              <w:spacing w:after="0"/>
              <w:rPr>
                <w:sz w:val="24"/>
                <w:szCs w:val="24"/>
                <w:color w:val="auto"/>
              </w:rPr>
            </w:pPr>
          </w:p>
        </w:tc>
        <w:tc>
          <w:tcPr>
            <w:tcW w:w="3380" w:type="dxa"/>
            <w:vAlign w:val="bottom"/>
            <w:gridSpan w:val="2"/>
          </w:tcPr>
          <w:p>
            <w:pPr>
              <w:ind w:left="2280"/>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5760" w:type="dxa"/>
            <w:vAlign w:val="bottom"/>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380" w:type="dxa"/>
            <w:vAlign w:val="bottom"/>
            <w:gridSpan w:val="2"/>
            <w:vMerge w:val="restart"/>
          </w:tcPr>
          <w:p>
            <w:pPr>
              <w:ind w:left="80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120" w:type="dxa"/>
            <w:vAlign w:val="bottom"/>
          </w:tcPr>
          <w:p>
            <w:pPr>
              <w:spacing w:after="0"/>
              <w:rPr>
                <w:sz w:val="11"/>
                <w:szCs w:val="11"/>
                <w:color w:val="auto"/>
              </w:rPr>
            </w:pPr>
          </w:p>
        </w:tc>
        <w:tc>
          <w:tcPr>
            <w:tcW w:w="980" w:type="dxa"/>
            <w:vAlign w:val="bottom"/>
            <w:gridSpan w:val="2"/>
          </w:tcPr>
          <w:p>
            <w:pPr>
              <w:jc w:val="center"/>
              <w:ind w:right="220"/>
              <w:spacing w:after="0" w:line="128" w:lineRule="exact"/>
              <w:rPr>
                <w:sz w:val="20"/>
                <w:szCs w:val="20"/>
                <w:color w:val="auto"/>
              </w:rPr>
            </w:pPr>
            <w:r>
              <w:rPr>
                <w:rFonts w:ascii="Times New Roman" w:cs="Times New Roman" w:eastAsia="Times New Roman" w:hAnsi="Times New Roman"/>
                <w:sz w:val="14"/>
                <w:szCs w:val="14"/>
                <w:b w:val="1"/>
                <w:bCs w:val="1"/>
                <w:color w:val="auto"/>
              </w:rPr>
              <w:t>October 30,</w:t>
            </w:r>
          </w:p>
        </w:tc>
        <w:tc>
          <w:tcPr>
            <w:tcW w:w="100" w:type="dxa"/>
            <w:vAlign w:val="bottom"/>
          </w:tcPr>
          <w:p>
            <w:pPr>
              <w:spacing w:after="0"/>
              <w:rPr>
                <w:sz w:val="11"/>
                <w:szCs w:val="11"/>
                <w:color w:val="auto"/>
              </w:rPr>
            </w:pPr>
          </w:p>
        </w:tc>
        <w:tc>
          <w:tcPr>
            <w:tcW w:w="900" w:type="dxa"/>
            <w:vAlign w:val="bottom"/>
            <w:vMerge w:val="restart"/>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w w:val="99"/>
              </w:rPr>
              <w:t>July 31, 2022</w:t>
            </w:r>
          </w:p>
        </w:tc>
        <w:tc>
          <w:tcPr>
            <w:tcW w:w="0" w:type="dxa"/>
            <w:vAlign w:val="bottom"/>
          </w:tcPr>
          <w:p>
            <w:pPr>
              <w:spacing w:after="0"/>
              <w:rPr>
                <w:sz w:val="1"/>
                <w:szCs w:val="1"/>
                <w:color w:val="auto"/>
              </w:rPr>
            </w:pPr>
          </w:p>
        </w:tc>
      </w:tr>
      <w:tr>
        <w:trPr>
          <w:trHeight w:val="191"/>
        </w:trPr>
        <w:tc>
          <w:tcPr>
            <w:tcW w:w="5760" w:type="dxa"/>
            <w:vAlign w:val="bottom"/>
            <w:vMerge w:val="continue"/>
          </w:tcPr>
          <w:p>
            <w:pPr>
              <w:spacing w:after="0"/>
              <w:rPr>
                <w:sz w:val="16"/>
                <w:szCs w:val="16"/>
                <w:color w:val="auto"/>
              </w:rPr>
            </w:pPr>
          </w:p>
        </w:tc>
        <w:tc>
          <w:tcPr>
            <w:tcW w:w="33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ROU assets, net</w:t>
            </w:r>
          </w:p>
        </w:tc>
        <w:tc>
          <w:tcPr>
            <w:tcW w:w="3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Plant assets, net of depreciation</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5"/>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 (current)</w:t>
            </w:r>
          </w:p>
        </w:tc>
        <w:tc>
          <w:tcPr>
            <w:tcW w:w="3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Short-term borrowings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5"/>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 (noncurrent)</w:t>
            </w:r>
          </w:p>
        </w:tc>
        <w:tc>
          <w:tcPr>
            <w:tcW w:w="3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cash flow and other information related to leases: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40" w:type="dxa"/>
            <w:vAlign w:val="bottom"/>
            <w:gridSpan w:val="3"/>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8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320" w:type="dxa"/>
            <w:vAlign w:val="bottom"/>
            <w:tcBorders>
              <w:bottom w:val="single" w:sz="8" w:color="auto"/>
            </w:tcBorders>
            <w:gridSpan w:val="3"/>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720" w:type="dxa"/>
            <w:vAlign w:val="bottom"/>
            <w:vMerge w:val="continue"/>
          </w:tcPr>
          <w:p>
            <w:pPr>
              <w:spacing w:after="0"/>
              <w:rPr>
                <w:sz w:val="16"/>
                <w:szCs w:val="16"/>
                <w:color w:val="auto"/>
              </w:rPr>
            </w:pPr>
          </w:p>
        </w:tc>
        <w:tc>
          <w:tcPr>
            <w:tcW w:w="132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October 30, 2022</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31, 2021</w:t>
            </w:r>
          </w:p>
        </w:tc>
        <w:tc>
          <w:tcPr>
            <w:tcW w:w="0" w:type="dxa"/>
            <w:vAlign w:val="bottom"/>
          </w:tcPr>
          <w:p>
            <w:pPr>
              <w:spacing w:after="0"/>
              <w:rPr>
                <w:sz w:val="1"/>
                <w:szCs w:val="1"/>
                <w:color w:val="auto"/>
              </w:rPr>
            </w:pPr>
          </w:p>
        </w:tc>
      </w:tr>
      <w:tr>
        <w:trPr>
          <w:trHeight w:val="212"/>
        </w:trPr>
        <w:tc>
          <w:tcPr>
            <w:tcW w:w="8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3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360" w:type="dxa"/>
            <w:vAlign w:val="bottom"/>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100" w:type="dxa"/>
            <w:vAlign w:val="bottom"/>
          </w:tcPr>
          <w:p>
            <w:pPr>
              <w:spacing w:after="0"/>
              <w:rPr>
                <w:sz w:val="19"/>
                <w:szCs w:val="19"/>
                <w:color w:val="auto"/>
              </w:rPr>
            </w:pPr>
          </w:p>
        </w:tc>
        <w:tc>
          <w:tcPr>
            <w:tcW w:w="780" w:type="dxa"/>
            <w:vAlign w:val="bottom"/>
          </w:tcPr>
          <w:p>
            <w:pPr>
              <w:jc w:val="right"/>
              <w:ind w:right="59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5"/>
        </w:trPr>
        <w:tc>
          <w:tcPr>
            <w:tcW w:w="8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3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65"/>
        </w:trPr>
        <w:tc>
          <w:tcPr>
            <w:tcW w:w="87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ROU assets obtained in exchange for lease obligations:</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360" w:type="dxa"/>
            <w:vAlign w:val="bottom"/>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00" w:type="dxa"/>
            <w:vAlign w:val="bottom"/>
          </w:tcPr>
          <w:p>
            <w:pPr>
              <w:spacing w:after="0"/>
              <w:rPr>
                <w:sz w:val="19"/>
                <w:szCs w:val="19"/>
                <w:color w:val="auto"/>
              </w:rPr>
            </w:pPr>
          </w:p>
        </w:tc>
        <w:tc>
          <w:tcPr>
            <w:tcW w:w="780" w:type="dxa"/>
            <w:vAlign w:val="bottom"/>
          </w:tcPr>
          <w:p>
            <w:pPr>
              <w:jc w:val="right"/>
              <w:ind w:right="59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5"/>
        </w:trPr>
        <w:tc>
          <w:tcPr>
            <w:tcW w:w="8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Finance leases</w:t>
            </w:r>
          </w:p>
        </w:tc>
        <w:tc>
          <w:tcPr>
            <w:tcW w:w="3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CEEFF"/>
          </w:tcPr>
          <w:p>
            <w:pPr>
              <w:jc w:val="right"/>
              <w:ind w:right="59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Financial Instruments</w:t>
      </w:r>
    </w:p>
    <w:p>
      <w:pPr>
        <w:spacing w:after="0" w:line="8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principal market risks to which we are exposed are changes in foreign currency exchange rates, interest rates and commodity prices. In addition, we are exposed to price changes related to certain deferred compensation obligations. In order to manage these exposures, we follow established risk management policies and procedures, including the use of derivative contracts such as swaps, rate locks, options, forwards and commodity futures. We enter into these derivative contracts for periods consistent with the related underlying exposures, and the contracts do not constitute positions independent of those exposures. We do not enter into derivative contracts for speculative purposes and do not use leveraged instruments. Our</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13" w:name="page14"/>
    <w:bookmarkEnd w:id="13"/>
    <w:p>
      <w:pPr>
        <w:ind w:right="900"/>
        <w:spacing w:after="0" w:line="345" w:lineRule="auto"/>
        <w:rPr>
          <w:sz w:val="20"/>
          <w:szCs w:val="20"/>
          <w:color w:val="auto"/>
        </w:rPr>
      </w:pPr>
      <w:r>
        <w:rPr>
          <w:rFonts w:ascii="Times New Roman" w:cs="Times New Roman" w:eastAsia="Times New Roman" w:hAnsi="Times New Roman"/>
          <w:sz w:val="18"/>
          <w:szCs w:val="18"/>
          <w:color w:val="auto"/>
        </w:rPr>
        <w:t xml:space="preserve">derivative programs include instruments that qualify for hedge accounting treatment and instruments that are not designated as accounting hedges. </w:t>
      </w:r>
      <w:r>
        <w:rPr>
          <w:rFonts w:ascii="Times New Roman" w:cs="Times New Roman" w:eastAsia="Times New Roman" w:hAnsi="Times New Roman"/>
          <w:sz w:val="18"/>
          <w:szCs w:val="18"/>
          <w:b w:val="1"/>
          <w:bCs w:val="1"/>
          <w:i w:val="1"/>
          <w:iCs w:val="1"/>
          <w:color w:val="auto"/>
        </w:rPr>
        <w:t>Concentration of Credit Risk</w:t>
      </w:r>
    </w:p>
    <w:p>
      <w:pPr>
        <w:spacing w:after="0" w:line="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are exposed to the risk that counterparties to derivative contracts will fail to meet their contractual obligations. To mitigate counterparty credit risk, we enter into contracts only with carefully selected, leading, credit-worthy financial institutions, and distribute contracts among several financial institutions to reduce the concentration of credit risk. We did not have credit risk-related contingent features in our derivative instruments as of October 30, 2022, or July 31, 2022.</w:t>
      </w:r>
    </w:p>
    <w:p>
      <w:pPr>
        <w:spacing w:after="0" w:line="6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are also exposed to credit risk from our customers. During 2022, our largest customer accounted for approximately 22% of consolidated net sales. Our five largest customers accounted for approximately 47% of our consolidated net sales in 2022.</w:t>
      </w:r>
    </w:p>
    <w:p>
      <w:pPr>
        <w:spacing w:after="0" w:line="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closely monitor credit risk associated with counterparties and customers.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102"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7"/>
          <w:szCs w:val="17"/>
          <w:color w:val="auto"/>
        </w:rPr>
        <w:t>We are exposed to foreign currency exchange risk, primarily the Canadian dollar, related to intercompany transactions and third-party transactions. We utilize foreign exchange forward purchase and sale contracts to hedge these exposures. The contracts are either designated as cash-flow hedging instruments or are undesignated. We hedge portions of our forecasted foreign currency transaction exposure with foreign exchange forward contracts for periods typically up to 18 months. The notional amount of foreign exchange forward contracts accounted for as cash-flow hedges was $121 million as of October 30, 2022, and $140 million as of July 31, 2022. Changes in the fair value on the portion of the derivative included in the assessment of hedge effectiveness of cash-flow hedges are recorded in other comprehensive income (loss), until earnings are affected by the variability of cash flows. For derivatives that are designated and qualify as hedging instruments, the initial fair value of hedge components excluded from the assessment of effectiveness is recognized in earnings under a systematic and rational method over the life of the hedging instrument and is presented in the same statement of earnings line item as the earnings effect of the hedged item. Any difference between the change in the fair value of the hedge components excluded from the assessment of effectiveness and the amounts recognized in earnings is recorded as a component of other comprehensive income (loss). The notional amount of foreign exchange forward contracts that are not designated as accounting hedges was $18 million as of October 30, 2022, and $13 million as of July 31, 2022.</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02" w:lineRule="exact"/>
        <w:rPr>
          <w:sz w:val="20"/>
          <w:szCs w:val="20"/>
          <w:color w:val="auto"/>
        </w:rPr>
      </w:pPr>
    </w:p>
    <w:p>
      <w:pPr>
        <w:jc w:val="both"/>
        <w:ind w:firstLine="318"/>
        <w:spacing w:after="0" w:line="304" w:lineRule="auto"/>
        <w:rPr>
          <w:sz w:val="20"/>
          <w:szCs w:val="20"/>
          <w:color w:val="auto"/>
        </w:rPr>
      </w:pPr>
      <w:r>
        <w:rPr>
          <w:rFonts w:ascii="Times New Roman" w:cs="Times New Roman" w:eastAsia="Times New Roman" w:hAnsi="Times New Roman"/>
          <w:sz w:val="17"/>
          <w:szCs w:val="17"/>
          <w:color w:val="auto"/>
        </w:rPr>
        <w:t>We manage our exposure to changes in interest rates by optimizing the use of variable-rate and fixed-rate debt and by utilizing interest rate swaps in order to maintain our variable-to-total debt ratio within targeted guidelines. There were no interest rate swaps outstanding as of October 30, 2022, or July 31, 2022.</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Commodity Price Risk</w:t>
      </w:r>
    </w:p>
    <w:p>
      <w:pPr>
        <w:spacing w:after="0" w:line="89"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principally use a combination of purchase orders and various short- and long-term supply arrangements in connection with the purchase of raw materials, including certain commodities and agricultural products. We also enter into commodity futures, options and swap contracts to reduce the volatility of price fluctuations of wheat, diesel fuel, natural gas, soybean oil, aluminum, cocoa, corn, soybean meal and butter. Commodity futures, options and swap contracts are either designated as cash-flow hedging instruments or are undesignated. We hedge a portion of commodity requirements for periods typically up to 18 months. The notional amount of commodity contracts designated as cash-flow hedges was $3 million as of July 31, 2022. There were no commodity contracts designated as cash-flow hedges as of October 30, 2022. Changes in the fair value on the portion of the derivative included in the assessment of hedge effectiveness of cash-flow hedges are recorded in other comprehensive income (loss), until earnings are affected by the variability of cash flows. The notional amount of commodity contracts not designated as accounting hedges was $281 million as of October 30, 2022, and $254 million as of July 31, 2022. The change in fair value on undesignated instruments is recorded in Cost of products sold.</w:t>
      </w:r>
    </w:p>
    <w:p>
      <w:pPr>
        <w:spacing w:after="0" w:line="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have a supply contract under which prices for certain raw materials are established based on anticipated volume requirements over a twelve-month period. Certain prices under the contract are based in part on certain component parts of the raw materials that are in excess of our needs or not required for our operations, thereby creating an embedded derivative requiring bifurcation. We net settle amounts due under the contract with our counterparty. The notional amount was approximately $15 million as of October 30, 2022, and $39 million as of July 31, 2022. The change in fair value on the embedded derivative is recorded in Cost of products sold.</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Compensation Obligation Price Risk</w:t>
      </w:r>
    </w:p>
    <w:p>
      <w:pPr>
        <w:spacing w:after="0" w:line="8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enter into swap contracts which hedge a portion of exposures relating to certain deferred compensation obligations linked to the total return of the Vanguard Extended Market Index Plus Fund, the Vanguard Institutional Index Institutional Plus Fund, the Vanguard Short-Term Bond Index Fund and the Vanguard Total International Stock Index Fund. These contracts are not designated as hedges for accounting purposes. Unrealized gains (losses) and settlements are included in Administrative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14" w:name="page15"/>
    <w:bookmarkEnd w:id="14"/>
    <w:p>
      <w:pPr>
        <w:jc w:val="both"/>
        <w:spacing w:after="0" w:line="274" w:lineRule="auto"/>
        <w:rPr>
          <w:sz w:val="20"/>
          <w:szCs w:val="20"/>
          <w:color w:val="auto"/>
        </w:rPr>
      </w:pPr>
      <w:r>
        <w:rPr>
          <w:rFonts w:ascii="Times New Roman" w:cs="Times New Roman" w:eastAsia="Times New Roman" w:hAnsi="Times New Roman"/>
          <w:sz w:val="18"/>
          <w:szCs w:val="18"/>
          <w:color w:val="auto"/>
        </w:rPr>
        <w:t>expenses in the Consolidated Statements of Earnings. We enter into these contracts for periods typically not exceeding 12 months. The notional amounts of the contracts were $50 million as of October 30, 2022, and July 31, 2022.</w:t>
      </w:r>
    </w:p>
    <w:p>
      <w:pPr>
        <w:spacing w:after="0" w:line="31"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8"/>
          <w:szCs w:val="18"/>
          <w:color w:val="auto"/>
        </w:rPr>
        <w:t>The following table summarizes the fair value of derivative instruments on a gross basis as recorded in the Consolidated Balance Sheets as of October 30, 2022, and July 31, 2022:</w:t>
      </w:r>
    </w:p>
    <w:tbl>
      <w:tblPr>
        <w:tblLayout w:type="fixed"/>
        <w:tblInd w:w="0" w:type="dxa"/>
        <w:tblCellMar>
          <w:top w:w="0" w:type="dxa"/>
          <w:left w:w="0" w:type="dxa"/>
          <w:bottom w:w="0" w:type="dxa"/>
          <w:right w:w="0" w:type="dxa"/>
        </w:tblCellMar>
      </w:tblPr>
      <w:tr>
        <w:trPr>
          <w:trHeight w:val="186"/>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0" w:type="dxa"/>
            <w:vAlign w:val="bottom"/>
          </w:tcPr>
          <w:p>
            <w:pPr>
              <w:spacing w:after="0"/>
              <w:rPr>
                <w:sz w:val="16"/>
                <w:szCs w:val="16"/>
                <w:color w:val="auto"/>
              </w:rPr>
            </w:pPr>
          </w:p>
        </w:tc>
        <w:tc>
          <w:tcPr>
            <w:tcW w:w="3900" w:type="dxa"/>
            <w:vAlign w:val="bottom"/>
            <w:gridSpan w:val="3"/>
          </w:tcPr>
          <w:p>
            <w:pPr>
              <w:ind w:left="104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October 30, 2022</w:t>
            </w:r>
          </w:p>
        </w:tc>
        <w:tc>
          <w:tcPr>
            <w:tcW w:w="200" w:type="dxa"/>
            <w:vAlign w:val="bottom"/>
          </w:tcPr>
          <w:p>
            <w:pPr>
              <w:spacing w:after="0"/>
              <w:rPr>
                <w:sz w:val="16"/>
                <w:szCs w:val="16"/>
                <w:color w:val="auto"/>
              </w:rPr>
            </w:pP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July 31, 2022</w:t>
            </w:r>
          </w:p>
        </w:tc>
      </w:tr>
      <w:tr>
        <w:trPr>
          <w:trHeight w:val="24"/>
        </w:trPr>
        <w:tc>
          <w:tcPr>
            <w:tcW w:w="40" w:type="dxa"/>
            <w:vAlign w:val="bottom"/>
            <w:tcBorders>
              <w:bottom w:val="single" w:sz="8" w:color="CCEEFF"/>
            </w:tcBorders>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05"/>
        </w:trPr>
        <w:tc>
          <w:tcPr>
            <w:tcW w:w="4360" w:type="dxa"/>
            <w:vAlign w:val="bottom"/>
            <w:gridSpan w:val="2"/>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Asset Derivatives</w:t>
            </w:r>
          </w:p>
        </w:tc>
        <w:tc>
          <w:tcPr>
            <w:tcW w:w="20" w:type="dxa"/>
            <w:vAlign w:val="bottom"/>
            <w:shd w:val="clear" w:color="auto" w:fill="CCEEFF"/>
          </w:tcPr>
          <w:p>
            <w:pPr>
              <w:spacing w:after="0"/>
              <w:rPr>
                <w:sz w:val="17"/>
                <w:szCs w:val="17"/>
                <w:color w:val="auto"/>
              </w:rPr>
            </w:pPr>
          </w:p>
        </w:tc>
        <w:tc>
          <w:tcPr>
            <w:tcW w:w="3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25"/>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Derivatives designated as hedges:</w:t>
            </w:r>
          </w:p>
        </w:tc>
        <w:tc>
          <w:tcPr>
            <w:tcW w:w="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5"/>
        </w:trPr>
        <w:tc>
          <w:tcPr>
            <w:tcW w:w="40" w:type="dxa"/>
            <w:vAlign w:val="bottom"/>
            <w:shd w:val="clear" w:color="auto" w:fill="CCEEFF"/>
          </w:tcPr>
          <w:p>
            <w:pPr>
              <w:spacing w:after="0"/>
              <w:rPr>
                <w:sz w:val="19"/>
                <w:szCs w:val="19"/>
                <w:color w:val="auto"/>
              </w:rPr>
            </w:pPr>
          </w:p>
        </w:tc>
        <w:tc>
          <w:tcPr>
            <w:tcW w:w="4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Commodity contracts</w:t>
            </w:r>
          </w:p>
        </w:tc>
        <w:tc>
          <w:tcPr>
            <w:tcW w:w="39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CCEEFF"/>
          </w:tcPr>
          <w:p>
            <w:pPr>
              <w:spacing w:after="0"/>
              <w:rPr>
                <w:sz w:val="19"/>
                <w:szCs w:val="19"/>
                <w:color w:val="auto"/>
              </w:rPr>
            </w:pPr>
          </w:p>
        </w:tc>
      </w:tr>
      <w:tr>
        <w:trPr>
          <w:trHeight w:val="225"/>
        </w:trPr>
        <w:tc>
          <w:tcPr>
            <w:tcW w:w="40" w:type="dxa"/>
            <w:vAlign w:val="bottom"/>
            <w:tcBorders>
              <w:bottom w:val="single" w:sz="8" w:color="CCEEFF"/>
            </w:tcBorders>
          </w:tcPr>
          <w:p>
            <w:pPr>
              <w:spacing w:after="0"/>
              <w:rPr>
                <w:sz w:val="19"/>
                <w:szCs w:val="19"/>
                <w:color w:val="auto"/>
              </w:rPr>
            </w:pPr>
          </w:p>
        </w:tc>
        <w:tc>
          <w:tcPr>
            <w:tcW w:w="43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392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bottom w:val="single" w:sz="8" w:color="auto"/>
            </w:tcBorders>
          </w:tcPr>
          <w:p>
            <w:pPr>
              <w:spacing w:after="0"/>
              <w:rPr>
                <w:sz w:val="19"/>
                <w:szCs w:val="19"/>
                <w:color w:val="auto"/>
              </w:rPr>
            </w:pPr>
          </w:p>
        </w:tc>
      </w:tr>
      <w:tr>
        <w:trPr>
          <w:trHeight w:val="218"/>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derivatives designated as hedges</w:t>
            </w:r>
          </w:p>
        </w:tc>
        <w:tc>
          <w:tcPr>
            <w:tcW w:w="20" w:type="dxa"/>
            <w:vAlign w:val="bottom"/>
            <w:shd w:val="clear" w:color="auto" w:fill="CCEEFF"/>
          </w:tcPr>
          <w:p>
            <w:pPr>
              <w:spacing w:after="0"/>
              <w:rPr>
                <w:sz w:val="19"/>
                <w:szCs w:val="19"/>
                <w:color w:val="auto"/>
              </w:rPr>
            </w:pPr>
          </w:p>
        </w:tc>
        <w:tc>
          <w:tcPr>
            <w:tcW w:w="38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Borders>
              <w:bottom w:val="single" w:sz="8" w:color="auto"/>
            </w:tcBorders>
            <w:shd w:val="clear" w:color="auto" w:fill="CCEEFF"/>
          </w:tcPr>
          <w:p>
            <w:pPr>
              <w:spacing w:after="0"/>
              <w:rPr>
                <w:sz w:val="19"/>
                <w:szCs w:val="19"/>
                <w:color w:val="auto"/>
              </w:rPr>
            </w:pPr>
          </w:p>
        </w:tc>
      </w:tr>
      <w:tr>
        <w:trPr>
          <w:trHeight w:val="205"/>
        </w:trPr>
        <w:tc>
          <w:tcPr>
            <w:tcW w:w="4360" w:type="dxa"/>
            <w:vAlign w:val="bottom"/>
            <w:gridSpan w:val="2"/>
          </w:tcPr>
          <w:p>
            <w:pPr>
              <w:ind w:left="20"/>
              <w:spacing w:after="0" w:line="205" w:lineRule="exact"/>
              <w:rPr>
                <w:sz w:val="20"/>
                <w:szCs w:val="20"/>
                <w:color w:val="auto"/>
              </w:rPr>
            </w:pPr>
            <w:r>
              <w:rPr>
                <w:rFonts w:ascii="Times New Roman" w:cs="Times New Roman" w:eastAsia="Times New Roman" w:hAnsi="Times New Roman"/>
                <w:sz w:val="18"/>
                <w:szCs w:val="18"/>
                <w:color w:val="auto"/>
              </w:rPr>
              <w:t>Derivatives not designated as hedges:</w:t>
            </w:r>
          </w:p>
        </w:tc>
        <w:tc>
          <w:tcPr>
            <w:tcW w:w="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5"/>
        </w:trPr>
        <w:tc>
          <w:tcPr>
            <w:tcW w:w="40" w:type="dxa"/>
            <w:vAlign w:val="bottom"/>
            <w:shd w:val="clear" w:color="auto" w:fill="CCEEFF"/>
          </w:tcPr>
          <w:p>
            <w:pPr>
              <w:spacing w:after="0"/>
              <w:rPr>
                <w:sz w:val="19"/>
                <w:szCs w:val="19"/>
                <w:color w:val="auto"/>
              </w:rPr>
            </w:pPr>
          </w:p>
        </w:tc>
        <w:tc>
          <w:tcPr>
            <w:tcW w:w="4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Commodity contracts</w:t>
            </w:r>
          </w:p>
        </w:tc>
        <w:tc>
          <w:tcPr>
            <w:tcW w:w="39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shd w:val="clear" w:color="auto" w:fill="CCEEFF"/>
          </w:tcPr>
          <w:p>
            <w:pPr>
              <w:spacing w:after="0"/>
              <w:rPr>
                <w:sz w:val="19"/>
                <w:szCs w:val="19"/>
                <w:color w:val="auto"/>
              </w:rPr>
            </w:pPr>
          </w:p>
        </w:tc>
      </w:tr>
      <w:tr>
        <w:trPr>
          <w:trHeight w:val="225"/>
        </w:trPr>
        <w:tc>
          <w:tcPr>
            <w:tcW w:w="40" w:type="dxa"/>
            <w:vAlign w:val="bottom"/>
            <w:tcBorders>
              <w:bottom w:val="single" w:sz="8" w:color="CCEEFF"/>
            </w:tcBorders>
          </w:tcPr>
          <w:p>
            <w:pPr>
              <w:spacing w:after="0"/>
              <w:rPr>
                <w:sz w:val="19"/>
                <w:szCs w:val="19"/>
                <w:color w:val="auto"/>
              </w:rPr>
            </w:pPr>
          </w:p>
        </w:tc>
        <w:tc>
          <w:tcPr>
            <w:tcW w:w="43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Deferred compensation contracts</w:t>
            </w:r>
          </w:p>
        </w:tc>
        <w:tc>
          <w:tcPr>
            <w:tcW w:w="392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9"/>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derivatives not designated as hedges</w:t>
            </w:r>
          </w:p>
        </w:tc>
        <w:tc>
          <w:tcPr>
            <w:tcW w:w="20" w:type="dxa"/>
            <w:vAlign w:val="bottom"/>
            <w:shd w:val="clear" w:color="auto" w:fill="CCEEFF"/>
          </w:tcPr>
          <w:p>
            <w:pPr>
              <w:spacing w:after="0"/>
              <w:rPr>
                <w:sz w:val="19"/>
                <w:szCs w:val="19"/>
                <w:color w:val="auto"/>
              </w:rPr>
            </w:pPr>
          </w:p>
        </w:tc>
        <w:tc>
          <w:tcPr>
            <w:tcW w:w="38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Borders>
              <w:bottom w:val="single" w:sz="8" w:color="auto"/>
            </w:tcBorders>
            <w:shd w:val="clear" w:color="auto" w:fill="CCEEFF"/>
          </w:tcPr>
          <w:p>
            <w:pPr>
              <w:spacing w:after="0"/>
              <w:rPr>
                <w:sz w:val="19"/>
                <w:szCs w:val="19"/>
                <w:color w:val="auto"/>
              </w:rPr>
            </w:pPr>
          </w:p>
        </w:tc>
      </w:tr>
      <w:tr>
        <w:trPr>
          <w:trHeight w:val="218"/>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asset derivatives</w:t>
            </w:r>
          </w:p>
        </w:tc>
        <w:tc>
          <w:tcPr>
            <w:tcW w:w="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Borders>
              <w:bottom w:val="single" w:sz="8" w:color="auto"/>
            </w:tcBorders>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379"/>
        </w:trPr>
        <w:tc>
          <w:tcPr>
            <w:tcW w:w="40" w:type="dxa"/>
            <w:vAlign w:val="bottom"/>
          </w:tcPr>
          <w:p>
            <w:pPr>
              <w:spacing w:after="0"/>
              <w:rPr>
                <w:sz w:val="24"/>
                <w:szCs w:val="24"/>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0" w:type="dxa"/>
            <w:vAlign w:val="bottom"/>
          </w:tcPr>
          <w:p>
            <w:pPr>
              <w:spacing w:after="0"/>
              <w:rPr>
                <w:sz w:val="24"/>
                <w:szCs w:val="24"/>
                <w:color w:val="auto"/>
              </w:rPr>
            </w:pPr>
          </w:p>
        </w:tc>
        <w:tc>
          <w:tcPr>
            <w:tcW w:w="3900" w:type="dxa"/>
            <w:vAlign w:val="bottom"/>
            <w:gridSpan w:val="3"/>
          </w:tcPr>
          <w:p>
            <w:pPr>
              <w:ind w:left="106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October 30, 2022</w:t>
            </w:r>
          </w:p>
        </w:tc>
        <w:tc>
          <w:tcPr>
            <w:tcW w:w="200" w:type="dxa"/>
            <w:vAlign w:val="bottom"/>
          </w:tcPr>
          <w:p>
            <w:pPr>
              <w:spacing w:after="0"/>
              <w:rPr>
                <w:sz w:val="24"/>
                <w:szCs w:val="24"/>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July 31, 2022</w:t>
            </w:r>
          </w:p>
        </w:tc>
      </w:tr>
      <w:tr>
        <w:trPr>
          <w:trHeight w:val="24"/>
        </w:trPr>
        <w:tc>
          <w:tcPr>
            <w:tcW w:w="40" w:type="dxa"/>
            <w:vAlign w:val="bottom"/>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5"/>
        </w:trPr>
        <w:tc>
          <w:tcPr>
            <w:tcW w:w="40" w:type="dxa"/>
            <w:vAlign w:val="bottom"/>
          </w:tcPr>
          <w:p>
            <w:pPr>
              <w:spacing w:after="0"/>
              <w:rPr>
                <w:sz w:val="17"/>
                <w:szCs w:val="17"/>
                <w:color w:val="auto"/>
              </w:rPr>
            </w:pPr>
          </w:p>
        </w:tc>
        <w:tc>
          <w:tcPr>
            <w:tcW w:w="432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Liability Derivatives</w:t>
            </w:r>
          </w:p>
        </w:tc>
        <w:tc>
          <w:tcPr>
            <w:tcW w:w="20" w:type="dxa"/>
            <w:vAlign w:val="bottom"/>
            <w:shd w:val="clear" w:color="auto" w:fill="CCEEFF"/>
          </w:tcPr>
          <w:p>
            <w:pPr>
              <w:spacing w:after="0"/>
              <w:rPr>
                <w:sz w:val="17"/>
                <w:szCs w:val="17"/>
                <w:color w:val="auto"/>
              </w:rPr>
            </w:pPr>
          </w:p>
        </w:tc>
        <w:tc>
          <w:tcPr>
            <w:tcW w:w="3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25"/>
        </w:trPr>
        <w:tc>
          <w:tcPr>
            <w:tcW w:w="4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Derivatives not designated as hedges:</w:t>
            </w:r>
          </w:p>
        </w:tc>
        <w:tc>
          <w:tcPr>
            <w:tcW w:w="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4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Commodity contracts</w:t>
            </w:r>
          </w:p>
        </w:tc>
        <w:tc>
          <w:tcPr>
            <w:tcW w:w="20" w:type="dxa"/>
            <w:vAlign w:val="bottom"/>
            <w:shd w:val="clear" w:color="auto" w:fill="CCEEFF"/>
          </w:tcPr>
          <w:p>
            <w:pPr>
              <w:spacing w:after="0"/>
              <w:rPr>
                <w:sz w:val="19"/>
                <w:szCs w:val="19"/>
                <w:color w:val="auto"/>
              </w:rPr>
            </w:pPr>
          </w:p>
        </w:tc>
        <w:tc>
          <w:tcPr>
            <w:tcW w:w="3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4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compensation contracts</w:t>
            </w:r>
          </w:p>
        </w:tc>
        <w:tc>
          <w:tcPr>
            <w:tcW w:w="20" w:type="dxa"/>
            <w:vAlign w:val="bottom"/>
          </w:tcPr>
          <w:p>
            <w:pPr>
              <w:spacing w:after="0"/>
              <w:rPr>
                <w:sz w:val="19"/>
                <w:szCs w:val="19"/>
                <w:color w:val="auto"/>
              </w:rPr>
            </w:pPr>
          </w:p>
        </w:tc>
        <w:tc>
          <w:tcPr>
            <w:tcW w:w="3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9"/>
                <w:szCs w:val="19"/>
                <w:color w:val="auto"/>
              </w:rPr>
            </w:pPr>
          </w:p>
        </w:tc>
      </w:tr>
      <w:tr>
        <w:trPr>
          <w:trHeight w:val="218"/>
        </w:trPr>
        <w:tc>
          <w:tcPr>
            <w:tcW w:w="40" w:type="dxa"/>
            <w:vAlign w:val="bottom"/>
          </w:tcPr>
          <w:p>
            <w:pPr>
              <w:spacing w:after="0"/>
              <w:rPr>
                <w:sz w:val="19"/>
                <w:szCs w:val="19"/>
                <w:color w:val="auto"/>
              </w:rPr>
            </w:pPr>
          </w:p>
        </w:tc>
        <w:tc>
          <w:tcPr>
            <w:tcW w:w="4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derivatives not designated as hedges</w:t>
            </w:r>
          </w:p>
        </w:tc>
        <w:tc>
          <w:tcPr>
            <w:tcW w:w="20" w:type="dxa"/>
            <w:vAlign w:val="bottom"/>
            <w:tcBorders>
              <w:top w:val="single" w:sz="8" w:color="CCEEFF"/>
            </w:tcBorders>
            <w:shd w:val="clear" w:color="auto" w:fill="CCEEFF"/>
          </w:tcPr>
          <w:p>
            <w:pPr>
              <w:spacing w:after="0"/>
              <w:rPr>
                <w:sz w:val="19"/>
                <w:szCs w:val="19"/>
                <w:color w:val="auto"/>
              </w:rPr>
            </w:pPr>
          </w:p>
        </w:tc>
        <w:tc>
          <w:tcPr>
            <w:tcW w:w="38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9"/>
                <w:szCs w:val="19"/>
                <w:color w:val="auto"/>
              </w:rPr>
            </w:pPr>
          </w:p>
        </w:tc>
      </w:tr>
      <w:tr>
        <w:trPr>
          <w:trHeight w:val="218"/>
        </w:trPr>
        <w:tc>
          <w:tcPr>
            <w:tcW w:w="4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liability derivatives</w:t>
            </w:r>
          </w:p>
        </w:tc>
        <w:tc>
          <w:tcPr>
            <w:tcW w:w="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8"/>
          <w:szCs w:val="18"/>
          <w:color w:val="auto"/>
        </w:rPr>
        <w:t>We do not offset the fair values of derivative assets and liabilities executed with the same counterparty that are generally subject to enforceable netting agreements. However, if we were to offset and record the asset and liability balances of derivatives on a net basis, the amounts presented in the Consolidated Balance Sheets as of October 30, 2022, and July 31, 2022, would be adjusted as detailed in the following table: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October 30, 2022</w:t>
            </w: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July 31, 2022</w:t>
            </w: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8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3"/>
          </w:tcPr>
          <w:p>
            <w:pPr>
              <w:jc w:val="center"/>
              <w:ind w:right="100"/>
              <w:spacing w:after="0" w:line="128" w:lineRule="exact"/>
              <w:rPr>
                <w:sz w:val="20"/>
                <w:szCs w:val="20"/>
                <w:color w:val="auto"/>
              </w:rPr>
            </w:pPr>
            <w:r>
              <w:rPr>
                <w:rFonts w:ascii="Times New Roman" w:cs="Times New Roman" w:eastAsia="Times New Roman" w:hAnsi="Times New Roman"/>
                <w:sz w:val="14"/>
                <w:szCs w:val="14"/>
                <w:b w:val="1"/>
                <w:bCs w:val="1"/>
                <w:color w:val="auto"/>
              </w:rPr>
              <w:t>Gross Amounts Not</w:t>
            </w: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3"/>
          </w:tcPr>
          <w:p>
            <w:pPr>
              <w:jc w:val="center"/>
              <w:ind w:right="120"/>
              <w:spacing w:after="0" w:line="128" w:lineRule="exact"/>
              <w:rPr>
                <w:sz w:val="20"/>
                <w:szCs w:val="20"/>
                <w:color w:val="auto"/>
              </w:rPr>
            </w:pPr>
            <w:r>
              <w:rPr>
                <w:rFonts w:ascii="Times New Roman" w:cs="Times New Roman" w:eastAsia="Times New Roman" w:hAnsi="Times New Roman"/>
                <w:sz w:val="14"/>
                <w:szCs w:val="14"/>
                <w:b w:val="1"/>
                <w:bCs w:val="1"/>
                <w:color w:val="auto"/>
                <w:w w:val="99"/>
              </w:rPr>
              <w:t>Gross Amounts Not</w:t>
            </w: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Gross Amounts</w:t>
            </w:r>
          </w:p>
        </w:tc>
        <w:tc>
          <w:tcPr>
            <w:tcW w:w="120" w:type="dxa"/>
            <w:vAlign w:val="bottom"/>
          </w:tcPr>
          <w:p>
            <w:pPr>
              <w:spacing w:after="0"/>
              <w:rPr>
                <w:sz w:val="12"/>
                <w:szCs w:val="12"/>
                <w:color w:val="auto"/>
              </w:rPr>
            </w:pPr>
          </w:p>
        </w:tc>
        <w:tc>
          <w:tcPr>
            <w:tcW w:w="1300" w:type="dxa"/>
            <w:vAlign w:val="bottom"/>
            <w:gridSpan w:val="2"/>
          </w:tcPr>
          <w:p>
            <w:pPr>
              <w:jc w:val="center"/>
              <w:ind w:right="240"/>
              <w:spacing w:after="0" w:line="144" w:lineRule="exact"/>
              <w:rPr>
                <w:sz w:val="20"/>
                <w:szCs w:val="20"/>
                <w:color w:val="auto"/>
              </w:rPr>
            </w:pPr>
            <w:r>
              <w:rPr>
                <w:rFonts w:ascii="Times New Roman" w:cs="Times New Roman" w:eastAsia="Times New Roman" w:hAnsi="Times New Roman"/>
                <w:sz w:val="14"/>
                <w:szCs w:val="14"/>
                <w:b w:val="1"/>
                <w:bCs w:val="1"/>
                <w:color w:val="auto"/>
              </w:rPr>
              <w:t>Offset in the</w:t>
            </w: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 Amounts</w:t>
            </w:r>
          </w:p>
        </w:tc>
        <w:tc>
          <w:tcPr>
            <w:tcW w:w="100" w:type="dxa"/>
            <w:vAlign w:val="bottom"/>
          </w:tcPr>
          <w:p>
            <w:pPr>
              <w:spacing w:after="0"/>
              <w:rPr>
                <w:sz w:val="12"/>
                <w:szCs w:val="12"/>
                <w:color w:val="auto"/>
              </w:rPr>
            </w:pPr>
          </w:p>
        </w:tc>
        <w:tc>
          <w:tcPr>
            <w:tcW w:w="1320" w:type="dxa"/>
            <w:vAlign w:val="bottom"/>
            <w:gridSpan w:val="2"/>
          </w:tcPr>
          <w:p>
            <w:pPr>
              <w:jc w:val="center"/>
              <w:ind w:right="220"/>
              <w:spacing w:after="0" w:line="144" w:lineRule="exact"/>
              <w:rPr>
                <w:sz w:val="20"/>
                <w:szCs w:val="20"/>
                <w:color w:val="auto"/>
              </w:rPr>
            </w:pPr>
            <w:r>
              <w:rPr>
                <w:rFonts w:ascii="Times New Roman" w:cs="Times New Roman" w:eastAsia="Times New Roman" w:hAnsi="Times New Roman"/>
                <w:sz w:val="14"/>
                <w:szCs w:val="14"/>
                <w:b w:val="1"/>
                <w:bCs w:val="1"/>
                <w:color w:val="auto"/>
              </w:rPr>
              <w:t>Offset in the</w:t>
            </w: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w w:val="99"/>
              </w:rPr>
              <w:t>Consolidated</w:t>
            </w: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240"/>
              <w:spacing w:after="0" w:line="144" w:lineRule="exact"/>
              <w:rPr>
                <w:sz w:val="20"/>
                <w:szCs w:val="20"/>
                <w:color w:val="auto"/>
              </w:rPr>
            </w:pPr>
            <w:r>
              <w:rPr>
                <w:rFonts w:ascii="Times New Roman" w:cs="Times New Roman" w:eastAsia="Times New Roman" w:hAnsi="Times New Roman"/>
                <w:sz w:val="14"/>
                <w:szCs w:val="14"/>
                <w:b w:val="1"/>
                <w:bCs w:val="1"/>
                <w:color w:val="auto"/>
              </w:rPr>
              <w:t>Presented in the</w:t>
            </w:r>
          </w:p>
        </w:tc>
        <w:tc>
          <w:tcPr>
            <w:tcW w:w="120" w:type="dxa"/>
            <w:vAlign w:val="bottom"/>
          </w:tcPr>
          <w:p>
            <w:pPr>
              <w:spacing w:after="0"/>
              <w:rPr>
                <w:sz w:val="12"/>
                <w:szCs w:val="12"/>
                <w:color w:val="auto"/>
              </w:rPr>
            </w:pPr>
          </w:p>
        </w:tc>
        <w:tc>
          <w:tcPr>
            <w:tcW w:w="1300" w:type="dxa"/>
            <w:vAlign w:val="bottom"/>
            <w:gridSpan w:val="2"/>
          </w:tcPr>
          <w:p>
            <w:pPr>
              <w:jc w:val="center"/>
              <w:ind w:right="220"/>
              <w:spacing w:after="0" w:line="144" w:lineRule="exact"/>
              <w:rPr>
                <w:sz w:val="20"/>
                <w:szCs w:val="20"/>
                <w:color w:val="auto"/>
              </w:rPr>
            </w:pPr>
            <w:r>
              <w:rPr>
                <w:rFonts w:ascii="Times New Roman" w:cs="Times New Roman" w:eastAsia="Times New Roman" w:hAnsi="Times New Roman"/>
                <w:sz w:val="14"/>
                <w:szCs w:val="14"/>
                <w:b w:val="1"/>
                <w:bCs w:val="1"/>
                <w:color w:val="auto"/>
              </w:rPr>
              <w:t>Balance Sheet</w:t>
            </w: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60"/>
              <w:spacing w:after="0" w:line="144" w:lineRule="exact"/>
              <w:rPr>
                <w:sz w:val="20"/>
                <w:szCs w:val="20"/>
                <w:color w:val="auto"/>
              </w:rPr>
            </w:pPr>
            <w:r>
              <w:rPr>
                <w:rFonts w:ascii="Times New Roman" w:cs="Times New Roman" w:eastAsia="Times New Roman" w:hAnsi="Times New Roman"/>
                <w:sz w:val="14"/>
                <w:szCs w:val="14"/>
                <w:b w:val="1"/>
                <w:bCs w:val="1"/>
                <w:color w:val="auto"/>
              </w:rPr>
              <w:t>Presented in the</w:t>
            </w:r>
          </w:p>
        </w:tc>
        <w:tc>
          <w:tcPr>
            <w:tcW w:w="100" w:type="dxa"/>
            <w:vAlign w:val="bottom"/>
          </w:tcPr>
          <w:p>
            <w:pPr>
              <w:spacing w:after="0"/>
              <w:rPr>
                <w:sz w:val="12"/>
                <w:szCs w:val="12"/>
                <w:color w:val="auto"/>
              </w:rPr>
            </w:pPr>
          </w:p>
        </w:tc>
        <w:tc>
          <w:tcPr>
            <w:tcW w:w="1320" w:type="dxa"/>
            <w:vAlign w:val="bottom"/>
            <w:gridSpan w:val="2"/>
          </w:tcPr>
          <w:p>
            <w:pPr>
              <w:jc w:val="center"/>
              <w:ind w:right="220"/>
              <w:spacing w:after="0" w:line="144" w:lineRule="exact"/>
              <w:rPr>
                <w:sz w:val="20"/>
                <w:szCs w:val="20"/>
                <w:color w:val="auto"/>
              </w:rPr>
            </w:pPr>
            <w:r>
              <w:rPr>
                <w:rFonts w:ascii="Times New Roman" w:cs="Times New Roman" w:eastAsia="Times New Roman" w:hAnsi="Times New Roman"/>
                <w:sz w:val="14"/>
                <w:szCs w:val="14"/>
                <w:b w:val="1"/>
                <w:bCs w:val="1"/>
                <w:color w:val="auto"/>
              </w:rPr>
              <w:t>Balance Sheet</w:t>
            </w: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40" w:type="dxa"/>
            <w:vAlign w:val="bottom"/>
          </w:tcPr>
          <w:p>
            <w:pPr>
              <w:spacing w:after="0"/>
              <w:rPr>
                <w:sz w:val="12"/>
                <w:szCs w:val="12"/>
                <w:color w:val="auto"/>
              </w:rPr>
            </w:pPr>
          </w:p>
        </w:tc>
        <w:tc>
          <w:tcPr>
            <w:tcW w:w="126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w w:val="99"/>
              </w:rPr>
              <w:t>Consolidated</w:t>
            </w:r>
          </w:p>
        </w:tc>
        <w:tc>
          <w:tcPr>
            <w:tcW w:w="120" w:type="dxa"/>
            <w:vAlign w:val="bottom"/>
          </w:tcPr>
          <w:p>
            <w:pPr>
              <w:spacing w:after="0"/>
              <w:rPr>
                <w:sz w:val="12"/>
                <w:szCs w:val="12"/>
                <w:color w:val="auto"/>
              </w:rPr>
            </w:pPr>
          </w:p>
        </w:tc>
        <w:tc>
          <w:tcPr>
            <w:tcW w:w="130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w w:val="99"/>
              </w:rPr>
              <w:t>Subject to Netting</w:t>
            </w:r>
          </w:p>
        </w:tc>
        <w:tc>
          <w:tcPr>
            <w:tcW w:w="180" w:type="dxa"/>
            <w:vAlign w:val="bottom"/>
          </w:tcPr>
          <w:p>
            <w:pPr>
              <w:spacing w:after="0"/>
              <w:rPr>
                <w:sz w:val="12"/>
                <w:szCs w:val="12"/>
                <w:color w:val="auto"/>
              </w:rPr>
            </w:pPr>
          </w:p>
        </w:tc>
        <w:tc>
          <w:tcPr>
            <w:tcW w:w="1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140" w:type="dxa"/>
            <w:vAlign w:val="bottom"/>
          </w:tcPr>
          <w:p>
            <w:pPr>
              <w:spacing w:after="0"/>
              <w:rPr>
                <w:sz w:val="12"/>
                <w:szCs w:val="12"/>
                <w:color w:val="auto"/>
              </w:rPr>
            </w:pPr>
          </w:p>
        </w:tc>
        <w:tc>
          <w:tcPr>
            <w:tcW w:w="128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w w:val="99"/>
              </w:rPr>
              <w:t>Consolidated</w:t>
            </w:r>
          </w:p>
        </w:tc>
        <w:tc>
          <w:tcPr>
            <w:tcW w:w="100" w:type="dxa"/>
            <w:vAlign w:val="bottom"/>
          </w:tcPr>
          <w:p>
            <w:pPr>
              <w:spacing w:after="0"/>
              <w:rPr>
                <w:sz w:val="12"/>
                <w:szCs w:val="12"/>
                <w:color w:val="auto"/>
              </w:rPr>
            </w:pPr>
          </w:p>
        </w:tc>
        <w:tc>
          <w:tcPr>
            <w:tcW w:w="132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Subject to Netting</w:t>
            </w:r>
          </w:p>
        </w:tc>
        <w:tc>
          <w:tcPr>
            <w:tcW w:w="180" w:type="dxa"/>
            <w:vAlign w:val="bottom"/>
          </w:tcPr>
          <w:p>
            <w:pPr>
              <w:spacing w:after="0"/>
              <w:rPr>
                <w:sz w:val="12"/>
                <w:szCs w:val="12"/>
                <w:color w:val="auto"/>
              </w:rPr>
            </w:pPr>
          </w:p>
        </w:tc>
        <w:tc>
          <w:tcPr>
            <w:tcW w:w="1100" w:type="dxa"/>
            <w:vAlign w:val="bottom"/>
            <w:vMerge w:val="restart"/>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92"/>
        </w:trPr>
        <w:tc>
          <w:tcPr>
            <w:tcW w:w="28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20" w:type="dxa"/>
            <w:vAlign w:val="bottom"/>
          </w:tcPr>
          <w:p>
            <w:pPr>
              <w:spacing w:after="0"/>
              <w:rPr>
                <w:sz w:val="16"/>
                <w:szCs w:val="16"/>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18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0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1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 derivatives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b w:val="1"/>
                <w:bCs w:val="1"/>
                <w:color w:val="auto"/>
              </w:rPr>
              <w:t>22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3"/>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liability derivatives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8"/>
                <w:szCs w:val="18"/>
                <w:b w:val="1"/>
                <w:bCs w:val="1"/>
                <w:color w:val="auto"/>
              </w:rPr>
              <w:t>19</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bl>
    <w:p>
      <w:pPr>
        <w:spacing w:after="0" w:line="14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are required to maintain cash margin accounts in connection with funding the settlement of open positions for exchange-traded commodity derivative instruments. Cash margin asset balances of $11 million at October 30, 2022, and $8 million at July 31, 2022, were included in Other current assets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15" w:name="page16"/>
    <w:bookmarkEnd w:id="15"/>
    <w:p>
      <w:pPr>
        <w:jc w:val="both"/>
        <w:ind w:firstLine="318"/>
        <w:spacing w:after="0" w:line="265" w:lineRule="auto"/>
        <w:rPr>
          <w:sz w:val="20"/>
          <w:szCs w:val="20"/>
          <w:color w:val="auto"/>
        </w:rPr>
      </w:pPr>
      <w:r>
        <w:rPr>
          <w:rFonts w:ascii="Times New Roman" w:cs="Times New Roman" w:eastAsia="Times New Roman" w:hAnsi="Times New Roman"/>
          <w:sz w:val="18"/>
          <w:szCs w:val="18"/>
          <w:color w:val="auto"/>
        </w:rPr>
        <w:t>The following table shows the effect of our derivative instruments designated as cash-flow hedges for the three-month periods ended October 30, 2022, and October 31, 2021, in other comprehensive income (loss) (OCI) and the Consolidated Statements of Earnings:</w:t>
      </w:r>
    </w:p>
    <w:tbl>
      <w:tblPr>
        <w:tblLayout w:type="fixed"/>
        <w:tblInd w:w="10" w:type="dxa"/>
        <w:tblCellMar>
          <w:top w:w="0" w:type="dxa"/>
          <w:left w:w="0" w:type="dxa"/>
          <w:bottom w:w="0" w:type="dxa"/>
          <w:right w:w="0" w:type="dxa"/>
        </w:tblCellMar>
      </w:tblPr>
      <w:tr>
        <w:trPr>
          <w:trHeight w:val="144"/>
        </w:trPr>
        <w:tc>
          <w:tcPr>
            <w:tcW w:w="16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980" w:type="dxa"/>
            <w:vAlign w:val="bottom"/>
            <w:gridSpan w:val="4"/>
          </w:tcPr>
          <w:p>
            <w:pPr>
              <w:jc w:val="right"/>
              <w:ind w:right="794"/>
              <w:spacing w:after="0" w:line="145" w:lineRule="exact"/>
              <w:rPr>
                <w:sz w:val="20"/>
                <w:szCs w:val="20"/>
                <w:color w:val="auto"/>
              </w:rPr>
            </w:pPr>
            <w:r>
              <w:rPr>
                <w:rFonts w:ascii="Times New Roman" w:cs="Times New Roman" w:eastAsia="Times New Roman" w:hAnsi="Times New Roman"/>
                <w:sz w:val="14"/>
                <w:szCs w:val="14"/>
                <w:b w:val="1"/>
                <w:bCs w:val="1"/>
                <w:color w:val="auto"/>
              </w:rPr>
              <w:t>Total Cash-Flow Hedge</w:t>
            </w:r>
          </w:p>
        </w:tc>
      </w:tr>
      <w:tr>
        <w:trPr>
          <w:trHeight w:val="192"/>
        </w:trPr>
        <w:tc>
          <w:tcPr>
            <w:tcW w:w="16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ind w:right="1114"/>
              <w:spacing w:after="0"/>
              <w:rPr>
                <w:sz w:val="20"/>
                <w:szCs w:val="20"/>
                <w:color w:val="auto"/>
              </w:rPr>
            </w:pPr>
            <w:r>
              <w:rPr>
                <w:rFonts w:ascii="Times New Roman" w:cs="Times New Roman" w:eastAsia="Times New Roman" w:hAnsi="Times New Roman"/>
                <w:sz w:val="14"/>
                <w:szCs w:val="14"/>
                <w:b w:val="1"/>
                <w:bCs w:val="1"/>
                <w:color w:val="auto"/>
              </w:rPr>
              <w:t>OCI Activity</w:t>
            </w:r>
          </w:p>
        </w:tc>
      </w:tr>
      <w:tr>
        <w:trPr>
          <w:trHeight w:val="192"/>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October 30, 2022</w:t>
            </w:r>
          </w:p>
        </w:tc>
        <w:tc>
          <w:tcPr>
            <w:tcW w:w="180" w:type="dxa"/>
            <w:vAlign w:val="bottom"/>
          </w:tcPr>
          <w:p>
            <w:pPr>
              <w:spacing w:after="0"/>
              <w:rPr>
                <w:sz w:val="16"/>
                <w:szCs w:val="16"/>
                <w:color w:val="auto"/>
              </w:rPr>
            </w:pPr>
          </w:p>
        </w:tc>
        <w:tc>
          <w:tcPr>
            <w:tcW w:w="136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October 31, 2021</w:t>
            </w:r>
          </w:p>
        </w:tc>
      </w:tr>
      <w:tr>
        <w:trPr>
          <w:trHeight w:val="172"/>
        </w:trPr>
        <w:tc>
          <w:tcPr>
            <w:tcW w:w="5480" w:type="dxa"/>
            <w:vAlign w:val="bottom"/>
            <w:tcBorders>
              <w:top w:val="single" w:sz="8" w:color="CCEEFF"/>
              <w:left w:val="single" w:sz="8" w:color="CCEEFF"/>
            </w:tcBorders>
            <w:gridSpan w:val="2"/>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b w:val="1"/>
                <w:bCs w:val="1"/>
                <w:color w:val="auto"/>
              </w:rPr>
              <w:t>Three Months Ended</w:t>
            </w:r>
          </w:p>
        </w:tc>
        <w:tc>
          <w:tcPr>
            <w:tcW w:w="160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spacing w:after="0"/>
              <w:rPr>
                <w:sz w:val="14"/>
                <w:szCs w:val="14"/>
                <w:color w:val="auto"/>
              </w:rPr>
            </w:pPr>
          </w:p>
        </w:tc>
      </w:tr>
      <w:tr>
        <w:trPr>
          <w:trHeight w:val="40"/>
        </w:trPr>
        <w:tc>
          <w:tcPr>
            <w:tcW w:w="1620" w:type="dxa"/>
            <w:vAlign w:val="bottom"/>
            <w:tcBorders>
              <w:left w:val="single" w:sz="8" w:color="CCEEFF"/>
            </w:tcBorders>
            <w:shd w:val="clear" w:color="auto" w:fill="000000"/>
          </w:tcPr>
          <w:p>
            <w:pPr>
              <w:spacing w:after="0"/>
              <w:rPr>
                <w:sz w:val="3"/>
                <w:szCs w:val="3"/>
                <w:color w:val="auto"/>
              </w:rPr>
            </w:pPr>
          </w:p>
        </w:tc>
        <w:tc>
          <w:tcPr>
            <w:tcW w:w="3860" w:type="dxa"/>
            <w:vAlign w:val="bottom"/>
            <w:shd w:val="clear" w:color="auto" w:fill="CCEEFF"/>
          </w:tcPr>
          <w:p>
            <w:pPr>
              <w:spacing w:after="0"/>
              <w:rPr>
                <w:sz w:val="3"/>
                <w:szCs w:val="3"/>
                <w:color w:val="auto"/>
              </w:rPr>
            </w:pPr>
          </w:p>
        </w:tc>
        <w:tc>
          <w:tcPr>
            <w:tcW w:w="160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360" w:type="dxa"/>
            <w:vAlign w:val="bottom"/>
            <w:shd w:val="clear" w:color="auto" w:fill="CCEEFF"/>
          </w:tcPr>
          <w:p>
            <w:pPr>
              <w:spacing w:after="0"/>
              <w:rPr>
                <w:sz w:val="3"/>
                <w:szCs w:val="3"/>
                <w:color w:val="auto"/>
              </w:rPr>
            </w:pPr>
          </w:p>
        </w:tc>
      </w:tr>
      <w:tr>
        <w:trPr>
          <w:trHeight w:val="225"/>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OCI derivative gain (loss) at beginning of quarter</w:t>
            </w:r>
          </w:p>
        </w:tc>
        <w:tc>
          <w:tcPr>
            <w:tcW w:w="27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5"/>
        </w:trPr>
        <w:tc>
          <w:tcPr>
            <w:tcW w:w="548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portion of changes in fair value recognized in OCI:</w:t>
            </w:r>
          </w:p>
        </w:tc>
        <w:tc>
          <w:tcPr>
            <w:tcW w:w="16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5"/>
        </w:trPr>
        <w:tc>
          <w:tcPr>
            <w:tcW w:w="5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Commodity contracts</w:t>
            </w:r>
          </w:p>
        </w:tc>
        <w:tc>
          <w:tcPr>
            <w:tcW w:w="1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5"/>
        </w:trPr>
        <w:tc>
          <w:tcPr>
            <w:tcW w:w="5480" w:type="dxa"/>
            <w:vAlign w:val="bottom"/>
            <w:tcBorders>
              <w:lef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16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5"/>
        </w:trPr>
        <w:tc>
          <w:tcPr>
            <w:tcW w:w="5480" w:type="dxa"/>
            <w:vAlign w:val="bottom"/>
            <w:gridSpan w:val="2"/>
          </w:tcPr>
          <w:p>
            <w:pPr>
              <w:ind w:left="20"/>
              <w:spacing w:after="0" w:line="186" w:lineRule="exact"/>
              <w:rPr>
                <w:sz w:val="20"/>
                <w:szCs w:val="20"/>
                <w:color w:val="auto"/>
              </w:rPr>
            </w:pPr>
            <w:r>
              <w:rPr>
                <w:rFonts w:ascii="Times New Roman" w:cs="Times New Roman" w:eastAsia="Times New Roman" w:hAnsi="Times New Roman"/>
                <w:sz w:val="18"/>
                <w:szCs w:val="18"/>
                <w:color w:val="auto"/>
              </w:rPr>
              <w:t>Amount of loss (gain) reclassified from OCI to earnings:</w:t>
            </w:r>
          </w:p>
        </w:tc>
        <w:tc>
          <w:tcPr>
            <w:tcW w:w="1600" w:type="dxa"/>
            <w:vAlign w:val="bottom"/>
            <w:tcBorders>
              <w:bottom w:val="single" w:sz="8" w:color="auto"/>
            </w:tcBorders>
          </w:tcPr>
          <w:p>
            <w:pPr>
              <w:spacing w:after="0" w:line="186" w:lineRule="exact"/>
              <w:rPr>
                <w:sz w:val="20"/>
                <w:szCs w:val="20"/>
                <w:color w:val="auto"/>
              </w:rPr>
            </w:pPr>
            <w:r>
              <w:rPr>
                <w:rFonts w:ascii="Times New Roman" w:cs="Times New Roman" w:eastAsia="Times New Roman" w:hAnsi="Times New Roman"/>
                <w:sz w:val="18"/>
                <w:szCs w:val="18"/>
                <w:b w:val="1"/>
                <w:bCs w:val="1"/>
                <w:color w:val="auto"/>
                <w:w w:val="97"/>
              </w:rPr>
              <w:t>Location in Earnings</w:t>
            </w:r>
          </w:p>
        </w:tc>
        <w:tc>
          <w:tcPr>
            <w:tcW w:w="1180" w:type="dxa"/>
            <w:vAlign w:val="bottom"/>
            <w:gridSpan w:val="2"/>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35"/>
        </w:trPr>
        <w:tc>
          <w:tcPr>
            <w:tcW w:w="5480" w:type="dxa"/>
            <w:vAlign w:val="bottom"/>
            <w:tcBorders>
              <w:lef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Commodity contracts</w:t>
            </w:r>
          </w:p>
        </w:tc>
        <w:tc>
          <w:tcPr>
            <w:tcW w:w="2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products sold</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5"/>
        </w:trPr>
        <w:tc>
          <w:tcPr>
            <w:tcW w:w="5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2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Cost of products sold</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4"/>
        </w:trPr>
        <w:tc>
          <w:tcPr>
            <w:tcW w:w="5480" w:type="dxa"/>
            <w:vAlign w:val="bottom"/>
            <w:tcBorders>
              <w:top w:val="single" w:sz="8" w:color="CCEEFF"/>
              <w:left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OCI derivative gain (loss) at end of quarter</w:t>
            </w:r>
          </w:p>
        </w:tc>
        <w:tc>
          <w:tcPr>
            <w:tcW w:w="160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1620" w:type="dxa"/>
            <w:vAlign w:val="bottom"/>
            <w:tcBorders>
              <w:top w:val="single" w:sz="8" w:color="CCEEFF"/>
            </w:tcBorders>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Based on current valuations, the amount expected to be reclassified from OCI into earnings within the next 12 months is a gain of $7 million.</w:t>
      </w:r>
    </w:p>
    <w:p>
      <w:pPr>
        <w:spacing w:after="0" w:line="9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following table shows the total amounts of line items presented in the Consolidated Statements of Earnings for the three-month periods ended October 30, 2022, and October 31, 2021, in which the effects of derivative instruments designated as cash-flow hedges are recorded and the total effect of hedge activity on these line items are as follows:</w:t>
      </w:r>
    </w:p>
    <w:p>
      <w:pPr>
        <w:sectPr>
          <w:pgSz w:w="11900" w:h="16838" w:orient="portrait"/>
          <w:cols w:equalWidth="0" w:num="1">
            <w:col w:w="11240"/>
          </w:cols>
          <w:pgMar w:left="320" w:top="9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Consolidated Statements of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-127635</wp:posOffset>
            </wp:positionV>
            <wp:extent cx="7134860" cy="1511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860" cy="151130"/>
                    </a:xfrm>
                    <a:prstGeom prst="rect">
                      <a:avLst/>
                    </a:prstGeom>
                    <a:noFill/>
                  </pic:spPr>
                </pic:pic>
              </a:graphicData>
            </a:graphic>
          </wp:anchor>
        </w:drawing>
      </w:r>
    </w:p>
    <w:p>
      <w:pPr>
        <w:spacing w:after="0" w:line="2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Loss (gain) on cash-flow hedges: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-127635</wp:posOffset>
            </wp:positionV>
            <wp:extent cx="7134860" cy="142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pacing w:after="0" w:line="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Amount of loss (gain) reclassified from OCI to earnings</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200" w:type="dxa"/>
            <w:vAlign w:val="bottom"/>
            <w:tcBorders>
              <w:top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October 30, 2022</w:t>
            </w:r>
          </w:p>
        </w:tc>
        <w:tc>
          <w:tcPr>
            <w:tcW w:w="11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October 31, 2021</w:t>
            </w:r>
          </w:p>
        </w:tc>
      </w:tr>
      <w:tr>
        <w:trPr>
          <w:trHeight w:val="134"/>
        </w:trPr>
        <w:tc>
          <w:tcPr>
            <w:tcW w:w="1100" w:type="dxa"/>
            <w:vAlign w:val="bottom"/>
            <w:tcBorders>
              <w:top w:val="single" w:sz="8" w:color="auto"/>
            </w:tcBorders>
            <w:gridSpan w:val="2"/>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rPr>
              <w:t>Cost of products</w:t>
            </w:r>
          </w:p>
        </w:tc>
        <w:tc>
          <w:tcPr>
            <w:tcW w:w="100" w:type="dxa"/>
            <w:vAlign w:val="bottom"/>
          </w:tcPr>
          <w:p>
            <w:pPr>
              <w:spacing w:after="0"/>
              <w:rPr>
                <w:sz w:val="11"/>
                <w:szCs w:val="11"/>
                <w:color w:val="auto"/>
              </w:rPr>
            </w:pPr>
          </w:p>
        </w:tc>
        <w:tc>
          <w:tcPr>
            <w:tcW w:w="1100" w:type="dxa"/>
            <w:vAlign w:val="bottom"/>
            <w:tcBorders>
              <w:top w:val="single" w:sz="8" w:color="auto"/>
            </w:tcBorders>
            <w:gridSpan w:val="2"/>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w w:val="99"/>
              </w:rPr>
              <w:t>Cost of products</w:t>
            </w:r>
          </w:p>
        </w:tc>
      </w:tr>
      <w:tr>
        <w:trPr>
          <w:trHeight w:val="191"/>
        </w:trPr>
        <w:tc>
          <w:tcPr>
            <w:tcW w:w="280" w:type="dxa"/>
            <w:vAlign w:val="bottom"/>
          </w:tcPr>
          <w:p>
            <w:pPr>
              <w:spacing w:after="0"/>
              <w:rPr>
                <w:sz w:val="16"/>
                <w:szCs w:val="16"/>
                <w:color w:val="auto"/>
              </w:rPr>
            </w:pPr>
          </w:p>
        </w:tc>
        <w:tc>
          <w:tcPr>
            <w:tcW w:w="9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sold</w:t>
            </w:r>
          </w:p>
        </w:tc>
        <w:tc>
          <w:tcPr>
            <w:tcW w:w="260" w:type="dxa"/>
            <w:vAlign w:val="bottom"/>
          </w:tcPr>
          <w:p>
            <w:pPr>
              <w:spacing w:after="0"/>
              <w:rPr>
                <w:sz w:val="16"/>
                <w:szCs w:val="16"/>
                <w:color w:val="auto"/>
              </w:rPr>
            </w:pPr>
          </w:p>
        </w:tc>
        <w:tc>
          <w:tcPr>
            <w:tcW w:w="84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w w:val="99"/>
              </w:rPr>
              <w:t>sold</w:t>
            </w:r>
          </w:p>
        </w:tc>
      </w:tr>
      <w:tr>
        <w:trPr>
          <w:trHeight w:val="232"/>
        </w:trPr>
        <w:tc>
          <w:tcPr>
            <w:tcW w:w="280" w:type="dxa"/>
            <w:vAlign w:val="bottom"/>
            <w:tcBorders>
              <w:top w:val="single" w:sz="8" w:color="auto"/>
            </w:tcBorders>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1,741</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8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1,514</w:t>
            </w:r>
          </w:p>
        </w:tc>
      </w:tr>
      <w:tr>
        <w:trPr>
          <w:trHeight w:val="708"/>
        </w:trPr>
        <w:tc>
          <w:tcPr>
            <w:tcW w:w="280" w:type="dxa"/>
            <w:vAlign w:val="bottom"/>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Pr>
          <w:p>
            <w:pPr>
              <w:spacing w:after="0"/>
              <w:rPr>
                <w:sz w:val="24"/>
                <w:szCs w:val="24"/>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66" w:lineRule="exact"/>
        <w:rPr>
          <w:sz w:val="20"/>
          <w:szCs w:val="20"/>
          <w:color w:val="auto"/>
        </w:rPr>
      </w:pPr>
    </w:p>
    <w:p>
      <w:pPr>
        <w:sectPr>
          <w:pgSz w:w="11900" w:h="16838" w:orient="portrait"/>
          <w:cols w:equalWidth="0" w:num="2">
            <w:col w:w="8220" w:space="720"/>
            <w:col w:w="2300"/>
          </w:cols>
          <w:pgMar w:left="320" w:top="969" w:right="339" w:bottom="1440" w:gutter="0" w:footer="0" w:header="0"/>
          <w:type w:val="continuous"/>
        </w:sectPr>
      </w:pPr>
    </w:p>
    <w:p>
      <w:pPr>
        <w:ind w:right="20" w:firstLine="318"/>
        <w:spacing w:after="0" w:line="274" w:lineRule="auto"/>
        <w:rPr>
          <w:sz w:val="20"/>
          <w:szCs w:val="20"/>
          <w:color w:val="auto"/>
        </w:rPr>
      </w:pPr>
      <w:r>
        <w:rPr>
          <w:rFonts w:ascii="Times New Roman" w:cs="Times New Roman" w:eastAsia="Times New Roman" w:hAnsi="Times New Roman"/>
          <w:sz w:val="18"/>
          <w:szCs w:val="18"/>
          <w:color w:val="auto"/>
        </w:rPr>
        <w:t>The amount excluded from effectiveness testing recognized in each line item of earnings using an amortization approach was not material in all periods presented.</w:t>
      </w:r>
    </w:p>
    <w:p>
      <w:pPr>
        <w:spacing w:after="0" w:line="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shows the effects of our derivative instruments not designated as hedges in the Consolidated Statements of Earnings: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0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20" w:type="dxa"/>
            <w:vAlign w:val="bottom"/>
            <w:gridSpan w:val="3"/>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6"/>
                <w:szCs w:val="16"/>
                <w:color w:val="auto"/>
              </w:rPr>
            </w:pPr>
          </w:p>
        </w:tc>
      </w:tr>
      <w:tr>
        <w:trPr>
          <w:trHeight w:val="24"/>
        </w:trPr>
        <w:tc>
          <w:tcPr>
            <w:tcW w:w="380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r>
      <w:tr>
        <w:trPr>
          <w:trHeight w:val="327"/>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5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Location of Loss (Gain) Recognized in Earnings</w:t>
            </w:r>
          </w:p>
        </w:tc>
        <w:tc>
          <w:tcPr>
            <w:tcW w:w="12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October 30, 2022</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31, 2021</w:t>
            </w:r>
          </w:p>
        </w:tc>
      </w:tr>
      <w:tr>
        <w:trPr>
          <w:trHeight w:val="24"/>
        </w:trPr>
        <w:tc>
          <w:tcPr>
            <w:tcW w:w="3800" w:type="dxa"/>
            <w:vAlign w:val="bottom"/>
            <w:tcBorders>
              <w:bottom w:val="single" w:sz="8" w:color="CCEEFF"/>
            </w:tcBorders>
          </w:tcPr>
          <w:p>
            <w:pPr>
              <w:spacing w:after="0"/>
              <w:rPr>
                <w:sz w:val="2"/>
                <w:szCs w:val="2"/>
                <w:color w:val="auto"/>
              </w:rPr>
            </w:pPr>
          </w:p>
        </w:tc>
        <w:tc>
          <w:tcPr>
            <w:tcW w:w="4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18"/>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8"/>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Commodity contracts</w:t>
            </w:r>
          </w:p>
        </w:tc>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5"/>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compensation contracts</w:t>
            </w:r>
          </w:p>
        </w:tc>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8"/>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loss (gain)</w:t>
            </w:r>
          </w:p>
        </w:tc>
        <w:tc>
          <w:tcPr>
            <w:tcW w:w="4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00" w:type="dxa"/>
            <w:vAlign w:val="bottom"/>
          </w:tcPr>
          <w:p>
            <w:pPr>
              <w:spacing w:after="0"/>
              <w:rPr>
                <w:sz w:val="19"/>
                <w:szCs w:val="19"/>
                <w:color w:val="auto"/>
              </w:rPr>
            </w:pPr>
          </w:p>
        </w:tc>
        <w:tc>
          <w:tcPr>
            <w:tcW w:w="74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0"/>
        </w:trPr>
        <w:tc>
          <w:tcPr>
            <w:tcW w:w="38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Fair Value Measurements</w:t>
      </w:r>
    </w:p>
    <w:p>
      <w:pPr>
        <w:spacing w:after="0" w:line="1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categorize financial assets and liabilities based on the following fair value hierarchy:</w:t>
      </w:r>
    </w:p>
    <w:p>
      <w:pPr>
        <w:spacing w:after="0" w:line="98" w:lineRule="exact"/>
        <w:rPr>
          <w:sz w:val="20"/>
          <w:szCs w:val="20"/>
          <w:color w:val="auto"/>
        </w:rPr>
      </w:pPr>
    </w:p>
    <w:p>
      <w:pPr>
        <w:ind w:left="640" w:hanging="316"/>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Observable inputs that reflect quoted prices (unadjusted) for identical assets or liabilities in active markets.</w:t>
      </w:r>
    </w:p>
    <w:p>
      <w:pPr>
        <w:spacing w:after="0" w:line="8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other than quoted prices included in Level 1 that are observable for the asset or liability through corroboration with observable market data.</w:t>
      </w:r>
    </w:p>
    <w:p>
      <w:pPr>
        <w:spacing w:after="0" w:line="4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which are valued based on our estimates of assumptions that market participants would use in pricing the asset or liability.</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type w:val="continuous"/>
        </w:sectPr>
      </w:pPr>
    </w:p>
    <w:bookmarkStart w:id="16" w:name="page17"/>
    <w:bookmarkEnd w:id="16"/>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Fair value is defined as the exit price, or the amount that would be received to sell an asset or paid to transfer a liability in an orderly transaction between market participants as of the measurement date. When available, we use unadjusted quoted market prices to measure the fair value and classify such items as Level 1. If quoted market prices are not available, we base fair value upon internally developed models that use current market-based or independently sourced market parameters such as interest rates and currency rates. Included in the fair value of derivative instruments is an adjustment for credit and nonperformance risk.</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Recurring Basis</w:t>
      </w:r>
    </w:p>
    <w:p>
      <w:pPr>
        <w:spacing w:after="0" w:line="102" w:lineRule="exact"/>
        <w:rPr>
          <w:sz w:val="20"/>
          <w:szCs w:val="20"/>
          <w:color w:val="auto"/>
        </w:rPr>
      </w:pPr>
    </w:p>
    <w:p>
      <w:pPr>
        <w:ind w:right="280"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tables present our financial assets and liabilities that are measured at fair value on a recurring basis as of October 30, 2022, and July 31, 2022, consistent with the fair value hierarchy:</w:t>
      </w:r>
    </w:p>
    <w:p>
      <w:pPr>
        <w:spacing w:after="0" w:line="9"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20" w:type="dxa"/>
            <w:vAlign w:val="bottom"/>
            <w:gridSpan w:val="7"/>
          </w:tcPr>
          <w:p>
            <w:pPr>
              <w:jc w:val="center"/>
              <w:ind w:left="517"/>
              <w:spacing w:after="0"/>
              <w:rPr>
                <w:sz w:val="20"/>
                <w:szCs w:val="20"/>
                <w:color w:val="auto"/>
              </w:rPr>
            </w:pPr>
            <w:r>
              <w:rPr>
                <w:rFonts w:ascii="Times New Roman" w:cs="Times New Roman" w:eastAsia="Times New Roman" w:hAnsi="Times New Roman"/>
                <w:sz w:val="14"/>
                <w:szCs w:val="14"/>
                <w:b w:val="1"/>
                <w:bCs w:val="1"/>
                <w:color w:val="auto"/>
                <w:w w:val="99"/>
              </w:rPr>
              <w:t>Fair Value Measurements at</w:t>
            </w: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40" w:type="dxa"/>
            <w:vAlign w:val="bottom"/>
            <w:gridSpan w:val="6"/>
          </w:tcPr>
          <w:p>
            <w:pPr>
              <w:jc w:val="center"/>
              <w:ind w:left="537"/>
              <w:spacing w:after="0"/>
              <w:rPr>
                <w:sz w:val="20"/>
                <w:szCs w:val="20"/>
                <w:color w:val="auto"/>
              </w:rPr>
            </w:pPr>
            <w:r>
              <w:rPr>
                <w:rFonts w:ascii="Times New Roman" w:cs="Times New Roman" w:eastAsia="Times New Roman" w:hAnsi="Times New Roman"/>
                <w:sz w:val="14"/>
                <w:szCs w:val="14"/>
                <w:b w:val="1"/>
                <w:bCs w:val="1"/>
                <w:color w:val="auto"/>
                <w:w w:val="99"/>
              </w:rPr>
              <w:t>Fair Value Measurements at</w:t>
            </w: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20" w:type="dxa"/>
            <w:vAlign w:val="bottom"/>
            <w:gridSpan w:val="6"/>
          </w:tcPr>
          <w:p>
            <w:pPr>
              <w:jc w:val="center"/>
              <w:ind w:right="92"/>
              <w:spacing w:after="0" w:line="144" w:lineRule="exact"/>
              <w:rPr>
                <w:sz w:val="20"/>
                <w:szCs w:val="20"/>
                <w:color w:val="auto"/>
              </w:rPr>
            </w:pPr>
            <w:r>
              <w:rPr>
                <w:rFonts w:ascii="Times New Roman" w:cs="Times New Roman" w:eastAsia="Times New Roman" w:hAnsi="Times New Roman"/>
                <w:sz w:val="14"/>
                <w:szCs w:val="14"/>
                <w:b w:val="1"/>
                <w:bCs w:val="1"/>
                <w:color w:val="auto"/>
              </w:rPr>
              <w:t>October 30, 2022 Using</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00" w:type="dxa"/>
            <w:vAlign w:val="bottom"/>
            <w:gridSpan w:val="4"/>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July 31, 2022 Using</w:t>
            </w: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4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130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 Hierarchy</w:t>
            </w:r>
          </w:p>
        </w:tc>
        <w:tc>
          <w:tcPr>
            <w:tcW w:w="2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00" w:type="dxa"/>
            <w:vAlign w:val="bottom"/>
            <w:gridSpan w:val="4"/>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Fair Value Hierarchy</w:t>
            </w: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2"/>
          </w:tcPr>
          <w:p>
            <w:pPr>
              <w:jc w:val="center"/>
              <w:ind w:right="260"/>
              <w:spacing w:after="0" w:line="124" w:lineRule="exact"/>
              <w:rPr>
                <w:sz w:val="20"/>
                <w:szCs w:val="20"/>
                <w:color w:val="auto"/>
              </w:rPr>
            </w:pPr>
            <w:r>
              <w:rPr>
                <w:rFonts w:ascii="Times New Roman" w:cs="Times New Roman" w:eastAsia="Times New Roman" w:hAnsi="Times New Roman"/>
                <w:sz w:val="14"/>
                <w:szCs w:val="14"/>
                <w:b w:val="1"/>
                <w:bCs w:val="1"/>
                <w:color w:val="auto"/>
              </w:rPr>
              <w:t>as of</w:t>
            </w:r>
          </w:p>
        </w:tc>
        <w:tc>
          <w:tcPr>
            <w:tcW w:w="2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4"/>
            <w:vMerge w:val="continue"/>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tcPr>
          <w:p>
            <w:pPr>
              <w:jc w:val="center"/>
              <w:ind w:right="240"/>
              <w:spacing w:after="0" w:line="124" w:lineRule="exact"/>
              <w:rPr>
                <w:sz w:val="20"/>
                <w:szCs w:val="20"/>
                <w:color w:val="auto"/>
              </w:rPr>
            </w:pPr>
            <w:r>
              <w:rPr>
                <w:rFonts w:ascii="Times New Roman" w:cs="Times New Roman" w:eastAsia="Times New Roman" w:hAnsi="Times New Roman"/>
                <w:sz w:val="14"/>
                <w:szCs w:val="14"/>
                <w:b w:val="1"/>
                <w:bCs w:val="1"/>
                <w:color w:val="auto"/>
              </w:rPr>
              <w:t>as of</w:t>
            </w:r>
          </w:p>
        </w:tc>
        <w:tc>
          <w:tcPr>
            <w:tcW w:w="2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4"/>
            <w:vMerge w:val="continue"/>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18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October 30, 2022</w:t>
            </w:r>
          </w:p>
        </w:tc>
        <w:tc>
          <w:tcPr>
            <w:tcW w:w="220" w:type="dxa"/>
            <w:vAlign w:val="bottom"/>
          </w:tcPr>
          <w:p>
            <w:pPr>
              <w:spacing w:after="0"/>
              <w:rPr>
                <w:sz w:val="16"/>
                <w:szCs w:val="16"/>
                <w:color w:val="auto"/>
              </w:rPr>
            </w:pPr>
          </w:p>
        </w:tc>
        <w:tc>
          <w:tcPr>
            <w:tcW w:w="80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6"/>
                <w:szCs w:val="16"/>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July 31, 2022</w:t>
            </w:r>
          </w:p>
        </w:tc>
        <w:tc>
          <w:tcPr>
            <w:tcW w:w="200" w:type="dxa"/>
            <w:vAlign w:val="bottom"/>
          </w:tcPr>
          <w:p>
            <w:pPr>
              <w:spacing w:after="0"/>
              <w:rPr>
                <w:sz w:val="16"/>
                <w:szCs w:val="16"/>
                <w:color w:val="auto"/>
              </w:rPr>
            </w:pPr>
          </w:p>
        </w:tc>
        <w:tc>
          <w:tcPr>
            <w:tcW w:w="88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6"/>
                <w:szCs w:val="16"/>
                <w:color w:val="auto"/>
              </w:rPr>
            </w:pPr>
          </w:p>
        </w:tc>
        <w:tc>
          <w:tcPr>
            <w:tcW w:w="8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72"/>
        </w:trPr>
        <w:tc>
          <w:tcPr>
            <w:tcW w:w="1820" w:type="dxa"/>
            <w:vAlign w:val="bottom"/>
            <w:tcBorders>
              <w:top w:val="single" w:sz="8" w:color="CCEEFF"/>
              <w:left w:val="single" w:sz="8" w:color="CCEEFF"/>
            </w:tcBorders>
            <w:gridSpan w:val="3"/>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Assets</w:t>
            </w:r>
          </w:p>
        </w:tc>
        <w:tc>
          <w:tcPr>
            <w:tcW w:w="16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480" w:type="dxa"/>
            <w:vAlign w:val="bottom"/>
            <w:tcBorders>
              <w:left w:val="single" w:sz="8" w:color="CCEEFF"/>
            </w:tcBorders>
            <w:shd w:val="clear" w:color="auto" w:fill="000000"/>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2"/>
        </w:trPr>
        <w:tc>
          <w:tcPr>
            <w:tcW w:w="1820" w:type="dxa"/>
            <w:vAlign w:val="bottom"/>
            <w:gridSpan w:val="3"/>
          </w:tcPr>
          <w:p>
            <w:pPr>
              <w:ind w:left="140"/>
              <w:spacing w:after="0" w:line="172" w:lineRule="exact"/>
              <w:rPr>
                <w:sz w:val="20"/>
                <w:szCs w:val="20"/>
                <w:color w:val="auto"/>
              </w:rPr>
            </w:pPr>
            <w:r>
              <w:rPr>
                <w:rFonts w:ascii="Times New Roman" w:cs="Times New Roman" w:eastAsia="Times New Roman" w:hAnsi="Times New Roman"/>
                <w:sz w:val="18"/>
                <w:szCs w:val="18"/>
                <w:color w:val="auto"/>
              </w:rPr>
              <w:t>Foreign exchange</w:t>
            </w: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100" w:type="dxa"/>
            <w:vAlign w:val="bottom"/>
          </w:tcPr>
          <w:p>
            <w:pPr>
              <w:spacing w:after="0"/>
              <w:rPr>
                <w:sz w:val="14"/>
                <w:szCs w:val="14"/>
                <w:color w:val="auto"/>
              </w:rPr>
            </w:pPr>
          </w:p>
        </w:tc>
        <w:tc>
          <w:tcPr>
            <w:tcW w:w="22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gridSpan w:val="3"/>
            <w:vMerge w:val="restart"/>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100" w:type="dxa"/>
            <w:vAlign w:val="bottom"/>
          </w:tcPr>
          <w:p>
            <w:pPr>
              <w:spacing w:after="0"/>
              <w:rPr>
                <w:sz w:val="14"/>
                <w:szCs w:val="14"/>
                <w:color w:val="auto"/>
              </w:rPr>
            </w:pPr>
          </w:p>
        </w:tc>
        <w:tc>
          <w:tcPr>
            <w:tcW w:w="260" w:type="dxa"/>
            <w:vAlign w:val="bottom"/>
            <w:vMerge w:val="restart"/>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1820" w:type="dxa"/>
            <w:vAlign w:val="bottom"/>
            <w:gridSpan w:val="3"/>
          </w:tcPr>
          <w:p>
            <w:pPr>
              <w:ind w:left="140"/>
              <w:spacing w:after="0" w:line="239" w:lineRule="exact"/>
              <w:rPr>
                <w:sz w:val="20"/>
                <w:szCs w:val="20"/>
                <w:color w:val="auto"/>
              </w:rPr>
            </w:pPr>
            <w:r>
              <w:rPr>
                <w:rFonts w:ascii="Times New Roman" w:cs="Times New Roman" w:eastAsia="Times New Roman" w:hAnsi="Times New Roman"/>
                <w:sz w:val="18"/>
                <w:szCs w:val="18"/>
                <w:color w:val="auto"/>
              </w:rPr>
              <w:t>forward contracts</w:t>
            </w:r>
            <w:r>
              <w:rPr>
                <w:rFonts w:ascii="Times New Roman" w:cs="Times New Roman" w:eastAsia="Times New Roman" w:hAnsi="Times New Roman"/>
                <w:sz w:val="22"/>
                <w:szCs w:val="22"/>
                <w:color w:val="auto"/>
                <w:vertAlign w:val="superscript"/>
              </w:rPr>
              <w:t>(1)</w:t>
            </w:r>
          </w:p>
        </w:tc>
        <w:tc>
          <w:tcPr>
            <w:tcW w:w="160" w:type="dxa"/>
            <w:vAlign w:val="bottom"/>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vMerge w:val="continue"/>
          </w:tcPr>
          <w:p>
            <w:pPr>
              <w:spacing w:after="0"/>
              <w:rPr>
                <w:sz w:val="20"/>
                <w:szCs w:val="20"/>
                <w:color w:val="auto"/>
              </w:rPr>
            </w:pPr>
          </w:p>
        </w:tc>
        <w:tc>
          <w:tcPr>
            <w:tcW w:w="800" w:type="dxa"/>
            <w:vAlign w:val="bottom"/>
            <w:vMerge w:val="continue"/>
          </w:tcPr>
          <w:p>
            <w:pPr>
              <w:spacing w:after="0"/>
              <w:rPr>
                <w:sz w:val="20"/>
                <w:szCs w:val="20"/>
                <w:color w:val="auto"/>
              </w:rPr>
            </w:pPr>
          </w:p>
        </w:tc>
        <w:tc>
          <w:tcPr>
            <w:tcW w:w="380" w:type="dxa"/>
            <w:vAlign w:val="bottom"/>
            <w:gridSpan w:val="3"/>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vMerge w:val="continue"/>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0"/>
                <w:szCs w:val="20"/>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0"/>
                <w:szCs w:val="20"/>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2"/>
        </w:trPr>
        <w:tc>
          <w:tcPr>
            <w:tcW w:w="1820" w:type="dxa"/>
            <w:vAlign w:val="bottom"/>
            <w:tcBorders>
              <w:left w:val="single" w:sz="8" w:color="CCEEFF"/>
            </w:tcBorders>
            <w:gridSpan w:val="3"/>
            <w:shd w:val="clear" w:color="auto" w:fill="CCEEFF"/>
          </w:tcPr>
          <w:p>
            <w:pPr>
              <w:ind w:left="140"/>
              <w:spacing w:after="0" w:line="172" w:lineRule="exact"/>
              <w:rPr>
                <w:sz w:val="20"/>
                <w:szCs w:val="20"/>
                <w:color w:val="auto"/>
              </w:rPr>
            </w:pPr>
            <w:r>
              <w:rPr>
                <w:rFonts w:ascii="Times New Roman" w:cs="Times New Roman" w:eastAsia="Times New Roman" w:hAnsi="Times New Roman"/>
                <w:sz w:val="18"/>
                <w:szCs w:val="18"/>
                <w:color w:val="auto"/>
              </w:rPr>
              <w:t>Commodity derivative</w:t>
            </w:r>
          </w:p>
        </w:tc>
        <w:tc>
          <w:tcPr>
            <w:tcW w:w="16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1820" w:type="dxa"/>
            <w:vAlign w:val="bottom"/>
            <w:tcBorders>
              <w:left w:val="single" w:sz="8" w:color="CCEEFF"/>
            </w:tcBorders>
            <w:gridSpan w:val="3"/>
            <w:shd w:val="clear" w:color="auto" w:fill="CCEEFF"/>
          </w:tcPr>
          <w:p>
            <w:pPr>
              <w:ind w:left="140"/>
              <w:spacing w:after="0" w:line="239" w:lineRule="exact"/>
              <w:rPr>
                <w:sz w:val="20"/>
                <w:szCs w:val="20"/>
                <w:color w:val="auto"/>
              </w:rPr>
            </w:pPr>
            <w:r>
              <w:rPr>
                <w:rFonts w:ascii="Times New Roman" w:cs="Times New Roman" w:eastAsia="Times New Roman" w:hAnsi="Times New Roman"/>
                <w:sz w:val="18"/>
                <w:szCs w:val="18"/>
                <w:color w:val="auto"/>
              </w:rPr>
              <w:t>contracts</w:t>
            </w:r>
            <w:r>
              <w:rPr>
                <w:rFonts w:ascii="Times New Roman" w:cs="Times New Roman" w:eastAsia="Times New Roman" w:hAnsi="Times New Roman"/>
                <w:sz w:val="22"/>
                <w:szCs w:val="22"/>
                <w:color w:val="auto"/>
                <w:vertAlign w:val="superscript"/>
              </w:rPr>
              <w:t>(2)</w:t>
            </w:r>
          </w:p>
        </w:tc>
        <w:tc>
          <w:tcPr>
            <w:tcW w:w="160" w:type="dxa"/>
            <w:vAlign w:val="bottom"/>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vMerge w:val="continue"/>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72"/>
        </w:trPr>
        <w:tc>
          <w:tcPr>
            <w:tcW w:w="1820" w:type="dxa"/>
            <w:vAlign w:val="bottom"/>
            <w:gridSpan w:val="3"/>
          </w:tcPr>
          <w:p>
            <w:pPr>
              <w:ind w:left="140"/>
              <w:spacing w:after="0" w:line="172" w:lineRule="exact"/>
              <w:rPr>
                <w:sz w:val="20"/>
                <w:szCs w:val="20"/>
                <w:color w:val="auto"/>
              </w:rPr>
            </w:pPr>
            <w:r>
              <w:rPr>
                <w:rFonts w:ascii="Times New Roman" w:cs="Times New Roman" w:eastAsia="Times New Roman" w:hAnsi="Times New Roman"/>
                <w:sz w:val="18"/>
                <w:szCs w:val="18"/>
                <w:color w:val="auto"/>
                <w:w w:val="98"/>
              </w:rPr>
              <w:t>Deferred compensation</w:t>
            </w:r>
          </w:p>
        </w:tc>
        <w:tc>
          <w:tcPr>
            <w:tcW w:w="1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1820" w:type="dxa"/>
            <w:vAlign w:val="bottom"/>
            <w:gridSpan w:val="3"/>
          </w:tcPr>
          <w:p>
            <w:pPr>
              <w:ind w:left="140"/>
              <w:spacing w:after="0" w:line="239" w:lineRule="exact"/>
              <w:rPr>
                <w:sz w:val="20"/>
                <w:szCs w:val="20"/>
                <w:color w:val="auto"/>
              </w:rPr>
            </w:pPr>
            <w:r>
              <w:rPr>
                <w:rFonts w:ascii="Times New Roman" w:cs="Times New Roman" w:eastAsia="Times New Roman" w:hAnsi="Times New Roman"/>
                <w:sz w:val="18"/>
                <w:szCs w:val="18"/>
                <w:color w:val="auto"/>
              </w:rPr>
              <w:t>derivative contracts</w:t>
            </w:r>
            <w:r>
              <w:rPr>
                <w:rFonts w:ascii="Times New Roman" w:cs="Times New Roman" w:eastAsia="Times New Roman" w:hAnsi="Times New Roman"/>
                <w:sz w:val="22"/>
                <w:szCs w:val="22"/>
                <w:color w:val="auto"/>
                <w:vertAlign w:val="superscript"/>
              </w:rPr>
              <w:t>(3)</w:t>
            </w:r>
          </w:p>
        </w:tc>
        <w:tc>
          <w:tcPr>
            <w:tcW w:w="16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2"/>
        </w:trPr>
        <w:tc>
          <w:tcPr>
            <w:tcW w:w="1820" w:type="dxa"/>
            <w:vAlign w:val="bottom"/>
            <w:tcBorders>
              <w:left w:val="single" w:sz="8" w:color="CCEEFF"/>
            </w:tcBorders>
            <w:gridSpan w:val="3"/>
            <w:shd w:val="clear" w:color="auto" w:fill="CCEEFF"/>
          </w:tcPr>
          <w:p>
            <w:pPr>
              <w:ind w:left="140"/>
              <w:spacing w:after="0" w:line="172" w:lineRule="exact"/>
              <w:rPr>
                <w:sz w:val="20"/>
                <w:szCs w:val="20"/>
                <w:color w:val="auto"/>
              </w:rPr>
            </w:pPr>
            <w:r>
              <w:rPr>
                <w:rFonts w:ascii="Times New Roman" w:cs="Times New Roman" w:eastAsia="Times New Roman" w:hAnsi="Times New Roman"/>
                <w:sz w:val="18"/>
                <w:szCs w:val="18"/>
                <w:color w:val="auto"/>
                <w:w w:val="98"/>
              </w:rPr>
              <w:t>Deferred compensation</w:t>
            </w:r>
          </w:p>
        </w:tc>
        <w:tc>
          <w:tcPr>
            <w:tcW w:w="16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1820" w:type="dxa"/>
            <w:vAlign w:val="bottom"/>
            <w:tcBorders>
              <w:left w:val="single" w:sz="8" w:color="CCEEFF"/>
            </w:tcBorders>
            <w:gridSpan w:val="3"/>
            <w:shd w:val="clear" w:color="auto" w:fill="CCEEFF"/>
          </w:tcPr>
          <w:p>
            <w:pPr>
              <w:ind w:left="140"/>
              <w:spacing w:after="0" w:line="239" w:lineRule="exact"/>
              <w:rPr>
                <w:sz w:val="20"/>
                <w:szCs w:val="20"/>
                <w:color w:val="auto"/>
              </w:rPr>
            </w:pPr>
            <w:r>
              <w:rPr>
                <w:rFonts w:ascii="Times New Roman" w:cs="Times New Roman" w:eastAsia="Times New Roman" w:hAnsi="Times New Roman"/>
                <w:sz w:val="18"/>
                <w:szCs w:val="18"/>
                <w:color w:val="auto"/>
              </w:rPr>
              <w:t>investments</w:t>
            </w:r>
            <w:r>
              <w:rPr>
                <w:rFonts w:ascii="Times New Roman" w:cs="Times New Roman" w:eastAsia="Times New Roman" w:hAnsi="Times New Roman"/>
                <w:sz w:val="22"/>
                <w:szCs w:val="22"/>
                <w:color w:val="auto"/>
                <w:vertAlign w:val="superscript"/>
              </w:rPr>
              <w:t>(4)</w:t>
            </w:r>
          </w:p>
        </w:tc>
        <w:tc>
          <w:tcPr>
            <w:tcW w:w="160" w:type="dxa"/>
            <w:vAlign w:val="bottom"/>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vMerge w:val="continue"/>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1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6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20" w:type="dxa"/>
            <w:vAlign w:val="bottom"/>
            <w:gridSpan w:val="7"/>
          </w:tcPr>
          <w:p>
            <w:pPr>
              <w:jc w:val="center"/>
              <w:ind w:left="517"/>
              <w:spacing w:after="0"/>
              <w:rPr>
                <w:sz w:val="20"/>
                <w:szCs w:val="20"/>
                <w:color w:val="auto"/>
              </w:rPr>
            </w:pPr>
            <w:r>
              <w:rPr>
                <w:rFonts w:ascii="Times New Roman" w:cs="Times New Roman" w:eastAsia="Times New Roman" w:hAnsi="Times New Roman"/>
                <w:sz w:val="14"/>
                <w:szCs w:val="14"/>
                <w:b w:val="1"/>
                <w:bCs w:val="1"/>
                <w:color w:val="auto"/>
                <w:w w:val="99"/>
              </w:rPr>
              <w:t>Fair Value Measurements at</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40" w:type="dxa"/>
            <w:vAlign w:val="bottom"/>
            <w:gridSpan w:val="6"/>
          </w:tcPr>
          <w:p>
            <w:pPr>
              <w:jc w:val="center"/>
              <w:ind w:left="537"/>
              <w:spacing w:after="0"/>
              <w:rPr>
                <w:sz w:val="20"/>
                <w:szCs w:val="20"/>
                <w:color w:val="auto"/>
              </w:rPr>
            </w:pPr>
            <w:r>
              <w:rPr>
                <w:rFonts w:ascii="Times New Roman" w:cs="Times New Roman" w:eastAsia="Times New Roman" w:hAnsi="Times New Roman"/>
                <w:sz w:val="14"/>
                <w:szCs w:val="14"/>
                <w:b w:val="1"/>
                <w:bCs w:val="1"/>
                <w:color w:val="auto"/>
                <w:w w:val="99"/>
              </w:rPr>
              <w:t>Fair Value Measurements at</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20" w:type="dxa"/>
            <w:vAlign w:val="bottom"/>
            <w:gridSpan w:val="6"/>
          </w:tcPr>
          <w:p>
            <w:pPr>
              <w:jc w:val="center"/>
              <w:ind w:right="92"/>
              <w:spacing w:after="0" w:line="146" w:lineRule="exact"/>
              <w:rPr>
                <w:sz w:val="20"/>
                <w:szCs w:val="20"/>
                <w:color w:val="auto"/>
              </w:rPr>
            </w:pPr>
            <w:r>
              <w:rPr>
                <w:rFonts w:ascii="Times New Roman" w:cs="Times New Roman" w:eastAsia="Times New Roman" w:hAnsi="Times New Roman"/>
                <w:sz w:val="14"/>
                <w:szCs w:val="14"/>
                <w:b w:val="1"/>
                <w:bCs w:val="1"/>
                <w:color w:val="auto"/>
              </w:rPr>
              <w:t>October 30, 2022 Using</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00" w:type="dxa"/>
            <w:vAlign w:val="bottom"/>
            <w:gridSpan w:val="4"/>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July 31, 2022 Using</w:t>
            </w: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4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130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 Hierarchy</w:t>
            </w:r>
          </w:p>
        </w:tc>
        <w:tc>
          <w:tcPr>
            <w:tcW w:w="2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00" w:type="dxa"/>
            <w:vAlign w:val="bottom"/>
            <w:gridSpan w:val="4"/>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Fair Value Hierarchy</w:t>
            </w: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2"/>
          </w:tcPr>
          <w:p>
            <w:pPr>
              <w:jc w:val="center"/>
              <w:ind w:right="260"/>
              <w:spacing w:after="0" w:line="124" w:lineRule="exact"/>
              <w:rPr>
                <w:sz w:val="20"/>
                <w:szCs w:val="20"/>
                <w:color w:val="auto"/>
              </w:rPr>
            </w:pPr>
            <w:r>
              <w:rPr>
                <w:rFonts w:ascii="Times New Roman" w:cs="Times New Roman" w:eastAsia="Times New Roman" w:hAnsi="Times New Roman"/>
                <w:sz w:val="14"/>
                <w:szCs w:val="14"/>
                <w:b w:val="1"/>
                <w:bCs w:val="1"/>
                <w:color w:val="auto"/>
              </w:rPr>
              <w:t>as of</w:t>
            </w:r>
          </w:p>
        </w:tc>
        <w:tc>
          <w:tcPr>
            <w:tcW w:w="2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4"/>
            <w:vMerge w:val="continue"/>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tcPr>
          <w:p>
            <w:pPr>
              <w:jc w:val="center"/>
              <w:ind w:right="240"/>
              <w:spacing w:after="0" w:line="124" w:lineRule="exact"/>
              <w:rPr>
                <w:sz w:val="20"/>
                <w:szCs w:val="20"/>
                <w:color w:val="auto"/>
              </w:rPr>
            </w:pPr>
            <w:r>
              <w:rPr>
                <w:rFonts w:ascii="Times New Roman" w:cs="Times New Roman" w:eastAsia="Times New Roman" w:hAnsi="Times New Roman"/>
                <w:sz w:val="14"/>
                <w:szCs w:val="14"/>
                <w:b w:val="1"/>
                <w:bCs w:val="1"/>
                <w:color w:val="auto"/>
              </w:rPr>
              <w:t>as of</w:t>
            </w:r>
          </w:p>
        </w:tc>
        <w:tc>
          <w:tcPr>
            <w:tcW w:w="2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4"/>
            <w:vMerge w:val="continue"/>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18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October 30, 2022</w:t>
            </w:r>
          </w:p>
        </w:tc>
        <w:tc>
          <w:tcPr>
            <w:tcW w:w="220" w:type="dxa"/>
            <w:vAlign w:val="bottom"/>
          </w:tcPr>
          <w:p>
            <w:pPr>
              <w:spacing w:after="0"/>
              <w:rPr>
                <w:sz w:val="16"/>
                <w:szCs w:val="16"/>
                <w:color w:val="auto"/>
              </w:rPr>
            </w:pPr>
          </w:p>
        </w:tc>
        <w:tc>
          <w:tcPr>
            <w:tcW w:w="80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6"/>
                <w:szCs w:val="16"/>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July 31, 2022</w:t>
            </w:r>
          </w:p>
        </w:tc>
        <w:tc>
          <w:tcPr>
            <w:tcW w:w="200" w:type="dxa"/>
            <w:vAlign w:val="bottom"/>
          </w:tcPr>
          <w:p>
            <w:pPr>
              <w:spacing w:after="0"/>
              <w:rPr>
                <w:sz w:val="16"/>
                <w:szCs w:val="16"/>
                <w:color w:val="auto"/>
              </w:rPr>
            </w:pPr>
          </w:p>
        </w:tc>
        <w:tc>
          <w:tcPr>
            <w:tcW w:w="88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6"/>
                <w:szCs w:val="16"/>
                <w:color w:val="auto"/>
              </w:rPr>
            </w:pPr>
          </w:p>
        </w:tc>
        <w:tc>
          <w:tcPr>
            <w:tcW w:w="8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91"/>
        </w:trPr>
        <w:tc>
          <w:tcPr>
            <w:tcW w:w="740" w:type="dxa"/>
            <w:vAlign w:val="bottom"/>
            <w:tcBorders>
              <w:top w:val="single" w:sz="8" w:color="CCEEFF"/>
              <w:left w:val="single" w:sz="8" w:color="CCEEFF"/>
              <w:bottom w:val="single" w:sz="8" w:color="auto"/>
            </w:tcBorders>
            <w:gridSpan w:val="2"/>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w w:val="95"/>
              </w:rPr>
              <w:t>Liabilities</w:t>
            </w:r>
          </w:p>
        </w:tc>
        <w:tc>
          <w:tcPr>
            <w:tcW w:w="10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CCEEFF"/>
            </w:tcBorders>
            <w:shd w:val="clear" w:color="auto" w:fill="CCEEFF"/>
          </w:tcPr>
          <w:p>
            <w:pPr>
              <w:spacing w:after="0"/>
              <w:rPr>
                <w:sz w:val="16"/>
                <w:szCs w:val="16"/>
                <w:color w:val="auto"/>
              </w:rPr>
            </w:pPr>
          </w:p>
        </w:tc>
        <w:tc>
          <w:tcPr>
            <w:tcW w:w="800" w:type="dxa"/>
            <w:vAlign w:val="bottom"/>
            <w:tcBorders>
              <w:top w:val="single" w:sz="8" w:color="auto"/>
              <w:bottom w:val="single" w:sz="8" w:color="CCEEFF"/>
            </w:tcBorders>
            <w:shd w:val="clear" w:color="auto" w:fill="CCEEFF"/>
          </w:tcPr>
          <w:p>
            <w:pPr>
              <w:spacing w:after="0"/>
              <w:rPr>
                <w:sz w:val="16"/>
                <w:szCs w:val="16"/>
                <w:color w:val="auto"/>
              </w:rPr>
            </w:pPr>
          </w:p>
        </w:tc>
        <w:tc>
          <w:tcPr>
            <w:tcW w:w="6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8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8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CCEEFF"/>
            </w:tcBorders>
            <w:shd w:val="clear" w:color="auto" w:fill="CCEEFF"/>
          </w:tcPr>
          <w:p>
            <w:pPr>
              <w:spacing w:after="0"/>
              <w:rPr>
                <w:sz w:val="16"/>
                <w:szCs w:val="16"/>
                <w:color w:val="auto"/>
              </w:rPr>
            </w:pPr>
          </w:p>
        </w:tc>
        <w:tc>
          <w:tcPr>
            <w:tcW w:w="86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1820" w:type="dxa"/>
            <w:vAlign w:val="bottom"/>
            <w:gridSpan w:val="3"/>
          </w:tcPr>
          <w:p>
            <w:pPr>
              <w:ind w:left="140"/>
              <w:spacing w:after="0" w:line="177" w:lineRule="exact"/>
              <w:rPr>
                <w:sz w:val="20"/>
                <w:szCs w:val="20"/>
                <w:color w:val="auto"/>
              </w:rPr>
            </w:pPr>
            <w:r>
              <w:rPr>
                <w:rFonts w:ascii="Times New Roman" w:cs="Times New Roman" w:eastAsia="Times New Roman" w:hAnsi="Times New Roman"/>
                <w:sz w:val="18"/>
                <w:szCs w:val="18"/>
                <w:color w:val="auto"/>
              </w:rPr>
              <w:t>Commodity derivative</w:t>
            </w: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100" w:type="dxa"/>
            <w:vAlign w:val="bottom"/>
          </w:tcPr>
          <w:p>
            <w:pPr>
              <w:spacing w:after="0"/>
              <w:rPr>
                <w:sz w:val="15"/>
                <w:szCs w:val="15"/>
                <w:color w:val="auto"/>
              </w:rPr>
            </w:pPr>
          </w:p>
        </w:tc>
        <w:tc>
          <w:tcPr>
            <w:tcW w:w="22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380" w:type="dxa"/>
            <w:vAlign w:val="bottom"/>
            <w:gridSpan w:val="3"/>
            <w:vMerge w:val="restart"/>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00" w:type="dxa"/>
            <w:vAlign w:val="bottom"/>
          </w:tcPr>
          <w:p>
            <w:pPr>
              <w:spacing w:after="0"/>
              <w:rPr>
                <w:sz w:val="15"/>
                <w:szCs w:val="15"/>
                <w:color w:val="auto"/>
              </w:rPr>
            </w:pPr>
          </w:p>
        </w:tc>
        <w:tc>
          <w:tcPr>
            <w:tcW w:w="260" w:type="dxa"/>
            <w:vAlign w:val="bottom"/>
            <w:vMerge w:val="restart"/>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1820" w:type="dxa"/>
            <w:vAlign w:val="bottom"/>
            <w:gridSpan w:val="3"/>
          </w:tcPr>
          <w:p>
            <w:pPr>
              <w:ind w:left="140"/>
              <w:spacing w:after="0" w:line="233" w:lineRule="exact"/>
              <w:rPr>
                <w:sz w:val="20"/>
                <w:szCs w:val="20"/>
                <w:color w:val="auto"/>
              </w:rPr>
            </w:pPr>
            <w:r>
              <w:rPr>
                <w:rFonts w:ascii="Times New Roman" w:cs="Times New Roman" w:eastAsia="Times New Roman" w:hAnsi="Times New Roman"/>
                <w:sz w:val="18"/>
                <w:szCs w:val="18"/>
                <w:color w:val="auto"/>
              </w:rPr>
              <w:t>contracts</w:t>
            </w:r>
            <w:r>
              <w:rPr>
                <w:rFonts w:ascii="Times New Roman" w:cs="Times New Roman" w:eastAsia="Times New Roman" w:hAnsi="Times New Roman"/>
                <w:sz w:val="22"/>
                <w:szCs w:val="22"/>
                <w:color w:val="auto"/>
                <w:vertAlign w:val="superscript"/>
              </w:rPr>
              <w:t>(2)</w:t>
            </w:r>
          </w:p>
        </w:tc>
        <w:tc>
          <w:tcPr>
            <w:tcW w:w="160" w:type="dxa"/>
            <w:vAlign w:val="bottom"/>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vMerge w:val="continue"/>
          </w:tcPr>
          <w:p>
            <w:pPr>
              <w:spacing w:after="0"/>
              <w:rPr>
                <w:sz w:val="20"/>
                <w:szCs w:val="20"/>
                <w:color w:val="auto"/>
              </w:rPr>
            </w:pPr>
          </w:p>
        </w:tc>
        <w:tc>
          <w:tcPr>
            <w:tcW w:w="800" w:type="dxa"/>
            <w:vAlign w:val="bottom"/>
            <w:vMerge w:val="continue"/>
          </w:tcPr>
          <w:p>
            <w:pPr>
              <w:spacing w:after="0"/>
              <w:rPr>
                <w:sz w:val="20"/>
                <w:szCs w:val="20"/>
                <w:color w:val="auto"/>
              </w:rPr>
            </w:pPr>
          </w:p>
        </w:tc>
        <w:tc>
          <w:tcPr>
            <w:tcW w:w="380" w:type="dxa"/>
            <w:vAlign w:val="bottom"/>
            <w:gridSpan w:val="3"/>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vMerge w:val="continue"/>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20"/>
                <w:szCs w:val="20"/>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0"/>
                <w:szCs w:val="20"/>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7"/>
        </w:trPr>
        <w:tc>
          <w:tcPr>
            <w:tcW w:w="1820" w:type="dxa"/>
            <w:vAlign w:val="bottom"/>
            <w:tcBorders>
              <w:left w:val="single" w:sz="8" w:color="CCEEFF"/>
            </w:tcBorders>
            <w:gridSpan w:val="3"/>
            <w:shd w:val="clear" w:color="auto" w:fill="CCEEFF"/>
          </w:tcPr>
          <w:p>
            <w:pPr>
              <w:ind w:left="140"/>
              <w:spacing w:after="0" w:line="177" w:lineRule="exact"/>
              <w:rPr>
                <w:sz w:val="20"/>
                <w:szCs w:val="20"/>
                <w:color w:val="auto"/>
              </w:rPr>
            </w:pPr>
            <w:r>
              <w:rPr>
                <w:rFonts w:ascii="Times New Roman" w:cs="Times New Roman" w:eastAsia="Times New Roman" w:hAnsi="Times New Roman"/>
                <w:sz w:val="18"/>
                <w:szCs w:val="18"/>
                <w:color w:val="auto"/>
                <w:w w:val="98"/>
              </w:rPr>
              <w:t>Deferred compensation</w:t>
            </w:r>
          </w:p>
        </w:tc>
        <w:tc>
          <w:tcPr>
            <w:tcW w:w="16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1820" w:type="dxa"/>
            <w:vAlign w:val="bottom"/>
            <w:tcBorders>
              <w:left w:val="single" w:sz="8" w:color="CCEEFF"/>
            </w:tcBorders>
            <w:gridSpan w:val="3"/>
            <w:shd w:val="clear" w:color="auto" w:fill="CCEEFF"/>
          </w:tcPr>
          <w:p>
            <w:pPr>
              <w:ind w:left="140"/>
              <w:spacing w:after="0" w:line="233" w:lineRule="exact"/>
              <w:rPr>
                <w:sz w:val="20"/>
                <w:szCs w:val="20"/>
                <w:color w:val="auto"/>
              </w:rPr>
            </w:pPr>
            <w:r>
              <w:rPr>
                <w:rFonts w:ascii="Times New Roman" w:cs="Times New Roman" w:eastAsia="Times New Roman" w:hAnsi="Times New Roman"/>
                <w:sz w:val="18"/>
                <w:szCs w:val="18"/>
                <w:color w:val="auto"/>
              </w:rPr>
              <w:t>derivative contracts</w:t>
            </w:r>
            <w:r>
              <w:rPr>
                <w:rFonts w:ascii="Times New Roman" w:cs="Times New Roman" w:eastAsia="Times New Roman" w:hAnsi="Times New Roman"/>
                <w:sz w:val="22"/>
                <w:szCs w:val="22"/>
                <w:color w:val="auto"/>
                <w:vertAlign w:val="superscript"/>
              </w:rPr>
              <w:t>(3)</w:t>
            </w:r>
          </w:p>
        </w:tc>
        <w:tc>
          <w:tcPr>
            <w:tcW w:w="160" w:type="dxa"/>
            <w:vAlign w:val="bottom"/>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vMerge w:val="continue"/>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7"/>
        </w:trPr>
        <w:tc>
          <w:tcPr>
            <w:tcW w:w="1820" w:type="dxa"/>
            <w:vAlign w:val="bottom"/>
            <w:gridSpan w:val="3"/>
          </w:tcPr>
          <w:p>
            <w:pPr>
              <w:ind w:left="140"/>
              <w:spacing w:after="0" w:line="177" w:lineRule="exact"/>
              <w:rPr>
                <w:sz w:val="20"/>
                <w:szCs w:val="20"/>
                <w:color w:val="auto"/>
              </w:rPr>
            </w:pPr>
            <w:r>
              <w:rPr>
                <w:rFonts w:ascii="Times New Roman" w:cs="Times New Roman" w:eastAsia="Times New Roman" w:hAnsi="Times New Roman"/>
                <w:sz w:val="18"/>
                <w:szCs w:val="18"/>
                <w:color w:val="auto"/>
                <w:w w:val="98"/>
              </w:rPr>
              <w:t>Deferred compensation</w:t>
            </w:r>
          </w:p>
        </w:tc>
        <w:tc>
          <w:tcPr>
            <w:tcW w:w="1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99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99</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vMerge w:val="restart"/>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vMerge w:val="restart"/>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1820" w:type="dxa"/>
            <w:vAlign w:val="bottom"/>
            <w:tcBorders>
              <w:bottom w:val="single" w:sz="8" w:color="CCEEFF"/>
            </w:tcBorders>
            <w:gridSpan w:val="3"/>
          </w:tcPr>
          <w:p>
            <w:pPr>
              <w:ind w:left="140"/>
              <w:spacing w:after="0" w:line="233" w:lineRule="exact"/>
              <w:rPr>
                <w:sz w:val="20"/>
                <w:szCs w:val="20"/>
                <w:color w:val="auto"/>
              </w:rPr>
            </w:pPr>
            <w:r>
              <w:rPr>
                <w:rFonts w:ascii="Times New Roman" w:cs="Times New Roman" w:eastAsia="Times New Roman" w:hAnsi="Times New Roman"/>
                <w:sz w:val="18"/>
                <w:szCs w:val="18"/>
                <w:color w:val="auto"/>
              </w:rPr>
              <w:t>obligation</w:t>
            </w:r>
            <w:r>
              <w:rPr>
                <w:rFonts w:ascii="Times New Roman" w:cs="Times New Roman" w:eastAsia="Times New Roman" w:hAnsi="Times New Roman"/>
                <w:sz w:val="22"/>
                <w:szCs w:val="22"/>
                <w:color w:val="auto"/>
                <w:vertAlign w:val="superscript"/>
              </w:rPr>
              <w:t>(4)</w:t>
            </w: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0"/>
        </w:trPr>
        <w:tc>
          <w:tcPr>
            <w:tcW w:w="1820" w:type="dxa"/>
            <w:vAlign w:val="bottom"/>
            <w:tcBorders>
              <w:left w:val="single" w:sz="8" w:color="CCEEFF"/>
            </w:tcBorders>
            <w:gridSpan w:val="3"/>
            <w:shd w:val="clear" w:color="auto" w:fill="CCEEFF"/>
          </w:tcPr>
          <w:p>
            <w:pPr>
              <w:ind w:left="20"/>
              <w:spacing w:after="0" w:line="160" w:lineRule="exact"/>
              <w:rPr>
                <w:sz w:val="20"/>
                <w:szCs w:val="20"/>
                <w:color w:val="auto"/>
              </w:rPr>
            </w:pPr>
            <w:r>
              <w:rPr>
                <w:rFonts w:ascii="Times New Roman" w:cs="Times New Roman" w:eastAsia="Times New Roman" w:hAnsi="Times New Roman"/>
                <w:sz w:val="18"/>
                <w:szCs w:val="18"/>
                <w:color w:val="auto"/>
              </w:rPr>
              <w:t>Total liabilities at fair</w:t>
            </w:r>
          </w:p>
        </w:tc>
        <w:tc>
          <w:tcPr>
            <w:tcW w:w="1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w:t>
            </w:r>
          </w:p>
        </w:tc>
        <w:tc>
          <w:tcPr>
            <w:tcW w:w="10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w:t>
            </w:r>
          </w:p>
        </w:tc>
        <w:tc>
          <w:tcPr>
            <w:tcW w:w="380" w:type="dxa"/>
            <w:vAlign w:val="bottom"/>
            <w:gridSpan w:val="3"/>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0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320" w:type="dxa"/>
            <w:vAlign w:val="bottom"/>
            <w:gridSpan w:val="2"/>
            <w:vMerge w:val="restart"/>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1820" w:type="dxa"/>
            <w:vAlign w:val="bottom"/>
            <w:tcBorders>
              <w:left w:val="single" w:sz="8" w:color="CCEEFF"/>
            </w:tcBorders>
            <w:gridSpan w:val="3"/>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color w:val="auto"/>
              </w:rPr>
              <w:t>value</w:t>
            </w:r>
          </w:p>
        </w:tc>
        <w:tc>
          <w:tcPr>
            <w:tcW w:w="16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380" w:type="dxa"/>
            <w:vAlign w:val="bottom"/>
            <w:gridSpan w:val="3"/>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320" w:type="dxa"/>
            <w:vAlign w:val="bottom"/>
            <w:gridSpan w:val="2"/>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w:t>
      </w:r>
    </w:p>
    <w:p>
      <w:pPr>
        <w:spacing w:after="0" w:line="30" w:lineRule="exact"/>
        <w:rPr>
          <w:sz w:val="20"/>
          <w:szCs w:val="20"/>
          <w:color w:val="auto"/>
        </w:rPr>
      </w:pPr>
    </w:p>
    <w:p>
      <w:pPr>
        <w:ind w:left="320" w:hanging="314"/>
        <w:spacing w:after="0"/>
        <w:tabs>
          <w:tab w:leader="none" w:pos="320"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Based on observable market transactions of spot currency rates and forward rates.</w:t>
      </w:r>
    </w:p>
    <w:p>
      <w:pPr>
        <w:ind w:left="320" w:hanging="314"/>
        <w:spacing w:after="0" w:line="215" w:lineRule="auto"/>
        <w:tabs>
          <w:tab w:leader="none" w:pos="308"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Level 1 and 2 are based on quoted futures exchanges and on observable prices of futures and options transactions in the marketplace. Level 3 is based on unobservable inputs in which there is little or no market data, which requires management’s own assumptions within an internally developed model.</w:t>
      </w:r>
    </w:p>
    <w:p>
      <w:pPr>
        <w:spacing w:after="0" w:line="1" w:lineRule="exact"/>
        <w:rPr>
          <w:rFonts w:ascii="Times New Roman" w:cs="Times New Roman" w:eastAsia="Times New Roman" w:hAnsi="Times New Roman"/>
          <w:sz w:val="23"/>
          <w:szCs w:val="23"/>
          <w:color w:val="auto"/>
          <w:vertAlign w:val="superscript"/>
        </w:rPr>
      </w:pPr>
    </w:p>
    <w:p>
      <w:pPr>
        <w:ind w:left="320" w:hanging="314"/>
        <w:spacing w:after="0" w:line="192" w:lineRule="auto"/>
        <w:tabs>
          <w:tab w:leader="none" w:pos="320"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Based on index swap rates.</w:t>
      </w:r>
    </w:p>
    <w:p>
      <w:pPr>
        <w:spacing w:after="0" w:line="1" w:lineRule="exact"/>
        <w:rPr>
          <w:rFonts w:ascii="Times New Roman" w:cs="Times New Roman" w:eastAsia="Times New Roman" w:hAnsi="Times New Roman"/>
          <w:sz w:val="23"/>
          <w:szCs w:val="23"/>
          <w:color w:val="auto"/>
          <w:vertAlign w:val="superscript"/>
        </w:rPr>
      </w:pPr>
    </w:p>
    <w:p>
      <w:pPr>
        <w:ind w:left="320" w:hanging="314"/>
        <w:spacing w:after="0" w:line="191" w:lineRule="auto"/>
        <w:tabs>
          <w:tab w:leader="none" w:pos="320"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Based on the fair value of the participants’ investments.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17" w:name="page18"/>
    <w:bookmarkEnd w:id="17"/>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changes in fair value of Level 3 assets and liabilities for the three-month periods ended October 30, 2022, and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31, 2021:</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40" w:type="dxa"/>
            <w:vAlign w:val="bottom"/>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4"/>
        </w:trPr>
        <w:tc>
          <w:tcPr>
            <w:tcW w:w="8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October 30, 2022</w:t>
            </w:r>
          </w:p>
        </w:tc>
        <w:tc>
          <w:tcPr>
            <w:tcW w:w="120" w:type="dxa"/>
            <w:vAlign w:val="bottom"/>
          </w:tcPr>
          <w:p>
            <w:pPr>
              <w:spacing w:after="0"/>
              <w:rPr>
                <w:sz w:val="16"/>
                <w:szCs w:val="16"/>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October 31, 2021</w:t>
            </w:r>
          </w:p>
        </w:tc>
        <w:tc>
          <w:tcPr>
            <w:tcW w:w="0" w:type="dxa"/>
            <w:vAlign w:val="bottom"/>
          </w:tcPr>
          <w:p>
            <w:pPr>
              <w:spacing w:after="0"/>
              <w:rPr>
                <w:sz w:val="1"/>
                <w:szCs w:val="1"/>
                <w:color w:val="auto"/>
              </w:rPr>
            </w:pPr>
          </w:p>
        </w:tc>
      </w:tr>
      <w:tr>
        <w:trPr>
          <w:trHeight w:val="225"/>
        </w:trPr>
        <w:tc>
          <w:tcPr>
            <w:tcW w:w="8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beginning of year</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tcBorders>
            <w:shd w:val="clear" w:color="auto" w:fill="CCEEFF"/>
          </w:tcPr>
          <w:p>
            <w:pPr>
              <w:jc w:val="center"/>
              <w:ind w:left="858"/>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center"/>
              <w:ind w:left="855"/>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5"/>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Gains (losses)</w:t>
            </w:r>
          </w:p>
        </w:tc>
        <w:tc>
          <w:tcPr>
            <w:tcW w:w="100" w:type="dxa"/>
            <w:vAlign w:val="bottom"/>
          </w:tcPr>
          <w:p>
            <w:pPr>
              <w:spacing w:after="0"/>
              <w:rPr>
                <w:sz w:val="19"/>
                <w:szCs w:val="19"/>
                <w:color w:val="auto"/>
              </w:rPr>
            </w:pPr>
          </w:p>
        </w:tc>
        <w:tc>
          <w:tcPr>
            <w:tcW w:w="1160" w:type="dxa"/>
            <w:vAlign w:val="bottom"/>
          </w:tcPr>
          <w:p>
            <w:pPr>
              <w:jc w:val="center"/>
              <w:ind w:left="838"/>
              <w:spacing w:after="0"/>
              <w:rPr>
                <w:sz w:val="20"/>
                <w:szCs w:val="20"/>
                <w:color w:val="auto"/>
              </w:rPr>
            </w:pPr>
            <w:r>
              <w:rPr>
                <w:rFonts w:ascii="Times New Roman" w:cs="Times New Roman" w:eastAsia="Times New Roman" w:hAnsi="Times New Roman"/>
                <w:sz w:val="18"/>
                <w:szCs w:val="18"/>
                <w:b w:val="1"/>
                <w:bCs w:val="1"/>
                <w:color w:val="auto"/>
                <w:w w:val="95"/>
              </w:rPr>
              <w:t>(1)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center"/>
              <w:ind w:left="855"/>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5"/>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center"/>
              <w:ind w:left="838"/>
              <w:spacing w:after="0"/>
              <w:rPr>
                <w:sz w:val="20"/>
                <w:szCs w:val="20"/>
                <w:color w:val="auto"/>
              </w:rPr>
            </w:pPr>
            <w:r>
              <w:rPr>
                <w:rFonts w:ascii="Times New Roman" w:cs="Times New Roman" w:eastAsia="Times New Roman" w:hAnsi="Times New Roman"/>
                <w:sz w:val="18"/>
                <w:szCs w:val="18"/>
                <w:b w:val="1"/>
                <w:bCs w:val="1"/>
                <w:color w:val="auto"/>
                <w:w w:val="95"/>
              </w:rPr>
              <w:t>(1)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center"/>
              <w:ind w:left="815"/>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8"/>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at end of quarter</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tcPr>
          <w:p>
            <w:pPr>
              <w:jc w:val="center"/>
              <w:ind w:left="858"/>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center"/>
              <w:ind w:left="855"/>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carrying values of cash and cash equivalents, accounts receivable and accounts payable approximate fair value.</w:t>
      </w:r>
    </w:p>
    <w:p>
      <w:pPr>
        <w:spacing w:after="0" w:line="9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There were $22 million of cash equivalents at October 30, 2022, and $27 million at July 31, 2022. Cash equivalents represent fair value as these highly liquid investments have an original maturity of three months or less. Fair value of cash equivalents is based on Level 2 inputs.</w:t>
      </w:r>
    </w:p>
    <w:p>
      <w:pPr>
        <w:spacing w:after="0" w:line="4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fair value of short- and long-term debt was $4.352 billion at October 30, 2022, and $4.637 billion at July 31, 2022. The carrying value was $4.852 billion at October 30, 2022, and $4.81 billion at July 31, 2022. The fair value of long-term debt is principally estimated using Level 2 inputs based on quoted market prices or pricing models using current market rates.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Share Repurchases</w:t>
      </w:r>
    </w:p>
    <w:p>
      <w:pPr>
        <w:spacing w:after="0" w:line="10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June 2021, the Board authorized an anti-dilutive share repurchase program of up to $250 million (June 2021 program) to offset the impact of dilution from shares issued under our stock compensation programs. The June 2021 program has no expiration date, but it may be suspended or discontinued at any time. Repurchases under the June 2021 program may be made in open-market or privately negotiated transactions.</w:t>
      </w:r>
    </w:p>
    <w:p>
      <w:pPr>
        <w:spacing w:after="0" w:line="4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September 2021, the Board approved a strategic share repurchase program of up to $500 million (September 2021 program). The September 2021 program has no expiration date, but it may be suspended or discontinued at any time. Repurchases under the September 2021 program may be made in open-market or privately negotiated transactions.</w:t>
      </w:r>
    </w:p>
    <w:p>
      <w:pPr>
        <w:spacing w:after="0" w:line="5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During the three-month period ended October 30, 2022, we repurchased 859 thousand shares at a cost of $41 million pursuant to our June 2021 program. As of October 30, 2022, approximately $131 million remained available under the June 2021 program and approximately $375 million remained available under the September 2021 program. During the three-month ended October 31, 2021, we repurchased approximately 1.5 million shares at a cost of $63 million.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Stock-based Compensation</w:t>
      </w:r>
    </w:p>
    <w:p>
      <w:pPr>
        <w:spacing w:after="0" w:line="10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provide compensation benefits by issuing stock options, unrestricted stock and restricted stock units (including time-lapse restricted stock units, EPS performance restricted stock units, total shareholder return (TSR) performance restricted stock units and free cash flow (FCF) performance restricted stock units). In 2023, we issued time-lapse restricted stock units, unrestricted stock, TSR performance restricted stock units and EPS performance restricted stock units. We last issued stock options and FCF performance restricted stock units in 2019.</w:t>
      </w:r>
    </w:p>
    <w:p>
      <w:pPr>
        <w:spacing w:after="0" w:line="61"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8"/>
          <w:szCs w:val="18"/>
          <w:color w:val="auto"/>
        </w:rPr>
        <w:t>In determining stock-based compensation expense, we estimate forfeitures expected to occur. Total pre-tax stock-based compensation expense and tax-related benefits recognized in the Consolidated Statements of Earnings were as follows:</w:t>
      </w:r>
    </w:p>
    <w:tbl>
      <w:tblPr>
        <w:tblLayout w:type="fixed"/>
        <w:tblInd w:w="0" w:type="dxa"/>
        <w:tblCellMar>
          <w:top w:w="0" w:type="dxa"/>
          <w:left w:w="0" w:type="dxa"/>
          <w:bottom w:w="0" w:type="dxa"/>
          <w:right w:w="0" w:type="dxa"/>
        </w:tblCellMar>
      </w:tblPr>
      <w:tr>
        <w:trPr>
          <w:trHeight w:val="186"/>
        </w:trPr>
        <w:tc>
          <w:tcPr>
            <w:tcW w:w="448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40" w:type="dxa"/>
            <w:vAlign w:val="bottom"/>
            <w:gridSpan w:val="4"/>
          </w:tcPr>
          <w:p>
            <w:pPr>
              <w:jc w:val="right"/>
              <w:ind w:right="59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4"/>
        </w:trPr>
        <w:tc>
          <w:tcPr>
            <w:tcW w:w="4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4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480" w:type="dxa"/>
            <w:vAlign w:val="bottom"/>
            <w:vMerge w:val="continue"/>
          </w:tcPr>
          <w:p>
            <w:pPr>
              <w:spacing w:after="0"/>
              <w:rPr>
                <w:sz w:val="16"/>
                <w:szCs w:val="16"/>
                <w:color w:val="auto"/>
              </w:rPr>
            </w:pPr>
          </w:p>
        </w:tc>
        <w:tc>
          <w:tcPr>
            <w:tcW w:w="4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October 30, 2022</w:t>
            </w:r>
          </w:p>
        </w:tc>
        <w:tc>
          <w:tcPr>
            <w:tcW w:w="120" w:type="dxa"/>
            <w:vAlign w:val="bottom"/>
          </w:tcPr>
          <w:p>
            <w:pPr>
              <w:spacing w:after="0"/>
              <w:rPr>
                <w:sz w:val="16"/>
                <w:szCs w:val="16"/>
                <w:color w:val="auto"/>
              </w:rPr>
            </w:pPr>
          </w:p>
        </w:tc>
        <w:tc>
          <w:tcPr>
            <w:tcW w:w="1160" w:type="dxa"/>
            <w:vAlign w:val="bottom"/>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October 31, 2021</w:t>
            </w:r>
          </w:p>
        </w:tc>
        <w:tc>
          <w:tcPr>
            <w:tcW w:w="0" w:type="dxa"/>
            <w:vAlign w:val="bottom"/>
          </w:tcPr>
          <w:p>
            <w:pPr>
              <w:spacing w:after="0"/>
              <w:rPr>
                <w:sz w:val="1"/>
                <w:szCs w:val="1"/>
                <w:color w:val="auto"/>
              </w:rPr>
            </w:pPr>
          </w:p>
        </w:tc>
      </w:tr>
      <w:tr>
        <w:trPr>
          <w:trHeight w:val="225"/>
        </w:trPr>
        <w:tc>
          <w:tcPr>
            <w:tcW w:w="4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pre-tax stock-based compensation expense</w:t>
            </w:r>
          </w:p>
        </w:tc>
        <w:tc>
          <w:tcPr>
            <w:tcW w:w="4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3"/>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Tax-related benefits</w:t>
            </w:r>
          </w:p>
        </w:tc>
        <w:tc>
          <w:tcPr>
            <w:tcW w:w="4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828"/>
        </w:trPr>
        <w:tc>
          <w:tcPr>
            <w:tcW w:w="4480" w:type="dxa"/>
            <w:vAlign w:val="bottom"/>
          </w:tcPr>
          <w:p>
            <w:pPr>
              <w:spacing w:after="0"/>
              <w:rPr>
                <w:sz w:val="24"/>
                <w:szCs w:val="24"/>
                <w:color w:val="auto"/>
              </w:rPr>
            </w:pPr>
          </w:p>
        </w:tc>
        <w:tc>
          <w:tcPr>
            <w:tcW w:w="4120" w:type="dxa"/>
            <w:vAlign w:val="bottom"/>
          </w:tcPr>
          <w:p>
            <w:pPr>
              <w:jc w:val="right"/>
              <w:ind w:right="2792"/>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480" w:type="dxa"/>
            <w:vAlign w:val="bottom"/>
            <w:tcBorders>
              <w:bottom w:val="single" w:sz="8" w:color="9A9A9A"/>
            </w:tcBorders>
          </w:tcPr>
          <w:p>
            <w:pPr>
              <w:spacing w:after="0"/>
              <w:rPr>
                <w:sz w:val="9"/>
                <w:szCs w:val="9"/>
                <w:color w:val="auto"/>
              </w:rPr>
            </w:pPr>
          </w:p>
        </w:tc>
        <w:tc>
          <w:tcPr>
            <w:tcW w:w="4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18" w:name="page19"/>
    <w:bookmarkEnd w:id="18"/>
    <w:p>
      <w:pPr>
        <w:ind w:left="320"/>
        <w:spacing w:after="0"/>
        <w:rPr>
          <w:sz w:val="20"/>
          <w:szCs w:val="20"/>
          <w:color w:val="auto"/>
        </w:rPr>
      </w:pPr>
      <w:r>
        <w:rPr>
          <w:rFonts w:ascii="Times New Roman" w:cs="Times New Roman" w:eastAsia="Times New Roman" w:hAnsi="Times New Roman"/>
          <w:sz w:val="18"/>
          <w:szCs w:val="18"/>
          <w:color w:val="auto"/>
        </w:rPr>
        <w:t>The following table summarizes stock option activity as of October 30, 2022:</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2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7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3"/>
            <w:vMerge w:val="continue"/>
          </w:tcPr>
          <w:p>
            <w:pPr>
              <w:spacing w:after="0"/>
              <w:rPr>
                <w:sz w:val="11"/>
                <w:szCs w:val="11"/>
                <w:color w:val="auto"/>
              </w:rPr>
            </w:pPr>
          </w:p>
        </w:tc>
        <w:tc>
          <w:tcPr>
            <w:tcW w:w="1640" w:type="dxa"/>
            <w:vAlign w:val="bottom"/>
            <w:gridSpan w:val="2"/>
          </w:tcPr>
          <w:p>
            <w:pPr>
              <w:jc w:val="center"/>
              <w:ind w:right="100"/>
              <w:spacing w:after="0" w:line="133"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80" w:type="dxa"/>
            <w:vAlign w:val="bottom"/>
          </w:tcPr>
          <w:p>
            <w:pPr>
              <w:spacing w:after="0"/>
              <w:rPr>
                <w:sz w:val="11"/>
                <w:szCs w:val="11"/>
                <w:color w:val="auto"/>
              </w:rPr>
            </w:pPr>
          </w:p>
        </w:tc>
        <w:tc>
          <w:tcPr>
            <w:tcW w:w="1260" w:type="dxa"/>
            <w:vAlign w:val="bottom"/>
            <w:vMerge w:val="restart"/>
          </w:tcPr>
          <w:p>
            <w:pPr>
              <w:jc w:val="center"/>
              <w:ind w:right="203"/>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6"/>
        </w:trPr>
        <w:tc>
          <w:tcPr>
            <w:tcW w:w="47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left="419"/>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740" w:type="dxa"/>
            <w:vAlign w:val="bottom"/>
          </w:tcPr>
          <w:p>
            <w:pPr>
              <w:spacing w:after="0"/>
              <w:rPr>
                <w:sz w:val="12"/>
                <w:szCs w:val="12"/>
                <w:color w:val="auto"/>
              </w:rPr>
            </w:pPr>
          </w:p>
        </w:tc>
        <w:tc>
          <w:tcPr>
            <w:tcW w:w="1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40" w:type="dxa"/>
            <w:vAlign w:val="bottom"/>
          </w:tcPr>
          <w:p>
            <w:pPr>
              <w:jc w:val="center"/>
              <w:ind w:left="419"/>
              <w:spacing w:after="0" w:line="146"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w w:val="99"/>
              </w:rPr>
              <w:t>Contractual</w:t>
            </w:r>
          </w:p>
        </w:tc>
        <w:tc>
          <w:tcPr>
            <w:tcW w:w="280" w:type="dxa"/>
            <w:vAlign w:val="bottom"/>
          </w:tcPr>
          <w:p>
            <w:pPr>
              <w:spacing w:after="0"/>
              <w:rPr>
                <w:sz w:val="12"/>
                <w:szCs w:val="12"/>
                <w:color w:val="auto"/>
              </w:rPr>
            </w:pPr>
          </w:p>
        </w:tc>
        <w:tc>
          <w:tcPr>
            <w:tcW w:w="1260" w:type="dxa"/>
            <w:vAlign w:val="bottom"/>
          </w:tcPr>
          <w:p>
            <w:pPr>
              <w:jc w:val="center"/>
              <w:ind w:right="223"/>
              <w:spacing w:after="0" w:line="146"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2"/>
        </w:trPr>
        <w:tc>
          <w:tcPr>
            <w:tcW w:w="474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1040" w:type="dxa"/>
            <w:vAlign w:val="bottom"/>
          </w:tcPr>
          <w:p>
            <w:pPr>
              <w:jc w:val="center"/>
              <w:ind w:left="419"/>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280" w:type="dxa"/>
            <w:vAlign w:val="bottom"/>
          </w:tcPr>
          <w:p>
            <w:pPr>
              <w:spacing w:after="0"/>
              <w:rPr>
                <w:sz w:val="16"/>
                <w:szCs w:val="16"/>
                <w:color w:val="auto"/>
              </w:rPr>
            </w:pPr>
          </w:p>
        </w:tc>
        <w:tc>
          <w:tcPr>
            <w:tcW w:w="1260" w:type="dxa"/>
            <w:vAlign w:val="bottom"/>
          </w:tcPr>
          <w:p>
            <w:pPr>
              <w:jc w:val="center"/>
              <w:ind w:right="203"/>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32"/>
        </w:trPr>
        <w:tc>
          <w:tcPr>
            <w:tcW w:w="4740" w:type="dxa"/>
            <w:vAlign w:val="bottom"/>
          </w:tcPr>
          <w:p>
            <w:pPr>
              <w:spacing w:after="0"/>
              <w:rPr>
                <w:sz w:val="11"/>
                <w:szCs w:val="11"/>
                <w:color w:val="auto"/>
              </w:rPr>
            </w:pPr>
          </w:p>
        </w:tc>
        <w:tc>
          <w:tcPr>
            <w:tcW w:w="1520" w:type="dxa"/>
            <w:vAlign w:val="bottom"/>
            <w:tcBorders>
              <w:top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rPr>
              <w:t>(Options in</w:t>
            </w:r>
          </w:p>
        </w:tc>
        <w:tc>
          <w:tcPr>
            <w:tcW w:w="10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tcBorders>
              <w:top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rPr>
              <w:t>(In years)</w:t>
            </w: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jc w:val="center"/>
              <w:ind w:right="203"/>
              <w:spacing w:after="0" w:line="133" w:lineRule="exact"/>
              <w:rPr>
                <w:sz w:val="20"/>
                <w:szCs w:val="20"/>
                <w:color w:val="auto"/>
              </w:rPr>
            </w:pPr>
            <w:r>
              <w:rPr>
                <w:rFonts w:ascii="Times New Roman" w:cs="Times New Roman" w:eastAsia="Times New Roman" w:hAnsi="Times New Roman"/>
                <w:sz w:val="14"/>
                <w:szCs w:val="14"/>
                <w:b w:val="1"/>
                <w:bCs w:val="1"/>
                <w:color w:val="auto"/>
                <w:w w:val="99"/>
              </w:rPr>
              <w:t>(Millions)</w:t>
            </w:r>
          </w:p>
        </w:tc>
        <w:tc>
          <w:tcPr>
            <w:tcW w:w="0" w:type="dxa"/>
            <w:vAlign w:val="bottom"/>
          </w:tcPr>
          <w:p>
            <w:pPr>
              <w:spacing w:after="0"/>
              <w:rPr>
                <w:sz w:val="1"/>
                <w:szCs w:val="1"/>
                <w:color w:val="auto"/>
              </w:rPr>
            </w:pPr>
          </w:p>
        </w:tc>
      </w:tr>
      <w:tr>
        <w:trPr>
          <w:trHeight w:val="192"/>
        </w:trPr>
        <w:tc>
          <w:tcPr>
            <w:tcW w:w="4740" w:type="dxa"/>
            <w:vAlign w:val="bottom"/>
          </w:tcPr>
          <w:p>
            <w:pPr>
              <w:spacing w:after="0"/>
              <w:rPr>
                <w:sz w:val="16"/>
                <w:szCs w:val="16"/>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0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July 31, 2022</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46.04</w:t>
            </w:r>
          </w:p>
        </w:tc>
        <w:tc>
          <w:tcPr>
            <w:tcW w:w="12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41.01</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Terminated</w:t>
            </w: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October 30, 2022</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40" w:type="dxa"/>
            <w:vAlign w:val="bottom"/>
            <w:tcBorders>
              <w:top w:val="single" w:sz="8" w:color="CCEEFF"/>
              <w:bottom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46.22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5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CCEEFF"/>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CCEEFF"/>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 at October 30, 2022</w:t>
            </w: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740" w:type="dxa"/>
            <w:vAlign w:val="bottom"/>
            <w:vMerge w:val="continue"/>
          </w:tcPr>
          <w:p>
            <w:pPr>
              <w:spacing w:after="0"/>
              <w:rPr>
                <w:sz w:val="17"/>
                <w:szCs w:val="17"/>
                <w:color w:val="auto"/>
              </w:rPr>
            </w:pPr>
          </w:p>
        </w:tc>
        <w:tc>
          <w:tcPr>
            <w:tcW w:w="152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1,254</w:t>
            </w:r>
          </w:p>
        </w:tc>
        <w:tc>
          <w:tcPr>
            <w:tcW w:w="100" w:type="dxa"/>
            <w:vAlign w:val="bottom"/>
          </w:tcPr>
          <w:p>
            <w:pPr>
              <w:spacing w:after="0"/>
              <w:rPr>
                <w:sz w:val="17"/>
                <w:szCs w:val="17"/>
                <w:color w:val="auto"/>
              </w:rPr>
            </w:pPr>
          </w:p>
        </w:tc>
        <w:tc>
          <w:tcPr>
            <w:tcW w:w="1040" w:type="dxa"/>
            <w:vAlign w:val="bottom"/>
            <w:tcBorders>
              <w:bottom w:val="single" w:sz="8" w:color="auto"/>
            </w:tcBorders>
          </w:tcPr>
          <w:p>
            <w:pPr>
              <w:jc w:val="right"/>
              <w:ind w:right="839"/>
              <w:spacing w:after="0" w:line="198"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w w:val="98"/>
              </w:rPr>
              <w:t>46.22</w:t>
            </w:r>
          </w:p>
        </w:tc>
        <w:tc>
          <w:tcPr>
            <w:tcW w:w="120" w:type="dxa"/>
            <w:vAlign w:val="bottom"/>
          </w:tcPr>
          <w:p>
            <w:pPr>
              <w:spacing w:after="0"/>
              <w:rPr>
                <w:sz w:val="17"/>
                <w:szCs w:val="17"/>
                <w:color w:val="auto"/>
              </w:rPr>
            </w:pPr>
          </w:p>
        </w:tc>
        <w:tc>
          <w:tcPr>
            <w:tcW w:w="154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2"/>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3"/>
              <w:spacing w:after="0" w:line="198"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total intrinsic value of options exercised during the three-month periods ended October 30, 2022 and October 31, 2021 was not material. We measured the fair value of stock options using the Black-Scholes option pricing model.</w:t>
      </w:r>
    </w:p>
    <w:p>
      <w:pPr>
        <w:spacing w:after="0" w:line="4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expensed stock options on a straight-line basis over the vesting period, except for awards issued to retirement eligible participants, which we expensed on an accelerated basis. As of January 2022, compensation related to stock options was fully expensed.</w:t>
      </w:r>
    </w:p>
    <w:p>
      <w:pPr>
        <w:spacing w:after="0" w:line="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time-lapse restricted stock units and EPS performance restricted stock units as of October 30, 2022:</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spacing w:after="0"/>
              <w:rPr>
                <w:sz w:val="13"/>
                <w:szCs w:val="13"/>
                <w:color w:val="auto"/>
              </w:rPr>
            </w:pPr>
          </w:p>
        </w:tc>
        <w:tc>
          <w:tcPr>
            <w:tcW w:w="18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760" w:type="dxa"/>
            <w:vAlign w:val="bottom"/>
            <w:gridSpan w:val="2"/>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Weighted-Average Grant-</w:t>
            </w:r>
          </w:p>
        </w:tc>
        <w:tc>
          <w:tcPr>
            <w:tcW w:w="0" w:type="dxa"/>
            <w:vAlign w:val="bottom"/>
          </w:tcPr>
          <w:p>
            <w:pPr>
              <w:spacing w:after="0"/>
              <w:rPr>
                <w:sz w:val="1"/>
                <w:szCs w:val="1"/>
                <w:color w:val="auto"/>
              </w:rPr>
            </w:pPr>
          </w:p>
        </w:tc>
      </w:tr>
      <w:tr>
        <w:trPr>
          <w:trHeight w:val="191"/>
        </w:trPr>
        <w:tc>
          <w:tcPr>
            <w:tcW w:w="7580" w:type="dxa"/>
            <w:vAlign w:val="bottom"/>
          </w:tcPr>
          <w:p>
            <w:pPr>
              <w:spacing w:after="0"/>
              <w:rPr>
                <w:sz w:val="16"/>
                <w:szCs w:val="16"/>
                <w:color w:val="auto"/>
              </w:rPr>
            </w:pPr>
          </w:p>
        </w:tc>
        <w:tc>
          <w:tcPr>
            <w:tcW w:w="18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133"/>
        </w:trPr>
        <w:tc>
          <w:tcPr>
            <w:tcW w:w="7580" w:type="dxa"/>
            <w:vAlign w:val="bottom"/>
          </w:tcPr>
          <w:p>
            <w:pPr>
              <w:spacing w:after="0"/>
              <w:rPr>
                <w:sz w:val="11"/>
                <w:szCs w:val="11"/>
                <w:color w:val="auto"/>
              </w:rPr>
            </w:pPr>
          </w:p>
        </w:tc>
        <w:tc>
          <w:tcPr>
            <w:tcW w:w="1760" w:type="dxa"/>
            <w:vAlign w:val="bottom"/>
            <w:tcBorders>
              <w:top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rPr>
              <w:t>(Restricted stock</w:t>
            </w: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7580" w:type="dxa"/>
            <w:vAlign w:val="bottom"/>
          </w:tcPr>
          <w:p>
            <w:pPr>
              <w:spacing w:after="0"/>
              <w:rPr>
                <w:sz w:val="16"/>
                <w:szCs w:val="16"/>
                <w:color w:val="auto"/>
              </w:rPr>
            </w:pP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units in thousands)</w:t>
            </w:r>
          </w:p>
        </w:tc>
        <w:tc>
          <w:tcPr>
            <w:tcW w:w="2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July 31, 2022</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43.88</w:t>
            </w:r>
          </w:p>
        </w:tc>
        <w:tc>
          <w:tcPr>
            <w:tcW w:w="0" w:type="dxa"/>
            <w:vAlign w:val="bottom"/>
          </w:tcPr>
          <w:p>
            <w:pPr>
              <w:spacing w:after="0"/>
              <w:rPr>
                <w:sz w:val="1"/>
                <w:szCs w:val="1"/>
                <w:color w:val="auto"/>
              </w:rPr>
            </w:pPr>
          </w:p>
        </w:tc>
      </w:tr>
      <w:tr>
        <w:trPr>
          <w:trHeight w:val="225"/>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120" w:type="dxa"/>
            <w:vAlign w:val="bottom"/>
          </w:tcPr>
          <w:p>
            <w:pPr>
              <w:spacing w:after="0"/>
              <w:rPr>
                <w:sz w:val="19"/>
                <w:szCs w:val="19"/>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47.12</w:t>
            </w:r>
          </w:p>
        </w:tc>
        <w:tc>
          <w:tcPr>
            <w:tcW w:w="0" w:type="dxa"/>
            <w:vAlign w:val="bottom"/>
          </w:tcPr>
          <w:p>
            <w:pPr>
              <w:spacing w:after="0"/>
              <w:rPr>
                <w:sz w:val="1"/>
                <w:szCs w:val="1"/>
                <w:color w:val="auto"/>
              </w:rPr>
            </w:pPr>
          </w:p>
        </w:tc>
      </w:tr>
      <w:tr>
        <w:trPr>
          <w:trHeight w:val="225"/>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45.29</w:t>
            </w:r>
          </w:p>
        </w:tc>
        <w:tc>
          <w:tcPr>
            <w:tcW w:w="0" w:type="dxa"/>
            <w:vAlign w:val="bottom"/>
          </w:tcPr>
          <w:p>
            <w:pPr>
              <w:spacing w:after="0"/>
              <w:rPr>
                <w:sz w:val="1"/>
                <w:szCs w:val="1"/>
                <w:color w:val="auto"/>
              </w:rPr>
            </w:pPr>
          </w:p>
        </w:tc>
      </w:tr>
      <w:tr>
        <w:trPr>
          <w:trHeight w:val="225"/>
        </w:trPr>
        <w:tc>
          <w:tcPr>
            <w:tcW w:w="7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43.96</w:t>
            </w:r>
          </w:p>
        </w:tc>
        <w:tc>
          <w:tcPr>
            <w:tcW w:w="0" w:type="dxa"/>
            <w:vAlign w:val="bottom"/>
          </w:tcPr>
          <w:p>
            <w:pPr>
              <w:spacing w:after="0"/>
              <w:rPr>
                <w:sz w:val="1"/>
                <w:szCs w:val="1"/>
                <w:color w:val="auto"/>
              </w:rPr>
            </w:pPr>
          </w:p>
        </w:tc>
      </w:tr>
      <w:tr>
        <w:trPr>
          <w:trHeight w:val="243"/>
        </w:trPr>
        <w:tc>
          <w:tcPr>
            <w:tcW w:w="7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October 30, 2022</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44.99</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determine the fair value of time-lapse restricted stock units based on the quoted price of our stock at the date of grant. We expense time-lapse restricted stock units on a straight-line basis over the vesting period, except for awards issued to retirement-eligible participants, which we expense on an accelerated basis.</w:t>
      </w:r>
    </w:p>
    <w:p>
      <w:pPr>
        <w:spacing w:after="0" w:line="4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 2023 and 2022, we granted EPS performance restricted stock units that will be earned upon the achievement of our adjusted EPS compound annual growth rate goal, measured over a three-year period. The actual number of EPS performance restricted stock units issued at the vesting date could range from 0% to 200% of the initial grant depending on actual performance achieved. The fair value of EPS performance restricted stock units is based upon the quoted price of our stock at the date of grant. We expense EPS performance restricted stock units on a straight-line basis over the service period, except for awards issued to retirement-eligible participants, which we expense on an accelerated basis. We estimate expense based on the number of awards expected to vest. There were 590 thousand EPS performance target grants outstanding at October 30, 2022, with a weighted-average grant-date fair value of $44.32.</w:t>
      </w:r>
    </w:p>
    <w:p>
      <w:pPr>
        <w:spacing w:after="0" w:line="66"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In 2019, we issued approximately 388 thousand FCF performance restricted stock units for which vesting was contingent upon achievement of free cash flow (defined as Net cash provided by operating activities less capital expenditures and certain investing and financing activities) compared to annual operating plan objectives over a three-year period. An annual objective was established each fiscal year for three consecutive years. Performance against these objectives was averaged at the end of the three-year period to determine the number of underlying units that would vest at the end of the three years. The actual number of FCF performance restricted stock units issued at the vesting date could have ranged from 0% to 200% of the initial grant depending on actual performance achieved. The fair value of FCF performance restricted stock units was based upon the quoted price of our stock at the date of grant. We expensed FCF performance restricted stock units over the requisite service period of each objective. We estimated expense based on the number of awards expected to vest. In the first quarter of 2022, recipients of FCF performance restricted stock units earned 167% of the initial grants based upon the average of actual performance achieved during a three-year period ended August 1, 2021. As a result, approximately 158 thousand additional shares were awarded. As of October 31, 2021, there were no FCF performance target grants outstanding.</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19" w:name="page20"/>
    <w:bookmarkEnd w:id="19"/>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As of October 30, 2022, total remaining unearned compensation related to nonvested time-lapse restricted stock units and EPS performance restricted stock units was $72 million, which will be amortized over the weighted-average remaining service period of 2.0 years. The fair value of restricted stock units vested during the three-month periods ended October 30, 2022, and October 31, 2021, was $34 million, and $48 million, respectively. The weighted-average grant-date fair value of the restricted stock units granted during the three-month period ended October 31, 2021 was $41.82.</w:t>
      </w:r>
    </w:p>
    <w:p>
      <w:pPr>
        <w:spacing w:after="0" w:line="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TSR performance restricted stock units as of October 30, 2022:</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tcPr>
          <w:p>
            <w:pPr>
              <w:spacing w:after="0"/>
              <w:rPr>
                <w:sz w:val="13"/>
                <w:szCs w:val="13"/>
                <w:color w:val="auto"/>
              </w:rPr>
            </w:pPr>
          </w:p>
        </w:tc>
        <w:tc>
          <w:tcPr>
            <w:tcW w:w="17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Weighted-Average Grant-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7820" w:type="dxa"/>
            <w:vAlign w:val="bottom"/>
          </w:tcPr>
          <w:p>
            <w:pPr>
              <w:spacing w:after="0"/>
              <w:rPr>
                <w:sz w:val="16"/>
                <w:szCs w:val="16"/>
                <w:color w:val="auto"/>
              </w:rPr>
            </w:pPr>
          </w:p>
        </w:tc>
        <w:tc>
          <w:tcPr>
            <w:tcW w:w="1740" w:type="dxa"/>
            <w:vAlign w:val="bottom"/>
            <w:gridSpan w:val="3"/>
            <w:vMerge w:val="continue"/>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7820" w:type="dxa"/>
            <w:vAlign w:val="bottom"/>
          </w:tcPr>
          <w:p>
            <w:pPr>
              <w:spacing w:after="0"/>
              <w:rPr>
                <w:sz w:val="11"/>
                <w:szCs w:val="11"/>
                <w:color w:val="auto"/>
              </w:rPr>
            </w:pPr>
          </w:p>
        </w:tc>
        <w:tc>
          <w:tcPr>
            <w:tcW w:w="1640" w:type="dxa"/>
            <w:vAlign w:val="bottom"/>
            <w:tcBorders>
              <w:top w:val="single" w:sz="8" w:color="auto"/>
            </w:tcBorders>
            <w:gridSpan w:val="2"/>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rPr>
              <w:t>(Restricted stock</w:t>
            </w:r>
          </w:p>
        </w:tc>
        <w:tc>
          <w:tcPr>
            <w:tcW w:w="1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7820" w:type="dxa"/>
            <w:vAlign w:val="bottom"/>
          </w:tcPr>
          <w:p>
            <w:pPr>
              <w:spacing w:after="0"/>
              <w:rPr>
                <w:sz w:val="16"/>
                <w:szCs w:val="16"/>
                <w:color w:val="auto"/>
              </w:rPr>
            </w:pPr>
          </w:p>
        </w:tc>
        <w:tc>
          <w:tcPr>
            <w:tcW w:w="17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units in thousands)</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July 31, 2022</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Pr>
          <w:p>
            <w:pPr>
              <w:spacing w:after="0"/>
              <w:rPr>
                <w:sz w:val="19"/>
                <w:szCs w:val="19"/>
                <w:color w:val="auto"/>
              </w:rPr>
            </w:pP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53.74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51.16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October 30, 2022</w:t>
            </w:r>
          </w:p>
        </w:tc>
        <w:tc>
          <w:tcPr>
            <w:tcW w:w="16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56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We estimated the fair value of TSR performance restricted stock units at the grant date using a Monte Carlo simulation.</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7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Assumptions used in the Monte Carlo simulation were as follows:</w:t>
            </w: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7820" w:type="dxa"/>
            <w:vAlign w:val="bottom"/>
          </w:tcPr>
          <w:p>
            <w:pPr>
              <w:spacing w:after="0"/>
              <w:rPr>
                <w:sz w:val="17"/>
                <w:szCs w:val="17"/>
                <w:color w:val="auto"/>
              </w:rPr>
            </w:pPr>
          </w:p>
        </w:tc>
        <w:tc>
          <w:tcPr>
            <w:tcW w:w="1640" w:type="dxa"/>
            <w:vAlign w:val="bottom"/>
            <w:gridSpan w:val="2"/>
          </w:tcPr>
          <w:p>
            <w:pPr>
              <w:jc w:val="center"/>
              <w:ind w:left="107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gridSpan w:val="2"/>
          </w:tcPr>
          <w:p>
            <w:pPr>
              <w:jc w:val="center"/>
              <w:ind w:left="5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78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7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center"/>
              <w:ind w:left="212"/>
              <w:spacing w:after="0"/>
              <w:rPr>
                <w:sz w:val="20"/>
                <w:szCs w:val="20"/>
                <w:color w:val="auto"/>
              </w:rPr>
            </w:pPr>
            <w:r>
              <w:rPr>
                <w:rFonts w:ascii="Times New Roman" w:cs="Times New Roman" w:eastAsia="Times New Roman" w:hAnsi="Times New Roman"/>
                <w:sz w:val="18"/>
                <w:szCs w:val="18"/>
                <w:b w:val="1"/>
                <w:bCs w:val="1"/>
                <w:color w:val="auto"/>
              </w:rPr>
              <w:t>4.29%</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0.45%</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740" w:type="dxa"/>
            <w:vAlign w:val="bottom"/>
            <w:gridSpan w:val="3"/>
          </w:tcPr>
          <w:p>
            <w:pPr>
              <w:jc w:val="center"/>
              <w:ind w:left="998"/>
              <w:spacing w:after="0"/>
              <w:rPr>
                <w:sz w:val="20"/>
                <w:szCs w:val="20"/>
                <w:color w:val="auto"/>
              </w:rPr>
            </w:pPr>
            <w:r>
              <w:rPr>
                <w:rFonts w:ascii="Times New Roman" w:cs="Times New Roman" w:eastAsia="Times New Roman" w:hAnsi="Times New Roman"/>
                <w:sz w:val="18"/>
                <w:szCs w:val="18"/>
                <w:b w:val="1"/>
                <w:bCs w:val="1"/>
                <w:color w:val="auto"/>
              </w:rPr>
              <w:t>3.09%</w:t>
            </w:r>
          </w:p>
        </w:tc>
        <w:tc>
          <w:tcPr>
            <w:tcW w:w="300" w:type="dxa"/>
            <w:vAlign w:val="bottom"/>
          </w:tcPr>
          <w:p>
            <w:pPr>
              <w:spacing w:after="0"/>
              <w:rPr>
                <w:sz w:val="19"/>
                <w:szCs w:val="19"/>
                <w:color w:val="auto"/>
              </w:rPr>
            </w:pPr>
          </w:p>
        </w:tc>
        <w:tc>
          <w:tcPr>
            <w:tcW w:w="1340" w:type="dxa"/>
            <w:vAlign w:val="bottom"/>
            <w:gridSpan w:val="2"/>
          </w:tcPr>
          <w:p>
            <w:pPr>
              <w:jc w:val="center"/>
              <w:ind w:left="76"/>
              <w:spacing w:after="0"/>
              <w:rPr>
                <w:sz w:val="20"/>
                <w:szCs w:val="20"/>
                <w:color w:val="auto"/>
              </w:rPr>
            </w:pPr>
            <w:r>
              <w:rPr>
                <w:rFonts w:ascii="Times New Roman" w:cs="Times New Roman" w:eastAsia="Times New Roman" w:hAnsi="Times New Roman"/>
                <w:sz w:val="18"/>
                <w:szCs w:val="18"/>
                <w:color w:val="auto"/>
                <w:w w:val="98"/>
              </w:rPr>
              <w:t>3.50%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740" w:type="dxa"/>
            <w:vAlign w:val="bottom"/>
            <w:gridSpan w:val="3"/>
            <w:shd w:val="clear" w:color="auto" w:fill="CCEEFF"/>
          </w:tcPr>
          <w:p>
            <w:pPr>
              <w:jc w:val="center"/>
              <w:ind w:left="998"/>
              <w:spacing w:after="0"/>
              <w:rPr>
                <w:sz w:val="20"/>
                <w:szCs w:val="20"/>
                <w:color w:val="auto"/>
              </w:rPr>
            </w:pPr>
            <w:r>
              <w:rPr>
                <w:rFonts w:ascii="Times New Roman" w:cs="Times New Roman" w:eastAsia="Times New Roman" w:hAnsi="Times New Roman"/>
                <w:sz w:val="18"/>
                <w:szCs w:val="18"/>
                <w:b w:val="1"/>
                <w:bCs w:val="1"/>
                <w:color w:val="auto"/>
                <w:w w:val="99"/>
              </w:rPr>
              <w:t>26.40%</w:t>
            </w:r>
          </w:p>
        </w:tc>
        <w:tc>
          <w:tcPr>
            <w:tcW w:w="3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center"/>
              <w:ind w:left="76"/>
              <w:spacing w:after="0"/>
              <w:rPr>
                <w:sz w:val="20"/>
                <w:szCs w:val="20"/>
                <w:color w:val="auto"/>
              </w:rPr>
            </w:pPr>
            <w:r>
              <w:rPr>
                <w:rFonts w:ascii="Times New Roman" w:cs="Times New Roman" w:eastAsia="Times New Roman" w:hAnsi="Times New Roman"/>
                <w:sz w:val="18"/>
                <w:szCs w:val="18"/>
                <w:color w:val="auto"/>
                <w:w w:val="97"/>
              </w:rPr>
              <w:t>27.43%</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w:t>
            </w:r>
          </w:p>
        </w:tc>
        <w:tc>
          <w:tcPr>
            <w:tcW w:w="780" w:type="dxa"/>
            <w:vAlign w:val="bottom"/>
          </w:tcPr>
          <w:p>
            <w:pPr>
              <w:spacing w:after="0"/>
              <w:rPr>
                <w:sz w:val="20"/>
                <w:szCs w:val="20"/>
                <w:color w:val="auto"/>
              </w:rPr>
            </w:pPr>
          </w:p>
        </w:tc>
        <w:tc>
          <w:tcPr>
            <w:tcW w:w="9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3 years</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3 years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9"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recognize compensation expense on a straight-line basis over the service period, except for awards issued to retirement eligible participants, which we expense on an accelerated basis. As of October 30, 2022, total remaining unearned compensation related to TSR performance restricted stock units was $25 million, which will be amortized over the weighted-average remaining service period of 2.0 years. In the first quarter of 2023, recipients of TSR performance restricted stock units earned 100% of the initial grants based upon our TSR ranking in a performance peer group during a three-year period ended July 29, 2022. In the first quarter of 2022, recipients of TSR performance restricted stock units earned 75% of the initial grants based upon our TSR ranking in a performance peer group during a three-year period ended July 30, 2021. The fair value of TSR performance restricted stock units vested during the three-month periods ended October 30, 2022, and October 31, 2021, was $21 million and $8 million, respectively. The grant-date fair value of the TSR performance restricted stock units granted during three-month period ended October 31, 2021, was $45.65.</w:t>
      </w:r>
    </w:p>
    <w:p>
      <w:pPr>
        <w:spacing w:after="0" w:line="5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tax benefits on the exercise of stock options in the three-month periods ended October 30, 2022, and October 31, 2021 were not material. Cash received from the exercise of stock options was $2 million and $1 million for the three-month periods ended October 30, 2022, and October 31, 2021, respectively, and is reflected in cash flows from financing activities in the Consolidated Statements of Cash Flows.</w:t>
      </w:r>
    </w:p>
    <w:p>
      <w:pPr>
        <w:spacing w:after="0" w:line="149" w:lineRule="exact"/>
        <w:rPr>
          <w:sz w:val="20"/>
          <w:szCs w:val="20"/>
          <w:color w:val="auto"/>
        </w:rPr>
      </w:pPr>
    </w:p>
    <w:p>
      <w:pPr>
        <w:ind w:right="8460" w:firstLine="6"/>
        <w:spacing w:after="0" w:line="367" w:lineRule="auto"/>
        <w:tabs>
          <w:tab w:leader="none" w:pos="265" w:val="left"/>
        </w:tabs>
        <w:numPr>
          <w:ilvl w:val="0"/>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Commitments and Contingencies </w:t>
      </w:r>
      <w:r>
        <w:rPr>
          <w:rFonts w:ascii="Times New Roman" w:cs="Times New Roman" w:eastAsia="Times New Roman" w:hAnsi="Times New Roman"/>
          <w:sz w:val="17"/>
          <w:szCs w:val="17"/>
          <w:i w:val="1"/>
          <w:iCs w:val="1"/>
          <w:color w:val="auto"/>
        </w:rPr>
        <w:t>Regulatory and Litigation Matters</w:t>
      </w: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are involved in various pending or threatened legal or regulatory proceedings, including purported class actions, arising from the conduct of business both in the ordinary course and otherwise. Modern pleading practice in the U.S. permits considerable variation in the assertion of monetary damages or other relief. Jurisdictions may permit claimants not to specify the monetary damages sought or may permit claimants to state only that the amount sought is sufficient to invoke the jurisdiction of the trial court. In addition, jurisdictions may permit plaintiffs to allege monetary damages in amounts well exceeding reasonably possible verdicts in the jurisdiction for similar matters. This variability in pleadings, together with our actual experiences in litigating or resolving through settlement numerous claims over an extended period of time, demonstrates to us that the monetary relief which may be specified in a lawsuit or claim bears little relevance to its merits or disposition value.</w:t>
      </w:r>
    </w:p>
    <w:p>
      <w:pPr>
        <w:spacing w:after="0" w:line="6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Due to the unpredictable nature of litigation, the outcome of a litigation matter and the amount or range of potential loss at particular points in time is normally difficult to ascertain. Uncertainties can include how fact finders will evaluate documentary evidence and the credibility and effectiveness of witness testimony, and how trial and appellate courts will apply the law in the context of the pleadings or evidence presented, whether by motion practice, or at trial or on appeal. Disposition valuations are</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also subject to the uncertainty of how opposing parties and their counsel will themselves view the relevant evidence and applicable law.</w:t>
      </w:r>
    </w:p>
    <w:p>
      <w:pPr>
        <w:spacing w:after="0" w:line="85"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 xml:space="preserve">On January 7, 2019, three purported shareholder class action lawsuits pending in the United States District Court for the District of New Jersey (the Court) were consolidated under the caption, </w:t>
      </w:r>
      <w:r>
        <w:rPr>
          <w:rFonts w:ascii="Times New Roman" w:cs="Times New Roman" w:eastAsia="Times New Roman" w:hAnsi="Times New Roman"/>
          <w:sz w:val="18"/>
          <w:szCs w:val="18"/>
          <w:i w:val="1"/>
          <w:iCs w:val="1"/>
          <w:color w:val="auto"/>
        </w:rPr>
        <w:t>In re Campbell Soup Company Securities Litigation,</w:t>
      </w:r>
      <w:r>
        <w:rPr>
          <w:rFonts w:ascii="Times New Roman" w:cs="Times New Roman" w:eastAsia="Times New Roman" w:hAnsi="Times New Roman"/>
          <w:sz w:val="18"/>
          <w:szCs w:val="18"/>
          <w:color w:val="auto"/>
        </w:rPr>
        <w:t xml:space="preserve"> Civ. No. 1:18-cv-14385-NLH-JS (the Action). Oklahoma Firefighters Pension and Retirement System was appointed lead plaintiff in the Action and, on March 1, 2019, filed an amended consolidated complaint. The company, Denise Morrison (the company's former President and Chief Executive Officer), and Anthony DiSilvestro (the company's former Senior Vice President and Chief Financial Officer) are defendants in the Action. The amended consolidated complaint alleges that, in public statements between July 19, 2017 and May 17, 2018, the defendants made materially false and misleading statements and/or omitted material information about the company's business, operations, customer relationships, and prospects, specifically with regard to the Campbell Fresh segment. The amended consolidated complaint seeks unspecified monetary damages and other relief. On April 30, 2019, the defendants filed a motion to dismiss the amended consolidated complaint, which the Court granted on November 30, 2020, with leave to amend the complaint. On January 15, 2021, the plaintiff filed its second amended consolidated complaint. On March 10, 2021 the defendants filed a motion to dismiss the second amended consolidated complaint. On October 11, 2022, the Court granted the defendants’ motion to dismiss the second amended consolidated complaint with prejudice. The plaintiff did not appeal the Court's order dismissing the second amended consolidated complaint with prejudice, bringing this matter to a conclusion.</w:t>
      </w:r>
    </w:p>
    <w:p>
      <w:pPr>
        <w:spacing w:after="0" w:line="70"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establish liabilities for litigation and regulatory loss contingencies when information related to the loss contingencies shows both that it is probable that a loss has been incurred and the amount of the loss can be reasonably estimated. It is possible that some matters could require us to pay damages or make other expenditures or establish accruals in amounts that could not be reasonably estimated as of October 30, 2022. While the potential future charges could be material in a particular quarter or annual period, based on information currently known by us, we do not believe any such charges are likely to have a material adverse effect on our consolidated results of operations or financial condition.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Contingencies</w:t>
      </w:r>
    </w:p>
    <w:p>
      <w:pPr>
        <w:spacing w:after="0" w:line="8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have provided certain indemnifications in connection with divestitures, contracts and other transactions. Certain indemnifications have finite expiration dates. Liabilities recognized based on known exposures related to such matters were not material at October 30, 2022.</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Supplemental Financial Statement Data</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October 30, 2022</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0" w:type="dxa"/>
            <w:vAlign w:val="bottom"/>
          </w:tcPr>
          <w:p>
            <w:pPr>
              <w:spacing w:after="0"/>
              <w:rPr>
                <w:sz w:val="1"/>
                <w:szCs w:val="1"/>
                <w:color w:val="auto"/>
              </w:rPr>
            </w:pPr>
          </w:p>
        </w:tc>
      </w:tr>
      <w:tr>
        <w:trPr>
          <w:trHeight w:val="192"/>
        </w:trPr>
        <w:tc>
          <w:tcPr>
            <w:tcW w:w="5140" w:type="dxa"/>
            <w:vAlign w:val="bottom"/>
            <w:tcBorders>
              <w:bottom w:val="single" w:sz="8" w:color="CCEEFF"/>
            </w:tcBorders>
            <w:vMerge w:val="continue"/>
          </w:tcPr>
          <w:p>
            <w:pPr>
              <w:spacing w:after="0"/>
              <w:rPr>
                <w:sz w:val="16"/>
                <w:szCs w:val="16"/>
                <w:color w:val="auto"/>
              </w:rPr>
            </w:pPr>
          </w:p>
        </w:tc>
        <w:tc>
          <w:tcPr>
            <w:tcW w:w="33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2"/>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Balance Sheets</w:t>
            </w:r>
          </w:p>
        </w:tc>
        <w:tc>
          <w:tcPr>
            <w:tcW w:w="3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3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Raw materials, containers and supplies</w:t>
            </w:r>
          </w:p>
        </w:tc>
        <w:tc>
          <w:tcPr>
            <w:tcW w:w="3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481</w:t>
            </w:r>
          </w:p>
        </w:tc>
        <w:tc>
          <w:tcPr>
            <w:tcW w:w="6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r>
        <w:trPr>
          <w:trHeight w:val="225"/>
        </w:trPr>
        <w:tc>
          <w:tcPr>
            <w:tcW w:w="5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Finished products</w:t>
            </w:r>
          </w:p>
        </w:tc>
        <w:tc>
          <w:tcPr>
            <w:tcW w:w="33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880</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0" w:type="dxa"/>
            <w:vAlign w:val="bottom"/>
          </w:tcPr>
          <w:p>
            <w:pPr>
              <w:spacing w:after="0"/>
              <w:rPr>
                <w:sz w:val="1"/>
                <w:szCs w:val="1"/>
                <w:color w:val="auto"/>
              </w:rPr>
            </w:pPr>
          </w:p>
        </w:tc>
      </w:tr>
      <w:tr>
        <w:trPr>
          <w:trHeight w:val="243"/>
        </w:trPr>
        <w:tc>
          <w:tcPr>
            <w:tcW w:w="5140" w:type="dxa"/>
            <w:vAlign w:val="bottom"/>
            <w:tcBorders>
              <w:bottom w:val="single" w:sz="8" w:color="CCEEFF"/>
            </w:tcBorders>
            <w:shd w:val="clear" w:color="auto" w:fill="CCEEFF"/>
          </w:tcPr>
          <w:p>
            <w:pPr>
              <w:spacing w:after="0"/>
              <w:rPr>
                <w:sz w:val="20"/>
                <w:szCs w:val="20"/>
                <w:color w:val="auto"/>
              </w:rPr>
            </w:pPr>
          </w:p>
        </w:tc>
        <w:tc>
          <w:tcPr>
            <w:tcW w:w="33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1,361</w:t>
            </w:r>
          </w:p>
        </w:tc>
        <w:tc>
          <w:tcPr>
            <w:tcW w:w="6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51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20" w:type="dxa"/>
            <w:vAlign w:val="bottom"/>
            <w:gridSpan w:val="6"/>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4"/>
        </w:trPr>
        <w:tc>
          <w:tcPr>
            <w:tcW w:w="5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3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140" w:type="dxa"/>
            <w:vAlign w:val="bottom"/>
            <w:vMerge w:val="continue"/>
          </w:tcPr>
          <w:p>
            <w:pPr>
              <w:spacing w:after="0"/>
              <w:rPr>
                <w:sz w:val="16"/>
                <w:szCs w:val="16"/>
                <w:color w:val="auto"/>
              </w:rPr>
            </w:pPr>
          </w:p>
        </w:tc>
        <w:tc>
          <w:tcPr>
            <w:tcW w:w="3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October 30, 2022</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gridSpan w:val="2"/>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October 31, 2021</w:t>
            </w:r>
          </w:p>
        </w:tc>
        <w:tc>
          <w:tcPr>
            <w:tcW w:w="0" w:type="dxa"/>
            <w:vAlign w:val="bottom"/>
          </w:tcPr>
          <w:p>
            <w:pPr>
              <w:spacing w:after="0"/>
              <w:rPr>
                <w:sz w:val="1"/>
                <w:szCs w:val="1"/>
                <w:color w:val="auto"/>
              </w:rPr>
            </w:pPr>
          </w:p>
        </w:tc>
      </w:tr>
      <w:tr>
        <w:trPr>
          <w:trHeight w:val="212"/>
        </w:trPr>
        <w:tc>
          <w:tcPr>
            <w:tcW w:w="5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Statements of Earnings</w:t>
            </w:r>
          </w:p>
        </w:tc>
        <w:tc>
          <w:tcPr>
            <w:tcW w:w="33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expenses / (income)</w:t>
            </w:r>
          </w:p>
        </w:tc>
        <w:tc>
          <w:tcPr>
            <w:tcW w:w="3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580" w:type="dxa"/>
            <w:vAlign w:val="bottom"/>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6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5"/>
        </w:trPr>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periodic benefit expense (income) other than the service cost</w:t>
            </w:r>
          </w:p>
        </w:tc>
        <w:tc>
          <w:tcPr>
            <w:tcW w:w="3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5"/>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9"/>
        </w:trPr>
        <w:tc>
          <w:tcPr>
            <w:tcW w:w="514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Borders>
              <w:top w:val="single" w:sz="8" w:color="auto"/>
              <w:bottom w:val="single" w:sz="8" w:color="auto"/>
            </w:tcBorders>
            <w:gridSpan w:val="2"/>
          </w:tcPr>
          <w:p>
            <w:pPr>
              <w:jc w:val="right"/>
              <w:ind w:right="14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3380" w:type="dxa"/>
            <w:vAlign w:val="bottom"/>
            <w:vMerge w:val="restart"/>
          </w:tcPr>
          <w:p>
            <w:pPr>
              <w:jc w:val="right"/>
              <w:ind w:right="2712"/>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2"/>
        </w:trPr>
        <w:tc>
          <w:tcPr>
            <w:tcW w:w="5140" w:type="dxa"/>
            <w:vAlign w:val="bottom"/>
          </w:tcPr>
          <w:p>
            <w:pPr>
              <w:spacing w:after="0"/>
              <w:rPr>
                <w:sz w:val="24"/>
                <w:szCs w:val="24"/>
                <w:color w:val="auto"/>
              </w:rPr>
            </w:pPr>
          </w:p>
        </w:tc>
        <w:tc>
          <w:tcPr>
            <w:tcW w:w="33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5140" w:type="dxa"/>
            <w:vAlign w:val="bottom"/>
            <w:tcBorders>
              <w:bottom w:val="single" w:sz="8" w:color="9A9A9A"/>
            </w:tcBorders>
          </w:tcPr>
          <w:p>
            <w:pPr>
              <w:spacing w:after="0"/>
              <w:rPr>
                <w:sz w:val="9"/>
                <w:szCs w:val="9"/>
                <w:color w:val="auto"/>
              </w:rPr>
            </w:pPr>
          </w:p>
        </w:tc>
        <w:tc>
          <w:tcPr>
            <w:tcW w:w="33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16. Subsequent Event</w:t>
      </w:r>
    </w:p>
    <w:p>
      <w:pPr>
        <w:spacing w:after="0" w:line="100"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On November 15, 2022, we entered into a delayed draw term loan credit agreement (the DDTL Credit Agreement) totaling up to $500 million scheduled to mature on November 15, 2025. Loans under the DDTL Credit Agreement will bear interest at the rates specified in the DDTL Credit Agreement, which vary based on the type of loan and certain other conditions. The DDTL Credit Agreement contains customary representations and warranties, affirmative and negative covenants, including a financial covenant with respect to a minimum consolidated interest coverage ratio of consolidated adjusted EBITDA to consolidated interest expense (as each is defined in the DDTL Credit Agreement) of not less than 3.25:1.00, and events of default for credit facilities of this type. We anticipate using any of the proceeds of the loans under the DDTL Credit Agreement to refinance our existing $566 million Notes with a maturity date of March 15, 2023.</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47" w:right="339" w:bottom="1440" w:gutter="0" w:footer="0" w:header="0"/>
        </w:sectPr>
      </w:pPr>
    </w:p>
    <w:bookmarkStart w:id="22" w:name="page23"/>
    <w:bookmarkEnd w:id="22"/>
    <w:p>
      <w:pPr>
        <w:ind w:right="4100"/>
        <w:spacing w:after="0" w:line="347" w:lineRule="auto"/>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r>
        <w:rPr>
          <w:rFonts w:ascii="Times New Roman" w:cs="Times New Roman" w:eastAsia="Times New Roman" w:hAnsi="Times New Roman"/>
          <w:sz w:val="18"/>
          <w:szCs w:val="18"/>
          <w:b w:val="1"/>
          <w:bCs w:val="1"/>
          <w:color w:val="auto"/>
        </w:rPr>
        <w:t xml:space="preserve"> OVERVIEW</w:t>
      </w:r>
    </w:p>
    <w:p>
      <w:pPr>
        <w:spacing w:after="0" w:line="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is provided as a supplement to, and should be read in conjunction with, the Consolidated Financial Statements and the Notes to the Consolidated Financial Statements in "Part I - Item 1. Financial Statements," and our Form 10-K for the year ended July 31, 2022, including but not limited to "Part I - Item 1A. Risk Factors" and "Part II - Item 7. Management's Discussion and Analysis of Financial Condition and Results of Operations."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Summary</w:t>
      </w:r>
    </w:p>
    <w:p>
      <w:pPr>
        <w:spacing w:after="0" w:line="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Unless otherwise stated, the terms "we," "us," "our" and the "company" refer to Campbell Soup Company and its consolidated subsidiaries.</w:t>
      </w:r>
    </w:p>
    <w:p>
      <w:pPr>
        <w:spacing w:after="0" w:line="9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are a manufacturer and marketer of high-quality, branded food and beverage products. We operate in a highly competitive industry and experience competition in all of our categories.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Trends</w:t>
      </w:r>
    </w:p>
    <w:p>
      <w:pPr>
        <w:spacing w:after="0" w:line="8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have been actively monitoring the impact of the dynamic macroeconomic environment, including input cost inflation, the conflict between Russia and Ukraine and the COVID-19 pandemic, on all aspects of our business.</w:t>
      </w:r>
    </w:p>
    <w:p>
      <w:pPr>
        <w:spacing w:after="0" w:line="4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anticipate that 2023 will continue to be a dynamic macroeconomic environment and we expect elevated levels of input cost inflation to persist throughout 2023. We will continue to take actions to mitigate a portion of this inflationary pressure, but we do not expect such benefits will fully offset the incremental costs in 2023.</w:t>
      </w:r>
    </w:p>
    <w:p>
      <w:pPr>
        <w:spacing w:after="0" w:line="5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While we as a North American focused company have no direct exposure to Russia and Ukraine, we have experienced shortages in materials and increased costs for transportation, energy and raw materials due in part to the negative impact of the Russia-Ukraine conflict on the global economy. To date, the conflict between Russia and Ukraine has not had any material impact on our business, financial condition or results of operations.</w:t>
      </w:r>
    </w:p>
    <w:p>
      <w:pPr>
        <w:spacing w:after="0" w:line="4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There still remains uncertainty around the COVID-19 pandemic. The ultimate impact depends on the severity and duration of the pandemic, including the emergence and spread of new COVID-19 variants and resurgences, the continued availability and effectiveness of vaccines and actions taken by government authorities and other third parties in response to the pandemic. We will continue to evaluate the extent to which the COVID-19 pandemic will impact our business, consolidated results of operations and financial condition.</w:t>
      </w:r>
    </w:p>
    <w:p>
      <w:pPr>
        <w:spacing w:after="0" w:line="6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Net periodic pension and postretirement benefit income excluding any actuarial losses or gains is estimated to be approximately $35 million lower in 2023, subject to the impact of interim remeasurements. The decrease in 2023 is due to increases in discount rates used to determine the benefit obligations and a decline in the market value of plan assets.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Results</w:t>
      </w:r>
    </w:p>
    <w:p>
      <w:pPr>
        <w:spacing w:after="0" w:line="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This Summary of Results provides significant highlights from the discussion and analysis that follows.</w:t>
      </w:r>
    </w:p>
    <w:p>
      <w:pPr>
        <w:spacing w:after="0" w:line="98" w:lineRule="exact"/>
        <w:rPr>
          <w:sz w:val="20"/>
          <w:szCs w:val="20"/>
          <w:color w:val="auto"/>
        </w:rPr>
      </w:pPr>
    </w:p>
    <w:p>
      <w:pPr>
        <w:ind w:left="640" w:hanging="316"/>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increased 15% in the quarter to $2.575 billion due to inflation-driven pricing and sales allowances, partially offset by volume declines.</w:t>
      </w:r>
    </w:p>
    <w:p>
      <w:pPr>
        <w:spacing w:after="0" w:line="97"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as a percent of sales, was 32.4% in 2023 compared to 32.3% in the prior-year quarter. The increase was primarily due to inflation-driven pricing actions, supply chain productivity improvements, lower promotional spending and lower restructuring-related costs, partially offset by higher cost inflation and other supply chain costs as well as unfavorable volume/mix.</w:t>
      </w:r>
    </w:p>
    <w:p>
      <w:pPr>
        <w:spacing w:after="0" w:line="45"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per share were $.99 in 2023, compared to $.86 a year ago. The current and prior-year quarter included expenses of $.03 per share from items impacting comparability as discussed below.</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Earnings attributable to Campbell Soup Company</w:t>
      </w:r>
    </w:p>
    <w:p>
      <w:pPr>
        <w:spacing w:after="0" w:line="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items impacted the comparability of net earnings and net earnings per share:</w:t>
      </w:r>
    </w:p>
    <w:p>
      <w:pPr>
        <w:spacing w:after="0" w:line="98" w:lineRule="exact"/>
        <w:rPr>
          <w:sz w:val="20"/>
          <w:szCs w:val="20"/>
          <w:color w:val="auto"/>
        </w:rPr>
      </w:pPr>
    </w:p>
    <w:p>
      <w:pPr>
        <w:jc w:val="both"/>
        <w:ind w:left="640" w:hanging="316"/>
        <w:spacing w:after="0" w:line="252" w:lineRule="auto"/>
        <w:tabs>
          <w:tab w:leader="none" w:pos="6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implemented several cost savings initiatives in recent years. In the first quarter of 2023, we recorded implementation costs and other related costs of $3 million in Administrative expenses ($.01 per share) related to these initiatives. In the first quarter of 2022, we recorded implementation costs and other related costs of $2 million in Administrative expenses and $2 million in Cost of products sold (aggregate impact of $3 million after tax, or $.01 per share) related to these initiatives. See Note 6 to the Consolidated Financial Statements and "Restructuring Charges and Cost Savings Initiatives"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5" w:right="339" w:bottom="1440" w:gutter="0" w:footer="0" w:header="0"/>
        </w:sectPr>
      </w:pPr>
    </w:p>
    <w:bookmarkStart w:id="23" w:name="page24"/>
    <w:bookmarkEnd w:id="23"/>
    <w:p>
      <w:pPr>
        <w:jc w:val="both"/>
        <w:ind w:left="640" w:hanging="316"/>
        <w:spacing w:after="0" w:line="255"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first quarter of 2023, we recognized actuarial losses in Other expenses / (income) of $15 million ($11 million after tax, or $.04 per share). In the first quarter of 2022, we recognized actuarial losses in Other expenses / (income) of $6 million ($5 million after tax, or $.02 per share). The actuarial losses related to interim remeasurements of certain pension plans due to lump sum distributions that exceeded or are expected to exceed service and interest costs resulting in settlement accounting for the plans; and</w:t>
      </w:r>
    </w:p>
    <w:p>
      <w:pPr>
        <w:spacing w:after="0" w:line="47" w:lineRule="exact"/>
        <w:rPr>
          <w:rFonts w:ascii="Times New Roman" w:cs="Times New Roman" w:eastAsia="Times New Roman" w:hAnsi="Times New Roman"/>
          <w:sz w:val="18"/>
          <w:szCs w:val="18"/>
          <w:color w:val="auto"/>
        </w:rPr>
      </w:pPr>
    </w:p>
    <w:p>
      <w:pPr>
        <w:jc w:val="both"/>
        <w:ind w:left="640" w:hanging="316"/>
        <w:spacing w:after="0" w:line="255"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first quarter of 2023, we recognized gains in Cost of products sold of $5 million ($4 million after tax, or $.01 per share) associated with unrealized mark-to-market adjustments on outstanding undesignated commodity hedges. In the first quarter of 2022, we recognized losses in Cost of products sold of $3 million ($2 million after tax, or $.01 per share) associated with unrealized mark-to-market adjustments on outstanding undesignated commodity hedges.</w:t>
      </w:r>
    </w:p>
    <w:p>
      <w:pPr>
        <w:sectPr>
          <w:pgSz w:w="11900" w:h="16838" w:orient="portrait"/>
          <w:cols w:equalWidth="0" w:num="1">
            <w:col w:w="11240"/>
          </w:cols>
          <w:pgMar w:left="320" w:top="969" w:right="339" w:bottom="1440" w:gutter="0" w:footer="0" w:header="0"/>
        </w:sectPr>
      </w:pPr>
    </w:p>
    <w:p>
      <w:pPr>
        <w:spacing w:after="0" w:line="6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items impacting comparability are summarized below:</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31115</wp:posOffset>
            </wp:positionV>
            <wp:extent cx="7134860" cy="1682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earnings attributable to Campbell Soup Company</w:t>
      </w:r>
    </w:p>
    <w:p>
      <w:pPr>
        <w:spacing w:after="0" w:line="283" w:lineRule="exact"/>
        <w:rPr>
          <w:sz w:val="20"/>
          <w:szCs w:val="20"/>
          <w:color w:val="auto"/>
        </w:rPr>
      </w:pPr>
    </w:p>
    <w:p>
      <w:pPr>
        <w:ind w:left="20" w:right="1440"/>
        <w:spacing w:after="0" w:line="264" w:lineRule="auto"/>
        <w:rPr>
          <w:sz w:val="20"/>
          <w:szCs w:val="20"/>
          <w:color w:val="auto"/>
        </w:rPr>
      </w:pPr>
      <w:r>
        <w:rPr>
          <w:rFonts w:ascii="Times New Roman" w:cs="Times New Roman" w:eastAsia="Times New Roman" w:hAnsi="Times New Roman"/>
          <w:sz w:val="18"/>
          <w:szCs w:val="18"/>
          <w:color w:val="auto"/>
        </w:rPr>
        <w:t>Restructuring charges, implementation costs and other related costs Pension actuarial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-285115</wp:posOffset>
            </wp:positionV>
            <wp:extent cx="7134860" cy="1428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0</wp:posOffset>
            </wp:positionV>
            <wp:extent cx="7134860" cy="1428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Commodity mark-to-market gains (losses)</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Impact of items on Net earnings</w:t>
      </w:r>
      <w:r>
        <w:rPr>
          <w:rFonts w:ascii="Times New Roman" w:cs="Times New Roman" w:eastAsia="Times New Roman" w:hAnsi="Times New Roman"/>
          <w:sz w:val="22"/>
          <w:szCs w:val="22"/>
          <w:color w:val="auto"/>
          <w:vertAlign w:val="superscript"/>
        </w:rPr>
        <w:t>(1)</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__________________________________________</w:t>
      </w:r>
    </w:p>
    <w:p>
      <w:pPr>
        <w:spacing w:after="0" w:line="17" w:lineRule="exact"/>
        <w:rPr>
          <w:sz w:val="20"/>
          <w:szCs w:val="20"/>
          <w:color w:val="auto"/>
        </w:rPr>
      </w:pPr>
    </w:p>
    <w:p>
      <w:pPr>
        <w:ind w:left="320" w:hanging="314"/>
        <w:spacing w:after="0"/>
        <w:tabs>
          <w:tab w:leader="none" w:pos="320"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Sum of the individual amounts may not add due to rounding.</w:t>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80" w:type="dxa"/>
            <w:vAlign w:val="bottom"/>
            <w:tcBorders>
              <w:top w:val="single" w:sz="8" w:color="auto"/>
              <w:bottom w:val="single" w:sz="8" w:color="auto"/>
            </w:tcBorders>
          </w:tcPr>
          <w:p>
            <w:pPr>
              <w:spacing w:after="0"/>
              <w:rPr>
                <w:sz w:val="17"/>
                <w:szCs w:val="17"/>
                <w:color w:val="auto"/>
              </w:rPr>
            </w:pPr>
          </w:p>
        </w:tc>
        <w:tc>
          <w:tcPr>
            <w:tcW w:w="1920" w:type="dxa"/>
            <w:vAlign w:val="bottom"/>
            <w:tcBorders>
              <w:top w:val="single" w:sz="8" w:color="auto"/>
              <w:bottom w:val="single" w:sz="8" w:color="auto"/>
            </w:tcBorders>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October 30, 2022</w:t>
            </w: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920" w:type="dxa"/>
            <w:vAlign w:val="bottom"/>
            <w:tcBorders>
              <w:top w:val="single" w:sz="8" w:color="auto"/>
              <w:bottom w:val="single" w:sz="8" w:color="auto"/>
            </w:tcBorders>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October 31, 2021</w:t>
            </w:r>
          </w:p>
        </w:tc>
      </w:tr>
      <w:tr>
        <w:trPr>
          <w:trHeight w:val="174"/>
        </w:trPr>
        <w:tc>
          <w:tcPr>
            <w:tcW w:w="180" w:type="dxa"/>
            <w:vAlign w:val="bottom"/>
          </w:tcPr>
          <w:p>
            <w:pPr>
              <w:spacing w:after="0"/>
              <w:rPr>
                <w:sz w:val="15"/>
                <w:szCs w:val="15"/>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200" w:type="dxa"/>
            <w:vAlign w:val="bottom"/>
          </w:tcPr>
          <w:p>
            <w:pPr>
              <w:spacing w:after="0"/>
              <w:rPr>
                <w:sz w:val="15"/>
                <w:szCs w:val="15"/>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EPS</w:t>
            </w:r>
          </w:p>
        </w:tc>
        <w:tc>
          <w:tcPr>
            <w:tcW w:w="180" w:type="dxa"/>
            <w:vAlign w:val="bottom"/>
          </w:tcPr>
          <w:p>
            <w:pPr>
              <w:spacing w:after="0"/>
              <w:rPr>
                <w:sz w:val="15"/>
                <w:szCs w:val="15"/>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200" w:type="dxa"/>
            <w:vAlign w:val="bottom"/>
          </w:tcPr>
          <w:p>
            <w:pPr>
              <w:spacing w:after="0"/>
              <w:rPr>
                <w:sz w:val="15"/>
                <w:szCs w:val="15"/>
                <w:color w:val="auto"/>
              </w:rPr>
            </w:pPr>
          </w:p>
        </w:tc>
        <w:tc>
          <w:tcPr>
            <w:tcW w:w="80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EPS</w:t>
            </w:r>
          </w:p>
        </w:tc>
      </w:tr>
      <w:tr>
        <w:trPr>
          <w:trHeight w:val="186"/>
        </w:trPr>
        <w:tc>
          <w:tcPr>
            <w:tcW w:w="18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Impact</w:t>
            </w:r>
          </w:p>
        </w:tc>
        <w:tc>
          <w:tcPr>
            <w:tcW w:w="200" w:type="dxa"/>
            <w:vAlign w:val="bottom"/>
          </w:tcPr>
          <w:p>
            <w:pPr>
              <w:spacing w:after="0"/>
              <w:rPr>
                <w:sz w:val="16"/>
                <w:szCs w:val="16"/>
                <w:color w:val="auto"/>
              </w:rPr>
            </w:pPr>
          </w:p>
        </w:tc>
        <w:tc>
          <w:tcPr>
            <w:tcW w:w="9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180" w:type="dxa"/>
            <w:vAlign w:val="bottom"/>
          </w:tcPr>
          <w:p>
            <w:pPr>
              <w:spacing w:after="0"/>
              <w:rPr>
                <w:sz w:val="16"/>
                <w:szCs w:val="16"/>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200" w:type="dxa"/>
            <w:vAlign w:val="bottom"/>
          </w:tcPr>
          <w:p>
            <w:pPr>
              <w:spacing w:after="0"/>
              <w:rPr>
                <w:sz w:val="16"/>
                <w:szCs w:val="16"/>
                <w:color w:val="auto"/>
              </w:rPr>
            </w:pPr>
          </w:p>
        </w:tc>
        <w:tc>
          <w:tcPr>
            <w:tcW w:w="80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Impact</w:t>
            </w:r>
          </w:p>
        </w:tc>
      </w:tr>
      <w:tr>
        <w:trPr>
          <w:trHeight w:val="38"/>
        </w:trPr>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218"/>
        </w:trPr>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tcPr>
          <w:p>
            <w:pPr>
              <w:jc w:val="center"/>
              <w:ind w:left="377"/>
              <w:spacing w:after="0"/>
              <w:rPr>
                <w:sz w:val="20"/>
                <w:szCs w:val="20"/>
                <w:color w:val="auto"/>
              </w:rPr>
            </w:pPr>
            <w:r>
              <w:rPr>
                <w:rFonts w:ascii="Times New Roman" w:cs="Times New Roman" w:eastAsia="Times New Roman" w:hAnsi="Times New Roman"/>
                <w:sz w:val="18"/>
                <w:szCs w:val="18"/>
                <w:b w:val="1"/>
                <w:bCs w:val="1"/>
                <w:color w:val="auto"/>
                <w:w w:val="97"/>
              </w:rPr>
              <w:t>.99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center"/>
              <w:ind w:left="377"/>
              <w:spacing w:after="0"/>
              <w:rPr>
                <w:sz w:val="20"/>
                <w:szCs w:val="20"/>
                <w:color w:val="auto"/>
              </w:rPr>
            </w:pPr>
            <w:r>
              <w:rPr>
                <w:rFonts w:ascii="Times New Roman" w:cs="Times New Roman" w:eastAsia="Times New Roman" w:hAnsi="Times New Roman"/>
                <w:sz w:val="18"/>
                <w:szCs w:val="18"/>
                <w:color w:val="auto"/>
                <w:w w:val="97"/>
              </w:rPr>
              <w:t>.86</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450"/>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center"/>
              <w:ind w:left="337"/>
              <w:spacing w:after="0"/>
              <w:rPr>
                <w:sz w:val="20"/>
                <w:szCs w:val="20"/>
                <w:color w:val="auto"/>
              </w:rPr>
            </w:pPr>
            <w:r>
              <w:rPr>
                <w:rFonts w:ascii="Times New Roman" w:cs="Times New Roman" w:eastAsia="Times New Roman" w:hAnsi="Times New Roman"/>
                <w:sz w:val="18"/>
                <w:szCs w:val="18"/>
                <w:b w:val="1"/>
                <w:bCs w:val="1"/>
                <w:color w:val="auto"/>
                <w:w w:val="98"/>
              </w:rPr>
              <w:t>(.01)</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ind w:left="337"/>
              <w:spacing w:after="0"/>
              <w:rPr>
                <w:sz w:val="20"/>
                <w:szCs w:val="20"/>
                <w:color w:val="auto"/>
              </w:rPr>
            </w:pPr>
            <w:r>
              <w:rPr>
                <w:rFonts w:ascii="Times New Roman" w:cs="Times New Roman" w:eastAsia="Times New Roman" w:hAnsi="Times New Roman"/>
                <w:sz w:val="18"/>
                <w:szCs w:val="18"/>
                <w:color w:val="auto"/>
                <w:w w:val="98"/>
              </w:rPr>
              <w:t>(.01)</w:t>
            </w:r>
          </w:p>
        </w:tc>
      </w:tr>
      <w:tr>
        <w:trPr>
          <w:trHeight w:val="225"/>
        </w:trPr>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center"/>
              <w:ind w:left="337"/>
              <w:spacing w:after="0"/>
              <w:rPr>
                <w:sz w:val="20"/>
                <w:szCs w:val="20"/>
                <w:color w:val="auto"/>
              </w:rPr>
            </w:pPr>
            <w:r>
              <w:rPr>
                <w:rFonts w:ascii="Times New Roman" w:cs="Times New Roman" w:eastAsia="Times New Roman" w:hAnsi="Times New Roman"/>
                <w:sz w:val="18"/>
                <w:szCs w:val="18"/>
                <w:b w:val="1"/>
                <w:bCs w:val="1"/>
                <w:color w:val="auto"/>
                <w:w w:val="98"/>
              </w:rPr>
              <w:t>(.04)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center"/>
              <w:ind w:left="337"/>
              <w:spacing w:after="0"/>
              <w:rPr>
                <w:sz w:val="20"/>
                <w:szCs w:val="20"/>
                <w:color w:val="auto"/>
              </w:rPr>
            </w:pPr>
            <w:r>
              <w:rPr>
                <w:rFonts w:ascii="Times New Roman" w:cs="Times New Roman" w:eastAsia="Times New Roman" w:hAnsi="Times New Roman"/>
                <w:sz w:val="18"/>
                <w:szCs w:val="18"/>
                <w:color w:val="auto"/>
                <w:w w:val="98"/>
              </w:rPr>
              <w:t>(.02)</w:t>
            </w:r>
          </w:p>
        </w:tc>
      </w:tr>
      <w:tr>
        <w:trPr>
          <w:trHeight w:val="232"/>
        </w:trPr>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left="377"/>
              <w:spacing w:after="0"/>
              <w:rPr>
                <w:sz w:val="20"/>
                <w:szCs w:val="20"/>
                <w:color w:val="auto"/>
              </w:rPr>
            </w:pPr>
            <w:r>
              <w:rPr>
                <w:rFonts w:ascii="Times New Roman" w:cs="Times New Roman" w:eastAsia="Times New Roman" w:hAnsi="Times New Roman"/>
                <w:sz w:val="18"/>
                <w:szCs w:val="18"/>
                <w:b w:val="1"/>
                <w:bCs w:val="1"/>
                <w:color w:val="auto"/>
                <w:w w:val="97"/>
              </w:rPr>
              <w:t>.01</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left="337"/>
              <w:spacing w:after="0"/>
              <w:rPr>
                <w:sz w:val="20"/>
                <w:szCs w:val="20"/>
                <w:color w:val="auto"/>
              </w:rPr>
            </w:pPr>
            <w:r>
              <w:rPr>
                <w:rFonts w:ascii="Times New Roman" w:cs="Times New Roman" w:eastAsia="Times New Roman" w:hAnsi="Times New Roman"/>
                <w:sz w:val="18"/>
                <w:szCs w:val="18"/>
                <w:color w:val="auto"/>
                <w:w w:val="98"/>
              </w:rPr>
              <w:t>(.01)</w:t>
            </w:r>
          </w:p>
        </w:tc>
      </w:tr>
      <w:tr>
        <w:trPr>
          <w:trHeight w:val="218"/>
        </w:trPr>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tcPr>
          <w:p>
            <w:pPr>
              <w:jc w:val="center"/>
              <w:ind w:left="337"/>
              <w:spacing w:after="0"/>
              <w:rPr>
                <w:sz w:val="20"/>
                <w:szCs w:val="20"/>
                <w:color w:val="auto"/>
              </w:rPr>
            </w:pPr>
            <w:r>
              <w:rPr>
                <w:rFonts w:ascii="Times New Roman" w:cs="Times New Roman" w:eastAsia="Times New Roman" w:hAnsi="Times New Roman"/>
                <w:sz w:val="18"/>
                <w:szCs w:val="18"/>
                <w:b w:val="1"/>
                <w:bCs w:val="1"/>
                <w:color w:val="auto"/>
                <w:w w:val="98"/>
              </w:rPr>
              <w:t>(.03)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center"/>
              <w:ind w:left="337"/>
              <w:spacing w:after="0"/>
              <w:rPr>
                <w:sz w:val="20"/>
                <w:szCs w:val="20"/>
                <w:color w:val="auto"/>
              </w:rPr>
            </w:pPr>
            <w:r>
              <w:rPr>
                <w:rFonts w:ascii="Times New Roman" w:cs="Times New Roman" w:eastAsia="Times New Roman" w:hAnsi="Times New Roman"/>
                <w:sz w:val="18"/>
                <w:szCs w:val="18"/>
                <w:color w:val="auto"/>
                <w:w w:val="98"/>
              </w:rPr>
              <w:t>(.03)</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590" w:lineRule="exact"/>
        <w:rPr>
          <w:sz w:val="20"/>
          <w:szCs w:val="20"/>
          <w:color w:val="auto"/>
        </w:rPr>
      </w:pPr>
    </w:p>
    <w:p>
      <w:pPr>
        <w:sectPr>
          <w:pgSz w:w="11900" w:h="16838" w:orient="portrait"/>
          <w:cols w:equalWidth="0" w:num="2">
            <w:col w:w="6220" w:space="720"/>
            <w:col w:w="4300"/>
          </w:cols>
          <w:pgMar w:left="320" w:top="969" w:right="339" w:bottom="1440" w:gutter="0" w:footer="0" w:header="0"/>
          <w:type w:val="continuous"/>
        </w:sect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Net earnings attributable to Campbell Soup Company were $297 million ($.99 per share) in the current quarter, compared to $261 million ($.86 per share) in the year-ago quarter. After adjusting for items impacting comparability, earnings increased reflecting an improved gross profit, partially offset by higher marketing and selling expenses, a higher effective tax rate and higher other expenses. Earnings per share benefited from a reduction in the weighted average diluted shares outstanding.</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FIRST-QUARTER DISCUSSION AND ANALYSIS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w:t>
      </w:r>
    </w:p>
    <w:p>
      <w:pPr>
        <w:spacing w:after="0" w:line="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An analysis of net sales by reportable segment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80" w:type="dxa"/>
            <w:vAlign w:val="bottom"/>
            <w:gridSpan w:val="5"/>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75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October 30, 2022</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October 31, 2021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7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Meals &amp; Beverages</w:t>
            </w: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1,455</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0" w:type="dxa"/>
            <w:vAlign w:val="bottom"/>
          </w:tcPr>
          <w:p>
            <w:pPr>
              <w:spacing w:after="0"/>
              <w:rPr>
                <w:sz w:val="1"/>
                <w:szCs w:val="1"/>
                <w:color w:val="auto"/>
              </w:rPr>
            </w:pPr>
          </w:p>
        </w:tc>
      </w:tr>
      <w:tr>
        <w:trPr>
          <w:trHeight w:val="225"/>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Snacks</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1,120</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1020" w:type="dxa"/>
            <w:vAlign w:val="bottom"/>
            <w:tcBorders>
              <w:bottom w:val="single" w:sz="8" w:color="CCEEFF"/>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0" w:type="dxa"/>
            <w:vAlign w:val="bottom"/>
          </w:tcPr>
          <w:p>
            <w:pPr>
              <w:spacing w:after="0"/>
              <w:rPr>
                <w:sz w:val="1"/>
                <w:szCs w:val="1"/>
                <w:color w:val="auto"/>
              </w:rPr>
            </w:pPr>
          </w:p>
        </w:tc>
      </w:tr>
      <w:tr>
        <w:trPr>
          <w:trHeight w:val="243"/>
        </w:trPr>
        <w:tc>
          <w:tcPr>
            <w:tcW w:w="75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2,575</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1020" w:type="dxa"/>
            <w:vAlign w:val="bottom"/>
            <w:tcBorders>
              <w:bottom w:val="single" w:sz="8" w:color="CCEEFF"/>
            </w:tcBorders>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bottom w:val="single" w:sz="8" w:color="CCEEFF"/>
            </w:tcBorders>
            <w:vMerge w:val="restart"/>
          </w:tcPr>
          <w:p>
            <w:pPr>
              <w:ind w:left="320"/>
              <w:spacing w:after="0"/>
              <w:rPr>
                <w:sz w:val="20"/>
                <w:szCs w:val="20"/>
                <w:color w:val="auto"/>
              </w:rPr>
            </w:pPr>
            <w:r>
              <w:rPr>
                <w:rFonts w:ascii="Times New Roman" w:cs="Times New Roman" w:eastAsia="Times New Roman" w:hAnsi="Times New Roman"/>
                <w:sz w:val="18"/>
                <w:szCs w:val="18"/>
                <w:color w:val="auto"/>
              </w:rPr>
              <w:t>An analysis of percent change of net sales by reportable segment follows: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0"/>
        </w:trPr>
        <w:tc>
          <w:tcPr>
            <w:tcW w:w="75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7500" w:type="dxa"/>
            <w:vAlign w:val="bottom"/>
          </w:tcPr>
          <w:p>
            <w:pPr>
              <w:spacing w:after="0"/>
              <w:rPr>
                <w:sz w:val="19"/>
                <w:szCs w:val="19"/>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Meals &amp; Beverages</w:t>
            </w:r>
            <w:r>
              <w:rPr>
                <w:rFonts w:ascii="Times New Roman" w:cs="Times New Roman" w:eastAsia="Times New Roman" w:hAnsi="Times New Roman"/>
                <w:sz w:val="18"/>
                <w:szCs w:val="18"/>
                <w:b w:val="1"/>
                <w:bCs w:val="1"/>
                <w:color w:val="auto"/>
                <w:vertAlign w:val="superscript"/>
              </w:rPr>
              <w:t>(2)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Snacks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219"/>
        </w:trPr>
        <w:tc>
          <w:tcPr>
            <w:tcW w:w="7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Volume and mix</w:t>
            </w:r>
          </w:p>
        </w:tc>
        <w:tc>
          <w:tcPr>
            <w:tcW w:w="1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center"/>
              <w:ind w:right="55"/>
              <w:spacing w:after="0"/>
              <w:rPr>
                <w:sz w:val="20"/>
                <w:szCs w:val="20"/>
                <w:color w:val="auto"/>
              </w:rPr>
            </w:pPr>
            <w:r>
              <w:rPr>
                <w:rFonts w:ascii="Times New Roman" w:cs="Times New Roman" w:eastAsia="Times New Roman" w:hAnsi="Times New Roman"/>
                <w:sz w:val="18"/>
                <w:szCs w:val="18"/>
                <w:color w:val="auto"/>
                <w:w w:val="99"/>
              </w:rPr>
              <w:t>(1)%</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center"/>
              <w:ind w:right="15"/>
              <w:spacing w:after="0"/>
              <w:rPr>
                <w:sz w:val="20"/>
                <w:szCs w:val="20"/>
                <w:color w:val="auto"/>
              </w:rPr>
            </w:pPr>
            <w:r>
              <w:rPr>
                <w:rFonts w:ascii="Times New Roman" w:cs="Times New Roman" w:eastAsia="Times New Roman" w:hAnsi="Times New Roman"/>
                <w:sz w:val="18"/>
                <w:szCs w:val="18"/>
                <w:color w:val="auto"/>
                <w:w w:val="99"/>
              </w:rPr>
              <w:t>(2)%</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gridSpan w:val="2"/>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(1)%</w:t>
            </w:r>
          </w:p>
        </w:tc>
        <w:tc>
          <w:tcPr>
            <w:tcW w:w="0" w:type="dxa"/>
            <w:vAlign w:val="bottom"/>
          </w:tcPr>
          <w:p>
            <w:pPr>
              <w:spacing w:after="0"/>
              <w:rPr>
                <w:sz w:val="1"/>
                <w:szCs w:val="1"/>
                <w:color w:val="auto"/>
              </w:rPr>
            </w:pPr>
          </w:p>
        </w:tc>
      </w:tr>
      <w:tr>
        <w:trPr>
          <w:trHeight w:val="225"/>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Price and sales allowances</w:t>
            </w:r>
          </w:p>
        </w:tc>
        <w:tc>
          <w:tcPr>
            <w:tcW w:w="140" w:type="dxa"/>
            <w:vAlign w:val="bottom"/>
          </w:tcPr>
          <w:p>
            <w:pPr>
              <w:spacing w:after="0"/>
              <w:rPr>
                <w:sz w:val="19"/>
                <w:szCs w:val="19"/>
                <w:color w:val="auto"/>
              </w:rPr>
            </w:pPr>
          </w:p>
        </w:tc>
        <w:tc>
          <w:tcPr>
            <w:tcW w:w="1180" w:type="dxa"/>
            <w:vAlign w:val="bottom"/>
          </w:tcPr>
          <w:p>
            <w:pPr>
              <w:jc w:val="center"/>
              <w:ind w:right="55"/>
              <w:spacing w:after="0"/>
              <w:rPr>
                <w:sz w:val="20"/>
                <w:szCs w:val="20"/>
                <w:color w:val="auto"/>
              </w:rPr>
            </w:pPr>
            <w:r>
              <w:rPr>
                <w:rFonts w:ascii="Times New Roman" w:cs="Times New Roman" w:eastAsia="Times New Roman" w:hAnsi="Times New Roman"/>
                <w:sz w:val="18"/>
                <w:szCs w:val="18"/>
                <w:color w:val="auto"/>
                <w:w w:val="88"/>
              </w:rPr>
              <w:t>15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center"/>
              <w:ind w:right="15"/>
              <w:spacing w:after="0"/>
              <w:rPr>
                <w:sz w:val="20"/>
                <w:szCs w:val="20"/>
                <w:color w:val="auto"/>
              </w:rPr>
            </w:pPr>
            <w:r>
              <w:rPr>
                <w:rFonts w:ascii="Times New Roman" w:cs="Times New Roman" w:eastAsia="Times New Roman" w:hAnsi="Times New Roman"/>
                <w:sz w:val="18"/>
                <w:szCs w:val="18"/>
                <w:color w:val="auto"/>
                <w:w w:val="88"/>
              </w:rPr>
              <w:t>18</w:t>
            </w:r>
          </w:p>
        </w:tc>
        <w:tc>
          <w:tcPr>
            <w:tcW w:w="1020" w:type="dxa"/>
            <w:vAlign w:val="bottom"/>
            <w:gridSpan w:val="4"/>
          </w:tcPr>
          <w:p>
            <w:pPr>
              <w:jc w:val="center"/>
              <w:ind w:left="32"/>
              <w:spacing w:after="0"/>
              <w:rPr>
                <w:sz w:val="20"/>
                <w:szCs w:val="20"/>
                <w:color w:val="auto"/>
              </w:rPr>
            </w:pPr>
            <w:r>
              <w:rPr>
                <w:rFonts w:ascii="Times New Roman" w:cs="Times New Roman" w:eastAsia="Times New Roman" w:hAnsi="Times New Roman"/>
                <w:sz w:val="18"/>
                <w:szCs w:val="18"/>
                <w:color w:val="auto"/>
                <w:w w:val="99"/>
              </w:rPr>
              <w:t>16</w:t>
            </w:r>
          </w:p>
        </w:tc>
        <w:tc>
          <w:tcPr>
            <w:tcW w:w="0" w:type="dxa"/>
            <w:vAlign w:val="bottom"/>
          </w:tcPr>
          <w:p>
            <w:pPr>
              <w:spacing w:after="0"/>
              <w:rPr>
                <w:sz w:val="1"/>
                <w:szCs w:val="1"/>
                <w:color w:val="auto"/>
              </w:rPr>
            </w:pPr>
          </w:p>
        </w:tc>
      </w:tr>
      <w:tr>
        <w:trPr>
          <w:trHeight w:val="225"/>
        </w:trPr>
        <w:tc>
          <w:tcPr>
            <w:tcW w:w="750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Decreased / (increased) promotional spending</w:t>
            </w:r>
            <w:r>
              <w:rPr>
                <w:rFonts w:ascii="Times New Roman" w:cs="Times New Roman" w:eastAsia="Times New Roman" w:hAnsi="Times New Roman"/>
                <w:sz w:val="22"/>
                <w:szCs w:val="22"/>
                <w:color w:val="auto"/>
                <w:vertAlign w:val="superscript"/>
              </w:rPr>
              <w:t>(1)</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right="55"/>
              <w:spacing w:after="0"/>
              <w:rPr>
                <w:sz w:val="20"/>
                <w:szCs w:val="20"/>
                <w:color w:val="auto"/>
              </w:rPr>
            </w:pPr>
            <w:r>
              <w:rPr>
                <w:rFonts w:ascii="Times New Roman" w:cs="Times New Roman" w:eastAsia="Times New Roman" w:hAnsi="Times New Roman"/>
                <w:sz w:val="18"/>
                <w:szCs w:val="18"/>
                <w:color w:val="auto"/>
                <w:w w:val="88"/>
              </w:rPr>
              <w:t>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right="15"/>
              <w:spacing w:after="0"/>
              <w:rPr>
                <w:sz w:val="20"/>
                <w:szCs w:val="20"/>
                <w:color w:val="auto"/>
              </w:rPr>
            </w:pPr>
            <w:r>
              <w:rPr>
                <w:rFonts w:ascii="Times New Roman" w:cs="Times New Roman" w:eastAsia="Times New Roman" w:hAnsi="Times New Roman"/>
                <w:sz w:val="18"/>
                <w:szCs w:val="18"/>
                <w:color w:val="auto"/>
                <w:w w:val="95"/>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5"/>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Currency</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8"/>
                <w:szCs w:val="18"/>
                <w:color w:val="auto"/>
                <w:w w:val="95"/>
              </w:rPr>
              <w:t>(1)</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44"/>
        </w:trPr>
        <w:tc>
          <w:tcPr>
            <w:tcW w:w="75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center"/>
              <w:ind w:right="55"/>
              <w:spacing w:after="0"/>
              <w:rPr>
                <w:sz w:val="20"/>
                <w:szCs w:val="20"/>
                <w:color w:val="auto"/>
              </w:rPr>
            </w:pPr>
            <w:r>
              <w:rPr>
                <w:rFonts w:ascii="Times New Roman" w:cs="Times New Roman" w:eastAsia="Times New Roman" w:hAnsi="Times New Roman"/>
                <w:sz w:val="18"/>
                <w:szCs w:val="18"/>
                <w:color w:val="auto"/>
                <w:w w:val="96"/>
              </w:rPr>
              <w:t>15%</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center"/>
              <w:ind w:right="15"/>
              <w:spacing w:after="0"/>
              <w:rPr>
                <w:sz w:val="20"/>
                <w:szCs w:val="20"/>
                <w:color w:val="auto"/>
              </w:rPr>
            </w:pPr>
            <w:r>
              <w:rPr>
                <w:rFonts w:ascii="Times New Roman" w:cs="Times New Roman" w:eastAsia="Times New Roman" w:hAnsi="Times New Roman"/>
                <w:sz w:val="18"/>
                <w:szCs w:val="18"/>
                <w:color w:val="auto"/>
                <w:w w:val="96"/>
              </w:rPr>
              <w:t>15%</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gridSpan w:val="2"/>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__________________________________________</w:t>
      </w:r>
    </w:p>
    <w:p>
      <w:pPr>
        <w:spacing w:after="0" w:line="30" w:lineRule="exact"/>
        <w:rPr>
          <w:sz w:val="20"/>
          <w:szCs w:val="20"/>
          <w:color w:val="auto"/>
        </w:rPr>
      </w:pPr>
    </w:p>
    <w:p>
      <w:pPr>
        <w:ind w:left="320" w:hanging="314"/>
        <w:spacing w:after="0"/>
        <w:tabs>
          <w:tab w:leader="none" w:pos="320"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revenue reductions from trade promotion and consumer coupon redemption programs.</w:t>
      </w:r>
    </w:p>
    <w:p>
      <w:pPr>
        <w:ind w:left="320" w:hanging="314"/>
        <w:spacing w:after="0" w:line="191" w:lineRule="auto"/>
        <w:tabs>
          <w:tab w:leader="none" w:pos="320"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Sum of the individual amounts does not add due to rounding.</w:t>
      </w:r>
    </w:p>
    <w:p>
      <w:pPr>
        <w:spacing w:after="0" w:line="68" w:lineRule="exact"/>
        <w:rPr>
          <w:sz w:val="20"/>
          <w:szCs w:val="20"/>
          <w:color w:val="auto"/>
        </w:rPr>
      </w:pPr>
    </w:p>
    <w:p>
      <w:pPr>
        <w:ind w:firstLine="318"/>
        <w:spacing w:after="0" w:line="266" w:lineRule="auto"/>
        <w:rPr>
          <w:sz w:val="20"/>
          <w:szCs w:val="20"/>
          <w:color w:val="auto"/>
        </w:rPr>
      </w:pPr>
      <w:r>
        <w:rPr>
          <w:rFonts w:ascii="Times New Roman" w:cs="Times New Roman" w:eastAsia="Times New Roman" w:hAnsi="Times New Roman"/>
          <w:sz w:val="18"/>
          <w:szCs w:val="18"/>
          <w:color w:val="auto"/>
        </w:rPr>
        <w:t xml:space="preserve">In Meals &amp; Beverages, sales increased 15% primarily due to increases across U.S. retail products, including U.S. soup and </w:t>
      </w:r>
      <w:r>
        <w:rPr>
          <w:rFonts w:ascii="Times New Roman" w:cs="Times New Roman" w:eastAsia="Times New Roman" w:hAnsi="Times New Roman"/>
          <w:sz w:val="18"/>
          <w:szCs w:val="18"/>
          <w:i w:val="1"/>
          <w:iCs w:val="1"/>
          <w:color w:val="auto"/>
        </w:rPr>
        <w:t>Prego</w:t>
      </w:r>
      <w:r>
        <w:rPr>
          <w:rFonts w:ascii="Times New Roman" w:cs="Times New Roman" w:eastAsia="Times New Roman" w:hAnsi="Times New Roman"/>
          <w:sz w:val="18"/>
          <w:szCs w:val="18"/>
          <w:color w:val="auto"/>
        </w:rPr>
        <w:t xml:space="preserve"> pasta sauces, as well as gains in foodservice. Inflation-driven pricing and sales allowances and lower levels of</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type w:val="continuous"/>
        </w:sectPr>
      </w:pPr>
    </w:p>
    <w:bookmarkStart w:id="24" w:name="page25"/>
    <w:bookmarkEnd w:id="24"/>
    <w:p>
      <w:pPr>
        <w:jc w:val="both"/>
        <w:spacing w:after="0" w:line="274" w:lineRule="auto"/>
        <w:rPr>
          <w:sz w:val="20"/>
          <w:szCs w:val="20"/>
          <w:color w:val="auto"/>
        </w:rPr>
      </w:pPr>
      <w:r>
        <w:rPr>
          <w:rFonts w:ascii="Times New Roman" w:cs="Times New Roman" w:eastAsia="Times New Roman" w:hAnsi="Times New Roman"/>
          <w:sz w:val="18"/>
          <w:szCs w:val="18"/>
          <w:color w:val="auto"/>
        </w:rPr>
        <w:t>promotional spending were partially offset by volume declines. Sales of U.S. soup increased 11% due to increases in ready-to-serve soups, condensed soups and broth.</w:t>
      </w:r>
    </w:p>
    <w:p>
      <w:pPr>
        <w:spacing w:after="0" w:line="3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 xml:space="preserve">In Snacks, sales increased 15% driven by sales of our power brands, which increased 21%. Sales increased due to increases in cookies and crackers, primarily </w:t>
      </w:r>
      <w:r>
        <w:rPr>
          <w:rFonts w:ascii="Times New Roman" w:cs="Times New Roman" w:eastAsia="Times New Roman" w:hAnsi="Times New Roman"/>
          <w:sz w:val="18"/>
          <w:szCs w:val="18"/>
          <w:i w:val="1"/>
          <w:iCs w:val="1"/>
          <w:color w:val="auto"/>
        </w:rPr>
        <w:t>Goldfish</w:t>
      </w:r>
      <w:r>
        <w:rPr>
          <w:rFonts w:ascii="Times New Roman" w:cs="Times New Roman" w:eastAsia="Times New Roman" w:hAnsi="Times New Roman"/>
          <w:sz w:val="18"/>
          <w:szCs w:val="18"/>
          <w:color w:val="auto"/>
        </w:rPr>
        <w:t xml:space="preserve"> crackers, and in salty snacks, primarily </w:t>
      </w:r>
      <w:r>
        <w:rPr>
          <w:rFonts w:ascii="Times New Roman" w:cs="Times New Roman" w:eastAsia="Times New Roman" w:hAnsi="Times New Roman"/>
          <w:sz w:val="18"/>
          <w:szCs w:val="18"/>
          <w:i w:val="1"/>
          <w:iCs w:val="1"/>
          <w:color w:val="auto"/>
        </w:rPr>
        <w:t>Snyder’s of Hanover</w:t>
      </w:r>
      <w:r>
        <w:rPr>
          <w:rFonts w:ascii="Times New Roman" w:cs="Times New Roman" w:eastAsia="Times New Roman" w:hAnsi="Times New Roman"/>
          <w:sz w:val="18"/>
          <w:szCs w:val="18"/>
          <w:color w:val="auto"/>
        </w:rPr>
        <w:t xml:space="preserve"> pretzels and </w:t>
      </w:r>
      <w:r>
        <w:rPr>
          <w:rFonts w:ascii="Times New Roman" w:cs="Times New Roman" w:eastAsia="Times New Roman" w:hAnsi="Times New Roman"/>
          <w:sz w:val="18"/>
          <w:szCs w:val="18"/>
          <w:i w:val="1"/>
          <w:iCs w:val="1"/>
          <w:color w:val="auto"/>
        </w:rPr>
        <w:t>Kettle Brand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Cape Cod</w:t>
      </w:r>
      <w:r>
        <w:rPr>
          <w:rFonts w:ascii="Times New Roman" w:cs="Times New Roman" w:eastAsia="Times New Roman" w:hAnsi="Times New Roman"/>
          <w:sz w:val="18"/>
          <w:szCs w:val="18"/>
          <w:color w:val="auto"/>
        </w:rPr>
        <w:t xml:space="preserve"> potato chips. Inflation-driven pricing and sales allowances were partly offset by volume declines and increased promotional spending relative to moderated levels in the prior year.</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0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Gross profit, defined as Net sales less Cost of products sold, increased by $112 million in 2023 from 2022. As a percent of sales, gross profit was 32.4% in 2023 and 32.3% in 2022.</w:t>
      </w:r>
    </w:p>
    <w:p>
      <w:pPr>
        <w:spacing w:after="0" w:line="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10 basis-point increase in gross profit margin was due to the following factors: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960" w:type="dxa"/>
            <w:vAlign w:val="bottom"/>
          </w:tcPr>
          <w:p>
            <w:pPr>
              <w:spacing w:after="0"/>
              <w:rPr>
                <w:sz w:val="16"/>
                <w:szCs w:val="16"/>
                <w:color w:val="auto"/>
              </w:rPr>
            </w:pPr>
          </w:p>
        </w:tc>
        <w:tc>
          <w:tcPr>
            <w:tcW w:w="128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Margin Impact</w:t>
            </w:r>
          </w:p>
        </w:tc>
      </w:tr>
      <w:tr>
        <w:trPr>
          <w:trHeight w:val="24"/>
        </w:trPr>
        <w:tc>
          <w:tcPr>
            <w:tcW w:w="996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9"/>
        </w:trPr>
        <w:tc>
          <w:tcPr>
            <w:tcW w:w="9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Price and sales allowances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1,130</w:t>
            </w:r>
          </w:p>
        </w:tc>
      </w:tr>
      <w:tr>
        <w:trPr>
          <w:trHeight w:val="225"/>
        </w:trPr>
        <w:tc>
          <w:tcPr>
            <w:tcW w:w="9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Productivity improvements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230</w:t>
            </w:r>
          </w:p>
        </w:tc>
      </w:tr>
      <w:tr>
        <w:trPr>
          <w:trHeight w:val="225"/>
        </w:trPr>
        <w:tc>
          <w:tcPr>
            <w:tcW w:w="9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Lower level of promotional spending</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r>
      <w:tr>
        <w:trPr>
          <w:trHeight w:val="225"/>
        </w:trPr>
        <w:tc>
          <w:tcPr>
            <w:tcW w:w="9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Lower restructuring-related costs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r>
      <w:tr>
        <w:trPr>
          <w:trHeight w:val="225"/>
        </w:trPr>
        <w:tc>
          <w:tcPr>
            <w:tcW w:w="996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Cost inflation, supply chain costs and other factors</w:t>
            </w:r>
            <w:r>
              <w:rPr>
                <w:rFonts w:ascii="Times New Roman" w:cs="Times New Roman" w:eastAsia="Times New Roman" w:hAnsi="Times New Roman"/>
                <w:sz w:val="22"/>
                <w:szCs w:val="22"/>
                <w:color w:val="auto"/>
                <w:vertAlign w:val="superscript"/>
              </w:rPr>
              <w:t>(1)</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(1,220)</w:t>
            </w:r>
          </w:p>
        </w:tc>
      </w:tr>
      <w:tr>
        <w:trPr>
          <w:trHeight w:val="225"/>
        </w:trPr>
        <w:tc>
          <w:tcPr>
            <w:tcW w:w="9960" w:type="dxa"/>
            <w:vAlign w:val="bottom"/>
            <w:tcBorders>
              <w:bottom w:val="single" w:sz="8" w:color="CCEEFF"/>
            </w:tcBorders>
          </w:tcPr>
          <w:p>
            <w:pPr>
              <w:ind w:left="20"/>
              <w:spacing w:after="0" w:line="225" w:lineRule="exact"/>
              <w:rPr>
                <w:sz w:val="20"/>
                <w:szCs w:val="20"/>
                <w:color w:val="auto"/>
              </w:rPr>
            </w:pPr>
            <w:r>
              <w:rPr>
                <w:rFonts w:ascii="Times New Roman" w:cs="Times New Roman" w:eastAsia="Times New Roman" w:hAnsi="Times New Roman"/>
                <w:sz w:val="18"/>
                <w:szCs w:val="18"/>
                <w:color w:val="auto"/>
              </w:rPr>
              <w:t>Volume/mix</w:t>
            </w:r>
            <w:r>
              <w:rPr>
                <w:rFonts w:ascii="Times New Roman" w:cs="Times New Roman" w:eastAsia="Times New Roman" w:hAnsi="Times New Roman"/>
                <w:sz w:val="22"/>
                <w:szCs w:val="22"/>
                <w:color w:val="auto"/>
                <w:vertAlign w:val="superscript"/>
              </w:rPr>
              <w:t>(2)</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(150)</w:t>
            </w:r>
          </w:p>
        </w:tc>
      </w:tr>
      <w:tr>
        <w:trPr>
          <w:trHeight w:val="243"/>
        </w:trPr>
        <w:tc>
          <w:tcPr>
            <w:tcW w:w="99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r>
      <w:tr>
        <w:trPr>
          <w:trHeight w:val="20"/>
        </w:trPr>
        <w:tc>
          <w:tcPr>
            <w:tcW w:w="99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__________________________________________</w:t>
      </w:r>
    </w:p>
    <w:p>
      <w:pPr>
        <w:spacing w:after="0" w:line="50" w:lineRule="exact"/>
        <w:rPr>
          <w:sz w:val="20"/>
          <w:szCs w:val="20"/>
          <w:color w:val="auto"/>
        </w:rPr>
      </w:pPr>
    </w:p>
    <w:p>
      <w:pPr>
        <w:jc w:val="both"/>
        <w:ind w:left="320" w:hanging="314"/>
        <w:spacing w:after="0" w:line="227" w:lineRule="auto"/>
        <w:tabs>
          <w:tab w:leader="none" w:pos="308"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an estimated positive margin impact of a 30 basis-point benefit from the change in unrealized mark-to-market adjustments on outstanding undesignated commodity hedge and 10 basis points from the benefit of cost savings initiatives, which were more than offset by cost inflation and other factors.</w:t>
      </w:r>
    </w:p>
    <w:p>
      <w:pPr>
        <w:spacing w:after="0" w:line="1" w:lineRule="exact"/>
        <w:rPr>
          <w:rFonts w:ascii="Times New Roman" w:cs="Times New Roman" w:eastAsia="Times New Roman" w:hAnsi="Times New Roman"/>
          <w:sz w:val="23"/>
          <w:szCs w:val="23"/>
          <w:color w:val="auto"/>
          <w:vertAlign w:val="superscript"/>
        </w:rPr>
      </w:pPr>
    </w:p>
    <w:p>
      <w:pPr>
        <w:ind w:left="320" w:hanging="314"/>
        <w:spacing w:after="0" w:line="191" w:lineRule="auto"/>
        <w:tabs>
          <w:tab w:leader="none" w:pos="320"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the impact of operating leverage.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 and Selling Expenses</w:t>
      </w:r>
    </w:p>
    <w:p>
      <w:pPr>
        <w:spacing w:after="0" w:line="9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Marketing and selling expenses as a percent of sales were 7.8% in 2023 compared to 7.6% in 2022. Marketing and selling expenses increased 18% in 2023 from 2022. The increase was primarily due to higher advertising and consumer promotion expense (approximately 13 points) and higher selling expenses (approximately 9 points), partially offset by increased benefits from cost savings initiatives (approximately 2 points). The increase in advertising and consumer promotion expense was due in part to moderated levels in the prior year from supply constraints.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Administrative Expenses</w:t>
      </w:r>
    </w:p>
    <w:p>
      <w:pPr>
        <w:spacing w:after="0" w:line="10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Administrative expenses as a percent of sales were 6.1% in 2023 compared to 7.0% in 2022. Administrative expenses increased 1% in 2023 from 2022. The increase was primarily due to higher general administrative costs and inflation (approximately 9 points), partially offset by lower expenses related to the settlement of certain legal claims (approximately 8 points).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Expenses / (Income)</w:t>
      </w:r>
    </w:p>
    <w:p>
      <w:pPr>
        <w:spacing w:after="0" w:line="8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Other expenses were $18 million in 2023 compared to other income of $1 million in 2022. Other expenses in 2023 included pension actuarial losses of $15 million. Other income in 2022 included pension actuarial losses of $6 million. Excluding these amounts, the remaining change was primarily due to lower net periodic pension and postretirement benefit income in the current year.</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Earnings</w:t>
      </w:r>
    </w:p>
    <w:p>
      <w:pPr>
        <w:spacing w:after="0" w:line="1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Segment operating earnings increased 19% in 2023 from 2022.</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25" w:name="page26"/>
    <w:bookmarkEnd w:id="25"/>
    <w:p>
      <w:pPr>
        <w:ind w:left="320"/>
        <w:spacing w:after="0"/>
        <w:rPr>
          <w:sz w:val="20"/>
          <w:szCs w:val="20"/>
          <w:color w:val="auto"/>
        </w:rPr>
      </w:pPr>
      <w:r>
        <w:rPr>
          <w:rFonts w:ascii="Times New Roman" w:cs="Times New Roman" w:eastAsia="Times New Roman" w:hAnsi="Times New Roman"/>
          <w:sz w:val="18"/>
          <w:szCs w:val="18"/>
          <w:color w:val="auto"/>
        </w:rPr>
        <w:t>An analysis of operating earnings by segment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gridSpan w:val="4"/>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74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October 30, 2022</w:t>
            </w:r>
          </w:p>
        </w:tc>
        <w:tc>
          <w:tcPr>
            <w:tcW w:w="120" w:type="dxa"/>
            <w:vAlign w:val="bottom"/>
          </w:tcPr>
          <w:p>
            <w:pPr>
              <w:spacing w:after="0"/>
              <w:rPr>
                <w:sz w:val="16"/>
                <w:szCs w:val="16"/>
                <w:color w:val="auto"/>
              </w:rPr>
            </w:pPr>
          </w:p>
        </w:tc>
        <w:tc>
          <w:tcPr>
            <w:tcW w:w="118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October 31, 2021</w:t>
            </w:r>
          </w:p>
        </w:tc>
        <w:tc>
          <w:tcPr>
            <w:tcW w:w="1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7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Meals &amp; Beverages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331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280</w:t>
            </w:r>
          </w:p>
        </w:tc>
        <w:tc>
          <w:tcPr>
            <w:tcW w:w="12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0" w:type="dxa"/>
            <w:vAlign w:val="bottom"/>
          </w:tcPr>
          <w:p>
            <w:pPr>
              <w:spacing w:after="0"/>
              <w:rPr>
                <w:sz w:val="1"/>
                <w:szCs w:val="1"/>
                <w:color w:val="auto"/>
              </w:rPr>
            </w:pPr>
          </w:p>
        </w:tc>
      </w:tr>
      <w:tr>
        <w:trPr>
          <w:trHeight w:val="225"/>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Snacks</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153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128</w:t>
            </w:r>
          </w:p>
        </w:tc>
        <w:tc>
          <w:tcPr>
            <w:tcW w:w="1040" w:type="dxa"/>
            <w:vAlign w:val="bottom"/>
            <w:tcBorders>
              <w:bottom w:val="single" w:sz="8" w:color="CCEEFF"/>
            </w:tcBorders>
            <w:gridSpan w:val="2"/>
          </w:tcPr>
          <w:p>
            <w:pPr>
              <w:jc w:val="center"/>
              <w:ind w:left="12"/>
              <w:spacing w:after="0"/>
              <w:rPr>
                <w:sz w:val="20"/>
                <w:szCs w:val="20"/>
                <w:color w:val="auto"/>
              </w:rPr>
            </w:pPr>
            <w:r>
              <w:rPr>
                <w:rFonts w:ascii="Times New Roman" w:cs="Times New Roman" w:eastAsia="Times New Roman" w:hAnsi="Times New Roman"/>
                <w:sz w:val="18"/>
                <w:szCs w:val="18"/>
                <w:color w:val="auto"/>
                <w:w w:val="99"/>
              </w:rPr>
              <w:t>20</w:t>
            </w:r>
          </w:p>
        </w:tc>
        <w:tc>
          <w:tcPr>
            <w:tcW w:w="0" w:type="dxa"/>
            <w:vAlign w:val="bottom"/>
          </w:tcPr>
          <w:p>
            <w:pPr>
              <w:spacing w:after="0"/>
              <w:rPr>
                <w:sz w:val="1"/>
                <w:szCs w:val="1"/>
                <w:color w:val="auto"/>
              </w:rPr>
            </w:pPr>
          </w:p>
        </w:tc>
      </w:tr>
      <w:tr>
        <w:trPr>
          <w:trHeight w:val="218"/>
        </w:trPr>
        <w:tc>
          <w:tcPr>
            <w:tcW w:w="7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484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408</w:t>
            </w:r>
          </w:p>
        </w:tc>
        <w:tc>
          <w:tcPr>
            <w:tcW w:w="1040" w:type="dxa"/>
            <w:vAlign w:val="bottom"/>
            <w:gridSpan w:val="2"/>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9"/>
              </w:rPr>
              <w:t>19</w:t>
            </w:r>
          </w:p>
        </w:tc>
        <w:tc>
          <w:tcPr>
            <w:tcW w:w="0" w:type="dxa"/>
            <w:vAlign w:val="bottom"/>
          </w:tcPr>
          <w:p>
            <w:pPr>
              <w:spacing w:after="0"/>
              <w:rPr>
                <w:sz w:val="1"/>
                <w:szCs w:val="1"/>
                <w:color w:val="auto"/>
              </w:rPr>
            </w:pPr>
          </w:p>
        </w:tc>
      </w:tr>
      <w:tr>
        <w:trPr>
          <w:trHeight w:val="225"/>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income (expense)</w:t>
            </w:r>
          </w:p>
        </w:tc>
        <w:tc>
          <w:tcPr>
            <w:tcW w:w="120" w:type="dxa"/>
            <w:vAlign w:val="bottom"/>
          </w:tcPr>
          <w:p>
            <w:pPr>
              <w:spacing w:after="0"/>
              <w:rPr>
                <w:sz w:val="19"/>
                <w:szCs w:val="19"/>
                <w:color w:val="auto"/>
              </w:rPr>
            </w:pPr>
          </w:p>
        </w:tc>
        <w:tc>
          <w:tcPr>
            <w:tcW w:w="1200" w:type="dxa"/>
            <w:vAlign w:val="bottom"/>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(48)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48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Restructuring charges</w:t>
            </w:r>
            <w:r>
              <w:rPr>
                <w:rFonts w:ascii="Times New Roman" w:cs="Times New Roman" w:eastAsia="Times New Roman" w:hAnsi="Times New Roman"/>
                <w:sz w:val="22"/>
                <w:szCs w:val="22"/>
                <w:color w:val="auto"/>
                <w:vertAlign w:val="superscript"/>
              </w:rPr>
              <w:t>(1)</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before interest and taxes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436</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376</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__________________________________________</w:t>
      </w:r>
    </w:p>
    <w:p>
      <w:pPr>
        <w:spacing w:after="0" w:line="30" w:lineRule="exact"/>
        <w:rPr>
          <w:sz w:val="20"/>
          <w:szCs w:val="20"/>
          <w:color w:val="auto"/>
        </w:rPr>
      </w:pPr>
    </w:p>
    <w:p>
      <w:pPr>
        <w:ind w:left="320" w:hanging="314"/>
        <w:spacing w:after="0"/>
        <w:tabs>
          <w:tab w:leader="none" w:pos="320"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Note 6 to the Consolidated Financial Statements for additional information on restructuring charges.</w:t>
      </w:r>
    </w:p>
    <w:p>
      <w:pPr>
        <w:spacing w:after="0" w:line="6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Operating earnings from Meals &amp; Beverages increased 18%. The increase was primarily due to higher gross profit, partially offset by higher marketing and selling expenses. Gross profit margin increased due to the impact of inflation-driven pricing actions, supply chain productivity improvements and lower levels of promotional spending, partially offset by higher cost inflation and other supply chain costs as well as unfavorable volume/mix.</w:t>
      </w:r>
    </w:p>
    <w:p>
      <w:pPr>
        <w:spacing w:after="0" w:line="6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Operating earnings from Snacks increased 20%. The increase was primarily due to higher gross profit and lower administrative expenses, partially offset by higher marketing and selling expenses. Gross profit margin declined due to higher cost inflation and other supply chain costs as well as unfavorable volume/mix and higher levels of promotional spending, partially offset by the impact of inflation-driven pricing actions and supply chain productivity improvements.</w:t>
      </w:r>
    </w:p>
    <w:p>
      <w:pPr>
        <w:spacing w:after="0" w:line="6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Corporate expense in 2023 included pension actuarial losses of $15 million, costs of $3 million related to costs savings initiatives and unrealized mark-to-market gains on outstanding undesignated commodity hedges of $5 million. Corporate expense in 2022 included pension actuarial losses of $6 million, costs of $4 million related to cost savings initiatives and unrealized mark-to-market losses on outstanding undesignated commodity hedges of $3 million. Excluding these amounts, the remaining increase was primarily due to lower net periodic pension and postretirement benefit income in the current year.</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Interest expense of $47 million in 2023 is comparable to 2022.</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Taxes on Earnings</w:t>
      </w:r>
    </w:p>
    <w:p>
      <w:pPr>
        <w:spacing w:after="0" w:line="8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effective tax rate was 23.8% in 2023 and 20.7% in 2022. The increase in the effective tax rate was primarily due to the favorable resolution of several tax matters in 2022.</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Charges and Cost Savings Initiatives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Multi-year Cost Savings Initiatives and Snyder's-Lance Cost Transformation Program and Integration</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Continuing Operations</w:t>
      </w:r>
    </w:p>
    <w:p>
      <w:pPr>
        <w:spacing w:after="0" w:line="1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Beginning in fiscal 2015, we implemented initiatives to reduce costs and to streamline our organizational structure.</w:t>
      </w:r>
    </w:p>
    <w:p>
      <w:pPr>
        <w:spacing w:after="0" w:line="9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Over the years, we expanded these initiatives by continuing to optimize our supply chain and manufacturing networks, as well as our information technology infrastructure.</w:t>
      </w:r>
    </w:p>
    <w:p>
      <w:pPr>
        <w:spacing w:after="0" w:line="3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On March 26, 2018, we completed the acquisition of Snyder's-Lance. Prior to the acquisition, Snyder's-Lance launched a cost transformation program following a comprehensive review of its operations with the goal of significantly improving its financial performance. We continued to implement this program and identified opportunities for additional cost synergies as we integrated Snyder's-Lance.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26" w:name="page27"/>
    <w:bookmarkEnd w:id="26"/>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2022, we expanded these initiatives as we continue to pursue cost savings by further optimizing our supply chain and manufacturing network and through effective cost management. Cost estimates for these expanded initiatives, as well as timing for certain activities, are continuing to be developed.</w:t>
      </w:r>
    </w:p>
    <w:p>
      <w:pPr>
        <w:spacing w:after="0" w:line="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summary of the pre-tax charges recognized in the Consolidated Statements of Earnings related to these initiatives is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40" w:type="dxa"/>
            <w:vAlign w:val="bottom"/>
            <w:gridSpan w:val="4"/>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8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gridSpan w:val="2"/>
            <w:vMerge w:val="restart"/>
          </w:tcPr>
          <w:p>
            <w:pPr>
              <w:ind w:left="100"/>
              <w:spacing w:after="0" w:line="159" w:lineRule="exact"/>
              <w:rPr>
                <w:sz w:val="20"/>
                <w:szCs w:val="20"/>
                <w:color w:val="auto"/>
              </w:rPr>
            </w:pPr>
            <w:r>
              <w:rPr>
                <w:rFonts w:ascii="Times New Roman" w:cs="Times New Roman" w:eastAsia="Times New Roman" w:hAnsi="Times New Roman"/>
                <w:sz w:val="14"/>
                <w:szCs w:val="14"/>
                <w:b w:val="1"/>
                <w:bCs w:val="1"/>
                <w:color w:val="auto"/>
              </w:rPr>
              <w:t>Recognized as of</w:t>
            </w:r>
          </w:p>
        </w:tc>
        <w:tc>
          <w:tcPr>
            <w:tcW w:w="0" w:type="dxa"/>
            <w:vAlign w:val="bottom"/>
          </w:tcPr>
          <w:p>
            <w:pPr>
              <w:spacing w:after="0"/>
              <w:rPr>
                <w:sz w:val="1"/>
                <w:szCs w:val="1"/>
                <w:color w:val="auto"/>
              </w:rPr>
            </w:pPr>
          </w:p>
        </w:tc>
      </w:tr>
      <w:tr>
        <w:trPr>
          <w:trHeight w:val="114"/>
        </w:trPr>
        <w:tc>
          <w:tcPr>
            <w:tcW w:w="6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 share amounts)</w:t>
            </w:r>
          </w:p>
        </w:tc>
        <w:tc>
          <w:tcPr>
            <w:tcW w:w="120" w:type="dxa"/>
            <w:vAlign w:val="bottom"/>
          </w:tcPr>
          <w:p>
            <w:pPr>
              <w:spacing w:after="0"/>
              <w:rPr>
                <w:sz w:val="9"/>
                <w:szCs w:val="9"/>
                <w:color w:val="auto"/>
              </w:rPr>
            </w:pPr>
          </w:p>
        </w:tc>
        <w:tc>
          <w:tcPr>
            <w:tcW w:w="1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October 30, 2022</w:t>
            </w:r>
          </w:p>
        </w:tc>
        <w:tc>
          <w:tcPr>
            <w:tcW w:w="140" w:type="dxa"/>
            <w:vAlign w:val="bottom"/>
          </w:tcPr>
          <w:p>
            <w:pPr>
              <w:spacing w:after="0"/>
              <w:rPr>
                <w:sz w:val="9"/>
                <w:szCs w:val="9"/>
                <w:color w:val="auto"/>
              </w:rPr>
            </w:pPr>
          </w:p>
        </w:tc>
        <w:tc>
          <w:tcPr>
            <w:tcW w:w="1200" w:type="dxa"/>
            <w:vAlign w:val="bottom"/>
            <w:vMerge w:val="restart"/>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October 31, 2021</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6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October 30, 2022</w:t>
            </w:r>
          </w:p>
        </w:tc>
        <w:tc>
          <w:tcPr>
            <w:tcW w:w="0" w:type="dxa"/>
            <w:vAlign w:val="bottom"/>
          </w:tcPr>
          <w:p>
            <w:pPr>
              <w:spacing w:after="0"/>
              <w:rPr>
                <w:sz w:val="1"/>
                <w:szCs w:val="1"/>
                <w:color w:val="auto"/>
              </w:rPr>
            </w:pPr>
          </w:p>
        </w:tc>
      </w:tr>
      <w:tr>
        <w:trPr>
          <w:trHeight w:val="224"/>
        </w:trPr>
        <w:tc>
          <w:tcPr>
            <w:tcW w:w="6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Marketing and selling expenses</w:t>
            </w:r>
          </w:p>
        </w:tc>
        <w:tc>
          <w:tcPr>
            <w:tcW w:w="1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pre-tax charges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6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68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Aggregate after-tax impact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 share impact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bottom w:val="single" w:sz="8" w:color="CCEEFF"/>
            </w:tcBorders>
            <w:vMerge w:val="restart"/>
          </w:tcPr>
          <w:p>
            <w:pPr>
              <w:ind w:left="320"/>
              <w:spacing w:after="0"/>
              <w:rPr>
                <w:sz w:val="20"/>
                <w:szCs w:val="20"/>
                <w:color w:val="auto"/>
              </w:rPr>
            </w:pPr>
            <w:r>
              <w:rPr>
                <w:rFonts w:ascii="Times New Roman" w:cs="Times New Roman" w:eastAsia="Times New Roman" w:hAnsi="Times New Roman"/>
                <w:sz w:val="18"/>
                <w:szCs w:val="18"/>
                <w:color w:val="auto"/>
              </w:rPr>
              <w:t>A summary of the pre-tax costs associated with these initiatives is as follows: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68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6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gridSpan w:val="2"/>
          </w:tcPr>
          <w:p>
            <w:pPr>
              <w:ind w:left="60"/>
              <w:spacing w:after="0" w:line="158" w:lineRule="exact"/>
              <w:rPr>
                <w:sz w:val="20"/>
                <w:szCs w:val="20"/>
                <w:color w:val="auto"/>
              </w:rPr>
            </w:pPr>
            <w:r>
              <w:rPr>
                <w:rFonts w:ascii="Times New Roman" w:cs="Times New Roman" w:eastAsia="Times New Roman" w:hAnsi="Times New Roman"/>
                <w:sz w:val="14"/>
                <w:szCs w:val="14"/>
                <w:b w:val="1"/>
                <w:bCs w:val="1"/>
                <w:color w:val="auto"/>
              </w:rPr>
              <w:t>Recognized as of</w:t>
            </w:r>
          </w:p>
        </w:tc>
        <w:tc>
          <w:tcPr>
            <w:tcW w:w="0" w:type="dxa"/>
            <w:vAlign w:val="bottom"/>
          </w:tcPr>
          <w:p>
            <w:pPr>
              <w:spacing w:after="0"/>
              <w:rPr>
                <w:sz w:val="1"/>
                <w:szCs w:val="1"/>
                <w:color w:val="auto"/>
              </w:rPr>
            </w:pPr>
          </w:p>
        </w:tc>
      </w:tr>
      <w:tr>
        <w:trPr>
          <w:trHeight w:val="192"/>
        </w:trPr>
        <w:tc>
          <w:tcPr>
            <w:tcW w:w="6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October 30, 2022</w:t>
            </w:r>
          </w:p>
        </w:tc>
        <w:tc>
          <w:tcPr>
            <w:tcW w:w="0" w:type="dxa"/>
            <w:vAlign w:val="bottom"/>
          </w:tcPr>
          <w:p>
            <w:pPr>
              <w:spacing w:after="0"/>
              <w:rPr>
                <w:sz w:val="1"/>
                <w:szCs w:val="1"/>
                <w:color w:val="auto"/>
              </w:rPr>
            </w:pPr>
          </w:p>
        </w:tc>
      </w:tr>
      <w:tr>
        <w:trPr>
          <w:trHeight w:val="225"/>
        </w:trPr>
        <w:tc>
          <w:tcPr>
            <w:tcW w:w="6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 pay and benefits</w:t>
            </w:r>
          </w:p>
        </w:tc>
        <w:tc>
          <w:tcPr>
            <w:tcW w:w="1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impairment/accelerated depreciation</w:t>
            </w: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Implementation costs and other related costs</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total estimated pre-tax costs for actions that have been identified are approximately $735 million to $740 million and we expect to incur the costs through 2023. These estimates will be updated as the expanded initiatives are developed.</w:t>
      </w:r>
    </w:p>
    <w:p>
      <w:pPr>
        <w:spacing w:after="0" w:line="44" w:lineRule="exact"/>
        <w:rPr>
          <w:sz w:val="20"/>
          <w:szCs w:val="20"/>
          <w:color w:val="auto"/>
        </w:rPr>
      </w:pPr>
    </w:p>
    <w:p>
      <w:pPr>
        <w:jc w:val="both"/>
        <w:ind w:right="20" w:firstLine="318"/>
        <w:spacing w:after="0" w:line="255" w:lineRule="auto"/>
        <w:rPr>
          <w:sz w:val="20"/>
          <w:szCs w:val="20"/>
          <w:color w:val="auto"/>
        </w:rPr>
      </w:pPr>
      <w:r>
        <w:rPr>
          <w:rFonts w:ascii="Times New Roman" w:cs="Times New Roman" w:eastAsia="Times New Roman" w:hAnsi="Times New Roman"/>
          <w:sz w:val="18"/>
          <w:szCs w:val="18"/>
          <w:color w:val="auto"/>
        </w:rPr>
        <w:t>We expect the costs for actions that have been identified to date to consist of the following: approximately $230 million in severance pay and benefits; approximately $85 million in asset impairment and accelerated depreciation; and approximately $420 million to $425 million in implementation costs and other related costs. We expect these pre-tax costs to be associated with our segments as follows: Meals &amp; Beverages - approximately 30%; Snacks - approximately 44%; and Corporate - approximately 26%.</w:t>
      </w:r>
    </w:p>
    <w:p>
      <w:pPr>
        <w:spacing w:after="0" w:line="4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Of the aggregate $735 million to $740 million of pre-tax costs identified to date, we expect approximately $635 million to $640 million will be cash expenditures. In addition, we expect to invest approximately $450 million in capital expenditures, of which we invested $440 million as of October 30, 2022. We expect to invest in substantially all of the capital expenditures through 2023. The capital expenditures primarily relate to a U.S. warehouse optimization project, improvement of quality, safety and cost structure across the Snyder’s-Lance manufacturing network, implementation of our existing SAP enterprise-resource planning system for Snyder's-Lance, transition of production within our Meals &amp; Beverages manufacturing network, optimization of information technology infrastructure and applications and optimization of the Snyder’s-Lance warehouse and distribution network.</w:t>
      </w:r>
    </w:p>
    <w:p>
      <w:pPr>
        <w:spacing w:after="0" w:line="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expect to fund the costs through cash flows from operations and short-term borrowings.</w:t>
      </w:r>
    </w:p>
    <w:p>
      <w:pPr>
        <w:spacing w:after="0" w:line="9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expect the initiatives, once all phases are implemented, to generate annual ongoing savings of approximately $1 billion by the end of 2025. As of October 30, 2022, we have generated total program-to-date pre-tax savings of $860 million.</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27" w:name="page28"/>
    <w:bookmarkEnd w:id="27"/>
    <w:p>
      <w:pPr>
        <w:jc w:val="both"/>
        <w:ind w:firstLine="318"/>
        <w:spacing w:after="0" w:line="265" w:lineRule="auto"/>
        <w:rPr>
          <w:sz w:val="20"/>
          <w:szCs w:val="20"/>
          <w:color w:val="auto"/>
        </w:rPr>
      </w:pPr>
      <w:r>
        <w:rPr>
          <w:rFonts w:ascii="Times New Roman" w:cs="Times New Roman" w:eastAsia="Times New Roman" w:hAnsi="Times New Roman"/>
          <w:sz w:val="18"/>
          <w:szCs w:val="18"/>
          <w:color w:val="auto"/>
        </w:rPr>
        <w:t>Segment operating results do not include restructuring charges, implementation costs and other related costs because we evaluate segment performance excluding such charges. A summary of the pre-tax costs associated with segments is as follows:</w:t>
      </w:r>
    </w:p>
    <w:tbl>
      <w:tblPr>
        <w:tblLayout w:type="fixed"/>
        <w:tblInd w:w="0" w:type="dxa"/>
        <w:tblCellMar>
          <w:top w:w="0" w:type="dxa"/>
          <w:left w:w="0" w:type="dxa"/>
          <w:bottom w:w="0" w:type="dxa"/>
          <w:right w:w="0" w:type="dxa"/>
        </w:tblCellMar>
      </w:tblPr>
      <w:tr>
        <w:trPr>
          <w:trHeight w:val="186"/>
        </w:trPr>
        <w:tc>
          <w:tcPr>
            <w:tcW w:w="8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20" w:type="dxa"/>
            <w:vAlign w:val="bottom"/>
            <w:gridSpan w:val="3"/>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October 30, 2022</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8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Costs Incurred to Date</w:t>
            </w:r>
          </w:p>
        </w:tc>
        <w:tc>
          <w:tcPr>
            <w:tcW w:w="0" w:type="dxa"/>
            <w:vAlign w:val="bottom"/>
          </w:tcPr>
          <w:p>
            <w:pPr>
              <w:spacing w:after="0"/>
              <w:rPr>
                <w:sz w:val="1"/>
                <w:szCs w:val="1"/>
                <w:color w:val="auto"/>
              </w:rPr>
            </w:pPr>
          </w:p>
        </w:tc>
      </w:tr>
      <w:tr>
        <w:trPr>
          <w:trHeight w:val="225"/>
        </w:trPr>
        <w:tc>
          <w:tcPr>
            <w:tcW w:w="8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Meals &amp; Beverages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ind w:right="638"/>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25"/>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Snacks</w:t>
            </w:r>
          </w:p>
        </w:tc>
        <w:tc>
          <w:tcPr>
            <w:tcW w:w="10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25"/>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18"/>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820" w:type="dxa"/>
            <w:vAlign w:val="bottom"/>
            <w:tcBorders>
              <w:bottom w:val="single" w:sz="8" w:color="auto"/>
            </w:tcBorders>
          </w:tcPr>
          <w:p>
            <w:pPr>
              <w:jc w:val="right"/>
              <w:ind w:right="638"/>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expect foreseeable liquidity and capital resource requirements to be met through anticipated cash flows from operations; long-term borrowings; short-term borrowings, which may include commercial paper; credit facilities; and cash and cash equivalents. We believe that our sources of financing will be adequate to meet our future requirements.</w:t>
      </w:r>
    </w:p>
    <w:p>
      <w:pPr>
        <w:spacing w:after="0" w:line="4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generated cash flows from operations of $227 million in 2023, compared to $288 million in 2022. The decline in 2023 was primarily due to changes in working capital, partially offset by higher cash earnings.</w:t>
      </w:r>
    </w:p>
    <w:p>
      <w:pPr>
        <w:spacing w:after="0" w:line="4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Current assets are less than current liabilities as a result of our level of current maturities of long-term debt and short-term borrowings and our focus to lower core working capital requirements. We had negative working capital of $729 million as of October 30, 2022, and $923 million as of July 31, 2022. Total debt maturing within one year was $858 million as of October 30, 2022, and $814 million as of July 31, 2022.</w:t>
      </w:r>
    </w:p>
    <w:p>
      <w:pPr>
        <w:spacing w:after="0" w:line="5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Capital expenditures were $77 million in 2023 and $69 million in 2022. Capital expenditures are expected to total approximately $325 million in 2023. Capital expenditures in the first three months of 2023 included chip and cracker capacity expansion for our Snacks business and a new manufacturing line for our Meals &amp; Beverages business.</w:t>
      </w:r>
    </w:p>
    <w:p>
      <w:pPr>
        <w:spacing w:after="0" w:line="4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Snacks, we have a direct-store-delivery distribution model that uses independent contractor distributors. In order to maintain and expand this model, we routinely purchase and sell routes. The purchase and sale proceeds of the routes are reflected in investing activities.</w:t>
      </w:r>
    </w:p>
    <w:p>
      <w:pPr>
        <w:spacing w:after="0" w:line="4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Dividend payments were $115 million in 2023 and $116 million in 2022. The regular quarterly dividend paid on our capital stock was $.37 per share in both the first quarter of 2023 and 2022. On September 21, 2022, the Board of Directors declared a regular quarterly dividend of $.37 per share payable on October 31, 2022 to shareholders of record at the close of business on October 6, 2022. On November 30, 2022, the Board of Directors declared a regular quarterly dividend of $.37 per share payable on January 30, 2023 to shareholders of record at the close of business on January 5, 2023.</w:t>
      </w:r>
    </w:p>
    <w:p>
      <w:pPr>
        <w:spacing w:after="0" w:line="61" w:lineRule="exact"/>
        <w:rPr>
          <w:sz w:val="20"/>
          <w:szCs w:val="20"/>
          <w:color w:val="auto"/>
        </w:rPr>
      </w:pPr>
    </w:p>
    <w:p>
      <w:pPr>
        <w:jc w:val="both"/>
        <w:ind w:firstLine="318"/>
        <w:spacing w:after="0" w:line="266" w:lineRule="auto"/>
        <w:rPr>
          <w:sz w:val="20"/>
          <w:szCs w:val="20"/>
          <w:color w:val="auto"/>
        </w:rPr>
      </w:pPr>
      <w:r>
        <w:rPr>
          <w:rFonts w:ascii="Times New Roman" w:cs="Times New Roman" w:eastAsia="Times New Roman" w:hAnsi="Times New Roman"/>
          <w:sz w:val="17"/>
          <w:szCs w:val="17"/>
          <w:color w:val="auto"/>
        </w:rPr>
        <w:t>In June 2021, the Board authorized an anti-dilutive share repurchase program of up to $250 million (June 2021 program) to offset the impact of dilution from shares issued under our stock compensation programs. The June 2021 program has no expiration date, but it may be suspended or discontinued at any time. Repurchases under the anti-dilutive program may be made in open-market or privately negotiated transactions. In September 2021, the Board approved a strategic share repurchase program of up to $500 million (September 2021 program). The September 2021 program has no expiration date, but it may be suspended or discontinued at any time. Repurchases under the September 2021 program may be made in open-market or privately negotiated transactions. We repurchased 859 thousand shares at a cost of $41 million in 2023 pursuant to our June 2021 program. As of October 30, 2022, approximately $131 million remained available under the June 2021 program and approximately $375 million remained available under the September 2021 program. See Note 12 to the Consolidated Financial Statements and “Unregistered Sales of Equity Securities and Use of Proceeds” for additional information.</w:t>
      </w:r>
    </w:p>
    <w:p>
      <w:pPr>
        <w:spacing w:after="0" w:line="42"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As of October 30, 2022, we had $858 million of short-term borrowings due within one year, $280 million of which was comprised of commercial paper borrowings. As of October 30, 2022, we issued $30 million of standby letters of credit. On September 27, 2021, we entered into a committed revolving credit facility totaling $1.85 billion scheduled to mature on September 27, 2026. The facility remained unused at October 30, 2022, except for $1 million of standby letters of credit that we issued under it. The facility contains customary covenants, including a financial covenant with respect to a minimum consolidated interest coverage ratio of consolidated adjusted EBITDA to consolidated interest expense (as each is defined in the credit facility) of not less than 3.25:1.00, measured quarterly, and customary events of default for credit facilities of this type. Loans under this facility will bear interest at the rates specified in the facility, which vary based on the type of loan and certain other customary conditions. The facility supports our commercial paper program and other general corporate purposes. We expect to continue to access the commercial paper markets, bank credit lines and utilize cash flows from operations to support our short-term liquidity requirements.</w:t>
      </w:r>
    </w:p>
    <w:p>
      <w:pPr>
        <w:spacing w:after="0" w:line="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On November 15, 2022, we entered into a delayed draw term loan credit agreement (the DDTL Credit Agreement) totaling up to $500 million scheduled to mature on November 15, 2025. Loans under the DDTL Credit Agreement will bear interest at</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28" w:name="page29"/>
    <w:bookmarkEnd w:id="28"/>
    <w:p>
      <w:pPr>
        <w:jc w:val="both"/>
        <w:spacing w:after="0" w:line="252" w:lineRule="auto"/>
        <w:rPr>
          <w:sz w:val="20"/>
          <w:szCs w:val="20"/>
          <w:color w:val="auto"/>
        </w:rPr>
      </w:pPr>
      <w:r>
        <w:rPr>
          <w:rFonts w:ascii="Times New Roman" w:cs="Times New Roman" w:eastAsia="Times New Roman" w:hAnsi="Times New Roman"/>
          <w:sz w:val="18"/>
          <w:szCs w:val="18"/>
          <w:color w:val="auto"/>
        </w:rPr>
        <w:t>the rates specified in the DDTL Credit Agreement, which vary based on the type of loan and certain other conditions. The DDTL Credit Agreement contains customary representations and warranties, affirmative and negative covenants, including a financial covenant with respect to a minimum consolidated interest coverage ratio of consolidated adjusted EBITDA to consolidated interest expense (as each is defined in the DDTL Credit Agreement) of not less than 3.25:1.00, and events of default for credit facilities of this type. We anticipate using any of the proceeds of the loans under the DDTL Credit Agreement to refinance our existing $566 million Notes with a maturity date of March 15, 2023.</w:t>
      </w:r>
    </w:p>
    <w:p>
      <w:pPr>
        <w:spacing w:after="0" w:line="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are in compliance with the covenants contained in our credit facilities and debt securities.</w:t>
      </w:r>
    </w:p>
    <w:p>
      <w:pPr>
        <w:spacing w:after="0" w:line="9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September 2020, we filed a registration statement with the Securities and Exchange Commission that registered an indeterminate amount of debt securities. Under the registration statement, we may issue debt securities from time to time, depending on market conditions.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ACCOUNTING ESTIMATES</w:t>
      </w:r>
    </w:p>
    <w:p>
      <w:pPr>
        <w:spacing w:after="0" w:line="87" w:lineRule="exact"/>
        <w:rPr>
          <w:sz w:val="20"/>
          <w:szCs w:val="20"/>
          <w:color w:val="auto"/>
        </w:rPr>
      </w:pPr>
    </w:p>
    <w:p>
      <w:pPr>
        <w:jc w:val="both"/>
        <w:ind w:firstLine="318"/>
        <w:spacing w:after="0" w:line="218" w:lineRule="exact"/>
        <w:rPr>
          <w:sz w:val="20"/>
          <w:szCs w:val="20"/>
          <w:color w:val="auto"/>
        </w:rPr>
      </w:pPr>
      <w:r>
        <w:rPr>
          <w:rFonts w:ascii="Times New Roman" w:cs="Times New Roman" w:eastAsia="Times New Roman" w:hAnsi="Times New Roman"/>
          <w:sz w:val="18"/>
          <w:szCs w:val="18"/>
          <w:color w:val="auto"/>
        </w:rPr>
        <w:t>We prepare our consolidated financial statements in conformity with accounting principles generally accepted in the United States. The preparation of these financial statements requires the use of estimates, judgments and assumptions that affect the reported amounts of assets and liabilities at the date of the financial statements and reported amounts of revenues and expenses during the periods presented. Actual results could differ from those estimates and assumptions. Our significant accounting policies are described in Note 1 to the Consolidated Financial Statements in the Annual Report on Form 10-K for the year ended July 31, 2022 (2022 Annual Report on Form 10-K). The accounting policies we used in preparing these financial statements are substantially consistent with those we applied in our 2022 Annual Report on Form 10-K. Our significant accounting estimates are described in Management’s Discussion and Analysis included in the 2022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Note 2 to the Consolidated Financial Statements for information on recent accounting pronouncements.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100"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the Private Securities Litigation Reform Act of 1995. These forward-looking statements reflect our current expectations regarding our future results of operations, economic performance, financial condition and achievements. These forward-looking statements can be identified by words such as "anticipate," "believe," "estimate," "expect," "intend," "plan," "pursue," "strategy," "target," "will" and similar expressions. One can also identify forward-looking statements by the fact that they do not relate strictly to historical or current facts, and may reflect anticipated cost savings or implementation of our strategic plan. These statements reflect our current plans and expectations and are based on information currently available to us. They rely on several assumptions regarding future events and estimates which could be inaccurate and which are inherently subject to risks and uncertainties.</w:t>
      </w:r>
    </w:p>
    <w:p>
      <w:pPr>
        <w:spacing w:after="0" w:line="6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wish to caution the reader that the following important factors and those important factors described in our other Securities and Exchange Commission filings, or in our 2022 Annual Report on Form 10-K, could affect our actual results and could cause such results to vary materially from those expressed in any forward-looking statements made by, or on behalf of, us:</w:t>
      </w:r>
    </w:p>
    <w:p>
      <w:pPr>
        <w:spacing w:after="0" w:line="45" w:lineRule="exact"/>
        <w:rPr>
          <w:sz w:val="20"/>
          <w:szCs w:val="20"/>
          <w:color w:val="auto"/>
        </w:rPr>
      </w:pPr>
    </w:p>
    <w:p>
      <w:pPr>
        <w:ind w:left="640" w:hanging="316"/>
        <w:spacing w:after="0" w:line="274" w:lineRule="auto"/>
        <w:tabs>
          <w:tab w:leader="none" w:pos="6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related to the availability of, and cost inflation in, supply chain inputs, including labor, raw materials, commodities, packaging and transportation;</w:t>
      </w:r>
    </w:p>
    <w:p>
      <w:pPr>
        <w:spacing w:after="0" w:line="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and associated responses to the COVID-19 pandemic on our business, suppliers, customers, consumers and employees;</w:t>
      </w:r>
    </w:p>
    <w:p>
      <w:pPr>
        <w:spacing w:after="0" w:line="9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on and realize the expected benefits from our strategy, including growing sales in snacks and growing/maintaining our market share position in soup;</w:t>
      </w:r>
    </w:p>
    <w:p>
      <w:pPr>
        <w:spacing w:after="0" w:line="3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strong competitive responses to our efforts to leverage brand power with product innovation, promotional programs and new advertising;</w:t>
      </w:r>
    </w:p>
    <w:p>
      <w:pPr>
        <w:spacing w:after="0" w:line="4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associated with trade and consumer acceptance of product improvements, shelving initiatives, new products and pricing and promotional strategies;</w:t>
      </w:r>
    </w:p>
    <w:p>
      <w:pPr>
        <w:spacing w:after="0" w:line="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projected cost savings and benefits from cost savings initiatives and the integration of recent acquisitions;</w:t>
      </w:r>
    </w:p>
    <w:p>
      <w:pPr>
        <w:spacing w:after="0" w:line="8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or inefficiencies to our supply chain and/or operations;</w:t>
      </w:r>
    </w:p>
    <w:p>
      <w:pPr>
        <w:spacing w:after="0" w:line="9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effectiveness of our hedging activities and our ability to respond to volatility in commodity prices;</w:t>
      </w:r>
    </w:p>
    <w:p>
      <w:pPr>
        <w:spacing w:after="0" w:line="8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changes to our organizational structure and/or business processes, including selling, distribution, manufacturing and information management systems or processes;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29" w:name="page30"/>
    <w:bookmarkEnd w:id="29"/>
    <w:p>
      <w:pPr>
        <w:ind w:left="640" w:hanging="31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demand for our products and favorable perception of our brands;</w:t>
      </w:r>
    </w:p>
    <w:p>
      <w:pPr>
        <w:spacing w:after="0" w:line="8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inventory management practices by certain of our key customers;</w:t>
      </w:r>
    </w:p>
    <w:p>
      <w:pPr>
        <w:spacing w:after="0" w:line="9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changing customer landscape, with value and e-commerce retailers expanding their market presence, while certain of our key customers maintain significance to our business;</w:t>
      </w:r>
    </w:p>
    <w:p>
      <w:pPr>
        <w:spacing w:after="0" w:line="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quality and safety issues, including recalls and product liabilities;</w:t>
      </w:r>
    </w:p>
    <w:p>
      <w:pPr>
        <w:spacing w:after="0" w:line="8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disruption to the independent contractor distribution models used by certain of our businesses, including as a result of litigation or regulatory actions affecting their independent contractor classification;</w:t>
      </w:r>
    </w:p>
    <w:p>
      <w:pPr>
        <w:spacing w:after="0" w:line="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uncertainties of litigation and regulatory actions against us;</w:t>
      </w:r>
    </w:p>
    <w:p>
      <w:pPr>
        <w:spacing w:after="0" w:line="9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disruption and diversion of management's attention associated with activist investors;</w:t>
      </w:r>
    </w:p>
    <w:p>
      <w:pPr>
        <w:spacing w:after="0" w:line="8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disruption, failure or security breach of our or our vendors' information technology systems, including ransomware attacks;</w:t>
      </w:r>
    </w:p>
    <w:p>
      <w:pPr>
        <w:spacing w:after="0" w:line="9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to goodwill or other intangible assets;</w:t>
      </w:r>
    </w:p>
    <w:p>
      <w:pPr>
        <w:spacing w:after="0" w:line="9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rights;</w:t>
      </w:r>
    </w:p>
    <w:p>
      <w:pPr>
        <w:spacing w:after="0" w:line="8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liabilities and costs related to our defined benefit pension plans;</w:t>
      </w:r>
    </w:p>
    <w:p>
      <w:pPr>
        <w:spacing w:after="0" w:line="9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talent;</w:t>
      </w:r>
    </w:p>
    <w:p>
      <w:pPr>
        <w:spacing w:after="0" w:line="9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goals and initiatives related to, and the impacts of, climate change, including from weather-related events;</w:t>
      </w:r>
    </w:p>
    <w:p>
      <w:pPr>
        <w:spacing w:after="0" w:line="8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changes and volatility in financial and credit markets, deteriorating economic conditions and other external factors, including changes in laws and regulations; and</w:t>
      </w:r>
    </w:p>
    <w:p>
      <w:pPr>
        <w:spacing w:after="0" w:line="4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business disruptions or other impacts due to political instability, civil disobedience, terrorism, armed hostilities (including the ongoing conflict between Russia and Ukraine), extreme weather conditions, natural disasters, other pandemics or other calamities.</w:t>
      </w:r>
    </w:p>
    <w:p>
      <w:pPr>
        <w:spacing w:after="0" w:line="44" w:lineRule="exact"/>
        <w:rPr>
          <w:sz w:val="20"/>
          <w:szCs w:val="20"/>
          <w:color w:val="auto"/>
        </w:rPr>
      </w:pPr>
    </w:p>
    <w:p>
      <w:pPr>
        <w:jc w:val="both"/>
        <w:ind w:firstLine="318"/>
        <w:spacing w:after="0" w:line="304" w:lineRule="auto"/>
        <w:rPr>
          <w:sz w:val="20"/>
          <w:szCs w:val="20"/>
          <w:color w:val="auto"/>
        </w:rPr>
      </w:pPr>
      <w:r>
        <w:rPr>
          <w:rFonts w:ascii="Times New Roman" w:cs="Times New Roman" w:eastAsia="Times New Roman" w:hAnsi="Times New Roman"/>
          <w:sz w:val="17"/>
          <w:szCs w:val="17"/>
          <w:color w:val="auto"/>
        </w:rPr>
        <w:t>This discussion of uncertainties is by no means exhaustive but is designed to highlight important factors that may impact our outlook. We disclaim any obligation or intent to update forward-looking statements made by us in order to reflect new information, events or circumstances after the date they are made.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 About Market Risk</w:t>
      </w:r>
    </w:p>
    <w:p>
      <w:pPr>
        <w:spacing w:after="0" w:line="10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For information regarding our exposure to certain market risk, see Item 7A, Quantitative and Qualitative Disclosure About Market Risk, in the 2022 Annual Report on Form 10-K. There have been no significant changes in our portfolio of financial instruments or market risk exposures from the 2022 year-end.</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115" w:lineRule="exact"/>
        <w:rPr>
          <w:sz w:val="20"/>
          <w:szCs w:val="20"/>
          <w:color w:val="auto"/>
        </w:rPr>
      </w:pPr>
    </w:p>
    <w:p>
      <w:pPr>
        <w:ind w:left="640" w:hanging="316"/>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Evaluation of Disclosure Controls and Procedure</w:t>
      </w:r>
    </w:p>
    <w:p>
      <w:pPr>
        <w:spacing w:after="0" w:line="9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under the supervision and with the participation of our management, including the President and Chief Executive Officer and the Executive Vice President and President, Meals &amp; Beverages and Chief Financial Officer, have evaluated the effectiveness of our disclosure controls and procedures (as such term is defined in Rules 13a-15(e) and 15d-15(e) under the Securities Exchange Act of 1934, as amended) as of October 30, 2022 (Evaluation Date). Based on such evaluation, the President and Chief Executive Officer and the Executive Vice President and President, Meals &amp; Beverages and Chief Financial Officer have concluded that, as of the Evaluation Date, our disclosure controls and procedures are effective.</w:t>
      </w:r>
    </w:p>
    <w:p>
      <w:pPr>
        <w:spacing w:after="0" w:line="79" w:lineRule="exact"/>
        <w:rPr>
          <w:sz w:val="20"/>
          <w:szCs w:val="20"/>
          <w:color w:val="auto"/>
        </w:rPr>
      </w:pPr>
    </w:p>
    <w:p>
      <w:pPr>
        <w:ind w:left="640" w:hanging="316"/>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in Internal Control</w:t>
      </w:r>
    </w:p>
    <w:p>
      <w:pPr>
        <w:spacing w:after="0" w:line="9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such term is defined in Rules 13a-15(f) and 15d-15(f) under the Securities Exchange Act of 1934, as amended) that materially affected, or are likely to materially affect, such internal control over financial reporting during the quarter ended October 30, 2022.</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30" w:name="page31"/>
    <w:bookmarkEnd w:id="30"/>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1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Information regarding reportable legal proceedings is contained in Note 14 to the Consolidated Financial Statements and incorporated herein by reference.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Unregistered Sales of Equity Securities and Use of Proceeds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share repurchase activity in the three months ended October 30, 2022 was:</w:t>
      </w:r>
    </w:p>
    <w:p>
      <w:pPr>
        <w:spacing w:after="0" w:line="103"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20" w:type="dxa"/>
            <w:vAlign w:val="bottom"/>
          </w:tcPr>
          <w:p>
            <w:pPr>
              <w:jc w:val="center"/>
              <w:ind w:left="143"/>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4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1420" w:type="dxa"/>
            <w:vAlign w:val="bottom"/>
          </w:tcPr>
          <w:p>
            <w:pPr>
              <w:jc w:val="center"/>
              <w:ind w:left="143"/>
              <w:spacing w:after="0" w:line="146" w:lineRule="exact"/>
              <w:rPr>
                <w:sz w:val="20"/>
                <w:szCs w:val="20"/>
                <w:color w:val="auto"/>
              </w:rPr>
            </w:pPr>
            <w:r>
              <w:rPr>
                <w:rFonts w:ascii="Times New Roman" w:cs="Times New Roman" w:eastAsia="Times New Roman" w:hAnsi="Times New Roman"/>
                <w:sz w:val="14"/>
                <w:szCs w:val="14"/>
                <w:b w:val="1"/>
                <w:bCs w:val="1"/>
                <w:color w:val="auto"/>
              </w:rPr>
              <w:t>Dollar Value of</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1420" w:type="dxa"/>
            <w:vAlign w:val="bottom"/>
          </w:tcPr>
          <w:p>
            <w:pPr>
              <w:jc w:val="center"/>
              <w:ind w:left="143"/>
              <w:spacing w:after="0" w:line="144" w:lineRule="exact"/>
              <w:rPr>
                <w:sz w:val="20"/>
                <w:szCs w:val="20"/>
                <w:color w:val="auto"/>
              </w:rPr>
            </w:pPr>
            <w:r>
              <w:rPr>
                <w:rFonts w:ascii="Times New Roman" w:cs="Times New Roman" w:eastAsia="Times New Roman" w:hAnsi="Times New Roman"/>
                <w:sz w:val="14"/>
                <w:szCs w:val="14"/>
                <w:b w:val="1"/>
                <w:bCs w:val="1"/>
                <w:color w:val="auto"/>
              </w:rPr>
              <w:t>Shares that may yet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62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8"/>
              </w:rPr>
              <w:t>Total Number</w:t>
            </w:r>
          </w:p>
        </w:tc>
        <w:tc>
          <w:tcPr>
            <w:tcW w:w="15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2040" w:type="dxa"/>
            <w:vAlign w:val="bottom"/>
            <w:gridSpan w:val="2"/>
          </w:tcPr>
          <w:p>
            <w:pPr>
              <w:jc w:val="center"/>
              <w:ind w:right="400"/>
              <w:spacing w:after="0" w:line="146"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1420" w:type="dxa"/>
            <w:vAlign w:val="bottom"/>
          </w:tcPr>
          <w:p>
            <w:pPr>
              <w:jc w:val="center"/>
              <w:ind w:left="143"/>
              <w:spacing w:after="0" w:line="146" w:lineRule="exact"/>
              <w:rPr>
                <w:sz w:val="20"/>
                <w:szCs w:val="20"/>
                <w:color w:val="auto"/>
              </w:rPr>
            </w:pPr>
            <w:r>
              <w:rPr>
                <w:rFonts w:ascii="Times New Roman" w:cs="Times New Roman" w:eastAsia="Times New Roman" w:hAnsi="Times New Roman"/>
                <w:sz w:val="14"/>
                <w:szCs w:val="14"/>
                <w:b w:val="1"/>
                <w:bCs w:val="1"/>
                <w:color w:val="auto"/>
                <w:w w:val="99"/>
              </w:rPr>
              <w:t>be Purchased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2040" w:type="dxa"/>
            <w:vAlign w:val="bottom"/>
            <w:gridSpan w:val="2"/>
          </w:tcPr>
          <w:p>
            <w:pPr>
              <w:jc w:val="center"/>
              <w:ind w:right="400"/>
              <w:spacing w:after="0" w:line="146" w:lineRule="exact"/>
              <w:rPr>
                <w:sz w:val="20"/>
                <w:szCs w:val="20"/>
                <w:color w:val="auto"/>
              </w:rPr>
            </w:pPr>
            <w:r>
              <w:rPr>
                <w:rFonts w:ascii="Times New Roman" w:cs="Times New Roman" w:eastAsia="Times New Roman" w:hAnsi="Times New Roman"/>
                <w:sz w:val="14"/>
                <w:szCs w:val="14"/>
                <w:b w:val="1"/>
                <w:bCs w:val="1"/>
                <w:color w:val="auto"/>
              </w:rPr>
              <w:t>as Part of Publicly</w:t>
            </w:r>
          </w:p>
        </w:tc>
        <w:tc>
          <w:tcPr>
            <w:tcW w:w="1420" w:type="dxa"/>
            <w:vAlign w:val="bottom"/>
          </w:tcPr>
          <w:p>
            <w:pPr>
              <w:jc w:val="center"/>
              <w:ind w:left="123"/>
              <w:spacing w:after="0" w:line="146" w:lineRule="exact"/>
              <w:rPr>
                <w:sz w:val="20"/>
                <w:szCs w:val="20"/>
                <w:color w:val="auto"/>
              </w:rPr>
            </w:pPr>
            <w:r>
              <w:rPr>
                <w:rFonts w:ascii="Times New Roman" w:cs="Times New Roman" w:eastAsia="Times New Roman" w:hAnsi="Times New Roman"/>
                <w:sz w:val="14"/>
                <w:szCs w:val="14"/>
                <w:b w:val="1"/>
                <w:bCs w:val="1"/>
                <w:color w:val="auto"/>
              </w:rPr>
              <w:t>Under the Plans or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620" w:type="dxa"/>
            <w:vAlign w:val="bottom"/>
            <w:gridSpan w:val="2"/>
          </w:tcPr>
          <w:p>
            <w:pPr>
              <w:jc w:val="center"/>
              <w:ind w:right="380"/>
              <w:spacing w:after="0" w:line="133"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500" w:type="dxa"/>
            <w:vAlign w:val="bottom"/>
            <w:gridSpan w:val="2"/>
          </w:tcPr>
          <w:p>
            <w:pPr>
              <w:jc w:val="center"/>
              <w:ind w:right="400"/>
              <w:spacing w:after="0" w:line="133"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2040" w:type="dxa"/>
            <w:vAlign w:val="bottom"/>
            <w:gridSpan w:val="2"/>
          </w:tcPr>
          <w:p>
            <w:pPr>
              <w:jc w:val="center"/>
              <w:ind w:right="380"/>
              <w:spacing w:after="0" w:line="133"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1420" w:type="dxa"/>
            <w:vAlign w:val="bottom"/>
          </w:tcPr>
          <w:p>
            <w:pPr>
              <w:jc w:val="center"/>
              <w:ind w:left="143"/>
              <w:spacing w:after="0" w:line="133" w:lineRule="exact"/>
              <w:rPr>
                <w:sz w:val="20"/>
                <w:szCs w:val="20"/>
                <w:color w:val="auto"/>
              </w:rPr>
            </w:pPr>
            <w:r>
              <w:rPr>
                <w:rFonts w:ascii="Times New Roman" w:cs="Times New Roman" w:eastAsia="Times New Roman" w:hAnsi="Times New Roman"/>
                <w:sz w:val="14"/>
                <w:szCs w:val="14"/>
                <w:b w:val="1"/>
                <w:bCs w:val="1"/>
                <w:color w:val="auto"/>
              </w:rPr>
              <w:t>Programs</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420" w:type="dxa"/>
            <w:vAlign w:val="bottom"/>
            <w:gridSpan w:val="2"/>
            <w:vMerge w:val="continue"/>
          </w:tcPr>
          <w:p>
            <w:pPr>
              <w:spacing w:after="0"/>
              <w:rPr>
                <w:sz w:val="12"/>
                <w:szCs w:val="12"/>
                <w:color w:val="auto"/>
              </w:rPr>
            </w:pPr>
          </w:p>
        </w:tc>
        <w:tc>
          <w:tcPr>
            <w:tcW w:w="1620" w:type="dxa"/>
            <w:vAlign w:val="bottom"/>
            <w:gridSpan w:val="2"/>
          </w:tcPr>
          <w:p>
            <w:pPr>
              <w:jc w:val="center"/>
              <w:ind w:right="380"/>
              <w:spacing w:after="0" w:line="126" w:lineRule="exact"/>
              <w:rPr>
                <w:sz w:val="20"/>
                <w:szCs w:val="20"/>
                <w:color w:val="auto"/>
              </w:rPr>
            </w:pPr>
            <w:r>
              <w:rPr>
                <w:rFonts w:ascii="Times New Roman" w:cs="Times New Roman" w:eastAsia="Times New Roman" w:hAnsi="Times New Roman"/>
                <w:sz w:val="11"/>
                <w:szCs w:val="11"/>
                <w:b w:val="1"/>
                <w:bCs w:val="1"/>
                <w:color w:val="auto"/>
              </w:rPr>
              <w:t xml:space="preserve">Purchased </w:t>
            </w:r>
            <w:r>
              <w:rPr>
                <w:rFonts w:ascii="Times New Roman" w:cs="Times New Roman" w:eastAsia="Times New Roman" w:hAnsi="Times New Roman"/>
                <w:sz w:val="14"/>
                <w:szCs w:val="14"/>
                <w:b w:val="1"/>
                <w:bCs w:val="1"/>
                <w:color w:val="auto"/>
                <w:vertAlign w:val="superscript"/>
              </w:rPr>
              <w:t>(1)</w:t>
            </w:r>
          </w:p>
        </w:tc>
        <w:tc>
          <w:tcPr>
            <w:tcW w:w="1500" w:type="dxa"/>
            <w:vAlign w:val="bottom"/>
            <w:gridSpan w:val="2"/>
          </w:tcPr>
          <w:p>
            <w:pPr>
              <w:jc w:val="center"/>
              <w:ind w:right="400"/>
              <w:spacing w:after="0" w:line="126" w:lineRule="exact"/>
              <w:rPr>
                <w:sz w:val="20"/>
                <w:szCs w:val="20"/>
                <w:color w:val="auto"/>
              </w:rPr>
            </w:pPr>
            <w:r>
              <w:rPr>
                <w:rFonts w:ascii="Times New Roman" w:cs="Times New Roman" w:eastAsia="Times New Roman" w:hAnsi="Times New Roman"/>
                <w:sz w:val="11"/>
                <w:szCs w:val="11"/>
                <w:b w:val="1"/>
                <w:bCs w:val="1"/>
                <w:color w:val="auto"/>
              </w:rPr>
              <w:t xml:space="preserve">Per Share </w:t>
            </w:r>
            <w:r>
              <w:rPr>
                <w:rFonts w:ascii="Times New Roman" w:cs="Times New Roman" w:eastAsia="Times New Roman" w:hAnsi="Times New Roman"/>
                <w:sz w:val="14"/>
                <w:szCs w:val="14"/>
                <w:b w:val="1"/>
                <w:bCs w:val="1"/>
                <w:color w:val="auto"/>
                <w:vertAlign w:val="superscript"/>
              </w:rPr>
              <w:t>(2)</w:t>
            </w:r>
          </w:p>
        </w:tc>
        <w:tc>
          <w:tcPr>
            <w:tcW w:w="2040" w:type="dxa"/>
            <w:vAlign w:val="bottom"/>
            <w:gridSpan w:val="2"/>
          </w:tcPr>
          <w:p>
            <w:pPr>
              <w:jc w:val="center"/>
              <w:ind w:right="380"/>
              <w:spacing w:after="0" w:line="126" w:lineRule="exact"/>
              <w:rPr>
                <w:sz w:val="20"/>
                <w:szCs w:val="20"/>
                <w:color w:val="auto"/>
              </w:rPr>
            </w:pPr>
            <w:r>
              <w:rPr>
                <w:rFonts w:ascii="Times New Roman" w:cs="Times New Roman" w:eastAsia="Times New Roman" w:hAnsi="Times New Roman"/>
                <w:sz w:val="11"/>
                <w:szCs w:val="11"/>
                <w:b w:val="1"/>
                <w:bCs w:val="1"/>
                <w:color w:val="auto"/>
              </w:rPr>
              <w:t xml:space="preserve">Programs </w:t>
            </w:r>
            <w:r>
              <w:rPr>
                <w:rFonts w:ascii="Times New Roman" w:cs="Times New Roman" w:eastAsia="Times New Roman" w:hAnsi="Times New Roman"/>
                <w:sz w:val="14"/>
                <w:szCs w:val="14"/>
                <w:b w:val="1"/>
                <w:bCs w:val="1"/>
                <w:color w:val="auto"/>
                <w:vertAlign w:val="superscript"/>
              </w:rPr>
              <w:t>(3)</w:t>
            </w:r>
          </w:p>
        </w:tc>
        <w:tc>
          <w:tcPr>
            <w:tcW w:w="1420" w:type="dxa"/>
            <w:vAlign w:val="bottom"/>
          </w:tcPr>
          <w:p>
            <w:pPr>
              <w:jc w:val="center"/>
              <w:ind w:left="143"/>
              <w:spacing w:after="0" w:line="126" w:lineRule="exact"/>
              <w:rPr>
                <w:sz w:val="20"/>
                <w:szCs w:val="20"/>
                <w:color w:val="auto"/>
              </w:rPr>
            </w:pPr>
            <w:r>
              <w:rPr>
                <w:rFonts w:ascii="Times New Roman" w:cs="Times New Roman" w:eastAsia="Times New Roman" w:hAnsi="Times New Roman"/>
                <w:sz w:val="14"/>
                <w:szCs w:val="14"/>
                <w:b w:val="1"/>
                <w:bCs w:val="1"/>
                <w:color w:val="auto"/>
              </w:rPr>
              <w:t xml:space="preserve">($ in Millions) </w:t>
            </w:r>
            <w:r>
              <w:rPr>
                <w:rFonts w:ascii="Times New Roman" w:cs="Times New Roman" w:eastAsia="Times New Roman" w:hAnsi="Times New Roman"/>
                <w:sz w:val="9"/>
                <w:szCs w:val="9"/>
                <w:b w:val="1"/>
                <w:bCs w:val="1"/>
                <w:color w:val="auto"/>
              </w:rPr>
              <w:t>(3)</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400" w:type="dxa"/>
            <w:vAlign w:val="bottom"/>
            <w:tcBorders>
              <w:top w:val="single" w:sz="8" w:color="auto"/>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8/1/22-8/31/22</w:t>
            </w:r>
          </w:p>
        </w:tc>
        <w:tc>
          <w:tcPr>
            <w:tcW w:w="12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38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5"/>
        </w:trPr>
        <w:tc>
          <w:tcPr>
            <w:tcW w:w="44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9/1/22-9/30/22</w:t>
            </w: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592,659</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$48.10</w:t>
            </w:r>
          </w:p>
        </w:tc>
        <w:tc>
          <w:tcPr>
            <w:tcW w:w="380" w:type="dxa"/>
            <w:vAlign w:val="bottom"/>
          </w:tcPr>
          <w:p>
            <w:pPr>
              <w:spacing w:after="0"/>
              <w:rPr>
                <w:sz w:val="19"/>
                <w:szCs w:val="19"/>
                <w:color w:val="auto"/>
              </w:rPr>
            </w:pPr>
          </w:p>
        </w:tc>
        <w:tc>
          <w:tcPr>
            <w:tcW w:w="1660" w:type="dxa"/>
            <w:vAlign w:val="bottom"/>
          </w:tcPr>
          <w:p>
            <w:pPr>
              <w:jc w:val="right"/>
              <w:ind w:right="3"/>
              <w:spacing w:after="0"/>
              <w:rPr>
                <w:sz w:val="20"/>
                <w:szCs w:val="20"/>
                <w:color w:val="auto"/>
              </w:rPr>
            </w:pPr>
            <w:r>
              <w:rPr>
                <w:rFonts w:ascii="Times New Roman" w:cs="Times New Roman" w:eastAsia="Times New Roman" w:hAnsi="Times New Roman"/>
                <w:sz w:val="18"/>
                <w:szCs w:val="18"/>
                <w:color w:val="auto"/>
              </w:rPr>
              <w:t>592,659</w:t>
            </w:r>
          </w:p>
        </w:tc>
        <w:tc>
          <w:tcPr>
            <w:tcW w:w="3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5"/>
        </w:trPr>
        <w:tc>
          <w:tcPr>
            <w:tcW w:w="4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10/3/22-10/28/22</w:t>
            </w:r>
          </w:p>
        </w:tc>
        <w:tc>
          <w:tcPr>
            <w:tcW w:w="12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265,870</w:t>
            </w:r>
          </w:p>
        </w:tc>
        <w:tc>
          <w:tcPr>
            <w:tcW w:w="38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$47.36</w:t>
            </w:r>
          </w:p>
        </w:tc>
        <w:tc>
          <w:tcPr>
            <w:tcW w:w="38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265,870</w:t>
            </w:r>
          </w:p>
        </w:tc>
        <w:tc>
          <w:tcPr>
            <w:tcW w:w="38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858,529</w:t>
            </w:r>
          </w:p>
        </w:tc>
        <w:tc>
          <w:tcPr>
            <w:tcW w:w="38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$47.87</w:t>
            </w:r>
          </w:p>
        </w:tc>
        <w:tc>
          <w:tcPr>
            <w:tcW w:w="380" w:type="dxa"/>
            <w:vAlign w:val="bottom"/>
          </w:tcPr>
          <w:p>
            <w:pPr>
              <w:spacing w:after="0"/>
              <w:rPr>
                <w:sz w:val="19"/>
                <w:szCs w:val="19"/>
                <w:color w:val="auto"/>
              </w:rPr>
            </w:pPr>
          </w:p>
        </w:tc>
        <w:tc>
          <w:tcPr>
            <w:tcW w:w="16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8"/>
                <w:szCs w:val="18"/>
                <w:color w:val="auto"/>
              </w:rPr>
              <w:t>858,529</w:t>
            </w:r>
          </w:p>
        </w:tc>
        <w:tc>
          <w:tcPr>
            <w:tcW w:w="38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w:t>
      </w:r>
    </w:p>
    <w:p>
      <w:pPr>
        <w:spacing w:after="0" w:line="30" w:lineRule="exact"/>
        <w:rPr>
          <w:sz w:val="20"/>
          <w:szCs w:val="20"/>
          <w:color w:val="auto"/>
        </w:rPr>
      </w:pPr>
    </w:p>
    <w:p>
      <w:pPr>
        <w:ind w:left="320" w:hanging="314"/>
        <w:spacing w:after="0"/>
        <w:tabs>
          <w:tab w:leader="none" w:pos="320"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Shares purchased are as of the trade date.</w:t>
      </w:r>
    </w:p>
    <w:p>
      <w:pPr>
        <w:ind w:left="320" w:hanging="314"/>
        <w:spacing w:after="0" w:line="191" w:lineRule="auto"/>
        <w:tabs>
          <w:tab w:leader="none" w:pos="320"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Average price paid per share is calculated on a settlement basis and excludes commission.</w:t>
      </w:r>
    </w:p>
    <w:p>
      <w:pPr>
        <w:spacing w:after="0" w:line="1" w:lineRule="exact"/>
        <w:rPr>
          <w:rFonts w:ascii="Times New Roman" w:cs="Times New Roman" w:eastAsia="Times New Roman" w:hAnsi="Times New Roman"/>
          <w:sz w:val="23"/>
          <w:szCs w:val="23"/>
          <w:color w:val="auto"/>
          <w:vertAlign w:val="superscript"/>
        </w:rPr>
      </w:pPr>
    </w:p>
    <w:p>
      <w:pPr>
        <w:jc w:val="both"/>
        <w:ind w:left="320" w:right="100" w:hanging="314"/>
        <w:spacing w:after="0" w:line="234" w:lineRule="auto"/>
        <w:tabs>
          <w:tab w:leader="none" w:pos="308"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June 2021, our Board of Directors authorized an anti-dilutive share repurchase program of up to $250 million (June 2021 program) to offset the impact of dilution from shares issued under our stock compensation programs. The June 2021 program has no expiration date, but it may be suspended or discontinued at any time. Repurchases under the June 2021 program may be made in open-market or privately negotiated transactions. In September 2021, the Board approved a strategic share repurchase program of up to $500 million (September 2021 program). The September 2021 program has no expiration date, but it may be suspended or discontinued at any time. Repurchases under the September 2021 program may be made in open-market or privately negotiated transactions.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Exhibits</w:t>
      </w:r>
    </w:p>
    <w:p>
      <w:pPr>
        <w:spacing w:after="0" w:line="1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Index to Exhibits, which immediately precedes the signature page, is incorporated by reference into this Report.</w:t>
      </w:r>
    </w:p>
    <w:p>
      <w:pPr>
        <w:spacing w:after="0" w:line="98" w:lineRule="exact"/>
        <w:rPr>
          <w:sz w:val="20"/>
          <w:szCs w:val="20"/>
          <w:color w:val="auto"/>
        </w:rPr>
      </w:pPr>
    </w:p>
    <w:tbl>
      <w:tblPr>
        <w:tblLayout w:type="fixed"/>
        <w:tblInd w:w="40" w:type="dxa"/>
        <w:tblCellMar>
          <w:top w:w="0" w:type="dxa"/>
          <w:left w:w="0" w:type="dxa"/>
          <w:bottom w:w="0" w:type="dxa"/>
          <w:right w:w="0" w:type="dxa"/>
        </w:tblCellMar>
      </w:tblPr>
      <w:tr>
        <w:trPr>
          <w:trHeight w:val="231"/>
        </w:trPr>
        <w:tc>
          <w:tcPr>
            <w:tcW w:w="11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7400" w:type="dxa"/>
            <w:vAlign w:val="bottom"/>
            <w:gridSpan w:val="5"/>
          </w:tcPr>
          <w:p>
            <w:pPr>
              <w:ind w:left="1160"/>
              <w:spacing w:after="0"/>
              <w:rPr>
                <w:sz w:val="20"/>
                <w:szCs w:val="20"/>
                <w:color w:val="auto"/>
              </w:rPr>
            </w:pPr>
            <w:r>
              <w:rPr>
                <w:rFonts w:ascii="Times New Roman" w:cs="Times New Roman" w:eastAsia="Times New Roman" w:hAnsi="Times New Roman"/>
                <w:sz w:val="18"/>
                <w:szCs w:val="18"/>
                <w:color w:val="auto"/>
              </w:rPr>
              <w:t>INDEX TO EXHIBITS</w:t>
            </w: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98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2023 Non-Employee Director Fees</w:t>
            </w:r>
            <w:r>
              <w:rPr>
                <w:rFonts w:ascii="Times New Roman" w:cs="Times New Roman" w:eastAsia="Times New Roman" w:hAnsi="Times New Roman"/>
                <w:sz w:val="18"/>
                <w:szCs w:val="18"/>
                <w:color w:val="000000"/>
              </w:rPr>
              <w:t>.</w:t>
            </w:r>
          </w:p>
        </w:tc>
      </w:tr>
      <w:tr>
        <w:trPr>
          <w:trHeight w:val="20"/>
        </w:trPr>
        <w:tc>
          <w:tcPr>
            <w:tcW w:w="1100" w:type="dxa"/>
            <w:vAlign w:val="bottom"/>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r>
        <w:trPr>
          <w:trHeight w:val="351"/>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98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Mark A. Clouse pursuant to Rule 13a-14(a).</w:t>
            </w:r>
          </w:p>
        </w:tc>
      </w:tr>
      <w:tr>
        <w:trPr>
          <w:trHeight w:val="20"/>
        </w:trPr>
        <w:tc>
          <w:tcPr>
            <w:tcW w:w="1100" w:type="dxa"/>
            <w:vAlign w:val="bottom"/>
          </w:tcPr>
          <w:p>
            <w:pPr>
              <w:spacing w:after="0" w:line="20" w:lineRule="exact"/>
              <w:rPr>
                <w:sz w:val="1"/>
                <w:szCs w:val="1"/>
                <w:color w:val="auto"/>
              </w:rPr>
            </w:pPr>
          </w:p>
        </w:tc>
        <w:tc>
          <w:tcPr>
            <w:tcW w:w="424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r>
        <w:trPr>
          <w:trHeight w:val="29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8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Mick J. Beekhuizen pursuant to Rule 13a-14(a)</w:t>
            </w:r>
            <w:r>
              <w:rPr>
                <w:rFonts w:ascii="Times New Roman" w:cs="Times New Roman" w:eastAsia="Times New Roman" w:hAnsi="Times New Roman"/>
                <w:sz w:val="18"/>
                <w:szCs w:val="18"/>
                <w:color w:val="000000"/>
              </w:rPr>
              <w:t>.</w:t>
            </w:r>
          </w:p>
        </w:tc>
      </w:tr>
      <w:tr>
        <w:trPr>
          <w:trHeight w:val="20"/>
        </w:trPr>
        <w:tc>
          <w:tcPr>
            <w:tcW w:w="1100" w:type="dxa"/>
            <w:vAlign w:val="bottom"/>
          </w:tcPr>
          <w:p>
            <w:pPr>
              <w:spacing w:after="0" w:line="20" w:lineRule="exact"/>
              <w:rPr>
                <w:sz w:val="1"/>
                <w:szCs w:val="1"/>
                <w:color w:val="auto"/>
              </w:rPr>
            </w:pPr>
          </w:p>
        </w:tc>
        <w:tc>
          <w:tcPr>
            <w:tcW w:w="4480" w:type="dxa"/>
            <w:vAlign w:val="bottom"/>
            <w:gridSpan w:val="3"/>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r>
        <w:trPr>
          <w:trHeight w:val="29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8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Mark A. Clouse pursuant to 18 U.S.C. Section 1350.</w:t>
            </w:r>
          </w:p>
        </w:tc>
      </w:tr>
      <w:tr>
        <w:trPr>
          <w:trHeight w:val="20"/>
        </w:trPr>
        <w:tc>
          <w:tcPr>
            <w:tcW w:w="1100" w:type="dxa"/>
            <w:vAlign w:val="bottom"/>
          </w:tcPr>
          <w:p>
            <w:pPr>
              <w:spacing w:after="0" w:line="20" w:lineRule="exact"/>
              <w:rPr>
                <w:sz w:val="1"/>
                <w:szCs w:val="1"/>
                <w:color w:val="auto"/>
              </w:rPr>
            </w:pPr>
          </w:p>
        </w:tc>
        <w:tc>
          <w:tcPr>
            <w:tcW w:w="484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r>
        <w:trPr>
          <w:trHeight w:val="29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98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Mick J. Beekhuizen pursuant to 18 U.S.C. Section 1350.</w:t>
            </w:r>
          </w:p>
        </w:tc>
      </w:tr>
      <w:tr>
        <w:trPr>
          <w:trHeight w:val="20"/>
        </w:trPr>
        <w:tc>
          <w:tcPr>
            <w:tcW w:w="1100" w:type="dxa"/>
            <w:vAlign w:val="bottom"/>
          </w:tcPr>
          <w:p>
            <w:pPr>
              <w:spacing w:after="0" w:line="20" w:lineRule="exact"/>
              <w:rPr>
                <w:sz w:val="1"/>
                <w:szCs w:val="1"/>
                <w:color w:val="auto"/>
              </w:rPr>
            </w:pPr>
          </w:p>
        </w:tc>
        <w:tc>
          <w:tcPr>
            <w:tcW w:w="5120" w:type="dxa"/>
            <w:vAlign w:val="bottom"/>
            <w:gridSpan w:val="5"/>
            <w:shd w:val="clear" w:color="auto" w:fill="0000FF"/>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r>
        <w:trPr>
          <w:trHeight w:val="285"/>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88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7"/>
              </w:rPr>
              <w:t>Inline XBRL Instance Document - the instance document does not appear on the Interactive Data File because its XBRL tags are embedded</w:t>
            </w:r>
          </w:p>
        </w:tc>
      </w:tr>
      <w:tr>
        <w:trPr>
          <w:trHeight w:val="231"/>
        </w:trPr>
        <w:tc>
          <w:tcPr>
            <w:tcW w:w="1100" w:type="dxa"/>
            <w:vAlign w:val="bottom"/>
          </w:tcPr>
          <w:p>
            <w:pPr>
              <w:spacing w:after="0"/>
              <w:rPr>
                <w:sz w:val="20"/>
                <w:szCs w:val="20"/>
                <w:color w:val="auto"/>
              </w:rPr>
            </w:pPr>
          </w:p>
        </w:tc>
        <w:tc>
          <w:tcPr>
            <w:tcW w:w="98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32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8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Extension Schema Document.</w:t>
            </w:r>
          </w:p>
        </w:tc>
      </w:tr>
      <w:tr>
        <w:trPr>
          <w:trHeight w:val="31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8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Extension Calculation Linkbase Document.</w:t>
            </w:r>
          </w:p>
        </w:tc>
      </w:tr>
      <w:tr>
        <w:trPr>
          <w:trHeight w:val="31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8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Extension Definition Linkbase Document.</w:t>
            </w:r>
          </w:p>
        </w:tc>
      </w:tr>
      <w:tr>
        <w:trPr>
          <w:trHeight w:val="31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8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Extension Label Linkbase Document.</w:t>
            </w:r>
          </w:p>
        </w:tc>
      </w:tr>
      <w:tr>
        <w:trPr>
          <w:trHeight w:val="31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8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Extension Presentation Linkbase Document.</w:t>
            </w:r>
          </w:p>
        </w:tc>
      </w:tr>
    </w:tbl>
    <w:p>
      <w:pPr>
        <w:spacing w:after="0" w:line="87" w:lineRule="exact"/>
        <w:rPr>
          <w:sz w:val="20"/>
          <w:szCs w:val="20"/>
          <w:color w:val="auto"/>
        </w:rPr>
      </w:pPr>
    </w:p>
    <w:p>
      <w:pPr>
        <w:ind w:right="2340" w:firstLine="37"/>
        <w:spacing w:after="0" w:line="852" w:lineRule="auto"/>
        <w:tabs>
          <w:tab w:leader="none" w:pos="113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this Quarterly Report on Form 10-Q, formatted in Inline XBRL (included in Exhibit 101). *This exhibit is a management contract or compensatory plan or arrangement.</w:t>
      </w:r>
    </w:p>
    <w:p>
      <w:pPr>
        <w:spacing w:after="0" w:line="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967" w:right="239" w:bottom="1440" w:gutter="0" w:footer="0" w:header="0"/>
        </w:sectPr>
      </w:pPr>
    </w:p>
    <w:bookmarkStart w:id="31" w:name="page32"/>
    <w:bookmarkEnd w:id="31"/>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13"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7, 2022</w:t>
      </w:r>
    </w:p>
    <w:p>
      <w:pPr>
        <w:spacing w:after="0" w:line="4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CAMPBELL SOUP COMPANY</w:t>
      </w:r>
    </w:p>
    <w:p>
      <w:pPr>
        <w:spacing w:after="0" w:line="232"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By: /s/ Mick J. Beekhuizen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3621405</wp:posOffset>
            </wp:positionH>
            <wp:positionV relativeFrom="paragraph">
              <wp:posOffset>14605</wp:posOffset>
            </wp:positionV>
            <wp:extent cx="31718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1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Mick J. Beekhuizen</w:t>
      </w:r>
    </w:p>
    <w:p>
      <w:pPr>
        <w:spacing w:after="0" w:line="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Executive Vice President and President, Meals &amp; Beverages and</w:t>
      </w:r>
    </w:p>
    <w:p>
      <w:pPr>
        <w:ind w:left="57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By: /s/ Stanley Polomski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3621405</wp:posOffset>
            </wp:positionH>
            <wp:positionV relativeFrom="paragraph">
              <wp:posOffset>14605</wp:posOffset>
            </wp:positionV>
            <wp:extent cx="31718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1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Stanley Polomski</w:t>
      </w:r>
    </w:p>
    <w:p>
      <w:pPr>
        <w:spacing w:after="0" w:line="2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Senior Vice President and Controller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20"/>
          </w:cols>
          <w:pgMar w:left="320" w:top="874" w:right="45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09"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1"/>
          <w:szCs w:val="21"/>
          <w:b w:val="1"/>
          <w:bCs w:val="1"/>
          <w:color w:val="auto"/>
        </w:rPr>
        <w:t>CAMPBELL SOUP COMPANY</w:t>
      </w:r>
    </w:p>
    <w:p>
      <w:pPr>
        <w:spacing w:after="0" w:line="209"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1"/>
          <w:szCs w:val="21"/>
          <w:b w:val="1"/>
          <w:bCs w:val="1"/>
          <w:u w:val="single" w:color="auto"/>
          <w:color w:val="auto"/>
        </w:rPr>
        <w:t>Non-Employee Director Compensation for Calendar 2023</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Board and Committee Retainer for Calendar 2023</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$119,000 shall be paid in cash</w:t>
      </w:r>
    </w:p>
    <w:p>
      <w:pPr>
        <w:spacing w:after="0"/>
        <w:rPr>
          <w:sz w:val="20"/>
          <w:szCs w:val="20"/>
          <w:color w:val="auto"/>
        </w:rPr>
      </w:pPr>
      <w:r>
        <w:rPr>
          <w:rFonts w:ascii="Times New Roman" w:cs="Times New Roman" w:eastAsia="Times New Roman" w:hAnsi="Times New Roman"/>
          <w:sz w:val="21"/>
          <w:szCs w:val="21"/>
          <w:color w:val="auto"/>
        </w:rPr>
        <w:t>$152,000 shall be paid in shares of Campbell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Additional Retainers for Board Chair, Committee Chairs and Audit Committee Members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addition to the above Board and Committee retainer, the following amounts shall be paid 50% in cash and 50% in shares of</w:t>
      </w:r>
    </w:p>
    <w:p>
      <w:pPr>
        <w:spacing w:after="0"/>
        <w:rPr>
          <w:sz w:val="20"/>
          <w:szCs w:val="20"/>
          <w:color w:val="auto"/>
        </w:rPr>
      </w:pPr>
      <w:r>
        <w:rPr>
          <w:rFonts w:ascii="Times New Roman" w:cs="Times New Roman" w:eastAsia="Times New Roman" w:hAnsi="Times New Roman"/>
          <w:sz w:val="21"/>
          <w:szCs w:val="21"/>
          <w:color w:val="auto"/>
        </w:rPr>
        <w:t>Campbell stock:</w:t>
      </w:r>
    </w:p>
    <w:p>
      <w:pPr>
        <w:spacing w:after="0" w:line="278" w:lineRule="exact"/>
        <w:rPr>
          <w:sz w:val="20"/>
          <w:szCs w:val="20"/>
          <w:color w:val="auto"/>
        </w:rPr>
      </w:pPr>
    </w:p>
    <w:tbl>
      <w:tblPr>
        <w:tblLayout w:type="fixed"/>
        <w:tblInd w:w="20" w:type="dxa"/>
        <w:tblCellMar>
          <w:top w:w="0" w:type="dxa"/>
          <w:left w:w="0" w:type="dxa"/>
          <w:bottom w:w="0" w:type="dxa"/>
          <w:right w:w="0" w:type="dxa"/>
        </w:tblCellMar>
      </w:tblPr>
      <w:tr>
        <w:trPr>
          <w:trHeight w:val="265"/>
        </w:trPr>
        <w:tc>
          <w:tcPr>
            <w:tcW w:w="2160" w:type="dxa"/>
            <w:vAlign w:val="bottom"/>
          </w:tcPr>
          <w:p>
            <w:pPr>
              <w:spacing w:after="0"/>
              <w:rPr>
                <w:sz w:val="20"/>
                <w:szCs w:val="20"/>
                <w:color w:val="auto"/>
              </w:rPr>
            </w:pPr>
            <w:r>
              <w:rPr>
                <w:rFonts w:ascii="Times New Roman" w:cs="Times New Roman" w:eastAsia="Times New Roman" w:hAnsi="Times New Roman"/>
                <w:sz w:val="21"/>
                <w:szCs w:val="21"/>
                <w:color w:val="auto"/>
              </w:rPr>
              <w:t>$350,000</w:t>
            </w:r>
          </w:p>
        </w:tc>
        <w:tc>
          <w:tcPr>
            <w:tcW w:w="7020" w:type="dxa"/>
            <w:vAlign w:val="bottom"/>
          </w:tcPr>
          <w:p>
            <w:pPr>
              <w:ind w:left="1360"/>
              <w:spacing w:after="0"/>
              <w:rPr>
                <w:sz w:val="20"/>
                <w:szCs w:val="20"/>
                <w:color w:val="auto"/>
              </w:rPr>
            </w:pPr>
            <w:r>
              <w:rPr>
                <w:rFonts w:ascii="Times New Roman" w:cs="Times New Roman" w:eastAsia="Times New Roman" w:hAnsi="Times New Roman"/>
                <w:sz w:val="21"/>
                <w:szCs w:val="21"/>
                <w:color w:val="auto"/>
              </w:rPr>
              <w:t>Chair of the Board</w:t>
            </w:r>
          </w:p>
        </w:tc>
      </w:tr>
      <w:tr>
        <w:trPr>
          <w:trHeight w:val="265"/>
        </w:trPr>
        <w:tc>
          <w:tcPr>
            <w:tcW w:w="2160" w:type="dxa"/>
            <w:vAlign w:val="bottom"/>
          </w:tcPr>
          <w:p>
            <w:pPr>
              <w:spacing w:after="0"/>
              <w:rPr>
                <w:sz w:val="20"/>
                <w:szCs w:val="20"/>
                <w:color w:val="auto"/>
              </w:rPr>
            </w:pPr>
            <w:r>
              <w:rPr>
                <w:rFonts w:ascii="Times New Roman" w:cs="Times New Roman" w:eastAsia="Times New Roman" w:hAnsi="Times New Roman"/>
                <w:sz w:val="21"/>
                <w:szCs w:val="21"/>
                <w:color w:val="auto"/>
              </w:rPr>
              <w:t>$30,000</w:t>
            </w:r>
          </w:p>
        </w:tc>
        <w:tc>
          <w:tcPr>
            <w:tcW w:w="7020" w:type="dxa"/>
            <w:vAlign w:val="bottom"/>
          </w:tcPr>
          <w:p>
            <w:pPr>
              <w:ind w:left="1360"/>
              <w:spacing w:after="0"/>
              <w:rPr>
                <w:sz w:val="20"/>
                <w:szCs w:val="20"/>
                <w:color w:val="auto"/>
              </w:rPr>
            </w:pPr>
            <w:r>
              <w:rPr>
                <w:rFonts w:ascii="Times New Roman" w:cs="Times New Roman" w:eastAsia="Times New Roman" w:hAnsi="Times New Roman"/>
                <w:sz w:val="21"/>
                <w:szCs w:val="21"/>
                <w:color w:val="auto"/>
              </w:rPr>
              <w:t>Audit Committee chair</w:t>
            </w:r>
          </w:p>
        </w:tc>
      </w:tr>
      <w:tr>
        <w:trPr>
          <w:trHeight w:val="265"/>
        </w:trPr>
        <w:tc>
          <w:tcPr>
            <w:tcW w:w="2160" w:type="dxa"/>
            <w:vAlign w:val="bottom"/>
          </w:tcPr>
          <w:p>
            <w:pPr>
              <w:spacing w:after="0"/>
              <w:rPr>
                <w:sz w:val="20"/>
                <w:szCs w:val="20"/>
                <w:color w:val="auto"/>
              </w:rPr>
            </w:pPr>
            <w:r>
              <w:rPr>
                <w:rFonts w:ascii="Times New Roman" w:cs="Times New Roman" w:eastAsia="Times New Roman" w:hAnsi="Times New Roman"/>
                <w:sz w:val="21"/>
                <w:szCs w:val="21"/>
                <w:color w:val="auto"/>
              </w:rPr>
              <w:t>$25,000</w:t>
            </w:r>
          </w:p>
        </w:tc>
        <w:tc>
          <w:tcPr>
            <w:tcW w:w="7020" w:type="dxa"/>
            <w:vAlign w:val="bottom"/>
          </w:tcPr>
          <w:p>
            <w:pPr>
              <w:ind w:left="1360"/>
              <w:spacing w:after="0"/>
              <w:rPr>
                <w:sz w:val="20"/>
                <w:szCs w:val="20"/>
                <w:color w:val="auto"/>
              </w:rPr>
            </w:pPr>
            <w:r>
              <w:rPr>
                <w:rFonts w:ascii="Times New Roman" w:cs="Times New Roman" w:eastAsia="Times New Roman" w:hAnsi="Times New Roman"/>
                <w:sz w:val="21"/>
                <w:szCs w:val="21"/>
                <w:color w:val="auto"/>
              </w:rPr>
              <w:t>Compensation and Organization Committee chair</w:t>
            </w:r>
          </w:p>
        </w:tc>
      </w:tr>
      <w:tr>
        <w:trPr>
          <w:trHeight w:val="265"/>
        </w:trPr>
        <w:tc>
          <w:tcPr>
            <w:tcW w:w="2160" w:type="dxa"/>
            <w:vAlign w:val="bottom"/>
          </w:tcPr>
          <w:p>
            <w:pPr>
              <w:spacing w:after="0"/>
              <w:rPr>
                <w:sz w:val="20"/>
                <w:szCs w:val="20"/>
                <w:color w:val="auto"/>
              </w:rPr>
            </w:pPr>
            <w:r>
              <w:rPr>
                <w:rFonts w:ascii="Times New Roman" w:cs="Times New Roman" w:eastAsia="Times New Roman" w:hAnsi="Times New Roman"/>
                <w:sz w:val="21"/>
                <w:szCs w:val="21"/>
                <w:color w:val="auto"/>
              </w:rPr>
              <w:t>$20,000</w:t>
            </w:r>
          </w:p>
        </w:tc>
        <w:tc>
          <w:tcPr>
            <w:tcW w:w="7020" w:type="dxa"/>
            <w:vAlign w:val="bottom"/>
          </w:tcPr>
          <w:p>
            <w:pPr>
              <w:ind w:left="1360"/>
              <w:spacing w:after="0"/>
              <w:rPr>
                <w:sz w:val="20"/>
                <w:szCs w:val="20"/>
                <w:color w:val="auto"/>
              </w:rPr>
            </w:pPr>
            <w:r>
              <w:rPr>
                <w:rFonts w:ascii="Times New Roman" w:cs="Times New Roman" w:eastAsia="Times New Roman" w:hAnsi="Times New Roman"/>
                <w:sz w:val="21"/>
                <w:szCs w:val="21"/>
                <w:color w:val="auto"/>
              </w:rPr>
              <w:t>Finance Committee chair</w:t>
            </w:r>
          </w:p>
        </w:tc>
      </w:tr>
      <w:tr>
        <w:trPr>
          <w:trHeight w:val="265"/>
        </w:trPr>
        <w:tc>
          <w:tcPr>
            <w:tcW w:w="2160" w:type="dxa"/>
            <w:vAlign w:val="bottom"/>
          </w:tcPr>
          <w:p>
            <w:pPr>
              <w:spacing w:after="0"/>
              <w:rPr>
                <w:sz w:val="20"/>
                <w:szCs w:val="20"/>
                <w:color w:val="auto"/>
              </w:rPr>
            </w:pPr>
            <w:r>
              <w:rPr>
                <w:rFonts w:ascii="Times New Roman" w:cs="Times New Roman" w:eastAsia="Times New Roman" w:hAnsi="Times New Roman"/>
                <w:sz w:val="21"/>
                <w:szCs w:val="21"/>
                <w:color w:val="auto"/>
              </w:rPr>
              <w:t>$20,000</w:t>
            </w:r>
          </w:p>
        </w:tc>
        <w:tc>
          <w:tcPr>
            <w:tcW w:w="7020" w:type="dxa"/>
            <w:vAlign w:val="bottom"/>
          </w:tcPr>
          <w:p>
            <w:pPr>
              <w:ind w:left="1360"/>
              <w:spacing w:after="0"/>
              <w:rPr>
                <w:sz w:val="20"/>
                <w:szCs w:val="20"/>
                <w:color w:val="auto"/>
              </w:rPr>
            </w:pPr>
            <w:r>
              <w:rPr>
                <w:rFonts w:ascii="Times New Roman" w:cs="Times New Roman" w:eastAsia="Times New Roman" w:hAnsi="Times New Roman"/>
                <w:sz w:val="21"/>
                <w:szCs w:val="21"/>
                <w:color w:val="auto"/>
              </w:rPr>
              <w:t>Governance Committee chair</w:t>
            </w:r>
          </w:p>
        </w:tc>
      </w:tr>
      <w:tr>
        <w:trPr>
          <w:trHeight w:val="277"/>
        </w:trPr>
        <w:tc>
          <w:tcPr>
            <w:tcW w:w="2160" w:type="dxa"/>
            <w:vAlign w:val="bottom"/>
          </w:tcPr>
          <w:p>
            <w:pPr>
              <w:spacing w:after="0"/>
              <w:rPr>
                <w:sz w:val="20"/>
                <w:szCs w:val="20"/>
                <w:color w:val="auto"/>
              </w:rPr>
            </w:pPr>
            <w:r>
              <w:rPr>
                <w:rFonts w:ascii="Times New Roman" w:cs="Times New Roman" w:eastAsia="Times New Roman" w:hAnsi="Times New Roman"/>
                <w:sz w:val="21"/>
                <w:szCs w:val="21"/>
                <w:color w:val="auto"/>
              </w:rPr>
              <w:t>$7,500</w:t>
            </w:r>
          </w:p>
        </w:tc>
        <w:tc>
          <w:tcPr>
            <w:tcW w:w="7020" w:type="dxa"/>
            <w:vAlign w:val="bottom"/>
          </w:tcPr>
          <w:p>
            <w:pPr>
              <w:ind w:left="1360"/>
              <w:spacing w:after="0"/>
              <w:rPr>
                <w:sz w:val="20"/>
                <w:szCs w:val="20"/>
                <w:color w:val="auto"/>
              </w:rPr>
            </w:pPr>
            <w:r>
              <w:rPr>
                <w:rFonts w:ascii="Times New Roman" w:cs="Times New Roman" w:eastAsia="Times New Roman" w:hAnsi="Times New Roman"/>
                <w:sz w:val="21"/>
                <w:szCs w:val="21"/>
                <w:color w:val="auto"/>
              </w:rPr>
              <w:t>Audit Committee members (excluding the Audit Committee chair)</w:t>
            </w:r>
          </w:p>
        </w:tc>
      </w:tr>
    </w:tbl>
    <w:p>
      <w:pPr>
        <w:spacing w:after="0" w:line="386" w:lineRule="exact"/>
        <w:rPr>
          <w:sz w:val="20"/>
          <w:szCs w:val="20"/>
          <w:color w:val="auto"/>
        </w:rPr>
      </w:pPr>
    </w:p>
    <w:p>
      <w:pPr>
        <w:ind w:right="80"/>
        <w:spacing w:after="0" w:line="226" w:lineRule="auto"/>
        <w:rPr>
          <w:sz w:val="20"/>
          <w:szCs w:val="20"/>
          <w:color w:val="auto"/>
        </w:rPr>
      </w:pPr>
      <w:r>
        <w:rPr>
          <w:rFonts w:ascii="Times New Roman" w:cs="Times New Roman" w:eastAsia="Times New Roman" w:hAnsi="Times New Roman"/>
          <w:sz w:val="21"/>
          <w:szCs w:val="21"/>
          <w:color w:val="auto"/>
        </w:rPr>
        <w:t>The retainers will be paid quarterly in arrears. Prior to the beginning of a calendar year, a non-employee director may elect to (i) receive shares of Campbell stock in lieu of the cash portion of any retainer (such election to be made in 10% increments) and/or (ii) defer all or a portion of any cash or stock retainer in accordance with the terms and conditions of the Campbell Soup Company Supplemental Retirement Plan.</w:t>
      </w:r>
    </w:p>
    <w:p>
      <w:pPr>
        <w:sectPr>
          <w:pgSz w:w="11900" w:h="16838" w:orient="portrait"/>
          <w:cols w:equalWidth="0" w:num="1">
            <w:col w:w="11240"/>
          </w:cols>
          <w:pgMar w:left="320" w:top="1367"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RULE 13a-14(a)</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A. Clouse, certify that:</w:t>
      </w:r>
    </w:p>
    <w:p>
      <w:pPr>
        <w:spacing w:after="0" w:line="164" w:lineRule="exact"/>
        <w:rPr>
          <w:sz w:val="20"/>
          <w:szCs w:val="20"/>
          <w:color w:val="auto"/>
        </w:rPr>
      </w:pPr>
    </w:p>
    <w:p>
      <w:pPr>
        <w:ind w:left="380" w:hanging="175"/>
        <w:spacing w:after="0"/>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Campbell Soup Company;</w:t>
      </w:r>
    </w:p>
    <w:p>
      <w:pPr>
        <w:spacing w:after="0" w:line="164" w:lineRule="exact"/>
        <w:rPr>
          <w:rFonts w:ascii="Times New Roman" w:cs="Times New Roman" w:eastAsia="Times New Roman" w:hAnsi="Times New Roman"/>
          <w:sz w:val="18"/>
          <w:szCs w:val="18"/>
          <w:color w:val="auto"/>
        </w:rPr>
      </w:pPr>
    </w:p>
    <w:p>
      <w:pPr>
        <w:ind w:right="460" w:firstLine="205"/>
        <w:spacing w:after="0" w:line="304" w:lineRule="auto"/>
        <w:tabs>
          <w:tab w:leader="none" w:pos="375"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7" w:lineRule="exact"/>
        <w:rPr>
          <w:rFonts w:ascii="Times New Roman" w:cs="Times New Roman" w:eastAsia="Times New Roman" w:hAnsi="Times New Roman"/>
          <w:sz w:val="17"/>
          <w:szCs w:val="17"/>
          <w:color w:val="auto"/>
        </w:rPr>
      </w:pPr>
    </w:p>
    <w:p>
      <w:pPr>
        <w:ind w:right="560" w:firstLine="205"/>
        <w:spacing w:after="0" w:line="274" w:lineRule="auto"/>
        <w:tabs>
          <w:tab w:leader="none" w:pos="3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0" w:lineRule="exact"/>
        <w:rPr>
          <w:rFonts w:ascii="Times New Roman" w:cs="Times New Roman" w:eastAsia="Times New Roman" w:hAnsi="Times New Roman"/>
          <w:sz w:val="18"/>
          <w:szCs w:val="18"/>
          <w:color w:val="auto"/>
        </w:rPr>
      </w:pPr>
    </w:p>
    <w:p>
      <w:pPr>
        <w:ind w:right="40" w:firstLine="205"/>
        <w:spacing w:after="0" w:line="259" w:lineRule="auto"/>
        <w:tabs>
          <w:tab w:leader="none" w:pos="37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8"/>
          <w:szCs w:val="18"/>
          <w:color w:val="auto"/>
        </w:rPr>
      </w:pPr>
    </w:p>
    <w:p>
      <w:pPr>
        <w:ind w:right="140" w:firstLine="443"/>
        <w:spacing w:after="0" w:line="259" w:lineRule="auto"/>
        <w:tabs>
          <w:tab w:leader="none" w:pos="619"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Times New Roman" w:cs="Times New Roman" w:eastAsia="Times New Roman" w:hAnsi="Times New Roman"/>
          <w:sz w:val="18"/>
          <w:szCs w:val="18"/>
          <w:color w:val="auto"/>
        </w:rPr>
      </w:pPr>
    </w:p>
    <w:p>
      <w:pPr>
        <w:jc w:val="both"/>
        <w:ind w:right="120" w:firstLine="443"/>
        <w:spacing w:after="0" w:line="259" w:lineRule="auto"/>
        <w:tabs>
          <w:tab w:leader="none" w:pos="629"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Times New Roman" w:cs="Times New Roman" w:eastAsia="Times New Roman" w:hAnsi="Times New Roman"/>
          <w:sz w:val="18"/>
          <w:szCs w:val="18"/>
          <w:color w:val="auto"/>
        </w:rPr>
      </w:pPr>
    </w:p>
    <w:p>
      <w:pPr>
        <w:ind w:right="160" w:firstLine="443"/>
        <w:spacing w:after="0" w:line="274" w:lineRule="auto"/>
        <w:tabs>
          <w:tab w:leader="none" w:pos="619"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Times New Roman" w:cs="Times New Roman" w:eastAsia="Times New Roman" w:hAnsi="Times New Roman"/>
          <w:sz w:val="18"/>
          <w:szCs w:val="18"/>
          <w:color w:val="auto"/>
        </w:rPr>
      </w:pPr>
    </w:p>
    <w:p>
      <w:pPr>
        <w:ind w:right="200" w:firstLine="443"/>
        <w:spacing w:after="0" w:line="259" w:lineRule="auto"/>
        <w:tabs>
          <w:tab w:leader="none" w:pos="629"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8"/>
          <w:szCs w:val="18"/>
          <w:color w:val="auto"/>
        </w:rPr>
      </w:pPr>
    </w:p>
    <w:p>
      <w:pPr>
        <w:ind w:right="300" w:firstLine="205"/>
        <w:spacing w:after="0" w:line="274" w:lineRule="auto"/>
        <w:tabs>
          <w:tab w:leader="none" w:pos="37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0" w:lineRule="exact"/>
        <w:rPr>
          <w:rFonts w:ascii="Times New Roman" w:cs="Times New Roman" w:eastAsia="Times New Roman" w:hAnsi="Times New Roman"/>
          <w:sz w:val="18"/>
          <w:szCs w:val="18"/>
          <w:color w:val="auto"/>
        </w:rPr>
      </w:pPr>
    </w:p>
    <w:p>
      <w:pPr>
        <w:ind w:right="100" w:firstLine="443"/>
        <w:spacing w:after="0" w:line="274" w:lineRule="auto"/>
        <w:tabs>
          <w:tab w:leader="none" w:pos="619"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Times New Roman" w:cs="Times New Roman" w:eastAsia="Times New Roman" w:hAnsi="Times New Roman"/>
          <w:sz w:val="18"/>
          <w:szCs w:val="18"/>
          <w:color w:val="auto"/>
        </w:rPr>
      </w:pPr>
    </w:p>
    <w:p>
      <w:pPr>
        <w:ind w:right="140" w:firstLine="443"/>
        <w:spacing w:after="0" w:line="274" w:lineRule="auto"/>
        <w:tabs>
          <w:tab w:leader="none" w:pos="629"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7, 2022</w:t>
      </w:r>
    </w:p>
    <w:p>
      <w:pPr>
        <w:spacing w:after="0" w:line="45" w:lineRule="exact"/>
        <w:rPr>
          <w:sz w:val="20"/>
          <w:szCs w:val="20"/>
          <w:color w:val="auto"/>
        </w:rPr>
      </w:pPr>
    </w:p>
    <w:p>
      <w:pPr>
        <w:ind w:left="4200"/>
        <w:spacing w:after="0"/>
        <w:tabs>
          <w:tab w:leader="none" w:pos="4640" w:val="left"/>
        </w:tabs>
        <w:rPr>
          <w:sz w:val="20"/>
          <w:szCs w:val="20"/>
          <w:color w:val="auto"/>
        </w:rPr>
      </w:pPr>
      <w:r>
        <w:rPr>
          <w:rFonts w:ascii="Times New Roman" w:cs="Times New Roman" w:eastAsia="Times New Roman" w:hAnsi="Times New Roman"/>
          <w:sz w:val="18"/>
          <w:szCs w:val="18"/>
          <w:color w:val="auto"/>
        </w:rPr>
        <w:t>By:</w:t>
        <w:tab/>
        <w:t>/s/ Mark A. Clouse</w:t>
      </w:r>
    </w:p>
    <w:p>
      <w:pPr>
        <w:spacing w:after="0" w:line="23" w:lineRule="exact"/>
        <w:rPr>
          <w:sz w:val="20"/>
          <w:szCs w:val="20"/>
          <w:color w:val="auto"/>
        </w:rPr>
      </w:pPr>
    </w:p>
    <w:tbl>
      <w:tblPr>
        <w:tblLayout w:type="fixed"/>
        <w:tblInd w:w="4640" w:type="dxa"/>
        <w:tblCellMar>
          <w:top w:w="0" w:type="dxa"/>
          <w:left w:w="0" w:type="dxa"/>
          <w:bottom w:w="0" w:type="dxa"/>
          <w:right w:w="0" w:type="dxa"/>
        </w:tblCellMar>
      </w:tblPr>
      <w:tr>
        <w:trPr>
          <w:trHeight w:val="213"/>
        </w:trPr>
        <w:tc>
          <w:tcPr>
            <w:tcW w:w="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34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Mark A. Clouse</w:t>
            </w:r>
          </w:p>
        </w:tc>
      </w:tr>
      <w:tr>
        <w:trPr>
          <w:trHeight w:val="231"/>
        </w:trPr>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40"/>
          </w:cols>
          <w:pgMar w:left="320" w:top="874"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RULE 13a-14(a)</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Mick J. Beekhuizen, certify that:</w:t>
      </w:r>
    </w:p>
    <w:p>
      <w:pPr>
        <w:spacing w:after="0" w:line="164" w:lineRule="exact"/>
        <w:rPr>
          <w:sz w:val="20"/>
          <w:szCs w:val="20"/>
          <w:color w:val="auto"/>
        </w:rPr>
      </w:pPr>
    </w:p>
    <w:p>
      <w:pPr>
        <w:ind w:left="380" w:hanging="175"/>
        <w:spacing w:after="0"/>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Campbell Soup Company;</w:t>
      </w:r>
    </w:p>
    <w:p>
      <w:pPr>
        <w:spacing w:after="0" w:line="164" w:lineRule="exact"/>
        <w:rPr>
          <w:rFonts w:ascii="Times New Roman" w:cs="Times New Roman" w:eastAsia="Times New Roman" w:hAnsi="Times New Roman"/>
          <w:sz w:val="18"/>
          <w:szCs w:val="18"/>
          <w:color w:val="auto"/>
        </w:rPr>
      </w:pPr>
    </w:p>
    <w:p>
      <w:pPr>
        <w:ind w:right="460" w:firstLine="205"/>
        <w:spacing w:after="0" w:line="304" w:lineRule="auto"/>
        <w:tabs>
          <w:tab w:leader="none" w:pos="375"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7" w:lineRule="exact"/>
        <w:rPr>
          <w:rFonts w:ascii="Times New Roman" w:cs="Times New Roman" w:eastAsia="Times New Roman" w:hAnsi="Times New Roman"/>
          <w:sz w:val="17"/>
          <w:szCs w:val="17"/>
          <w:color w:val="auto"/>
        </w:rPr>
      </w:pPr>
    </w:p>
    <w:p>
      <w:pPr>
        <w:ind w:right="560" w:firstLine="205"/>
        <w:spacing w:after="0" w:line="274" w:lineRule="auto"/>
        <w:tabs>
          <w:tab w:leader="none" w:pos="37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0" w:lineRule="exact"/>
        <w:rPr>
          <w:rFonts w:ascii="Times New Roman" w:cs="Times New Roman" w:eastAsia="Times New Roman" w:hAnsi="Times New Roman"/>
          <w:sz w:val="18"/>
          <w:szCs w:val="18"/>
          <w:color w:val="auto"/>
        </w:rPr>
      </w:pPr>
    </w:p>
    <w:p>
      <w:pPr>
        <w:ind w:right="40" w:firstLine="205"/>
        <w:spacing w:after="0" w:line="259" w:lineRule="auto"/>
        <w:tabs>
          <w:tab w:leader="none" w:pos="37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8"/>
          <w:szCs w:val="18"/>
          <w:color w:val="auto"/>
        </w:rPr>
      </w:pPr>
    </w:p>
    <w:p>
      <w:pPr>
        <w:ind w:right="140" w:firstLine="443"/>
        <w:spacing w:after="0" w:line="259" w:lineRule="auto"/>
        <w:tabs>
          <w:tab w:leader="none" w:pos="619"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Times New Roman" w:cs="Times New Roman" w:eastAsia="Times New Roman" w:hAnsi="Times New Roman"/>
          <w:sz w:val="18"/>
          <w:szCs w:val="18"/>
          <w:color w:val="auto"/>
        </w:rPr>
      </w:pPr>
    </w:p>
    <w:p>
      <w:pPr>
        <w:jc w:val="both"/>
        <w:ind w:right="120" w:firstLine="443"/>
        <w:spacing w:after="0" w:line="259" w:lineRule="auto"/>
        <w:tabs>
          <w:tab w:leader="none" w:pos="629"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Times New Roman" w:cs="Times New Roman" w:eastAsia="Times New Roman" w:hAnsi="Times New Roman"/>
          <w:sz w:val="18"/>
          <w:szCs w:val="18"/>
          <w:color w:val="auto"/>
        </w:rPr>
      </w:pPr>
    </w:p>
    <w:p>
      <w:pPr>
        <w:ind w:right="160" w:firstLine="443"/>
        <w:spacing w:after="0" w:line="274" w:lineRule="auto"/>
        <w:tabs>
          <w:tab w:leader="none" w:pos="619"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Times New Roman" w:cs="Times New Roman" w:eastAsia="Times New Roman" w:hAnsi="Times New Roman"/>
          <w:sz w:val="18"/>
          <w:szCs w:val="18"/>
          <w:color w:val="auto"/>
        </w:rPr>
      </w:pPr>
    </w:p>
    <w:p>
      <w:pPr>
        <w:ind w:right="200" w:firstLine="443"/>
        <w:spacing w:after="0" w:line="259" w:lineRule="auto"/>
        <w:tabs>
          <w:tab w:leader="none" w:pos="629"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8"/>
          <w:szCs w:val="18"/>
          <w:color w:val="auto"/>
        </w:rPr>
      </w:pPr>
    </w:p>
    <w:p>
      <w:pPr>
        <w:ind w:right="300" w:firstLine="205"/>
        <w:spacing w:after="0" w:line="274" w:lineRule="auto"/>
        <w:tabs>
          <w:tab w:leader="none" w:pos="37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0" w:lineRule="exact"/>
        <w:rPr>
          <w:rFonts w:ascii="Times New Roman" w:cs="Times New Roman" w:eastAsia="Times New Roman" w:hAnsi="Times New Roman"/>
          <w:sz w:val="18"/>
          <w:szCs w:val="18"/>
          <w:color w:val="auto"/>
        </w:rPr>
      </w:pPr>
    </w:p>
    <w:p>
      <w:pPr>
        <w:ind w:right="100" w:firstLine="443"/>
        <w:spacing w:after="0" w:line="274" w:lineRule="auto"/>
        <w:tabs>
          <w:tab w:leader="none" w:pos="619"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Times New Roman" w:cs="Times New Roman" w:eastAsia="Times New Roman" w:hAnsi="Times New Roman"/>
          <w:sz w:val="18"/>
          <w:szCs w:val="18"/>
          <w:color w:val="auto"/>
        </w:rPr>
      </w:pPr>
    </w:p>
    <w:p>
      <w:pPr>
        <w:ind w:right="140" w:firstLine="443"/>
        <w:spacing w:after="0" w:line="274" w:lineRule="auto"/>
        <w:tabs>
          <w:tab w:leader="none" w:pos="629"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7, 2022</w:t>
      </w:r>
    </w:p>
    <w:p>
      <w:pPr>
        <w:spacing w:after="0" w:line="204" w:lineRule="exact"/>
        <w:rPr>
          <w:sz w:val="20"/>
          <w:szCs w:val="20"/>
          <w:color w:val="auto"/>
        </w:rPr>
      </w:pPr>
    </w:p>
    <w:p>
      <w:pPr>
        <w:ind w:left="4140"/>
        <w:spacing w:after="0"/>
        <w:tabs>
          <w:tab w:leader="none" w:pos="4580" w:val="left"/>
        </w:tabs>
        <w:rPr>
          <w:sz w:val="20"/>
          <w:szCs w:val="20"/>
          <w:color w:val="auto"/>
        </w:rPr>
      </w:pPr>
      <w:r>
        <w:rPr>
          <w:rFonts w:ascii="Times New Roman" w:cs="Times New Roman" w:eastAsia="Times New Roman" w:hAnsi="Times New Roman"/>
          <w:sz w:val="18"/>
          <w:szCs w:val="18"/>
          <w:color w:val="auto"/>
        </w:rPr>
        <w:t>By:</w:t>
        <w:tab/>
        <w:t>/s/ Mick J. Beekhuizen</w:t>
      </w:r>
    </w:p>
    <w:p>
      <w:pPr>
        <w:spacing w:after="0" w:line="23" w:lineRule="exact"/>
        <w:rPr>
          <w:sz w:val="20"/>
          <w:szCs w:val="20"/>
          <w:color w:val="auto"/>
        </w:rPr>
      </w:pPr>
    </w:p>
    <w:tbl>
      <w:tblPr>
        <w:tblLayout w:type="fixed"/>
        <w:tblInd w:w="4600" w:type="dxa"/>
        <w:tblCellMar>
          <w:top w:w="0" w:type="dxa"/>
          <w:left w:w="0" w:type="dxa"/>
          <w:bottom w:w="0" w:type="dxa"/>
          <w:right w:w="0" w:type="dxa"/>
        </w:tblCellMar>
      </w:tblPr>
      <w:tr>
        <w:trPr>
          <w:trHeight w:val="213"/>
        </w:trPr>
        <w:tc>
          <w:tcPr>
            <w:tcW w:w="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w:t>
            </w:r>
          </w:p>
        </w:tc>
        <w:tc>
          <w:tcPr>
            <w:tcW w:w="488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Mick J. Beekhuizen</w:t>
            </w:r>
          </w:p>
        </w:tc>
      </w:tr>
      <w:tr>
        <w:trPr>
          <w:trHeight w:val="225"/>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Executive Vice President and President,</w:t>
            </w:r>
          </w:p>
        </w:tc>
      </w:tr>
      <w:tr>
        <w:trPr>
          <w:trHeight w:val="231"/>
        </w:trPr>
        <w:tc>
          <w:tcPr>
            <w:tcW w:w="660" w:type="dxa"/>
            <w:vAlign w:val="bottom"/>
          </w:tcPr>
          <w:p>
            <w:pPr>
              <w:spacing w:after="0"/>
              <w:rPr>
                <w:sz w:val="20"/>
                <w:szCs w:val="20"/>
                <w:color w:val="auto"/>
              </w:rPr>
            </w:pPr>
          </w:p>
        </w:tc>
        <w:tc>
          <w:tcPr>
            <w:tcW w:w="4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Meals &amp; Beverages and Chief Financial Officer</w:t>
            </w:r>
          </w:p>
        </w:tc>
      </w:tr>
    </w:tbl>
    <w:p>
      <w:pPr>
        <w:sectPr>
          <w:pgSz w:w="11900" w:h="16838" w:orient="portrait"/>
          <w:cols w:equalWidth="0" w:num="1">
            <w:col w:w="11240"/>
          </w:cols>
          <w:pgMar w:left="320" w:top="874"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45" w:lineRule="exact"/>
        <w:rPr>
          <w:sz w:val="20"/>
          <w:szCs w:val="20"/>
          <w:color w:val="auto"/>
        </w:rPr>
      </w:pPr>
    </w:p>
    <w:p>
      <w:pPr>
        <w:ind w:right="80" w:firstLine="199"/>
        <w:spacing w:after="0" w:line="259" w:lineRule="auto"/>
        <w:rPr>
          <w:sz w:val="20"/>
          <w:szCs w:val="20"/>
          <w:color w:val="auto"/>
        </w:rPr>
      </w:pPr>
      <w:r>
        <w:rPr>
          <w:rFonts w:ascii="Times New Roman" w:cs="Times New Roman" w:eastAsia="Times New Roman" w:hAnsi="Times New Roman"/>
          <w:sz w:val="18"/>
          <w:szCs w:val="18"/>
          <w:color w:val="auto"/>
        </w:rPr>
        <w:t>In connection with the Quarterly Report of Campbell Soup Company (the “Company”) on Form 10-Q for the fiscal quarter ended October 30, 2022 (the “Report”), I, Mark A. Clouse, President and Chief Executive Officer of the Company, hereby certify, pursuant to 18 U.S.C. Section 1350, as adopted pursuant to Section 906 of the Sarbanes-Oxley Act of 2002, that, to my knowledge:</w:t>
      </w:r>
    </w:p>
    <w:p>
      <w:pPr>
        <w:spacing w:after="0" w:line="125" w:lineRule="exact"/>
        <w:rPr>
          <w:sz w:val="20"/>
          <w:szCs w:val="20"/>
          <w:color w:val="auto"/>
        </w:rPr>
      </w:pPr>
    </w:p>
    <w:p>
      <w:pPr>
        <w:ind w:left="700" w:hanging="257"/>
        <w:spacing w:after="0"/>
        <w:tabs>
          <w:tab w:leader="none" w:pos="7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4" w:lineRule="exact"/>
        <w:rPr>
          <w:rFonts w:ascii="Times New Roman" w:cs="Times New Roman" w:eastAsia="Times New Roman" w:hAnsi="Times New Roman"/>
          <w:sz w:val="18"/>
          <w:szCs w:val="18"/>
          <w:color w:val="auto"/>
        </w:rPr>
      </w:pPr>
    </w:p>
    <w:p>
      <w:pPr>
        <w:ind w:left="700" w:hanging="257"/>
        <w:spacing w:after="0"/>
        <w:tabs>
          <w:tab w:leader="none" w:pos="7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7, 2022</w:t>
      </w:r>
    </w:p>
    <w:p>
      <w:pPr>
        <w:spacing w:after="0" w:line="45" w:lineRule="exact"/>
        <w:rPr>
          <w:sz w:val="20"/>
          <w:szCs w:val="20"/>
          <w:color w:val="auto"/>
        </w:rPr>
      </w:pPr>
    </w:p>
    <w:p>
      <w:pPr>
        <w:ind w:left="4140"/>
        <w:spacing w:after="0"/>
        <w:tabs>
          <w:tab w:leader="none" w:pos="4580" w:val="left"/>
        </w:tabs>
        <w:rPr>
          <w:sz w:val="20"/>
          <w:szCs w:val="20"/>
          <w:color w:val="auto"/>
        </w:rPr>
      </w:pPr>
      <w:r>
        <w:rPr>
          <w:rFonts w:ascii="Times New Roman" w:cs="Times New Roman" w:eastAsia="Times New Roman" w:hAnsi="Times New Roman"/>
          <w:sz w:val="18"/>
          <w:szCs w:val="18"/>
          <w:color w:val="auto"/>
        </w:rPr>
        <w:t>By:</w:t>
        <w:tab/>
        <w:t>/s/ Mark A. Clouse</w:t>
      </w:r>
    </w:p>
    <w:p>
      <w:pPr>
        <w:spacing w:after="0" w:line="23" w:lineRule="exact"/>
        <w:rPr>
          <w:sz w:val="20"/>
          <w:szCs w:val="20"/>
          <w:color w:val="auto"/>
        </w:rPr>
      </w:pPr>
    </w:p>
    <w:tbl>
      <w:tblPr>
        <w:tblLayout w:type="fixed"/>
        <w:tblInd w:w="4580" w:type="dxa"/>
        <w:tblCellMar>
          <w:top w:w="0" w:type="dxa"/>
          <w:left w:w="0" w:type="dxa"/>
          <w:bottom w:w="0" w:type="dxa"/>
          <w:right w:w="0" w:type="dxa"/>
        </w:tblCellMar>
      </w:tblPr>
      <w:tr>
        <w:trPr>
          <w:trHeight w:val="213"/>
        </w:trPr>
        <w:tc>
          <w:tcPr>
            <w:tcW w:w="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30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Mark A. Clouse</w:t>
            </w:r>
          </w:p>
        </w:tc>
      </w:tr>
      <w:tr>
        <w:trPr>
          <w:trHeight w:val="231"/>
        </w:trPr>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 or as a separate disclosure document.</w:t>
      </w:r>
    </w:p>
    <w:p>
      <w:pPr>
        <w:spacing w:after="0" w:line="110"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8"/>
          <w:szCs w:val="18"/>
          <w:color w:val="auto"/>
        </w:rPr>
        <w:t>A signed original of this written statement required under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874"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45" w:lineRule="exact"/>
        <w:rPr>
          <w:sz w:val="20"/>
          <w:szCs w:val="20"/>
          <w:color w:val="auto"/>
        </w:rPr>
      </w:pPr>
    </w:p>
    <w:p>
      <w:pPr>
        <w:jc w:val="both"/>
        <w:ind w:right="280" w:firstLine="199"/>
        <w:spacing w:after="0" w:line="259" w:lineRule="auto"/>
        <w:rPr>
          <w:sz w:val="20"/>
          <w:szCs w:val="20"/>
          <w:color w:val="auto"/>
        </w:rPr>
      </w:pPr>
      <w:r>
        <w:rPr>
          <w:rFonts w:ascii="Times New Roman" w:cs="Times New Roman" w:eastAsia="Times New Roman" w:hAnsi="Times New Roman"/>
          <w:sz w:val="18"/>
          <w:szCs w:val="18"/>
          <w:color w:val="auto"/>
        </w:rPr>
        <w:t>In connection with the Quarterly Report of Campbell Soup Company (the “Company”) on Form 10-Q for the fiscal quarter ended October 30, 2022 (the “Report”), I, Mick J. Beekhuizen, Executive Vice President and President, Meals &amp; Beverages and Chief Financial Officer of the Company, hereby certify, pursuant to 18 U.S.C. Section 1350, as adopted pursuant to Section 906 of the Sarbanes-Oxley Act of 2002, that, to my knowledge:</w:t>
      </w:r>
    </w:p>
    <w:p>
      <w:pPr>
        <w:spacing w:after="0" w:line="125" w:lineRule="exact"/>
        <w:rPr>
          <w:sz w:val="20"/>
          <w:szCs w:val="20"/>
          <w:color w:val="auto"/>
        </w:rPr>
      </w:pPr>
    </w:p>
    <w:p>
      <w:pPr>
        <w:ind w:left="700" w:hanging="257"/>
        <w:spacing w:after="0"/>
        <w:tabs>
          <w:tab w:leader="none" w:pos="7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4" w:lineRule="exact"/>
        <w:rPr>
          <w:rFonts w:ascii="Times New Roman" w:cs="Times New Roman" w:eastAsia="Times New Roman" w:hAnsi="Times New Roman"/>
          <w:sz w:val="18"/>
          <w:szCs w:val="18"/>
          <w:color w:val="auto"/>
        </w:rPr>
      </w:pPr>
    </w:p>
    <w:p>
      <w:pPr>
        <w:ind w:left="700" w:hanging="257"/>
        <w:spacing w:after="0"/>
        <w:tabs>
          <w:tab w:leader="none" w:pos="7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7, 2022</w:t>
      </w:r>
    </w:p>
    <w:p>
      <w:pPr>
        <w:spacing w:after="0" w:line="45" w:lineRule="exact"/>
        <w:rPr>
          <w:sz w:val="20"/>
          <w:szCs w:val="20"/>
          <w:color w:val="auto"/>
        </w:rPr>
      </w:pPr>
    </w:p>
    <w:p>
      <w:pPr>
        <w:ind w:left="4160"/>
        <w:spacing w:after="0"/>
        <w:tabs>
          <w:tab w:leader="none" w:pos="4580" w:val="left"/>
        </w:tabs>
        <w:rPr>
          <w:sz w:val="20"/>
          <w:szCs w:val="20"/>
          <w:color w:val="auto"/>
        </w:rPr>
      </w:pPr>
      <w:r>
        <w:rPr>
          <w:rFonts w:ascii="Times New Roman" w:cs="Times New Roman" w:eastAsia="Times New Roman" w:hAnsi="Times New Roman"/>
          <w:sz w:val="18"/>
          <w:szCs w:val="18"/>
          <w:color w:val="auto"/>
        </w:rPr>
        <w:t>By:</w:t>
        <w:tab/>
        <w:t>/s/ Mick J. Beekhuizen</w:t>
      </w:r>
    </w:p>
    <w:p>
      <w:pPr>
        <w:spacing w:after="0" w:line="23" w:lineRule="exact"/>
        <w:rPr>
          <w:sz w:val="20"/>
          <w:szCs w:val="20"/>
          <w:color w:val="auto"/>
        </w:rPr>
      </w:pPr>
    </w:p>
    <w:tbl>
      <w:tblPr>
        <w:tblLayout w:type="fixed"/>
        <w:tblInd w:w="4600" w:type="dxa"/>
        <w:tblCellMar>
          <w:top w:w="0" w:type="dxa"/>
          <w:left w:w="0" w:type="dxa"/>
          <w:bottom w:w="0" w:type="dxa"/>
          <w:right w:w="0" w:type="dxa"/>
        </w:tblCellMar>
      </w:tblPr>
      <w:tr>
        <w:trPr>
          <w:trHeight w:val="213"/>
        </w:trPr>
        <w:tc>
          <w:tcPr>
            <w:tcW w:w="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w:t>
            </w:r>
          </w:p>
        </w:tc>
        <w:tc>
          <w:tcPr>
            <w:tcW w:w="528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Mick J. Beekhuizen</w:t>
            </w:r>
          </w:p>
        </w:tc>
      </w:tr>
      <w:tr>
        <w:trPr>
          <w:trHeight w:val="225"/>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Executive Vice President and President,</w:t>
            </w:r>
          </w:p>
        </w:tc>
      </w:tr>
      <w:tr>
        <w:trPr>
          <w:trHeight w:val="231"/>
        </w:trPr>
        <w:tc>
          <w:tcPr>
            <w:tcW w:w="660" w:type="dxa"/>
            <w:vAlign w:val="bottom"/>
          </w:tcPr>
          <w:p>
            <w:pPr>
              <w:spacing w:after="0"/>
              <w:rPr>
                <w:sz w:val="20"/>
                <w:szCs w:val="20"/>
                <w:color w:val="auto"/>
              </w:rPr>
            </w:pPr>
          </w:p>
        </w:tc>
        <w:tc>
          <w:tcPr>
            <w:tcW w:w="5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Meals &amp; Beverages and Chief Financial Officer</w:t>
            </w:r>
          </w:p>
        </w:tc>
      </w:tr>
    </w:tbl>
    <w:p>
      <w:pPr>
        <w:spacing w:after="0" w:line="200" w:lineRule="exact"/>
        <w:rPr>
          <w:sz w:val="20"/>
          <w:szCs w:val="20"/>
          <w:color w:val="auto"/>
        </w:rPr>
      </w:pPr>
    </w:p>
    <w:p>
      <w:pPr>
        <w:spacing w:after="0" w:line="271"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 or as a separate disclosure document.</w:t>
      </w:r>
    </w:p>
    <w:p>
      <w:pPr>
        <w:spacing w:after="0" w:line="110"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8"/>
          <w:szCs w:val="18"/>
          <w:color w:val="auto"/>
        </w:rPr>
        <w:t>A signed original of this written statement required under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1."/>
      <w:numFmt w:val="decimal"/>
      <w:start w:val="2"/>
    </w:lvl>
  </w:abstractNum>
  <w:abstractNum w:abstractNumId="1">
    <w:nsid w:val="7FDCC233"/>
    <w:multiLevelType w:val="hybridMultilevel"/>
    <w:lvl w:ilvl="0">
      <w:lvlJc w:val="left"/>
      <w:lvlText w:val="(%1)"/>
      <w:numFmt w:val="decimal"/>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1)"/>
      <w:numFmt w:val="decimal"/>
      <w:start w:val="1"/>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1)"/>
      <w:numFmt w:val="decimal"/>
      <w:start w:val="1"/>
    </w:lvl>
  </w:abstractNum>
  <w:abstractNum w:abstractNumId="9">
    <w:nsid w:val="3F2DBA31"/>
    <w:multiLevelType w:val="hybridMultilevel"/>
    <w:lvl w:ilvl="0">
      <w:lvlJc w:val="left"/>
      <w:lvlText w:val="%1."/>
      <w:numFmt w:val="decimal"/>
      <w:start w:val="14"/>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1)"/>
      <w:numFmt w:val="decimal"/>
      <w:start w:val="1"/>
    </w:lvl>
  </w:abstractNum>
  <w:abstractNum w:abstractNumId="14">
    <w:nsid w:val="628C895D"/>
    <w:multiLevelType w:val="hybridMultilevel"/>
    <w:lvl w:ilvl="0">
      <w:lvlJc w:val="left"/>
      <w:lvlText w:val="(%1)"/>
      <w:numFmt w:val="decimal"/>
      <w:start w:val="1"/>
    </w:lvl>
  </w:abstractNum>
  <w:abstractNum w:abstractNumId="15">
    <w:nsid w:val="333AB105"/>
    <w:multiLevelType w:val="hybridMultilevel"/>
    <w:lvl w:ilvl="0">
      <w:lvlJc w:val="left"/>
      <w:lvlText w:val="(%1)"/>
      <w:numFmt w:val="decimal"/>
      <w:start w:val="1"/>
    </w:lvl>
  </w:abstractNum>
  <w:abstractNum w:abstractNumId="16">
    <w:nsid w:val="721DA317"/>
    <w:multiLevelType w:val="hybridMultilevel"/>
    <w:lvl w:ilvl="0">
      <w:lvlJc w:val="left"/>
      <w:lvlText w:val="(%1)"/>
      <w:numFmt w:val="decimal"/>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1."/>
      <w:numFmt w:val="lowerLetter"/>
      <w:start w:val="1"/>
    </w:lvl>
  </w:abstractNum>
  <w:abstractNum w:abstractNumId="20">
    <w:nsid w:val="75A2A8D4"/>
    <w:multiLevelType w:val="hybridMultilevel"/>
    <w:lvl w:ilvl="0">
      <w:lvlJc w:val="left"/>
      <w:lvlText w:val="%1."/>
      <w:numFmt w:val="lowerLetter"/>
      <w:start w:val="2"/>
    </w:lvl>
  </w:abstractNum>
  <w:abstractNum w:abstractNumId="21">
    <w:nsid w:val="8EDBDAB"/>
    <w:multiLevelType w:val="hybridMultilevel"/>
    <w:lvl w:ilvl="0">
      <w:lvlJc w:val="left"/>
      <w:lvlText w:val="(%1)"/>
      <w:numFmt w:val="decimal"/>
      <w:start w:val="1"/>
    </w:lvl>
  </w:abstractNum>
  <w:abstractNum w:abstractNumId="22">
    <w:nsid w:val="79838CB2"/>
    <w:multiLevelType w:val="hybridMultilevel"/>
    <w:lvl w:ilvl="0">
      <w:lvlJc w:val="left"/>
      <w:lvlText w:val="%1"/>
      <w:numFmt w:val="decimal"/>
      <w:start w:val="104"/>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2022-12-07T06:33:43Z</dcterms:created>
  <dcterms:modified xsi:type="dcterms:W3CDTF">2022-12-07T06:33:43Z</dcterms:modified>
</cp:coreProperties>
</file>