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OF THE SECURITIES EXCHANGE ACT OF 1934</w:t>
      </w:r>
    </w:p>
    <w:p>
      <w:pPr>
        <w:spacing w:after="0" w:line="20" w:lineRule="exact"/>
        <w:rPr>
          <w:sz w:val="24"/>
          <w:szCs w:val="24"/>
          <w:color w:val="auto"/>
        </w:rPr>
      </w:pPr>
    </w:p>
    <w:p>
      <w:pPr>
        <w:ind w:left="420"/>
        <w:spacing w:after="0"/>
        <w:tabs>
          <w:tab w:leader="none" w:pos="8600" w:val="left"/>
        </w:tabs>
        <w:rPr>
          <w:sz w:val="20"/>
          <w:szCs w:val="20"/>
          <w:color w:val="auto"/>
        </w:rPr>
      </w:pPr>
      <w:r>
        <w:rPr>
          <w:rFonts w:ascii="Times New Roman" w:cs="Times New Roman" w:eastAsia="Times New Roman" w:hAnsi="Times New Roman"/>
          <w:sz w:val="18"/>
          <w:szCs w:val="18"/>
          <w:b w:val="1"/>
          <w:bCs w:val="1"/>
          <w:color w:val="auto"/>
        </w:rPr>
        <w:t>For The Quarterly Period Ended</w:t>
      </w:r>
      <w:r>
        <w:rPr>
          <w:sz w:val="20"/>
          <w:szCs w:val="20"/>
          <w:color w:val="auto"/>
        </w:rPr>
        <w:tab/>
      </w:r>
      <w:r>
        <w:rPr>
          <w:rFonts w:ascii="Times New Roman" w:cs="Times New Roman" w:eastAsia="Times New Roman" w:hAnsi="Times New Roman"/>
          <w:sz w:val="17"/>
          <w:szCs w:val="17"/>
          <w:b w:val="1"/>
          <w:bCs w:val="1"/>
          <w:color w:val="auto"/>
        </w:rPr>
        <w:t>Commission File Number</w:t>
      </w:r>
    </w:p>
    <w:p>
      <w:pPr>
        <w:spacing w:after="0" w:line="26" w:lineRule="exact"/>
        <w:rPr>
          <w:sz w:val="24"/>
          <w:szCs w:val="24"/>
          <w:color w:val="auto"/>
        </w:rPr>
      </w:pPr>
    </w:p>
    <w:p>
      <w:pPr>
        <w:ind w:left="1020"/>
        <w:spacing w:after="0"/>
        <w:tabs>
          <w:tab w:leader="none" w:pos="9320" w:val="left"/>
        </w:tabs>
        <w:rPr>
          <w:sz w:val="20"/>
          <w:szCs w:val="20"/>
          <w:color w:val="auto"/>
        </w:rPr>
      </w:pPr>
      <w:r>
        <w:rPr>
          <w:rFonts w:ascii="Times New Roman" w:cs="Times New Roman" w:eastAsia="Times New Roman" w:hAnsi="Times New Roman"/>
          <w:sz w:val="18"/>
          <w:szCs w:val="18"/>
          <w:b w:val="1"/>
          <w:bCs w:val="1"/>
          <w:color w:val="auto"/>
        </w:rPr>
        <w:t>October 29, 2023</w:t>
      </w:r>
      <w:r>
        <w:rPr>
          <w:sz w:val="20"/>
          <w:szCs w:val="20"/>
          <w:color w:val="auto"/>
        </w:rPr>
        <w:tab/>
      </w:r>
      <w:r>
        <w:rPr>
          <w:rFonts w:ascii="Times New Roman" w:cs="Times New Roman" w:eastAsia="Times New Roman" w:hAnsi="Times New Roman"/>
          <w:sz w:val="17"/>
          <w:szCs w:val="17"/>
          <w:b w:val="1"/>
          <w:bCs w:val="1"/>
          <w:color w:val="auto"/>
        </w:rPr>
        <w:t>1-3822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2611755</wp:posOffset>
            </wp:positionH>
            <wp:positionV relativeFrom="paragraph">
              <wp:posOffset>69850</wp:posOffset>
            </wp:positionV>
            <wp:extent cx="1926590" cy="5892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26590" cy="5892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5"/>
          <w:szCs w:val="35"/>
          <w:b w:val="1"/>
          <w:bCs w:val="1"/>
          <w:color w:val="auto"/>
        </w:rPr>
        <w:t>CAMPBELL SOUP COMPANY</w:t>
      </w:r>
    </w:p>
    <w:p>
      <w:pPr>
        <w:spacing w:after="0" w:line="70" w:lineRule="exact"/>
        <w:rPr>
          <w:sz w:val="24"/>
          <w:szCs w:val="24"/>
          <w:color w:val="auto"/>
        </w:rPr>
      </w:pPr>
    </w:p>
    <w:p>
      <w:pPr>
        <w:ind w:left="2440"/>
        <w:spacing w:after="0"/>
        <w:tabs>
          <w:tab w:leader="none" w:pos="7920" w:val="left"/>
        </w:tabs>
        <w:rPr>
          <w:sz w:val="20"/>
          <w:szCs w:val="20"/>
          <w:color w:val="auto"/>
        </w:rPr>
      </w:pPr>
      <w:r>
        <w:rPr>
          <w:rFonts w:ascii="Times New Roman" w:cs="Times New Roman" w:eastAsia="Times New Roman" w:hAnsi="Times New Roman"/>
          <w:sz w:val="18"/>
          <w:szCs w:val="18"/>
          <w:b w:val="1"/>
          <w:bCs w:val="1"/>
          <w:color w:val="auto"/>
        </w:rPr>
        <w:t>New Jersey</w:t>
      </w:r>
      <w:r>
        <w:rPr>
          <w:sz w:val="20"/>
          <w:szCs w:val="20"/>
          <w:color w:val="auto"/>
        </w:rPr>
        <w:tab/>
      </w:r>
      <w:r>
        <w:rPr>
          <w:rFonts w:ascii="Times New Roman" w:cs="Times New Roman" w:eastAsia="Times New Roman" w:hAnsi="Times New Roman"/>
          <w:sz w:val="17"/>
          <w:szCs w:val="17"/>
          <w:b w:val="1"/>
          <w:bCs w:val="1"/>
          <w:color w:val="auto"/>
        </w:rPr>
        <w:t>21-0419870</w:t>
      </w:r>
    </w:p>
    <w:p>
      <w:pPr>
        <w:spacing w:after="0" w:line="26" w:lineRule="exact"/>
        <w:rPr>
          <w:sz w:val="24"/>
          <w:szCs w:val="24"/>
          <w:color w:val="auto"/>
        </w:rPr>
      </w:pPr>
    </w:p>
    <w:p>
      <w:pPr>
        <w:ind w:left="2080"/>
        <w:spacing w:after="0"/>
        <w:tabs>
          <w:tab w:leader="none" w:pos="7140" w:val="left"/>
        </w:tabs>
        <w:rPr>
          <w:sz w:val="20"/>
          <w:szCs w:val="20"/>
          <w:color w:val="auto"/>
        </w:rPr>
      </w:pPr>
      <w:r>
        <w:rPr>
          <w:rFonts w:ascii="Times New Roman" w:cs="Times New Roman" w:eastAsia="Times New Roman" w:hAnsi="Times New Roman"/>
          <w:sz w:val="18"/>
          <w:szCs w:val="18"/>
          <w:i w:val="1"/>
          <w:iCs w:val="1"/>
          <w:color w:val="auto"/>
        </w:rPr>
        <w:t>State of Incorporation</w:t>
      </w:r>
      <w:r>
        <w:rPr>
          <w:sz w:val="20"/>
          <w:szCs w:val="20"/>
          <w:color w:val="auto"/>
        </w:rPr>
        <w:tab/>
      </w:r>
      <w:r>
        <w:rPr>
          <w:rFonts w:ascii="Times New Roman" w:cs="Times New Roman" w:eastAsia="Times New Roman" w:hAnsi="Times New Roman"/>
          <w:sz w:val="17"/>
          <w:szCs w:val="17"/>
          <w:i w:val="1"/>
          <w:iCs w:val="1"/>
          <w:color w:val="auto"/>
        </w:rPr>
        <w:t>I.R.S. Employer Identification No.</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Campbell Place</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Camden, New Jersey 08103-1799</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Principal Executive Offices</w:t>
      </w: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Number: (856) 342-4800</w:t>
      </w: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45" w:lineRule="exact"/>
        <w:rPr>
          <w:sz w:val="24"/>
          <w:szCs w:val="24"/>
          <w:color w:val="auto"/>
        </w:rPr>
      </w:pPr>
    </w:p>
    <w:p>
      <w:pPr>
        <w:ind w:left="1560"/>
        <w:spacing w:after="0"/>
        <w:tabs>
          <w:tab w:leader="none" w:pos="4980" w:val="left"/>
          <w:tab w:leader="none" w:pos="7220"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26" w:lineRule="exact"/>
        <w:rPr>
          <w:sz w:val="24"/>
          <w:szCs w:val="24"/>
          <w:color w:val="auto"/>
        </w:rPr>
      </w:pPr>
    </w:p>
    <w:p>
      <w:pPr>
        <w:ind w:left="1140"/>
        <w:spacing w:after="0"/>
        <w:tabs>
          <w:tab w:leader="none" w:pos="5420" w:val="left"/>
          <w:tab w:leader="none" w:pos="8000" w:val="left"/>
        </w:tabs>
        <w:rPr>
          <w:sz w:val="20"/>
          <w:szCs w:val="20"/>
          <w:color w:val="auto"/>
        </w:rPr>
      </w:pPr>
      <w:r>
        <w:rPr>
          <w:rFonts w:ascii="Times New Roman" w:cs="Times New Roman" w:eastAsia="Times New Roman" w:hAnsi="Times New Roman"/>
          <w:sz w:val="18"/>
          <w:szCs w:val="18"/>
          <w:color w:val="auto"/>
        </w:rPr>
        <w:t>Capital Stock, par value $.0375</w:t>
      </w:r>
      <w:r>
        <w:rPr>
          <w:sz w:val="20"/>
          <w:szCs w:val="20"/>
          <w:color w:val="auto"/>
        </w:rPr>
        <w:tab/>
      </w:r>
      <w:r>
        <w:rPr>
          <w:rFonts w:ascii="Times New Roman" w:cs="Times New Roman" w:eastAsia="Times New Roman" w:hAnsi="Times New Roman"/>
          <w:sz w:val="18"/>
          <w:szCs w:val="18"/>
          <w:color w:val="auto"/>
        </w:rPr>
        <w:t>CPB</w:t>
      </w:r>
      <w:r>
        <w:rPr>
          <w:sz w:val="20"/>
          <w:szCs w:val="20"/>
          <w:color w:val="auto"/>
        </w:rPr>
        <w:tab/>
      </w:r>
      <w:r>
        <w:rPr>
          <w:rFonts w:ascii="Times New Roman" w:cs="Times New Roman" w:eastAsia="Times New Roman" w:hAnsi="Times New Roman"/>
          <w:sz w:val="17"/>
          <w:szCs w:val="17"/>
          <w:color w:val="auto"/>
        </w:rPr>
        <w:t>New York Stock Exchange</w:t>
      </w:r>
    </w:p>
    <w:p>
      <w:pPr>
        <w:spacing w:after="0" w:line="200" w:lineRule="exact"/>
        <w:rPr>
          <w:sz w:val="24"/>
          <w:szCs w:val="24"/>
          <w:color w:val="auto"/>
        </w:rPr>
      </w:pPr>
    </w:p>
    <w:p>
      <w:pPr>
        <w:spacing w:after="0" w:line="210" w:lineRule="exact"/>
        <w:rPr>
          <w:sz w:val="24"/>
          <w:szCs w:val="24"/>
          <w:color w:val="auto"/>
        </w:rPr>
      </w:pPr>
    </w:p>
    <w:p>
      <w:pPr>
        <w:jc w:val="both"/>
        <w:ind w:firstLine="318"/>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9" w:lineRule="exact"/>
        <w:rPr>
          <w:sz w:val="24"/>
          <w:szCs w:val="24"/>
          <w:color w:val="auto"/>
        </w:rPr>
      </w:pPr>
    </w:p>
    <w:p>
      <w:pPr>
        <w:jc w:val="both"/>
        <w:ind w:firstLine="318"/>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8" w:lineRule="exact"/>
        <w:rPr>
          <w:sz w:val="24"/>
          <w:szCs w:val="24"/>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52" w:right="339" w:bottom="1440" w:gutter="0" w:footer="0" w:header="0"/>
        </w:sectPr>
      </w:pPr>
    </w:p>
    <w:p>
      <w:pPr>
        <w:spacing w:after="0" w:line="151"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4"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18"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244" w:lineRule="exact"/>
        <w:tabs>
          <w:tab w:leader="none" w:pos="1720" w:val="left"/>
          <w:tab w:leader="none" w:pos="4220" w:val="left"/>
        </w:tabs>
        <w:rPr>
          <w:sz w:val="20"/>
          <w:szCs w:val="20"/>
          <w:color w:val="auto"/>
        </w:rPr>
      </w:pPr>
      <w:r>
        <w:rPr>
          <w:rFonts w:ascii="MS PGothic" w:cs="MS PGothic" w:eastAsia="MS PGothic" w:hAnsi="MS PGothic"/>
          <w:sz w:val="35"/>
          <w:szCs w:val="35"/>
          <w:color w:val="auto"/>
          <w:vertAlign w:val="superscript"/>
        </w:rPr>
        <w:t>☑</w:t>
      </w:r>
      <w:r>
        <w:rPr>
          <w:sz w:val="20"/>
          <w:szCs w:val="20"/>
          <w:color w:val="auto"/>
        </w:rPr>
        <w:tab/>
      </w:r>
      <w:r>
        <w:rPr>
          <w:rFonts w:ascii="Times New Roman" w:cs="Times New Roman" w:eastAsia="Times New Roman" w:hAnsi="Times New Roman"/>
          <w:sz w:val="18"/>
          <w:szCs w:val="18"/>
          <w:color w:val="auto"/>
        </w:rPr>
        <w:t>Accelerated filer</w:t>
      </w:r>
      <w:r>
        <w:rPr>
          <w:sz w:val="20"/>
          <w:szCs w:val="20"/>
          <w:color w:val="auto"/>
        </w:rPr>
        <w:tab/>
      </w:r>
      <w:r>
        <w:rPr>
          <w:rFonts w:ascii="MS PGothic" w:cs="MS PGothic" w:eastAsia="MS PGothic" w:hAnsi="MS PGothic"/>
          <w:sz w:val="15"/>
          <w:szCs w:val="15"/>
          <w:color w:val="auto"/>
        </w:rPr>
        <w:t>☐</w:t>
      </w:r>
    </w:p>
    <w:p>
      <w:pPr>
        <w:spacing w:after="0" w:line="126" w:lineRule="exact"/>
        <w:rPr>
          <w:sz w:val="24"/>
          <w:szCs w:val="24"/>
          <w:color w:val="auto"/>
        </w:rPr>
      </w:pPr>
    </w:p>
    <w:p>
      <w:pPr>
        <w:spacing w:after="0" w:line="207" w:lineRule="exact"/>
        <w:tabs>
          <w:tab w:leader="none" w:pos="1720" w:val="left"/>
          <w:tab w:leader="none" w:pos="42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Smaller reporting company</w:t>
      </w:r>
      <w:r>
        <w:rPr>
          <w:sz w:val="20"/>
          <w:szCs w:val="20"/>
          <w:color w:val="auto"/>
        </w:rPr>
        <w:tab/>
      </w:r>
      <w:r>
        <w:rPr>
          <w:rFonts w:ascii="MS PGothic" w:cs="MS PGothic" w:eastAsia="MS PGothic" w:hAnsi="MS PGothic"/>
          <w:sz w:val="15"/>
          <w:szCs w:val="15"/>
          <w:color w:val="auto"/>
        </w:rPr>
        <w:t>☐</w:t>
      </w:r>
    </w:p>
    <w:p>
      <w:pPr>
        <w:spacing w:after="0" w:line="18"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8" w:lineRule="exact"/>
        <w:rPr>
          <w:sz w:val="24"/>
          <w:szCs w:val="24"/>
          <w:color w:val="auto"/>
        </w:rPr>
      </w:pPr>
    </w:p>
    <w:p>
      <w:pPr>
        <w:sectPr>
          <w:pgSz w:w="11900" w:h="16838" w:orient="portrait"/>
          <w:cols w:equalWidth="0" w:num="2">
            <w:col w:w="3740" w:space="720"/>
            <w:col w:w="6780"/>
          </w:cols>
          <w:pgMar w:left="320" w:top="1252" w:right="339" w:bottom="1440" w:gutter="0" w:footer="0" w:header="0"/>
          <w:type w:val="continuous"/>
        </w:sectPr>
      </w:pPr>
    </w:p>
    <w:p>
      <w:pPr>
        <w:spacing w:after="0" w:line="195" w:lineRule="exact"/>
        <w:rPr>
          <w:sz w:val="24"/>
          <w:szCs w:val="24"/>
          <w:color w:val="auto"/>
        </w:rPr>
      </w:pPr>
    </w:p>
    <w:p>
      <w:pPr>
        <w:ind w:firstLine="318"/>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61" w:lineRule="exact"/>
        <w:rPr>
          <w:sz w:val="24"/>
          <w:szCs w:val="24"/>
          <w:color w:val="auto"/>
        </w:rPr>
      </w:pPr>
    </w:p>
    <w:p>
      <w:pPr>
        <w:ind w:left="32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3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There were 298,099,835 shares of capital stock outstanding as of November 30,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574040</wp:posOffset>
            </wp:positionV>
            <wp:extent cx="716026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5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80" w:type="dxa"/>
            <w:vAlign w:val="bottom"/>
            <w:gridSpan w:val="4"/>
          </w:tcPr>
          <w:p>
            <w:pPr>
              <w:jc w:val="center"/>
              <w:ind w:right="110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70"/>
        </w:trPr>
        <w:tc>
          <w:tcPr>
            <w:tcW w:w="20" w:type="dxa"/>
            <w:vAlign w:val="bottom"/>
          </w:tcPr>
          <w:p>
            <w:pPr>
              <w:spacing w:after="0"/>
              <w:rPr>
                <w:sz w:val="24"/>
                <w:szCs w:val="24"/>
                <w:color w:val="auto"/>
              </w:rPr>
            </w:pPr>
          </w:p>
        </w:tc>
        <w:tc>
          <w:tcPr>
            <w:tcW w:w="29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6"/>
              </w:rPr>
              <w:t>PART I - FINANCIAL INFORMATION</w:t>
            </w:r>
          </w:p>
        </w:tc>
        <w:tc>
          <w:tcPr>
            <w:tcW w:w="1760" w:type="dxa"/>
            <w:vAlign w:val="bottom"/>
            <w:gridSpan w:val="7"/>
          </w:tcPr>
          <w:p>
            <w:pPr>
              <w:spacing w:after="0"/>
              <w:rPr>
                <w:sz w:val="24"/>
                <w:szCs w:val="24"/>
                <w:color w:val="auto"/>
              </w:rPr>
            </w:pPr>
          </w:p>
        </w:tc>
        <w:tc>
          <w:tcPr>
            <w:tcW w:w="1880" w:type="dxa"/>
            <w:vAlign w:val="bottom"/>
            <w:tcBorders>
              <w:top w:val="single" w:sz="8" w:color="auto"/>
            </w:tcBorders>
            <w:gridSpan w:val="3"/>
          </w:tcPr>
          <w:p>
            <w:pPr>
              <w:spacing w:after="0"/>
              <w:rPr>
                <w:sz w:val="24"/>
                <w:szCs w:val="24"/>
                <w:color w:val="auto"/>
              </w:rPr>
            </w:pPr>
          </w:p>
        </w:tc>
        <w:tc>
          <w:tcPr>
            <w:tcW w:w="1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8"/>
              </w:rPr>
              <w:t>3</w:t>
            </w: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20" w:type="dxa"/>
            <w:vAlign w:val="bottom"/>
            <w:tcBorders>
              <w:bottom w:val="single" w:sz="8" w:color="0000FF"/>
            </w:tcBorders>
            <w:gridSpan w:val="7"/>
          </w:tcPr>
          <w:p>
            <w:pPr>
              <w:spacing w:after="0" w:line="205" w:lineRule="exact"/>
              <w:rPr>
                <w:sz w:val="20"/>
                <w:szCs w:val="20"/>
                <w:color w:val="auto"/>
              </w:rPr>
            </w:pPr>
            <w:r>
              <w:rPr>
                <w:rFonts w:ascii="Times New Roman" w:cs="Times New Roman" w:eastAsia="Times New Roman" w:hAnsi="Times New Roman"/>
                <w:sz w:val="18"/>
                <w:szCs w:val="18"/>
                <w:color w:val="0000FF"/>
                <w:w w:val="97"/>
              </w:rPr>
              <w:t>Item 1. Financial Statements</w:t>
            </w:r>
          </w:p>
        </w:tc>
        <w:tc>
          <w:tcPr>
            <w:tcW w:w="4840" w:type="dxa"/>
            <w:vAlign w:val="bottom"/>
            <w:gridSpan w:val="12"/>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88"/>
              </w:rPr>
              <w:t>3</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20" w:type="dxa"/>
            <w:vAlign w:val="bottom"/>
            <w:tcBorders>
              <w:bottom w:val="single" w:sz="8" w:color="0000FF"/>
            </w:tcBorders>
            <w:gridSpan w:val="11"/>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Statements of Earnings</w:t>
            </w:r>
          </w:p>
        </w:tc>
        <w:tc>
          <w:tcPr>
            <w:tcW w:w="4040" w:type="dxa"/>
            <w:vAlign w:val="bottom"/>
            <w:gridSpan w:val="7"/>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88"/>
              </w:rPr>
              <w:t>3</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80" w:type="dxa"/>
            <w:vAlign w:val="bottom"/>
            <w:tcBorders>
              <w:bottom w:val="single" w:sz="8" w:color="0000FF"/>
            </w:tcBorders>
            <w:gridSpan w:val="14"/>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Statements of Comprehensive Income</w:t>
            </w:r>
          </w:p>
        </w:tc>
        <w:tc>
          <w:tcPr>
            <w:tcW w:w="2980" w:type="dxa"/>
            <w:vAlign w:val="bottom"/>
            <w:gridSpan w:val="4"/>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88"/>
              </w:rPr>
              <w:t>4</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tcBorders>
              <w:bottom w:val="single" w:sz="8" w:color="0000FF"/>
            </w:tcBorders>
            <w:gridSpan w:val="8"/>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Balance Sheets</w:t>
            </w:r>
          </w:p>
        </w:tc>
        <w:tc>
          <w:tcPr>
            <w:tcW w:w="4600" w:type="dxa"/>
            <w:vAlign w:val="bottom"/>
            <w:gridSpan w:val="10"/>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88"/>
              </w:rPr>
              <w:t>5</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20" w:type="dxa"/>
            <w:vAlign w:val="bottom"/>
            <w:tcBorders>
              <w:bottom w:val="single" w:sz="8" w:color="0000FF"/>
            </w:tcBorders>
            <w:gridSpan w:val="12"/>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Statements of Cash Flows</w:t>
            </w:r>
          </w:p>
        </w:tc>
        <w:tc>
          <w:tcPr>
            <w:tcW w:w="3840" w:type="dxa"/>
            <w:vAlign w:val="bottom"/>
            <w:gridSpan w:val="6"/>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88"/>
              </w:rPr>
              <w:t>6</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60" w:type="dxa"/>
            <w:vAlign w:val="bottom"/>
            <w:gridSpan w:val="18"/>
          </w:tcPr>
          <w:p>
            <w:pPr>
              <w:spacing w:after="0" w:line="205" w:lineRule="exact"/>
              <w:rPr>
                <w:sz w:val="20"/>
                <w:szCs w:val="20"/>
                <w:color w:val="auto"/>
              </w:rPr>
            </w:pPr>
            <w:r>
              <w:rPr>
                <w:rFonts w:ascii="Times New Roman" w:cs="Times New Roman" w:eastAsia="Times New Roman" w:hAnsi="Times New Roman"/>
                <w:sz w:val="18"/>
                <w:szCs w:val="18"/>
                <w:color w:val="0000FF"/>
              </w:rPr>
              <w:t>Consolidated Statements of Equity</w:t>
            </w:r>
          </w:p>
        </w:tc>
        <w:tc>
          <w:tcPr>
            <w:tcW w:w="2460" w:type="dxa"/>
            <w:vAlign w:val="bottom"/>
            <w:gridSpan w:val="3"/>
          </w:tcPr>
          <w:p>
            <w:pPr>
              <w:ind w:left="2280"/>
              <w:spacing w:after="0" w:line="205" w:lineRule="exact"/>
              <w:rPr>
                <w:sz w:val="20"/>
                <w:szCs w:val="20"/>
                <w:color w:val="auto"/>
              </w:rPr>
            </w:pPr>
            <w:r>
              <w:rPr>
                <w:rFonts w:ascii="Times New Roman" w:cs="Times New Roman" w:eastAsia="Times New Roman" w:hAnsi="Times New Roman"/>
                <w:sz w:val="18"/>
                <w:szCs w:val="18"/>
                <w:color w:val="0000FF"/>
              </w:rPr>
              <w:t>7</w:t>
            </w:r>
          </w:p>
        </w:tc>
        <w:tc>
          <w:tcPr>
            <w:tcW w:w="11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00" w:type="dxa"/>
            <w:vAlign w:val="bottom"/>
            <w:tcBorders>
              <w:bottom w:val="single" w:sz="8" w:color="0000FF"/>
            </w:tcBorders>
            <w:gridSpan w:val="13"/>
          </w:tcPr>
          <w:p>
            <w:pPr>
              <w:spacing w:after="0" w:line="205" w:lineRule="exact"/>
              <w:rPr>
                <w:sz w:val="20"/>
                <w:szCs w:val="20"/>
                <w:color w:val="auto"/>
              </w:rPr>
            </w:pPr>
            <w:r>
              <w:rPr>
                <w:rFonts w:ascii="Times New Roman" w:cs="Times New Roman" w:eastAsia="Times New Roman" w:hAnsi="Times New Roman"/>
                <w:sz w:val="18"/>
                <w:szCs w:val="18"/>
                <w:color w:val="0000FF"/>
                <w:w w:val="97"/>
              </w:rPr>
              <w:t>Notes to Consolidated Financial Statements</w:t>
            </w:r>
          </w:p>
        </w:tc>
        <w:tc>
          <w:tcPr>
            <w:tcW w:w="3560" w:type="dxa"/>
            <w:vAlign w:val="bottom"/>
            <w:gridSpan w:val="5"/>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88"/>
              </w:rPr>
              <w:t>8</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60" w:type="dxa"/>
            <w:vAlign w:val="bottom"/>
            <w:tcBorders>
              <w:bottom w:val="single" w:sz="8" w:color="0000FF"/>
            </w:tcBorders>
            <w:gridSpan w:val="19"/>
          </w:tcPr>
          <w:p>
            <w:pPr>
              <w:spacing w:after="0" w:line="205" w:lineRule="exact"/>
              <w:rPr>
                <w:sz w:val="20"/>
                <w:szCs w:val="20"/>
                <w:color w:val="auto"/>
              </w:rPr>
            </w:pPr>
            <w:r>
              <w:rPr>
                <w:rFonts w:ascii="Times New Roman" w:cs="Times New Roman" w:eastAsia="Times New Roman" w:hAnsi="Times New Roman"/>
                <w:sz w:val="18"/>
                <w:szCs w:val="18"/>
                <w:color w:val="0000FF"/>
                <w:w w:val="97"/>
              </w:rPr>
              <w:t>Item 2. Management's Discussion and Analysis of Financial Condition and Results of Operations</w:t>
            </w:r>
          </w:p>
        </w:tc>
        <w:tc>
          <w:tcPr>
            <w:tcW w:w="2280" w:type="dxa"/>
            <w:vAlign w:val="bottom"/>
          </w:tcPr>
          <w:p>
            <w:pPr>
              <w:spacing w:after="0"/>
              <w:rPr>
                <w:sz w:val="17"/>
                <w:szCs w:val="17"/>
                <w:color w:val="auto"/>
              </w:rPr>
            </w:pPr>
          </w:p>
        </w:tc>
        <w:tc>
          <w:tcPr>
            <w:tcW w:w="180" w:type="dxa"/>
            <w:vAlign w:val="bottom"/>
            <w:tcBorders>
              <w:bottom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8"/>
              </w:rPr>
              <w:t>24</w:t>
            </w: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60" w:type="dxa"/>
            <w:vAlign w:val="bottom"/>
            <w:gridSpan w:val="19"/>
          </w:tcPr>
          <w:p>
            <w:pPr>
              <w:spacing w:after="0" w:line="205" w:lineRule="exact"/>
              <w:rPr>
                <w:sz w:val="20"/>
                <w:szCs w:val="20"/>
                <w:color w:val="auto"/>
              </w:rPr>
            </w:pPr>
            <w:r>
              <w:rPr>
                <w:rFonts w:ascii="Times New Roman" w:cs="Times New Roman" w:eastAsia="Times New Roman" w:hAnsi="Times New Roman"/>
                <w:sz w:val="18"/>
                <w:szCs w:val="18"/>
                <w:color w:val="0000FF"/>
              </w:rPr>
              <w:t>Item 3. Quantitative and Qualitative Disclosure About Market Risk</w:t>
            </w:r>
          </w:p>
        </w:tc>
        <w:tc>
          <w:tcPr>
            <w:tcW w:w="2460" w:type="dxa"/>
            <w:vAlign w:val="bottom"/>
            <w:gridSpan w:val="3"/>
          </w:tcPr>
          <w:p>
            <w:pPr>
              <w:ind w:left="2280"/>
              <w:spacing w:after="0" w:line="205" w:lineRule="exact"/>
              <w:rPr>
                <w:sz w:val="20"/>
                <w:szCs w:val="20"/>
                <w:color w:val="auto"/>
              </w:rPr>
            </w:pPr>
            <w:r>
              <w:rPr>
                <w:rFonts w:ascii="Times New Roman" w:cs="Times New Roman" w:eastAsia="Times New Roman" w:hAnsi="Times New Roman"/>
                <w:sz w:val="18"/>
                <w:szCs w:val="18"/>
                <w:color w:val="0000FF"/>
                <w:w w:val="88"/>
              </w:rPr>
              <w:t>32</w:t>
            </w: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80" w:type="dxa"/>
            <w:vAlign w:val="bottom"/>
            <w:tcBorders>
              <w:top w:val="single" w:sz="8" w:color="0000FF"/>
              <w:bottom w:val="single" w:sz="8" w:color="0000FF"/>
            </w:tcBorders>
            <w:gridSpan w:val="10"/>
          </w:tcPr>
          <w:p>
            <w:pPr>
              <w:spacing w:after="0" w:line="205" w:lineRule="exact"/>
              <w:rPr>
                <w:sz w:val="20"/>
                <w:szCs w:val="20"/>
                <w:color w:val="auto"/>
              </w:rPr>
            </w:pPr>
            <w:r>
              <w:rPr>
                <w:rFonts w:ascii="Times New Roman" w:cs="Times New Roman" w:eastAsia="Times New Roman" w:hAnsi="Times New Roman"/>
                <w:sz w:val="18"/>
                <w:szCs w:val="18"/>
                <w:color w:val="0000FF"/>
                <w:w w:val="97"/>
              </w:rPr>
              <w:t>Item 4. Controls and Procedures</w:t>
            </w:r>
          </w:p>
        </w:tc>
        <w:tc>
          <w:tcPr>
            <w:tcW w:w="2460" w:type="dxa"/>
            <w:vAlign w:val="bottom"/>
            <w:tcBorders>
              <w:top w:val="single" w:sz="8" w:color="0000FF"/>
            </w:tcBorders>
            <w:gridSpan w:val="6"/>
          </w:tcPr>
          <w:p>
            <w:pPr>
              <w:spacing w:after="0"/>
              <w:rPr>
                <w:sz w:val="17"/>
                <w:szCs w:val="17"/>
                <w:color w:val="auto"/>
              </w:rPr>
            </w:pPr>
          </w:p>
        </w:tc>
        <w:tc>
          <w:tcPr>
            <w:tcW w:w="2120" w:type="dxa"/>
            <w:vAlign w:val="bottom"/>
            <w:gridSpan w:val="3"/>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8"/>
              </w:rPr>
              <w:t>32</w:t>
            </w: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64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PART II - OTHER INFORMATION</w:t>
            </w:r>
          </w:p>
        </w:tc>
        <w:tc>
          <w:tcPr>
            <w:tcW w:w="2460" w:type="dxa"/>
            <w:vAlign w:val="bottom"/>
            <w:gridSpan w:val="3"/>
          </w:tcPr>
          <w:p>
            <w:pPr>
              <w:ind w:left="2280"/>
              <w:spacing w:after="0" w:line="205" w:lineRule="exact"/>
              <w:rPr>
                <w:sz w:val="20"/>
                <w:szCs w:val="20"/>
                <w:color w:val="auto"/>
              </w:rPr>
            </w:pPr>
            <w:r>
              <w:rPr>
                <w:rFonts w:ascii="Times New Roman" w:cs="Times New Roman" w:eastAsia="Times New Roman" w:hAnsi="Times New Roman"/>
                <w:sz w:val="18"/>
                <w:szCs w:val="18"/>
                <w:color w:val="0000FF"/>
                <w:w w:val="88"/>
              </w:rPr>
              <w:t>32</w:t>
            </w:r>
          </w:p>
        </w:tc>
        <w:tc>
          <w:tcPr>
            <w:tcW w:w="11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gridSpan w:val="11"/>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60" w:type="dxa"/>
            <w:vAlign w:val="bottom"/>
            <w:gridSpan w:val="19"/>
          </w:tcPr>
          <w:p>
            <w:pPr>
              <w:spacing w:after="0" w:line="205" w:lineRule="exact"/>
              <w:rPr>
                <w:sz w:val="20"/>
                <w:szCs w:val="20"/>
                <w:color w:val="auto"/>
              </w:rPr>
            </w:pPr>
            <w:r>
              <w:rPr>
                <w:rFonts w:ascii="Times New Roman" w:cs="Times New Roman" w:eastAsia="Times New Roman" w:hAnsi="Times New Roman"/>
                <w:sz w:val="18"/>
                <w:szCs w:val="18"/>
                <w:color w:val="0000FF"/>
              </w:rPr>
              <w:t>Item 1. Legal Proceedings</w:t>
            </w:r>
          </w:p>
        </w:tc>
        <w:tc>
          <w:tcPr>
            <w:tcW w:w="2460" w:type="dxa"/>
            <w:vAlign w:val="bottom"/>
            <w:gridSpan w:val="3"/>
          </w:tcPr>
          <w:p>
            <w:pPr>
              <w:ind w:left="2280"/>
              <w:spacing w:after="0" w:line="205" w:lineRule="exact"/>
              <w:rPr>
                <w:sz w:val="20"/>
                <w:szCs w:val="20"/>
                <w:color w:val="auto"/>
              </w:rPr>
            </w:pPr>
            <w:r>
              <w:rPr>
                <w:rFonts w:ascii="Times New Roman" w:cs="Times New Roman" w:eastAsia="Times New Roman" w:hAnsi="Times New Roman"/>
                <w:sz w:val="18"/>
                <w:szCs w:val="18"/>
                <w:color w:val="0000FF"/>
                <w:w w:val="88"/>
              </w:rPr>
              <w:t>32</w:t>
            </w:r>
          </w:p>
        </w:tc>
        <w:tc>
          <w:tcPr>
            <w:tcW w:w="11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60" w:type="dxa"/>
            <w:vAlign w:val="bottom"/>
            <w:gridSpan w:val="19"/>
          </w:tcPr>
          <w:p>
            <w:pPr>
              <w:spacing w:after="0" w:line="205" w:lineRule="exact"/>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2460" w:type="dxa"/>
            <w:vAlign w:val="bottom"/>
            <w:gridSpan w:val="3"/>
          </w:tcPr>
          <w:p>
            <w:pPr>
              <w:ind w:left="2280"/>
              <w:spacing w:after="0" w:line="205" w:lineRule="exact"/>
              <w:rPr>
                <w:sz w:val="20"/>
                <w:szCs w:val="20"/>
                <w:color w:val="auto"/>
              </w:rPr>
            </w:pPr>
            <w:r>
              <w:rPr>
                <w:rFonts w:ascii="Times New Roman" w:cs="Times New Roman" w:eastAsia="Times New Roman" w:hAnsi="Times New Roman"/>
                <w:sz w:val="18"/>
                <w:szCs w:val="18"/>
                <w:color w:val="0000FF"/>
                <w:w w:val="88"/>
              </w:rPr>
              <w:t>32</w:t>
            </w: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0" w:type="dxa"/>
            <w:vAlign w:val="bottom"/>
            <w:tcBorders>
              <w:top w:val="single" w:sz="8" w:color="0000FF"/>
            </w:tcBorders>
            <w:gridSpan w:val="17"/>
          </w:tcPr>
          <w:p>
            <w:pPr>
              <w:spacing w:after="0" w:line="205" w:lineRule="exact"/>
              <w:rPr>
                <w:sz w:val="20"/>
                <w:szCs w:val="20"/>
                <w:color w:val="auto"/>
              </w:rPr>
            </w:pPr>
            <w:r>
              <w:rPr>
                <w:rFonts w:ascii="Times New Roman" w:cs="Times New Roman" w:eastAsia="Times New Roman" w:hAnsi="Times New Roman"/>
                <w:sz w:val="18"/>
                <w:szCs w:val="18"/>
                <w:color w:val="0000FF"/>
              </w:rPr>
              <w:t>Item 5. Other Information</w:t>
            </w:r>
          </w:p>
        </w:tc>
        <w:tc>
          <w:tcPr>
            <w:tcW w:w="2060" w:type="dxa"/>
            <w:vAlign w:val="bottom"/>
            <w:gridSpan w:val="2"/>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Borders>
              <w:top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8"/>
              </w:rPr>
              <w:t>33</w:t>
            </w: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40" w:type="dxa"/>
            <w:vAlign w:val="bottom"/>
            <w:tcBorders>
              <w:top w:val="single" w:sz="8" w:color="0000FF"/>
            </w:tcBorders>
            <w:gridSpan w:val="6"/>
          </w:tcPr>
          <w:p>
            <w:pPr>
              <w:spacing w:after="0" w:line="205" w:lineRule="exact"/>
              <w:rPr>
                <w:sz w:val="20"/>
                <w:szCs w:val="20"/>
                <w:color w:val="auto"/>
              </w:rPr>
            </w:pPr>
            <w:r>
              <w:rPr>
                <w:rFonts w:ascii="Times New Roman" w:cs="Times New Roman" w:eastAsia="Times New Roman" w:hAnsi="Times New Roman"/>
                <w:sz w:val="18"/>
                <w:szCs w:val="18"/>
                <w:color w:val="0000FF"/>
              </w:rPr>
              <w:t>Item 6. Exhibits</w:t>
            </w:r>
          </w:p>
        </w:tc>
        <w:tc>
          <w:tcPr>
            <w:tcW w:w="5020" w:type="dxa"/>
            <w:vAlign w:val="bottom"/>
            <w:gridSpan w:val="13"/>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Borders>
              <w:top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8"/>
              </w:rPr>
              <w:t>33</w:t>
            </w:r>
          </w:p>
        </w:tc>
        <w:tc>
          <w:tcPr>
            <w:tcW w:w="11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740" w:type="dxa"/>
            <w:vAlign w:val="bottom"/>
            <w:gridSpan w:val="15"/>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680" w:type="dxa"/>
            <w:vAlign w:val="bottom"/>
            <w:tcBorders>
              <w:bottom w:val="single" w:sz="8" w:color="0000FF"/>
            </w:tcBorders>
            <w:gridSpan w:val="4"/>
          </w:tcPr>
          <w:p>
            <w:pPr>
              <w:spacing w:after="0" w:line="205" w:lineRule="exact"/>
              <w:rPr>
                <w:sz w:val="20"/>
                <w:szCs w:val="20"/>
                <w:color w:val="auto"/>
              </w:rPr>
            </w:pPr>
            <w:r>
              <w:rPr>
                <w:rFonts w:ascii="Times New Roman" w:cs="Times New Roman" w:eastAsia="Times New Roman" w:hAnsi="Times New Roman"/>
                <w:sz w:val="18"/>
                <w:szCs w:val="18"/>
                <w:color w:val="0000FF"/>
                <w:w w:val="97"/>
              </w:rPr>
              <w:t>INDEX TO EXHIBITS</w:t>
            </w:r>
          </w:p>
        </w:tc>
        <w:tc>
          <w:tcPr>
            <w:tcW w:w="5960" w:type="dxa"/>
            <w:vAlign w:val="bottom"/>
            <w:gridSpan w:val="16"/>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Borders>
              <w:bottom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8"/>
              </w:rPr>
              <w:t>34</w:t>
            </w: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64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SIGNATURES</w:t>
            </w:r>
          </w:p>
        </w:tc>
        <w:tc>
          <w:tcPr>
            <w:tcW w:w="2460" w:type="dxa"/>
            <w:vAlign w:val="bottom"/>
            <w:gridSpan w:val="3"/>
          </w:tcPr>
          <w:p>
            <w:pPr>
              <w:ind w:left="2280"/>
              <w:spacing w:after="0" w:line="205" w:lineRule="exact"/>
              <w:rPr>
                <w:sz w:val="20"/>
                <w:szCs w:val="20"/>
                <w:color w:val="auto"/>
              </w:rPr>
            </w:pPr>
            <w:r>
              <w:rPr>
                <w:rFonts w:ascii="Times New Roman" w:cs="Times New Roman" w:eastAsia="Times New Roman" w:hAnsi="Times New Roman"/>
                <w:sz w:val="18"/>
                <w:szCs w:val="18"/>
                <w:color w:val="0000FF"/>
                <w:w w:val="88"/>
              </w:rPr>
              <w:t>35</w:t>
            </w:r>
          </w:p>
        </w:tc>
        <w:tc>
          <w:tcPr>
            <w:tcW w:w="1120" w:type="dxa"/>
            <w:vAlign w:val="bottom"/>
          </w:tcPr>
          <w:p>
            <w:pPr>
              <w:spacing w:after="0"/>
              <w:rPr>
                <w:sz w:val="17"/>
                <w:szCs w:val="17"/>
                <w:color w:val="auto"/>
              </w:rPr>
            </w:pPr>
          </w:p>
        </w:tc>
      </w:tr>
      <w:tr>
        <w:trPr>
          <w:trHeight w:val="869"/>
        </w:trPr>
        <w:tc>
          <w:tcPr>
            <w:tcW w:w="20" w:type="dxa"/>
            <w:vAlign w:val="bottom"/>
          </w:tcPr>
          <w:p>
            <w:pPr>
              <w:spacing w:after="0"/>
              <w:rPr>
                <w:sz w:val="24"/>
                <w:szCs w:val="24"/>
                <w:color w:val="auto"/>
              </w:rPr>
            </w:pPr>
          </w:p>
        </w:tc>
        <w:tc>
          <w:tcPr>
            <w:tcW w:w="1080" w:type="dxa"/>
            <w:vAlign w:val="bottom"/>
            <w:tcBorders>
              <w:top w:val="single" w:sz="8" w:color="0000FF"/>
            </w:tcBorders>
            <w:gridSpan w:val="3"/>
          </w:tcPr>
          <w:p>
            <w:pPr>
              <w:spacing w:after="0"/>
              <w:rPr>
                <w:sz w:val="24"/>
                <w:szCs w:val="24"/>
                <w:color w:val="auto"/>
              </w:rPr>
            </w:pPr>
          </w:p>
        </w:tc>
        <w:tc>
          <w:tcPr>
            <w:tcW w:w="5460" w:type="dxa"/>
            <w:vAlign w:val="bottom"/>
            <w:gridSpan w:val="16"/>
          </w:tcPr>
          <w:p>
            <w:pPr>
              <w:jc w:val="right"/>
              <w:ind w:right="900"/>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120" w:type="dxa"/>
            <w:vAlign w:val="bottom"/>
          </w:tcPr>
          <w:p>
            <w:pPr>
              <w:spacing w:after="0"/>
              <w:rPr>
                <w:sz w:val="24"/>
                <w:szCs w:val="24"/>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2" w:name="page3"/>
    <w:bookmarkEnd w:id="2"/>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3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10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CAMPBELL SOUP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Earnings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 except per share amounts)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6"/>
                <w:szCs w:val="16"/>
                <w:color w:val="auto"/>
              </w:rPr>
            </w:pPr>
          </w:p>
        </w:tc>
      </w:tr>
      <w:tr>
        <w:trPr>
          <w:trHeight w:val="24"/>
        </w:trPr>
        <w:tc>
          <w:tcPr>
            <w:tcW w:w="8780" w:type="dxa"/>
            <w:vAlign w:val="bottom"/>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r>
      <w:tr>
        <w:trPr>
          <w:trHeight w:val="186"/>
        </w:trPr>
        <w:tc>
          <w:tcPr>
            <w:tcW w:w="8780" w:type="dxa"/>
            <w:vAlign w:val="bottom"/>
          </w:tcPr>
          <w:p>
            <w:pPr>
              <w:spacing w:after="0"/>
              <w:rPr>
                <w:sz w:val="16"/>
                <w:szCs w:val="16"/>
                <w:color w:val="auto"/>
              </w:rPr>
            </w:pP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30, 2022</w:t>
            </w:r>
          </w:p>
        </w:tc>
      </w:tr>
      <w:tr>
        <w:trPr>
          <w:trHeight w:val="225"/>
        </w:trPr>
        <w:tc>
          <w:tcPr>
            <w:tcW w:w="878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4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2,518</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ind w:right="47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w:t>
            </w:r>
          </w:p>
        </w:tc>
      </w:tr>
      <w:tr>
        <w:trPr>
          <w:trHeight w:val="218"/>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products sold</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w:t>
            </w: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Marketing and selling expenses</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222</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Administrative expenses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expenses / (income)</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5"/>
        </w:trPr>
        <w:tc>
          <w:tcPr>
            <w:tcW w:w="8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Restructuring charges</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8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2,160</w:t>
            </w:r>
          </w:p>
        </w:tc>
        <w:tc>
          <w:tcPr>
            <w:tcW w:w="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w:t>
            </w:r>
          </w:p>
        </w:tc>
      </w:tr>
      <w:tr>
        <w:trPr>
          <w:trHeight w:val="218"/>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interest and taxes</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358</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r>
      <w:tr>
        <w:trPr>
          <w:trHeight w:val="225"/>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5"/>
        </w:trPr>
        <w:tc>
          <w:tcPr>
            <w:tcW w:w="8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8"/>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taxes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25"/>
        </w:trPr>
        <w:tc>
          <w:tcPr>
            <w:tcW w:w="8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Taxes on earnings</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8"/>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25"/>
        </w:trPr>
        <w:tc>
          <w:tcPr>
            <w:tcW w:w="8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Less: Net earnings (loss) attributable to noncontrolling interests</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attributable to Campbell Soup Company</w:t>
            </w: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w:t>
            </w:r>
          </w:p>
        </w:tc>
        <w:tc>
          <w:tcPr>
            <w:tcW w:w="1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7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0"/>
        </w:trPr>
        <w:tc>
          <w:tcPr>
            <w:tcW w:w="87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87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Per Share — Basic</w:t>
            </w: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50"/>
        </w:trPr>
        <w:tc>
          <w:tcPr>
            <w:tcW w:w="8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attributable to Campbell Soup Company</w:t>
            </w: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1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0"/>
        </w:trPr>
        <w:tc>
          <w:tcPr>
            <w:tcW w:w="87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8780" w:type="dxa"/>
            <w:vAlign w:val="bottom"/>
            <w:tcBorders>
              <w:bottom w:val="single" w:sz="8" w:color="auto"/>
            </w:tcBorders>
          </w:tcPr>
          <w:p>
            <w:pPr>
              <w:ind w:left="20"/>
              <w:spacing w:after="0" w:line="198" w:lineRule="exact"/>
              <w:rPr>
                <w:sz w:val="20"/>
                <w:szCs w:val="20"/>
                <w:color w:val="auto"/>
              </w:rPr>
            </w:pPr>
            <w:r>
              <w:rPr>
                <w:rFonts w:ascii="Times New Roman" w:cs="Times New Roman" w:eastAsia="Times New Roman" w:hAnsi="Times New Roman"/>
                <w:sz w:val="18"/>
                <w:szCs w:val="18"/>
                <w:color w:val="auto"/>
              </w:rPr>
              <w:t>Weighted average shares outstanding — basic</w:t>
            </w: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298</w:t>
            </w: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299</w:t>
            </w:r>
          </w:p>
        </w:tc>
      </w:tr>
      <w:tr>
        <w:trPr>
          <w:trHeight w:val="20"/>
        </w:trPr>
        <w:tc>
          <w:tcPr>
            <w:tcW w:w="8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18"/>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Per Share — Assuming Dilution</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25"/>
        </w:trPr>
        <w:tc>
          <w:tcPr>
            <w:tcW w:w="8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attributable to Campbell Soup Company</w:t>
            </w:r>
          </w:p>
        </w:tc>
        <w:tc>
          <w:tcPr>
            <w:tcW w:w="3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0"/>
        </w:trPr>
        <w:tc>
          <w:tcPr>
            <w:tcW w:w="8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43"/>
        </w:trPr>
        <w:tc>
          <w:tcPr>
            <w:tcW w:w="8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assuming dilution</w:t>
            </w:r>
          </w:p>
        </w:tc>
        <w:tc>
          <w:tcPr>
            <w:tcW w:w="3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w:t>
            </w:r>
          </w:p>
        </w:tc>
        <w:tc>
          <w:tcPr>
            <w:tcW w:w="1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0"/>
        </w:trPr>
        <w:tc>
          <w:tcPr>
            <w:tcW w:w="87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CAMPBELL SOUP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Comprehensive Income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4"/>
        </w:trPr>
        <w:tc>
          <w:tcPr>
            <w:tcW w:w="5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5"/>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6"/>
        </w:trPr>
        <w:tc>
          <w:tcPr>
            <w:tcW w:w="5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5"/>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720" w:type="dxa"/>
            <w:vAlign w:val="bottom"/>
            <w:tcBorders>
              <w:bottom w:val="single" w:sz="8" w:color="auto"/>
            </w:tcBorders>
          </w:tcPr>
          <w:p>
            <w:pPr>
              <w:spacing w:after="0"/>
              <w:rPr>
                <w:sz w:val="16"/>
                <w:szCs w:val="16"/>
                <w:color w:val="auto"/>
              </w:rPr>
            </w:pPr>
          </w:p>
        </w:tc>
      </w:tr>
      <w:tr>
        <w:trPr>
          <w:trHeight w:val="134"/>
        </w:trPr>
        <w:tc>
          <w:tcPr>
            <w:tcW w:w="5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ind w:right="123"/>
              <w:spacing w:after="0" w:line="134" w:lineRule="exact"/>
              <w:rPr>
                <w:sz w:val="20"/>
                <w:szCs w:val="20"/>
                <w:color w:val="auto"/>
              </w:rPr>
            </w:pPr>
            <w:r>
              <w:rPr>
                <w:rFonts w:ascii="Times New Roman" w:cs="Times New Roman" w:eastAsia="Times New Roman" w:hAnsi="Times New Roman"/>
                <w:sz w:val="14"/>
                <w:szCs w:val="14"/>
                <w:b w:val="1"/>
                <w:bCs w:val="1"/>
                <w:color w:val="auto"/>
              </w:rPr>
              <w:t>Pre-tax</w:t>
            </w:r>
          </w:p>
        </w:tc>
        <w:tc>
          <w:tcPr>
            <w:tcW w:w="100" w:type="dxa"/>
            <w:vAlign w:val="bottom"/>
          </w:tcPr>
          <w:p>
            <w:pPr>
              <w:spacing w:after="0"/>
              <w:rPr>
                <w:sz w:val="11"/>
                <w:szCs w:val="11"/>
                <w:color w:val="auto"/>
              </w:rPr>
            </w:pPr>
          </w:p>
        </w:tc>
        <w:tc>
          <w:tcPr>
            <w:tcW w:w="980" w:type="dxa"/>
            <w:vAlign w:val="bottom"/>
            <w:gridSpan w:val="3"/>
          </w:tcPr>
          <w:p>
            <w:pPr>
              <w:jc w:val="center"/>
              <w:ind w:right="100"/>
              <w:spacing w:after="0" w:line="134" w:lineRule="exact"/>
              <w:rPr>
                <w:sz w:val="20"/>
                <w:szCs w:val="20"/>
                <w:color w:val="auto"/>
              </w:rPr>
            </w:pPr>
            <w:r>
              <w:rPr>
                <w:rFonts w:ascii="Times New Roman" w:cs="Times New Roman" w:eastAsia="Times New Roman" w:hAnsi="Times New Roman"/>
                <w:sz w:val="14"/>
                <w:szCs w:val="14"/>
                <w:b w:val="1"/>
                <w:bCs w:val="1"/>
                <w:color w:val="auto"/>
                <w:w w:val="99"/>
              </w:rPr>
              <w:t>Tax benefit</w:t>
            </w:r>
          </w:p>
        </w:tc>
        <w:tc>
          <w:tcPr>
            <w:tcW w:w="120" w:type="dxa"/>
            <w:vAlign w:val="bottom"/>
          </w:tcPr>
          <w:p>
            <w:pPr>
              <w:spacing w:after="0"/>
              <w:rPr>
                <w:sz w:val="11"/>
                <w:szCs w:val="11"/>
                <w:color w:val="auto"/>
              </w:rPr>
            </w:pPr>
          </w:p>
        </w:tc>
        <w:tc>
          <w:tcPr>
            <w:tcW w:w="700" w:type="dxa"/>
            <w:vAlign w:val="bottom"/>
          </w:tcPr>
          <w:p>
            <w:pPr>
              <w:jc w:val="center"/>
              <w:ind w:right="43"/>
              <w:spacing w:after="0" w:line="134" w:lineRule="exact"/>
              <w:rPr>
                <w:sz w:val="20"/>
                <w:szCs w:val="20"/>
                <w:color w:val="auto"/>
              </w:rPr>
            </w:pPr>
            <w:r>
              <w:rPr>
                <w:rFonts w:ascii="Times New Roman" w:cs="Times New Roman" w:eastAsia="Times New Roman" w:hAnsi="Times New Roman"/>
                <w:sz w:val="14"/>
                <w:szCs w:val="14"/>
                <w:b w:val="1"/>
                <w:bCs w:val="1"/>
                <w:color w:val="auto"/>
                <w:w w:val="97"/>
              </w:rPr>
              <w:t>After-tax</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ind w:left="40"/>
              <w:spacing w:after="0" w:line="134" w:lineRule="exact"/>
              <w:rPr>
                <w:sz w:val="20"/>
                <w:szCs w:val="20"/>
                <w:color w:val="auto"/>
              </w:rPr>
            </w:pPr>
            <w:r>
              <w:rPr>
                <w:rFonts w:ascii="Times New Roman" w:cs="Times New Roman" w:eastAsia="Times New Roman" w:hAnsi="Times New Roman"/>
                <w:sz w:val="14"/>
                <w:szCs w:val="14"/>
                <w:b w:val="1"/>
                <w:bCs w:val="1"/>
                <w:color w:val="auto"/>
              </w:rPr>
              <w:t>Pre-tax</w:t>
            </w:r>
          </w:p>
        </w:tc>
        <w:tc>
          <w:tcPr>
            <w:tcW w:w="100" w:type="dxa"/>
            <w:vAlign w:val="bottom"/>
          </w:tcPr>
          <w:p>
            <w:pPr>
              <w:spacing w:after="0"/>
              <w:rPr>
                <w:sz w:val="11"/>
                <w:szCs w:val="11"/>
                <w:color w:val="auto"/>
              </w:rPr>
            </w:pPr>
          </w:p>
        </w:tc>
        <w:tc>
          <w:tcPr>
            <w:tcW w:w="1060" w:type="dxa"/>
            <w:vAlign w:val="bottom"/>
            <w:gridSpan w:val="4"/>
          </w:tcPr>
          <w:p>
            <w:pPr>
              <w:jc w:val="right"/>
              <w:ind w:right="221"/>
              <w:spacing w:after="0" w:line="134" w:lineRule="exact"/>
              <w:rPr>
                <w:sz w:val="20"/>
                <w:szCs w:val="20"/>
                <w:color w:val="auto"/>
              </w:rPr>
            </w:pPr>
            <w:r>
              <w:rPr>
                <w:rFonts w:ascii="Times New Roman" w:cs="Times New Roman" w:eastAsia="Times New Roman" w:hAnsi="Times New Roman"/>
                <w:sz w:val="14"/>
                <w:szCs w:val="14"/>
                <w:b w:val="1"/>
                <w:bCs w:val="1"/>
                <w:color w:val="auto"/>
              </w:rPr>
              <w:t>Tax benefit</w:t>
            </w:r>
          </w:p>
        </w:tc>
        <w:tc>
          <w:tcPr>
            <w:tcW w:w="720" w:type="dxa"/>
            <w:vAlign w:val="bottom"/>
          </w:tcPr>
          <w:p>
            <w:pPr>
              <w:jc w:val="right"/>
              <w:ind w:right="62"/>
              <w:spacing w:after="0" w:line="134" w:lineRule="exact"/>
              <w:rPr>
                <w:sz w:val="20"/>
                <w:szCs w:val="20"/>
                <w:color w:val="auto"/>
              </w:rPr>
            </w:pPr>
            <w:r>
              <w:rPr>
                <w:rFonts w:ascii="Times New Roman" w:cs="Times New Roman" w:eastAsia="Times New Roman" w:hAnsi="Times New Roman"/>
                <w:sz w:val="14"/>
                <w:szCs w:val="14"/>
                <w:b w:val="1"/>
                <w:bCs w:val="1"/>
                <w:color w:val="auto"/>
              </w:rPr>
              <w:t>After-tax</w:t>
            </w:r>
          </w:p>
        </w:tc>
      </w:tr>
      <w:tr>
        <w:trPr>
          <w:trHeight w:val="191"/>
        </w:trPr>
        <w:tc>
          <w:tcPr>
            <w:tcW w:w="5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(expense)</w:t>
            </w:r>
          </w:p>
        </w:tc>
        <w:tc>
          <w:tcPr>
            <w:tcW w:w="120" w:type="dxa"/>
            <w:vAlign w:val="bottom"/>
          </w:tcPr>
          <w:p>
            <w:pPr>
              <w:spacing w:after="0"/>
              <w:rPr>
                <w:sz w:val="16"/>
                <w:szCs w:val="16"/>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3"/>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w w:val="99"/>
              </w:rPr>
              <w:t>(expense)</w:t>
            </w:r>
          </w:p>
        </w:tc>
        <w:tc>
          <w:tcPr>
            <w:tcW w:w="72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1"/>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earnings (loss)</w:t>
            </w: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r>
      <w:tr>
        <w:trPr>
          <w:trHeight w:val="211"/>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3"/>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Foreign currency translation:</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1"/>
        </w:trPr>
        <w:tc>
          <w:tcPr>
            <w:tcW w:w="5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center"/>
              <w:ind w:left="323"/>
              <w:spacing w:after="0"/>
              <w:rPr>
                <w:sz w:val="20"/>
                <w:szCs w:val="20"/>
                <w:color w:val="auto"/>
              </w:rPr>
            </w:pPr>
            <w:r>
              <w:rPr>
                <w:rFonts w:ascii="Times New Roman" w:cs="Times New Roman" w:eastAsia="Times New Roman" w:hAnsi="Times New Roman"/>
                <w:sz w:val="16"/>
                <w:szCs w:val="16"/>
                <w:color w:val="auto"/>
              </w:rPr>
              <w:t>(8)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3"/>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Cash-flow hedges: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1"/>
        </w:trPr>
        <w:tc>
          <w:tcPr>
            <w:tcW w:w="5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Unrealized gains (losses) arising during the period</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ind w:left="540"/>
              <w:spacing w:after="0"/>
              <w:rPr>
                <w:sz w:val="20"/>
                <w:szCs w:val="20"/>
                <w:color w:val="auto"/>
              </w:rPr>
            </w:pPr>
            <w:r>
              <w:rPr>
                <w:rFonts w:ascii="Times New Roman" w:cs="Times New Roman" w:eastAsia="Times New Roman" w:hAnsi="Times New Roman"/>
                <w:sz w:val="16"/>
                <w:szCs w:val="16"/>
                <w:b w:val="1"/>
                <w:bCs w:val="1"/>
                <w:color w:val="auto"/>
                <w:w w:val="96"/>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center"/>
              <w:ind w:left="363"/>
              <w:spacing w:after="0"/>
              <w:rPr>
                <w:sz w:val="20"/>
                <w:szCs w:val="20"/>
                <w:color w:val="auto"/>
              </w:rPr>
            </w:pPr>
            <w:r>
              <w:rPr>
                <w:rFonts w:ascii="Times New Roman" w:cs="Times New Roman" w:eastAsia="Times New Roman" w:hAnsi="Times New Roman"/>
                <w:sz w:val="16"/>
                <w:szCs w:val="16"/>
                <w:color w:val="auto"/>
                <w:w w:val="99"/>
              </w:rPr>
              <w:t>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2"/>
        </w:trPr>
        <w:tc>
          <w:tcPr>
            <w:tcW w:w="570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Reclassification adjustment for losses (gains) included in net earnings</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center"/>
              <w:ind w:left="323"/>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5"/>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b w:val="1"/>
                <w:bCs w:val="1"/>
                <w:color w:val="auto"/>
                <w:w w:val="96"/>
              </w:rPr>
              <w:t>(2)</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center"/>
              <w:ind w:left="323"/>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05"/>
        </w:trPr>
        <w:tc>
          <w:tcPr>
            <w:tcW w:w="5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income (loss)</w:t>
            </w: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231</w:t>
            </w:r>
          </w:p>
        </w:tc>
        <w:tc>
          <w:tcPr>
            <w:tcW w:w="1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r>
      <w:tr>
        <w:trPr>
          <w:trHeight w:val="205"/>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comprehensive income (loss) attributable to noncontrolling interests</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5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income (loss) attributable to Campbell Soup Company</w:t>
            </w: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231</w:t>
            </w: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r>
      <w:tr>
        <w:trPr>
          <w:trHeight w:val="20"/>
        </w:trPr>
        <w:tc>
          <w:tcPr>
            <w:tcW w:w="5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CAMPBELL SOUP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 except per share amounts)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30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260" w:type="dxa"/>
            <w:vAlign w:val="bottom"/>
          </w:tcPr>
          <w:p>
            <w:pPr>
              <w:spacing w:after="0"/>
              <w:rPr>
                <w:sz w:val="16"/>
                <w:szCs w:val="16"/>
                <w:color w:val="auto"/>
              </w:rPr>
            </w:pPr>
          </w:p>
        </w:tc>
        <w:tc>
          <w:tcPr>
            <w:tcW w:w="12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July 30, 2023</w:t>
            </w:r>
          </w:p>
        </w:tc>
      </w:tr>
      <w:tr>
        <w:trPr>
          <w:trHeight w:val="24"/>
        </w:trPr>
        <w:tc>
          <w:tcPr>
            <w:tcW w:w="68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8"/>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91</w:t>
            </w:r>
          </w:p>
        </w:tc>
        <w:tc>
          <w:tcPr>
            <w:tcW w:w="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25"/>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726</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r>
      <w:tr>
        <w:trPr>
          <w:trHeight w:val="225"/>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16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1,340</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r>
      <w:tr>
        <w:trPr>
          <w:trHeight w:val="225"/>
        </w:trPr>
        <w:tc>
          <w:tcPr>
            <w:tcW w:w="68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16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82</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9"/>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2,239</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2,061</w:t>
            </w:r>
          </w:p>
        </w:tc>
      </w:tr>
      <w:tr>
        <w:trPr>
          <w:trHeight w:val="218"/>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Plant assets, net of depreciation</w:t>
            </w:r>
          </w:p>
        </w:tc>
        <w:tc>
          <w:tcPr>
            <w:tcW w:w="16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2,429</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w:t>
            </w:r>
          </w:p>
        </w:tc>
      </w:tr>
      <w:tr>
        <w:trPr>
          <w:trHeight w:val="225"/>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3,960</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3,965</w:t>
            </w:r>
          </w:p>
        </w:tc>
      </w:tr>
      <w:tr>
        <w:trPr>
          <w:trHeight w:val="225"/>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 net of amortization</w:t>
            </w:r>
          </w:p>
        </w:tc>
        <w:tc>
          <w:tcPr>
            <w:tcW w:w="16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3,125</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w:t>
            </w:r>
          </w:p>
        </w:tc>
      </w:tr>
      <w:tr>
        <w:trPr>
          <w:trHeight w:val="225"/>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504</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43"/>
        </w:trPr>
        <w:tc>
          <w:tcPr>
            <w:tcW w:w="6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12,257</w:t>
            </w:r>
          </w:p>
        </w:tc>
        <w:tc>
          <w:tcPr>
            <w:tcW w:w="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12,058</w:t>
            </w:r>
          </w:p>
        </w:tc>
      </w:tr>
      <w:tr>
        <w:trPr>
          <w:trHeight w:val="20"/>
        </w:trPr>
        <w:tc>
          <w:tcPr>
            <w:tcW w:w="68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68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Current liabilities</w:t>
            </w:r>
          </w:p>
        </w:tc>
        <w:tc>
          <w:tcPr>
            <w:tcW w:w="16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5"/>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borrowings</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206</w:t>
            </w:r>
          </w:p>
        </w:tc>
        <w:tc>
          <w:tcPr>
            <w:tcW w:w="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25"/>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6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1,368</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w:t>
            </w:r>
          </w:p>
        </w:tc>
      </w:tr>
      <w:tr>
        <w:trPr>
          <w:trHeight w:val="225"/>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16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541</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r>
      <w:tr>
        <w:trPr>
          <w:trHeight w:val="225"/>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payable</w:t>
            </w:r>
          </w:p>
        </w:tc>
        <w:tc>
          <w:tcPr>
            <w:tcW w:w="16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113</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5"/>
        </w:trPr>
        <w:tc>
          <w:tcPr>
            <w:tcW w:w="68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income taxes</w:t>
            </w:r>
          </w:p>
        </w:tc>
        <w:tc>
          <w:tcPr>
            <w:tcW w:w="16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82</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8"/>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2,310</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2,222</w:t>
            </w:r>
          </w:p>
        </w:tc>
      </w:tr>
      <w:tr>
        <w:trPr>
          <w:trHeight w:val="218"/>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6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4,500</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w:t>
            </w:r>
          </w:p>
        </w:tc>
      </w:tr>
      <w:tr>
        <w:trPr>
          <w:trHeight w:val="225"/>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taxes</w:t>
            </w:r>
          </w:p>
        </w:tc>
        <w:tc>
          <w:tcPr>
            <w:tcW w:w="16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1,076</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r>
      <w:tr>
        <w:trPr>
          <w:trHeight w:val="225"/>
        </w:trPr>
        <w:tc>
          <w:tcPr>
            <w:tcW w:w="6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6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614</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r>
      <w:tr>
        <w:trPr>
          <w:trHeight w:val="218"/>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8,500</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8,395</w:t>
            </w:r>
          </w:p>
        </w:tc>
      </w:tr>
      <w:tr>
        <w:trPr>
          <w:trHeight w:val="21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6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Campbell Soup Company shareholders' equity</w:t>
            </w:r>
          </w:p>
        </w:tc>
        <w:tc>
          <w:tcPr>
            <w:tcW w:w="16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5"/>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 authorized 40 shares; none issued</w:t>
            </w:r>
          </w:p>
        </w:tc>
        <w:tc>
          <w:tcPr>
            <w:tcW w:w="16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stock, $.0375 par value; authorized 560 shares; issued 323 shares</w:t>
            </w:r>
          </w:p>
        </w:tc>
        <w:tc>
          <w:tcPr>
            <w:tcW w:w="16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12</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5"/>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388</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25"/>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Earnings retained in the business</w:t>
            </w:r>
          </w:p>
        </w:tc>
        <w:tc>
          <w:tcPr>
            <w:tcW w:w="16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4,573</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4,451</w:t>
            </w:r>
          </w:p>
        </w:tc>
      </w:tr>
      <w:tr>
        <w:trPr>
          <w:trHeight w:val="225"/>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 stock in treasury, at cost</w:t>
            </w:r>
          </w:p>
        </w:tc>
        <w:tc>
          <w:tcPr>
            <w:tcW w:w="16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(1,212)</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w:t>
            </w:r>
          </w:p>
        </w:tc>
      </w:tr>
      <w:tr>
        <w:trPr>
          <w:trHeight w:val="225"/>
        </w:trPr>
        <w:tc>
          <w:tcPr>
            <w:tcW w:w="68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6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8"/>
        </w:trPr>
        <w:tc>
          <w:tcPr>
            <w:tcW w:w="6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Campbell Soup Company shareholders' equity</w:t>
            </w:r>
          </w:p>
        </w:tc>
        <w:tc>
          <w:tcPr>
            <w:tcW w:w="16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3,755</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w:t>
            </w:r>
          </w:p>
        </w:tc>
      </w:tr>
      <w:tr>
        <w:trPr>
          <w:trHeight w:val="218"/>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9"/>
        </w:trPr>
        <w:tc>
          <w:tcPr>
            <w:tcW w:w="6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6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3,757</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w:t>
            </w:r>
          </w:p>
        </w:tc>
      </w:tr>
      <w:tr>
        <w:trPr>
          <w:trHeight w:val="218"/>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12,257</w:t>
            </w:r>
          </w:p>
        </w:tc>
        <w:tc>
          <w:tcPr>
            <w:tcW w:w="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12,058</w:t>
            </w:r>
          </w:p>
        </w:tc>
      </w:tr>
      <w:tr>
        <w:trPr>
          <w:trHeight w:val="20"/>
        </w:trPr>
        <w:tc>
          <w:tcPr>
            <w:tcW w:w="68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CAMPBELL SOUP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6"/>
                <w:szCs w:val="16"/>
                <w:color w:val="auto"/>
              </w:rPr>
            </w:pPr>
          </w:p>
        </w:tc>
      </w:tr>
      <w:tr>
        <w:trPr>
          <w:trHeight w:val="24"/>
        </w:trPr>
        <w:tc>
          <w:tcPr>
            <w:tcW w:w="8780" w:type="dxa"/>
            <w:vAlign w:val="bottom"/>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r>
      <w:tr>
        <w:trPr>
          <w:trHeight w:val="186"/>
        </w:trPr>
        <w:tc>
          <w:tcPr>
            <w:tcW w:w="8780" w:type="dxa"/>
            <w:vAlign w:val="bottom"/>
          </w:tcPr>
          <w:p>
            <w:pPr>
              <w:spacing w:after="0"/>
              <w:rPr>
                <w:sz w:val="16"/>
                <w:szCs w:val="16"/>
                <w:color w:val="auto"/>
              </w:rPr>
            </w:pP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30, 2022</w:t>
            </w:r>
          </w:p>
        </w:tc>
      </w:tr>
      <w:tr>
        <w:trPr>
          <w:trHeight w:val="212"/>
        </w:trPr>
        <w:tc>
          <w:tcPr>
            <w:tcW w:w="8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w:t>
            </w:r>
          </w:p>
        </w:tc>
        <w:tc>
          <w:tcPr>
            <w:tcW w:w="340" w:type="dxa"/>
            <w:vAlign w:val="bottom"/>
          </w:tcPr>
          <w:p>
            <w:pPr>
              <w:jc w:val="right"/>
              <w:ind w:right="15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234</w:t>
            </w:r>
          </w:p>
        </w:tc>
        <w:tc>
          <w:tcPr>
            <w:tcW w:w="100" w:type="dxa"/>
            <w:vAlign w:val="bottom"/>
          </w:tcPr>
          <w:p>
            <w:pPr>
              <w:spacing w:after="0"/>
              <w:rPr>
                <w:sz w:val="19"/>
                <w:szCs w:val="19"/>
                <w:color w:val="auto"/>
              </w:rPr>
            </w:pPr>
          </w:p>
        </w:tc>
        <w:tc>
          <w:tcPr>
            <w:tcW w:w="680" w:type="dxa"/>
            <w:vAlign w:val="bottom"/>
          </w:tcPr>
          <w:p>
            <w:pPr>
              <w:jc w:val="right"/>
              <w:ind w:right="498"/>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earnings to operating cash flow</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25"/>
        </w:trPr>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5"/>
        </w:trPr>
        <w:tc>
          <w:tcPr>
            <w:tcW w:w="8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Pension and postretirement benefit expense (income)</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5"/>
        </w:trPr>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5"/>
        </w:trPr>
        <w:tc>
          <w:tcPr>
            <w:tcW w:w="8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5"/>
        </w:trPr>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working capital</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25"/>
        </w:trPr>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(207)</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25"/>
        </w:trPr>
        <w:tc>
          <w:tcPr>
            <w:tcW w:w="8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25"/>
        </w:trPr>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5"/>
        </w:trPr>
        <w:tc>
          <w:tcPr>
            <w:tcW w:w="8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25"/>
        </w:trPr>
        <w:tc>
          <w:tcPr>
            <w:tcW w:w="8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8"/>
        </w:trPr>
        <w:tc>
          <w:tcPr>
            <w:tcW w:w="87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w:t>
            </w:r>
          </w:p>
        </w:tc>
        <w:tc>
          <w:tcPr>
            <w:tcW w:w="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18"/>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plant assets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route businesses</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5"/>
        </w:trPr>
        <w:tc>
          <w:tcPr>
            <w:tcW w:w="87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of route businesses</w:t>
            </w: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87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w:t>
            </w: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8"/>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borrowings, including commercial paper</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1,103</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repayments, including commercial paper</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(1,081)</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paid</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Treasury stock purchases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Treasury stock issuances</w:t>
            </w:r>
          </w:p>
        </w:tc>
        <w:tc>
          <w:tcPr>
            <w:tcW w:w="3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related to tax withholding for stock-based compensation</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5"/>
        </w:trPr>
        <w:tc>
          <w:tcPr>
            <w:tcW w:w="8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87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w:t>
            </w:r>
          </w:p>
        </w:tc>
        <w:tc>
          <w:tcPr>
            <w:tcW w:w="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9"/>
        </w:trPr>
        <w:tc>
          <w:tcPr>
            <w:tcW w:w="8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8"/>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5"/>
        </w:trPr>
        <w:tc>
          <w:tcPr>
            <w:tcW w:w="8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189</w:t>
            </w: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43"/>
        </w:trPr>
        <w:tc>
          <w:tcPr>
            <w:tcW w:w="8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34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c>
          <w:tcPr>
            <w:tcW w:w="1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98"/>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0"/>
        </w:trPr>
        <w:tc>
          <w:tcPr>
            <w:tcW w:w="87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CAMPBELL SOUP COMPANY</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Equity</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(millions, except per share amounts)</w:t>
      </w:r>
    </w:p>
    <w:p>
      <w:pPr>
        <w:spacing w:after="0" w:line="1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60" w:type="dxa"/>
            <w:vAlign w:val="bottom"/>
            <w:gridSpan w:val="7"/>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Campbell Soup Company Shareholders’ Equity</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Capital Stock</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80" w:type="dxa"/>
            <w:vAlign w:val="bottom"/>
          </w:tcPr>
          <w:p>
            <w:pPr>
              <w:spacing w:after="0"/>
              <w:rPr>
                <w:sz w:val="7"/>
                <w:szCs w:val="7"/>
                <w:color w:val="auto"/>
              </w:rPr>
            </w:pPr>
          </w:p>
        </w:tc>
        <w:tc>
          <w:tcPr>
            <w:tcW w:w="1540" w:type="dxa"/>
            <w:vAlign w:val="bottom"/>
            <w:gridSpan w:val="3"/>
            <w:vMerge w:val="restart"/>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20" w:type="dxa"/>
            <w:vAlign w:val="bottom"/>
            <w:vMerge w:val="restart"/>
          </w:tcPr>
          <w:p>
            <w:pPr>
              <w:spacing w:after="0"/>
              <w:rPr>
                <w:sz w:val="7"/>
                <w:szCs w:val="7"/>
                <w:color w:val="auto"/>
              </w:rPr>
            </w:pPr>
          </w:p>
        </w:tc>
        <w:tc>
          <w:tcPr>
            <w:tcW w:w="1540" w:type="dxa"/>
            <w:vAlign w:val="bottom"/>
            <w:gridSpan w:val="3"/>
            <w:vMerge w:val="restart"/>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In Treasury</w:t>
            </w: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080" w:type="dxa"/>
            <w:vAlign w:val="bottom"/>
          </w:tcPr>
          <w:p>
            <w:pPr>
              <w:spacing w:after="0"/>
              <w:rPr>
                <w:sz w:val="10"/>
                <w:szCs w:val="10"/>
                <w:color w:val="auto"/>
              </w:rPr>
            </w:pPr>
          </w:p>
        </w:tc>
        <w:tc>
          <w:tcPr>
            <w:tcW w:w="1540" w:type="dxa"/>
            <w:vAlign w:val="bottom"/>
            <w:tcBorders>
              <w:bottom w:val="single" w:sz="8" w:color="auto"/>
            </w:tcBorders>
            <w:gridSpan w:val="3"/>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540" w:type="dxa"/>
            <w:vAlign w:val="bottom"/>
            <w:tcBorders>
              <w:bottom w:val="single" w:sz="8" w:color="auto"/>
            </w:tcBorders>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ind w:left="40"/>
              <w:spacing w:after="0" w:line="124"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0"/>
                <w:szCs w:val="10"/>
                <w:color w:val="auto"/>
              </w:rPr>
            </w:pPr>
          </w:p>
        </w:tc>
        <w:tc>
          <w:tcPr>
            <w:tcW w:w="880" w:type="dxa"/>
            <w:vAlign w:val="bottom"/>
          </w:tcPr>
          <w:p>
            <w:pPr>
              <w:jc w:val="center"/>
              <w:ind w:right="69"/>
              <w:spacing w:after="0" w:line="124" w:lineRule="exact"/>
              <w:rPr>
                <w:sz w:val="20"/>
                <w:szCs w:val="20"/>
                <w:color w:val="auto"/>
              </w:rPr>
            </w:pPr>
            <w:r>
              <w:rPr>
                <w:rFonts w:ascii="Times New Roman" w:cs="Times New Roman" w:eastAsia="Times New Roman" w:hAnsi="Times New Roman"/>
                <w:sz w:val="14"/>
                <w:szCs w:val="14"/>
                <w:b w:val="1"/>
                <w:bCs w:val="1"/>
                <w:color w:val="auto"/>
              </w:rPr>
              <w:t>Retained in</w:t>
            </w:r>
          </w:p>
        </w:tc>
        <w:tc>
          <w:tcPr>
            <w:tcW w:w="1340" w:type="dxa"/>
            <w:vAlign w:val="bottom"/>
            <w:gridSpan w:val="2"/>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80" w:type="dxa"/>
            <w:vAlign w:val="bottom"/>
          </w:tcPr>
          <w:p>
            <w:pPr>
              <w:spacing w:after="0"/>
              <w:rPr>
                <w:sz w:val="12"/>
                <w:szCs w:val="12"/>
                <w:color w:val="auto"/>
              </w:rPr>
            </w:pPr>
          </w:p>
        </w:tc>
        <w:tc>
          <w:tcPr>
            <w:tcW w:w="74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2"/>
                <w:szCs w:val="12"/>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6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20" w:type="dxa"/>
            <w:vAlign w:val="bottom"/>
          </w:tcPr>
          <w:p>
            <w:pPr>
              <w:spacing w:after="0"/>
              <w:rPr>
                <w:sz w:val="12"/>
                <w:szCs w:val="12"/>
                <w:color w:val="auto"/>
              </w:rPr>
            </w:pPr>
          </w:p>
        </w:tc>
        <w:tc>
          <w:tcPr>
            <w:tcW w:w="860" w:type="dxa"/>
            <w:vAlign w:val="bottom"/>
          </w:tcPr>
          <w:p>
            <w:pPr>
              <w:ind w:left="14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2"/>
                <w:szCs w:val="12"/>
                <w:color w:val="auto"/>
              </w:rPr>
            </w:pPr>
          </w:p>
        </w:tc>
        <w:tc>
          <w:tcPr>
            <w:tcW w:w="880" w:type="dxa"/>
            <w:vAlign w:val="bottom"/>
          </w:tcPr>
          <w:p>
            <w:pPr>
              <w:jc w:val="center"/>
              <w:ind w:right="69"/>
              <w:spacing w:after="0" w:line="146" w:lineRule="exact"/>
              <w:rPr>
                <w:sz w:val="20"/>
                <w:szCs w:val="20"/>
                <w:color w:val="auto"/>
              </w:rPr>
            </w:pPr>
            <w:r>
              <w:rPr>
                <w:rFonts w:ascii="Times New Roman" w:cs="Times New Roman" w:eastAsia="Times New Roman" w:hAnsi="Times New Roman"/>
                <w:sz w:val="14"/>
                <w:szCs w:val="14"/>
                <w:b w:val="1"/>
                <w:bCs w:val="1"/>
                <w:color w:val="auto"/>
                <w:w w:val="96"/>
              </w:rPr>
              <w:t>the</w:t>
            </w:r>
          </w:p>
        </w:tc>
        <w:tc>
          <w:tcPr>
            <w:tcW w:w="180" w:type="dxa"/>
            <w:vAlign w:val="bottom"/>
          </w:tcPr>
          <w:p>
            <w:pPr>
              <w:spacing w:after="0"/>
              <w:rPr>
                <w:sz w:val="12"/>
                <w:szCs w:val="12"/>
                <w:color w:val="auto"/>
              </w:rPr>
            </w:pPr>
          </w:p>
        </w:tc>
        <w:tc>
          <w:tcPr>
            <w:tcW w:w="1160" w:type="dxa"/>
            <w:vAlign w:val="bottom"/>
          </w:tcPr>
          <w:p>
            <w:pPr>
              <w:jc w:val="center"/>
              <w:ind w:right="29"/>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40" w:type="dxa"/>
            <w:vAlign w:val="bottom"/>
          </w:tcPr>
          <w:p>
            <w:pPr>
              <w:spacing w:after="0"/>
              <w:rPr>
                <w:sz w:val="12"/>
                <w:szCs w:val="12"/>
                <w:color w:val="auto"/>
              </w:rPr>
            </w:pPr>
          </w:p>
        </w:tc>
        <w:tc>
          <w:tcPr>
            <w:tcW w:w="1120" w:type="dxa"/>
            <w:vAlign w:val="bottom"/>
          </w:tcPr>
          <w:p>
            <w:pPr>
              <w:jc w:val="right"/>
              <w:ind w:right="109"/>
              <w:spacing w:after="0" w:line="146"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280" w:type="dxa"/>
            <w:vAlign w:val="bottom"/>
          </w:tcPr>
          <w:p>
            <w:pPr>
              <w:spacing w:after="0"/>
              <w:rPr>
                <w:sz w:val="12"/>
                <w:szCs w:val="12"/>
                <w:color w:val="auto"/>
              </w:rPr>
            </w:pPr>
          </w:p>
        </w:tc>
        <w:tc>
          <w:tcPr>
            <w:tcW w:w="820" w:type="dxa"/>
            <w:vAlign w:val="bottom"/>
          </w:tcPr>
          <w:p>
            <w:pPr>
              <w:jc w:val="right"/>
              <w:ind w:right="289"/>
              <w:spacing w:after="0" w:line="146"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20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w w:val="97"/>
              </w:rPr>
              <w:t>Business</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6"/>
        </w:trPr>
        <w:tc>
          <w:tcPr>
            <w:tcW w:w="2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July 31, 2022</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415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4,040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center"/>
              <w:ind w:left="909"/>
              <w:spacing w:after="0"/>
              <w:rPr>
                <w:sz w:val="20"/>
                <w:szCs w:val="20"/>
                <w:color w:val="auto"/>
              </w:rPr>
            </w:pPr>
            <w:r>
              <w:rPr>
                <w:rFonts w:ascii="Times New Roman" w:cs="Times New Roman" w:eastAsia="Times New Roman" w:hAnsi="Times New Roman"/>
                <w:sz w:val="14"/>
                <w:szCs w:val="14"/>
                <w:color w:val="auto"/>
                <w:w w:val="85"/>
              </w:rPr>
              <w:t>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3,333</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297</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0" w:type="dxa"/>
            <w:vAlign w:val="bottom"/>
          </w:tcPr>
          <w:p>
            <w:pPr>
              <w:spacing w:after="0"/>
              <w:rPr>
                <w:sz w:val="1"/>
                <w:szCs w:val="1"/>
                <w:color w:val="auto"/>
              </w:rPr>
            </w:pPr>
          </w:p>
        </w:tc>
      </w:tr>
      <w:tr>
        <w:trPr>
          <w:trHeight w:val="206"/>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center"/>
              <w:ind w:left="889"/>
              <w:spacing w:after="0"/>
              <w:rPr>
                <w:sz w:val="20"/>
                <w:szCs w:val="20"/>
                <w:color w:val="auto"/>
              </w:rPr>
            </w:pPr>
            <w:r>
              <w:rPr>
                <w:rFonts w:ascii="Times New Roman" w:cs="Times New Roman" w:eastAsia="Times New Roman" w:hAnsi="Times New Roman"/>
                <w:sz w:val="14"/>
                <w:szCs w:val="14"/>
                <w:color w:val="auto"/>
                <w:w w:val="97"/>
              </w:rPr>
              <w:t>(6)</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1"/>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($.37 per share)</w:t>
            </w: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(113)</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206"/>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stock purchased</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36"/>
        </w:trPr>
        <w:tc>
          <w:tcPr>
            <w:tcW w:w="208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color w:val="auto"/>
              </w:rPr>
              <w:t>Treasury stock issued under</w:t>
            </w: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management incentive and stock</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220" w:type="dxa"/>
            <w:vAlign w:val="bottom"/>
          </w:tcPr>
          <w:p>
            <w:pPr>
              <w:spacing w:after="0"/>
              <w:rPr>
                <w:sz w:val="12"/>
                <w:szCs w:val="12"/>
                <w:color w:val="auto"/>
              </w:rPr>
            </w:pPr>
          </w:p>
        </w:tc>
        <w:tc>
          <w:tcPr>
            <w:tcW w:w="860" w:type="dxa"/>
            <w:vAlign w:val="bottom"/>
            <w:vMerge w:val="restart"/>
          </w:tcPr>
          <w:p>
            <w:pPr>
              <w:ind w:left="560"/>
              <w:spacing w:after="0"/>
              <w:rPr>
                <w:sz w:val="20"/>
                <w:szCs w:val="20"/>
                <w:color w:val="auto"/>
              </w:rPr>
            </w:pPr>
            <w:r>
              <w:rPr>
                <w:rFonts w:ascii="Times New Roman" w:cs="Times New Roman" w:eastAsia="Times New Roman" w:hAnsi="Times New Roman"/>
                <w:sz w:val="14"/>
                <w:szCs w:val="14"/>
                <w:color w:val="auto"/>
              </w:rPr>
              <w:t>(40)</w:t>
            </w:r>
          </w:p>
        </w:tc>
        <w:tc>
          <w:tcPr>
            <w:tcW w:w="160" w:type="dxa"/>
            <w:vAlign w:val="bottom"/>
          </w:tcPr>
          <w:p>
            <w:pPr>
              <w:spacing w:after="0"/>
              <w:rPr>
                <w:sz w:val="12"/>
                <w:szCs w:val="12"/>
                <w:color w:val="auto"/>
              </w:rPr>
            </w:pPr>
          </w:p>
        </w:tc>
        <w:tc>
          <w:tcPr>
            <w:tcW w:w="88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2"/>
        </w:trPr>
        <w:tc>
          <w:tcPr>
            <w:tcW w:w="2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option plans</w:t>
            </w:r>
          </w:p>
        </w:tc>
        <w:tc>
          <w:tcPr>
            <w:tcW w:w="7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October 30, 2022</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375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4,224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center"/>
              <w:ind w:left="889"/>
              <w:spacing w:after="0"/>
              <w:rPr>
                <w:sz w:val="20"/>
                <w:szCs w:val="20"/>
                <w:color w:val="auto"/>
              </w:rPr>
            </w:pPr>
            <w:r>
              <w:rPr>
                <w:rFonts w:ascii="Times New Roman" w:cs="Times New Roman" w:eastAsia="Times New Roman" w:hAnsi="Times New Roman"/>
                <w:sz w:val="14"/>
                <w:szCs w:val="14"/>
                <w:color w:val="auto"/>
                <w:w w:val="97"/>
              </w:rPr>
              <w:t>(4)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3,469</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
        </w:trPr>
        <w:tc>
          <w:tcPr>
            <w:tcW w:w="20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July 30, 2023</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420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4,451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center"/>
              <w:ind w:left="889"/>
              <w:spacing w:after="0"/>
              <w:rPr>
                <w:sz w:val="20"/>
                <w:szCs w:val="20"/>
                <w:color w:val="auto"/>
              </w:rPr>
            </w:pPr>
            <w:r>
              <w:rPr>
                <w:rFonts w:ascii="Times New Roman" w:cs="Times New Roman" w:eastAsia="Times New Roman" w:hAnsi="Times New Roman"/>
                <w:sz w:val="14"/>
                <w:szCs w:val="14"/>
                <w:color w:val="auto"/>
                <w:w w:val="97"/>
              </w:rPr>
              <w:t>(3)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3,663</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earnings (loss)</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234</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234</w:t>
            </w:r>
          </w:p>
        </w:tc>
        <w:tc>
          <w:tcPr>
            <w:tcW w:w="0" w:type="dxa"/>
            <w:vAlign w:val="bottom"/>
          </w:tcPr>
          <w:p>
            <w:pPr>
              <w:spacing w:after="0"/>
              <w:rPr>
                <w:sz w:val="1"/>
                <w:szCs w:val="1"/>
                <w:color w:val="auto"/>
              </w:rPr>
            </w:pPr>
          </w:p>
        </w:tc>
      </w:tr>
      <w:tr>
        <w:trPr>
          <w:trHeight w:val="141"/>
        </w:trPr>
        <w:tc>
          <w:tcPr>
            <w:tcW w:w="208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Other comprehensive income</w:t>
            </w: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center"/>
              <w:ind w:left="889"/>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24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0" w:type="dxa"/>
            <w:vAlign w:val="bottom"/>
          </w:tcPr>
          <w:p>
            <w:pPr>
              <w:spacing w:after="0"/>
              <w:rPr>
                <w:sz w:val="1"/>
                <w:szCs w:val="1"/>
                <w:color w:val="auto"/>
              </w:rPr>
            </w:pPr>
          </w:p>
        </w:tc>
      </w:tr>
      <w:tr>
        <w:trPr>
          <w:trHeight w:val="197"/>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Dividends ($.37 per share)</w:t>
            </w: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(112)</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(112)</w:t>
            </w:r>
          </w:p>
        </w:tc>
        <w:tc>
          <w:tcPr>
            <w:tcW w:w="0" w:type="dxa"/>
            <w:vAlign w:val="bottom"/>
          </w:tcPr>
          <w:p>
            <w:pPr>
              <w:spacing w:after="0"/>
              <w:rPr>
                <w:sz w:val="1"/>
                <w:szCs w:val="1"/>
                <w:color w:val="auto"/>
              </w:rPr>
            </w:pPr>
          </w:p>
        </w:tc>
      </w:tr>
      <w:tr>
        <w:trPr>
          <w:trHeight w:val="205"/>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Treasury stock purchased</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w:t>
            </w:r>
          </w:p>
        </w:tc>
        <w:tc>
          <w:tcPr>
            <w:tcW w:w="0" w:type="dxa"/>
            <w:vAlign w:val="bottom"/>
          </w:tcPr>
          <w:p>
            <w:pPr>
              <w:spacing w:after="0"/>
              <w:rPr>
                <w:sz w:val="1"/>
                <w:szCs w:val="1"/>
                <w:color w:val="auto"/>
              </w:rPr>
            </w:pPr>
          </w:p>
        </w:tc>
      </w:tr>
      <w:tr>
        <w:trPr>
          <w:trHeight w:val="134"/>
        </w:trPr>
        <w:tc>
          <w:tcPr>
            <w:tcW w:w="20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Treasury stock issued under</w:t>
            </w: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8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management incentive and stock</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1</w:t>
            </w:r>
          </w:p>
        </w:tc>
        <w:tc>
          <w:tcPr>
            <w:tcW w:w="16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35</w:t>
            </w:r>
          </w:p>
        </w:tc>
        <w:tc>
          <w:tcPr>
            <w:tcW w:w="220" w:type="dxa"/>
            <w:vAlign w:val="bottom"/>
          </w:tcPr>
          <w:p>
            <w:pPr>
              <w:spacing w:after="0"/>
              <w:rPr>
                <w:sz w:val="12"/>
                <w:szCs w:val="12"/>
                <w:color w:val="auto"/>
              </w:rPr>
            </w:pPr>
          </w:p>
        </w:tc>
        <w:tc>
          <w:tcPr>
            <w:tcW w:w="86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(32)</w:t>
            </w:r>
          </w:p>
        </w:tc>
        <w:tc>
          <w:tcPr>
            <w:tcW w:w="160" w:type="dxa"/>
            <w:vAlign w:val="bottom"/>
          </w:tcPr>
          <w:p>
            <w:pPr>
              <w:spacing w:after="0"/>
              <w:rPr>
                <w:sz w:val="12"/>
                <w:szCs w:val="12"/>
                <w:color w:val="auto"/>
              </w:rPr>
            </w:pPr>
          </w:p>
        </w:tc>
        <w:tc>
          <w:tcPr>
            <w:tcW w:w="88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0" w:type="dxa"/>
            <w:vAlign w:val="bottom"/>
          </w:tcPr>
          <w:p>
            <w:pPr>
              <w:spacing w:after="0"/>
              <w:rPr>
                <w:sz w:val="1"/>
                <w:szCs w:val="1"/>
                <w:color w:val="auto"/>
              </w:rPr>
            </w:pPr>
          </w:p>
        </w:tc>
      </w:tr>
      <w:tr>
        <w:trPr>
          <w:trHeight w:val="192"/>
        </w:trPr>
        <w:tc>
          <w:tcPr>
            <w:tcW w:w="2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option plans</w:t>
            </w:r>
          </w:p>
        </w:tc>
        <w:tc>
          <w:tcPr>
            <w:tcW w:w="7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October 29, 2023</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(1,212)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b w:val="1"/>
                <w:bCs w:val="1"/>
                <w:color w:val="auto"/>
              </w:rPr>
              <w:t>388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4,573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bottom w:val="single" w:sz="8" w:color="auto"/>
            </w:tcBorders>
            <w:shd w:val="clear" w:color="auto" w:fill="CCEEFF"/>
          </w:tcPr>
          <w:p>
            <w:pPr>
              <w:jc w:val="center"/>
              <w:ind w:left="889"/>
              <w:spacing w:after="0"/>
              <w:rPr>
                <w:sz w:val="20"/>
                <w:szCs w:val="20"/>
                <w:color w:val="auto"/>
              </w:rPr>
            </w:pPr>
            <w:r>
              <w:rPr>
                <w:rFonts w:ascii="Times New Roman" w:cs="Times New Roman" w:eastAsia="Times New Roman" w:hAnsi="Times New Roman"/>
                <w:sz w:val="14"/>
                <w:szCs w:val="14"/>
                <w:b w:val="1"/>
                <w:bCs w:val="1"/>
                <w:color w:val="auto"/>
                <w:w w:val="97"/>
              </w:rPr>
              <w:t>(6)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w:t>
            </w:r>
          </w:p>
        </w:tc>
        <w:tc>
          <w:tcPr>
            <w:tcW w:w="2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3,757</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755"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 and Significant Accounting Policies</w:t>
      </w:r>
    </w:p>
    <w:p>
      <w:pPr>
        <w:spacing w:after="0" w:line="10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this Form 10-Q, unless otherwise stated, the terms "we," "us," "our" and the "company" refer to Campbell Soup Company and its consolidated subsidiaries.</w:t>
      </w:r>
    </w:p>
    <w:p>
      <w:pPr>
        <w:spacing w:after="0" w:line="4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financial statements reflect all adjustments which are, in our opinion, necessary for a fair statement of the results of operations, financial position and cash flows for the indicated periods. The accounting policies we used in preparing these financial statements are substantially consistent with those we applied in our Annual Report on Form 10-K for the year ended July 30, 2023.</w:t>
      </w:r>
    </w:p>
    <w:p>
      <w:pPr>
        <w:spacing w:after="0" w:line="4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results for the period are not necessarily indicative of the results to be expected for other interim periods or the full year. Our fiscal year ends on the Sunday nearest July 31, which is July 28,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Recent Accounting Pronouncements</w:t>
      </w:r>
    </w:p>
    <w:p>
      <w:pPr>
        <w:spacing w:after="0" w:line="8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September 2022, the Financial Accounting Standards Board (FASB) issued guidance that enhances the transparency of supplier finance programs by requiring disclosure of the key terms of these programs and a related rollforward of these obligations to understand the effect on working capital, liquidity and cash flows. The guidance is effective for fiscal years beginning after December 15, 2022, including interim periods in those fiscal years, except for the rollforward requirement, which is effective for fiscal years beginning after December 15, 2023. Early adoption is permitted. We adopted the guidance in the fourth quarter of 2023, with the exception of the rollforward information. The adoption did not have a material impact on our consolidated financial statements. See Note 16 for additional information.</w:t>
      </w:r>
    </w:p>
    <w:p>
      <w:pPr>
        <w:spacing w:after="0" w:line="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November 2023, the FASB issued guidance to improve reportable segment disclosure requirements, primarily through enhanced disclosures about significant segment expenses. In addition, the guidance enhances interim disclosure requirements, clarifies circumstances in which an entity can disclose multiple segment measures of profit or loss, provides new segment disclosure requirements for entities with a single reportable segment and contains other disclosure requirements. The purpose of the guidance is to enable investors to better understand an entity’s overall performance and assess potential future cash flows. The guidance is effective for fiscal years beginning after December 15, 2023, and interim periods within fiscal years beginning after December 15, 2024. Early adoption is permitted. We are currently evaluating the impact that the new guidance will have on our consolidated financial statements.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Accumulated Other Comprehensive Income (Loss)</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Accumulated other comprehensive income (loss) consisted of the following:</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Pension and</w:t>
            </w:r>
          </w:p>
        </w:tc>
        <w:tc>
          <w:tcPr>
            <w:tcW w:w="140" w:type="dxa"/>
            <w:vAlign w:val="bottom"/>
          </w:tcPr>
          <w:p>
            <w:pPr>
              <w:spacing w:after="0"/>
              <w:rPr>
                <w:sz w:val="13"/>
                <w:szCs w:val="13"/>
                <w:color w:val="auto"/>
              </w:rPr>
            </w:pP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Total Accumulated</w:t>
            </w:r>
          </w:p>
        </w:tc>
        <w:tc>
          <w:tcPr>
            <w:tcW w:w="0" w:type="dxa"/>
            <w:vAlign w:val="bottom"/>
          </w:tcPr>
          <w:p>
            <w:pPr>
              <w:spacing w:after="0"/>
              <w:rPr>
                <w:sz w:val="1"/>
                <w:szCs w:val="1"/>
                <w:color w:val="auto"/>
              </w:rPr>
            </w:pPr>
          </w:p>
        </w:tc>
      </w:tr>
      <w:tr>
        <w:trPr>
          <w:trHeight w:val="133"/>
        </w:trPr>
        <w:tc>
          <w:tcPr>
            <w:tcW w:w="5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60" w:type="dxa"/>
            <w:vAlign w:val="bottom"/>
          </w:tcPr>
          <w:p>
            <w:pPr>
              <w:spacing w:after="0"/>
              <w:rPr>
                <w:sz w:val="11"/>
                <w:szCs w:val="11"/>
                <w:color w:val="auto"/>
              </w:rPr>
            </w:pPr>
          </w:p>
        </w:tc>
        <w:tc>
          <w:tcPr>
            <w:tcW w:w="140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5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Cash-Flow Hedges</w:t>
            </w:r>
            <w:r>
              <w:rPr>
                <w:rFonts w:ascii="Times New Roman" w:cs="Times New Roman" w:eastAsia="Times New Roman" w:hAnsi="Times New Roman"/>
                <w:sz w:val="18"/>
                <w:szCs w:val="18"/>
                <w:b w:val="1"/>
                <w:bCs w:val="1"/>
                <w:color w:val="auto"/>
                <w:vertAlign w:val="superscript"/>
              </w:rPr>
              <w:t>(2)</w:t>
            </w:r>
          </w:p>
        </w:tc>
        <w:tc>
          <w:tcPr>
            <w:tcW w:w="1540" w:type="dxa"/>
            <w:vAlign w:val="bottom"/>
            <w:gridSpan w:val="3"/>
          </w:tcPr>
          <w:p>
            <w:pPr>
              <w:jc w:val="center"/>
              <w:ind w:right="100"/>
              <w:spacing w:after="0" w:line="133" w:lineRule="exact"/>
              <w:rPr>
                <w:sz w:val="20"/>
                <w:szCs w:val="20"/>
                <w:color w:val="auto"/>
              </w:rPr>
            </w:pPr>
            <w:r>
              <w:rPr>
                <w:rFonts w:ascii="Times New Roman" w:cs="Times New Roman" w:eastAsia="Times New Roman" w:hAnsi="Times New Roman"/>
                <w:sz w:val="14"/>
                <w:szCs w:val="14"/>
                <w:b w:val="1"/>
                <w:bCs w:val="1"/>
                <w:color w:val="auto"/>
              </w:rPr>
              <w:t>Postretirement Benefit</w:t>
            </w:r>
          </w:p>
        </w:tc>
        <w:tc>
          <w:tcPr>
            <w:tcW w:w="140" w:type="dxa"/>
            <w:vAlign w:val="bottom"/>
          </w:tcPr>
          <w:p>
            <w:pPr>
              <w:spacing w:after="0"/>
              <w:rPr>
                <w:sz w:val="11"/>
                <w:szCs w:val="11"/>
                <w:color w:val="auto"/>
              </w:rPr>
            </w:pPr>
          </w:p>
        </w:tc>
        <w:tc>
          <w:tcPr>
            <w:tcW w:w="1360" w:type="dxa"/>
            <w:vAlign w:val="bottom"/>
            <w:gridSpan w:val="2"/>
          </w:tcPr>
          <w:p>
            <w:pPr>
              <w:jc w:val="center"/>
              <w:ind w:right="180"/>
              <w:spacing w:after="0" w:line="133"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212"/>
        </w:trPr>
        <w:tc>
          <w:tcPr>
            <w:tcW w:w="51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Adjustments</w:t>
            </w:r>
            <w:r>
              <w:rPr>
                <w:rFonts w:ascii="Times New Roman" w:cs="Times New Roman" w:eastAsia="Times New Roman" w:hAnsi="Times New Roman"/>
                <w:sz w:val="18"/>
                <w:szCs w:val="18"/>
                <w:b w:val="1"/>
                <w:bCs w:val="1"/>
                <w:color w:val="auto"/>
                <w:w w:val="95"/>
                <w:vertAlign w:val="superscript"/>
              </w:rPr>
              <w:t>(1)</w:t>
            </w:r>
          </w:p>
        </w:tc>
        <w:tc>
          <w:tcPr>
            <w:tcW w:w="154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Plan Adjustments</w:t>
            </w:r>
            <w:r>
              <w:rPr>
                <w:rFonts w:ascii="Times New Roman" w:cs="Times New Roman" w:eastAsia="Times New Roman" w:hAnsi="Times New Roman"/>
                <w:sz w:val="18"/>
                <w:szCs w:val="18"/>
                <w:b w:val="1"/>
                <w:bCs w:val="1"/>
                <w:color w:val="auto"/>
                <w:w w:val="97"/>
                <w:vertAlign w:val="superscript"/>
              </w:rPr>
              <w:t>(3)</w:t>
            </w:r>
          </w:p>
        </w:tc>
        <w:tc>
          <w:tcPr>
            <w:tcW w:w="140" w:type="dxa"/>
            <w:vAlign w:val="bottom"/>
          </w:tcPr>
          <w:p>
            <w:pPr>
              <w:spacing w:after="0"/>
              <w:rPr>
                <w:sz w:val="18"/>
                <w:szCs w:val="18"/>
                <w:color w:val="auto"/>
              </w:rPr>
            </w:pP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218"/>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July 31, 2022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ind w:right="45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5100" w:type="dxa"/>
            <w:vAlign w:val="bottom"/>
            <w:shd w:val="clear" w:color="auto" w:fill="CCEEFF"/>
          </w:tcPr>
          <w:p>
            <w:pPr>
              <w:ind w:left="220"/>
              <w:spacing w:after="0" w:line="172" w:lineRule="exact"/>
              <w:rPr>
                <w:sz w:val="20"/>
                <w:szCs w:val="20"/>
                <w:color w:val="auto"/>
              </w:rPr>
            </w:pPr>
            <w:r>
              <w:rPr>
                <w:rFonts w:ascii="Times New Roman" w:cs="Times New Roman" w:eastAsia="Times New Roman" w:hAnsi="Times New Roman"/>
                <w:sz w:val="18"/>
                <w:szCs w:val="18"/>
                <w:color w:val="auto"/>
              </w:rPr>
              <w:t>Losses (gains) reclassified from accumulated other comprehensive</w:t>
            </w:r>
          </w:p>
        </w:tc>
        <w:tc>
          <w:tcPr>
            <w:tcW w:w="1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(loss)</w:t>
            </w: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October 30, 2022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July 30, 2023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45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Other comprehensive income (loss) before reclassifications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5100" w:type="dxa"/>
            <w:vAlign w:val="bottom"/>
            <w:shd w:val="clear" w:color="auto" w:fill="CCEEFF"/>
          </w:tcPr>
          <w:p>
            <w:pPr>
              <w:ind w:left="220"/>
              <w:spacing w:after="0" w:line="172" w:lineRule="exact"/>
              <w:rPr>
                <w:sz w:val="20"/>
                <w:szCs w:val="20"/>
                <w:color w:val="auto"/>
              </w:rPr>
            </w:pPr>
            <w:r>
              <w:rPr>
                <w:rFonts w:ascii="Times New Roman" w:cs="Times New Roman" w:eastAsia="Times New Roman" w:hAnsi="Times New Roman"/>
                <w:sz w:val="18"/>
                <w:szCs w:val="18"/>
                <w:b w:val="1"/>
                <w:bCs w:val="1"/>
                <w:color w:val="auto"/>
              </w:rPr>
              <w:t>Losses (gains) reclassified from accumulated other</w:t>
            </w:r>
          </w:p>
        </w:tc>
        <w:tc>
          <w:tcPr>
            <w:tcW w:w="16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60" w:type="dxa"/>
            <w:vAlign w:val="bottom"/>
            <w:shd w:val="clear" w:color="auto" w:fill="CCEEFF"/>
          </w:tcPr>
          <w:p>
            <w:pPr>
              <w:spacing w:after="0"/>
              <w:rPr>
                <w:sz w:val="20"/>
                <w:szCs w:val="20"/>
                <w:color w:val="auto"/>
              </w:rPr>
            </w:pPr>
          </w:p>
        </w:tc>
        <w:tc>
          <w:tcPr>
            <w:tcW w:w="1400" w:type="dxa"/>
            <w:vAlign w:val="bottom"/>
            <w:gridSpan w:val="2"/>
            <w:vMerge w:val="continue"/>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90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current-period other comprehensive income (loss)</w:t>
            </w: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tcBorders>
              <w:bottom w:val="single" w:sz="8" w:color="CCEEFF"/>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October 29, 2023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9"/>
        </w:trPr>
        <w:tc>
          <w:tcPr>
            <w:tcW w:w="5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ind w:right="815"/>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14" w:lineRule="exact"/>
        <w:rPr>
          <w:sz w:val="20"/>
          <w:szCs w:val="20"/>
          <w:color w:val="auto"/>
        </w:rPr>
      </w:pPr>
    </w:p>
    <w:p>
      <w:pPr>
        <w:ind w:left="320" w:hanging="314"/>
        <w:spacing w:after="0"/>
        <w:tabs>
          <w:tab w:leader="none" w:pos="320" w:val="left"/>
        </w:tabs>
        <w:numPr>
          <w:ilvl w:val="0"/>
          <w:numId w:val="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no tax as of October 29, 2023, July 30, 2023, October 30, 2022 and July 31, 2022.</w:t>
      </w:r>
    </w:p>
    <w:p>
      <w:pPr>
        <w:ind w:left="320" w:right="360" w:hanging="314"/>
        <w:spacing w:after="0" w:line="221" w:lineRule="auto"/>
        <w:tabs>
          <w:tab w:leader="none" w:pos="308" w:val="left"/>
        </w:tabs>
        <w:numPr>
          <w:ilvl w:val="0"/>
          <w:numId w:val="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tax expense of $1 million as of October 29, 2023, a tax benefit of $1 million as of July 30, 2023, tax expense of $1 million as of October 30, 2022 and no tax as of July 31, 2022.</w:t>
      </w:r>
    </w:p>
    <w:p>
      <w:pPr>
        <w:ind w:left="320" w:right="3100" w:hanging="314"/>
        <w:spacing w:after="0" w:line="277" w:lineRule="auto"/>
        <w:tabs>
          <w:tab w:leader="none" w:pos="308" w:val="left"/>
        </w:tabs>
        <w:numPr>
          <w:ilvl w:val="0"/>
          <w:numId w:val="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tax expense of $1 million as of October 29, 2023, July 30, 2023, October 30, 2022 and July 31, 2022. Amounts related to noncontrolling interests were not material.</w:t>
      </w:r>
    </w:p>
    <w:p>
      <w:pPr>
        <w:spacing w:after="0" w:line="6" w:lineRule="exact"/>
        <w:rPr>
          <w:rFonts w:ascii="Times New Roman" w:cs="Times New Roman" w:eastAsia="Times New Roman" w:hAnsi="Times New Roman"/>
          <w:sz w:val="23"/>
          <w:szCs w:val="23"/>
          <w:color w:val="auto"/>
          <w:vertAlign w:val="superscript"/>
        </w:rPr>
      </w:pPr>
    </w:p>
    <w:p>
      <w:pPr>
        <w:ind w:left="32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amounts reclassified from Accumulated other comprehensive income (loss) consisted of the following:</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gridSpan w:val="4"/>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gridSpan w:val="6"/>
            <w:vMerge w:val="restart"/>
          </w:tcPr>
          <w:p>
            <w:pPr>
              <w:ind w:left="80"/>
              <w:spacing w:after="0" w:line="159" w:lineRule="exact"/>
              <w:rPr>
                <w:sz w:val="20"/>
                <w:szCs w:val="20"/>
                <w:color w:val="auto"/>
              </w:rPr>
            </w:pPr>
            <w:r>
              <w:rPr>
                <w:rFonts w:ascii="Times New Roman" w:cs="Times New Roman" w:eastAsia="Times New Roman" w:hAnsi="Times New Roman"/>
                <w:sz w:val="14"/>
                <w:szCs w:val="14"/>
                <w:b w:val="1"/>
                <w:bCs w:val="1"/>
                <w:color w:val="auto"/>
              </w:rPr>
              <w:t>Location of Loss (Gain) Recognized in</w:t>
            </w:r>
          </w:p>
        </w:tc>
        <w:tc>
          <w:tcPr>
            <w:tcW w:w="0" w:type="dxa"/>
            <w:vAlign w:val="bottom"/>
          </w:tcPr>
          <w:p>
            <w:pPr>
              <w:spacing w:after="0"/>
              <w:rPr>
                <w:sz w:val="1"/>
                <w:szCs w:val="1"/>
                <w:color w:val="auto"/>
              </w:rPr>
            </w:pPr>
          </w:p>
        </w:tc>
      </w:tr>
      <w:tr>
        <w:trPr>
          <w:trHeight w:val="114"/>
        </w:trPr>
        <w:tc>
          <w:tcPr>
            <w:tcW w:w="6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8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11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100" w:type="dxa"/>
            <w:vAlign w:val="bottom"/>
          </w:tcPr>
          <w:p>
            <w:pPr>
              <w:spacing w:after="0"/>
              <w:rPr>
                <w:sz w:val="9"/>
                <w:szCs w:val="9"/>
                <w:color w:val="auto"/>
              </w:rPr>
            </w:pPr>
          </w:p>
        </w:tc>
        <w:tc>
          <w:tcPr>
            <w:tcW w:w="24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6220" w:type="dxa"/>
            <w:vAlign w:val="bottom"/>
            <w:vMerge w:val="continue"/>
          </w:tcPr>
          <w:p>
            <w:pPr>
              <w:spacing w:after="0"/>
              <w:rPr>
                <w:sz w:val="16"/>
                <w:szCs w:val="16"/>
                <w:color w:val="auto"/>
              </w:rPr>
            </w:pPr>
          </w:p>
        </w:tc>
        <w:tc>
          <w:tcPr>
            <w:tcW w:w="1280" w:type="dxa"/>
            <w:vAlign w:val="bottom"/>
            <w:gridSpan w:val="4"/>
            <w:vMerge w:val="continue"/>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(gains) on cash-flow hedges:</w:t>
            </w:r>
          </w:p>
        </w:tc>
        <w:tc>
          <w:tcPr>
            <w:tcW w:w="3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Commodity contracts</w:t>
            </w:r>
          </w:p>
        </w:tc>
        <w:tc>
          <w:tcPr>
            <w:tcW w:w="340" w:type="dxa"/>
            <w:vAlign w:val="bottom"/>
          </w:tcPr>
          <w:p>
            <w:pPr>
              <w:jc w:val="right"/>
              <w:ind w:right="15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Pr>
          <w:p>
            <w:pPr>
              <w:spacing w:after="0"/>
              <w:rPr>
                <w:sz w:val="19"/>
                <w:szCs w:val="19"/>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(3)</w:t>
            </w:r>
          </w:p>
        </w:tc>
        <w:tc>
          <w:tcPr>
            <w:tcW w:w="100" w:type="dxa"/>
            <w:vAlign w:val="bottom"/>
          </w:tcPr>
          <w:p>
            <w:pPr>
              <w:spacing w:after="0"/>
              <w:rPr>
                <w:sz w:val="19"/>
                <w:szCs w:val="19"/>
                <w:color w:val="auto"/>
              </w:rPr>
            </w:pP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7"/>
              </w:rPr>
              <w:t>Cost of products sold</w:t>
            </w: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100" w:type="dxa"/>
            <w:vAlign w:val="bottom"/>
            <w:shd w:val="clear" w:color="auto" w:fill="CCEEFF"/>
          </w:tcPr>
          <w:p>
            <w:pPr>
              <w:spacing w:after="0"/>
              <w:rPr>
                <w:sz w:val="19"/>
                <w:szCs w:val="19"/>
                <w:color w:val="auto"/>
              </w:rPr>
            </w:pPr>
          </w:p>
        </w:tc>
        <w:tc>
          <w:tcPr>
            <w:tcW w:w="15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Cost of products sold</w:t>
            </w: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Total before tax</w:t>
            </w:r>
          </w:p>
        </w:tc>
        <w:tc>
          <w:tcPr>
            <w:tcW w:w="3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5"/>
              </w:rPr>
              <w:t>(4)</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Tax expense (benefit)</w:t>
            </w: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Loss (gain), net of tax</w:t>
            </w:r>
          </w:p>
        </w:tc>
        <w:tc>
          <w:tcPr>
            <w:tcW w:w="340" w:type="dxa"/>
            <w:vAlign w:val="bottom"/>
            <w:tcBorders>
              <w:top w:val="single" w:sz="8" w:color="auto"/>
              <w:bottom w:val="single" w:sz="8" w:color="auto"/>
            </w:tcBorders>
          </w:tcPr>
          <w:p>
            <w:pPr>
              <w:jc w:val="right"/>
              <w:ind w:right="15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5"/>
              </w:rPr>
              <w:t>(3)</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Goodwill and Intangible Assets</w:t>
            </w: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62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62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6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following table shows the changes in the carrying amount of goodwill:</w:t>
            </w: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6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Meals &amp; Beverages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Snacks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
        </w:trPr>
        <w:tc>
          <w:tcPr>
            <w:tcW w:w="62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balance at July 30, 2023</w:t>
            </w: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Foreign currency translation adjustment</w:t>
            </w:r>
          </w:p>
        </w:tc>
        <w:tc>
          <w:tcPr>
            <w:tcW w:w="34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balance at October 29, 2023</w:t>
            </w:r>
          </w:p>
        </w:tc>
        <w:tc>
          <w:tcPr>
            <w:tcW w:w="3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2,975</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3,960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balance sheet information for intangible assets, excluding goodwill:</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July 30, 2023</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Cost</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1"/>
                <w:szCs w:val="11"/>
                <w:color w:val="auto"/>
              </w:rPr>
            </w:pPr>
          </w:p>
        </w:tc>
        <w:tc>
          <w:tcPr>
            <w:tcW w:w="84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1"/>
                <w:szCs w:val="11"/>
                <w:color w:val="auto"/>
              </w:rPr>
            </w:pPr>
          </w:p>
        </w:tc>
        <w:tc>
          <w:tcPr>
            <w:tcW w:w="1100" w:type="dxa"/>
            <w:vAlign w:val="bottom"/>
            <w:gridSpan w:val="2"/>
          </w:tcPr>
          <w:p>
            <w:pPr>
              <w:ind w:left="40"/>
              <w:spacing w:after="0" w:line="12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1"/>
                <w:szCs w:val="11"/>
                <w:color w:val="auto"/>
              </w:rPr>
            </w:pPr>
          </w:p>
        </w:tc>
        <w:tc>
          <w:tcPr>
            <w:tcW w:w="84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1"/>
        </w:trPr>
        <w:tc>
          <w:tcPr>
            <w:tcW w:w="400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7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Customer relationships</w:t>
            </w:r>
          </w:p>
        </w:tc>
        <w:tc>
          <w:tcPr>
            <w:tcW w:w="720" w:type="dxa"/>
            <w:vAlign w:val="bottom"/>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(246)</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584</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830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r>
        <w:trPr>
          <w:trHeight w:val="225"/>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trademarks</w:t>
            </w: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00" w:type="dxa"/>
            <w:vAlign w:val="bottom"/>
          </w:tcPr>
          <w:p>
            <w:pPr>
              <w:ind w:left="580"/>
              <w:spacing w:after="0"/>
              <w:rPr>
                <w:sz w:val="20"/>
                <w:szCs w:val="20"/>
                <w:color w:val="auto"/>
              </w:rPr>
            </w:pPr>
            <w:r>
              <w:rPr>
                <w:rFonts w:ascii="Times New Roman" w:cs="Times New Roman" w:eastAsia="Times New Roman" w:hAnsi="Times New Roman"/>
                <w:sz w:val="18"/>
                <w:szCs w:val="18"/>
                <w:i w:val="1"/>
                <w:iCs w:val="1"/>
                <w:color w:val="auto"/>
              </w:rPr>
              <w:t>Snyder's of Hanover</w:t>
            </w: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25"/>
        </w:trPr>
        <w:tc>
          <w:tcPr>
            <w:tcW w:w="40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i w:val="1"/>
                <w:iCs w:val="1"/>
                <w:color w:val="auto"/>
              </w:rPr>
              <w:t>Lance</w:t>
            </w: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25"/>
        </w:trPr>
        <w:tc>
          <w:tcPr>
            <w:tcW w:w="4000" w:type="dxa"/>
            <w:vAlign w:val="bottom"/>
          </w:tcPr>
          <w:p>
            <w:pPr>
              <w:ind w:left="580"/>
              <w:spacing w:after="0"/>
              <w:rPr>
                <w:sz w:val="20"/>
                <w:szCs w:val="20"/>
                <w:color w:val="auto"/>
              </w:rPr>
            </w:pPr>
            <w:r>
              <w:rPr>
                <w:rFonts w:ascii="Times New Roman" w:cs="Times New Roman" w:eastAsia="Times New Roman" w:hAnsi="Times New Roman"/>
                <w:sz w:val="18"/>
                <w:szCs w:val="18"/>
                <w:i w:val="1"/>
                <w:iCs w:val="1"/>
                <w:color w:val="auto"/>
              </w:rPr>
              <w:t>Kettle Brand</w:t>
            </w: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25"/>
        </w:trPr>
        <w:tc>
          <w:tcPr>
            <w:tcW w:w="40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i w:val="1"/>
                <w:iCs w:val="1"/>
                <w:color w:val="auto"/>
              </w:rPr>
              <w:t>Pace</w:t>
            </w: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25"/>
        </w:trPr>
        <w:tc>
          <w:tcPr>
            <w:tcW w:w="4000" w:type="dxa"/>
            <w:vAlign w:val="bottom"/>
          </w:tcPr>
          <w:p>
            <w:pPr>
              <w:ind w:left="580"/>
              <w:spacing w:after="0"/>
              <w:rPr>
                <w:sz w:val="20"/>
                <w:szCs w:val="20"/>
                <w:color w:val="auto"/>
              </w:rPr>
            </w:pPr>
            <w:r>
              <w:rPr>
                <w:rFonts w:ascii="Times New Roman" w:cs="Times New Roman" w:eastAsia="Times New Roman" w:hAnsi="Times New Roman"/>
                <w:sz w:val="18"/>
                <w:szCs w:val="18"/>
                <w:i w:val="1"/>
                <w:iCs w:val="1"/>
                <w:color w:val="auto"/>
              </w:rPr>
              <w:t>Pacific Foods</w:t>
            </w: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25"/>
        </w:trPr>
        <w:tc>
          <w:tcPr>
            <w:tcW w:w="40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i w:val="1"/>
                <w:iCs w:val="1"/>
                <w:color w:val="auto"/>
              </w:rPr>
              <w:t>Cape Cod</w:t>
            </w: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25"/>
        </w:trPr>
        <w:tc>
          <w:tcPr>
            <w:tcW w:w="4000" w:type="dxa"/>
            <w:vAlign w:val="bottom"/>
            <w:tcBorders>
              <w:bottom w:val="single" w:sz="8" w:color="CCEEFF"/>
            </w:tcBorders>
          </w:tcPr>
          <w:p>
            <w:pPr>
              <w:ind w:left="580"/>
              <w:spacing w:after="0" w:line="225" w:lineRule="exact"/>
              <w:rPr>
                <w:sz w:val="20"/>
                <w:szCs w:val="20"/>
                <w:color w:val="auto"/>
              </w:rPr>
            </w:pPr>
            <w:r>
              <w:rPr>
                <w:rFonts w:ascii="Times New Roman" w:cs="Times New Roman" w:eastAsia="Times New Roman" w:hAnsi="Times New Roman"/>
                <w:sz w:val="18"/>
                <w:szCs w:val="18"/>
                <w:color w:val="auto"/>
              </w:rPr>
              <w:t>Various other Snacks</w:t>
            </w:r>
            <w:r>
              <w:rPr>
                <w:rFonts w:ascii="Times New Roman" w:cs="Times New Roman" w:eastAsia="Times New Roman" w:hAnsi="Times New Roman"/>
                <w:sz w:val="22"/>
                <w:szCs w:val="22"/>
                <w:color w:val="auto"/>
                <w:vertAlign w:val="superscript"/>
              </w:rPr>
              <w:t>(1)</w:t>
            </w:r>
          </w:p>
        </w:tc>
        <w:tc>
          <w:tcPr>
            <w:tcW w:w="7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18"/>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indefinite-lived trademarks</w:t>
            </w: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0" w:type="dxa"/>
            <w:vAlign w:val="bottom"/>
          </w:tcPr>
          <w:p>
            <w:pPr>
              <w:spacing w:after="0"/>
              <w:rPr>
                <w:sz w:val="1"/>
                <w:szCs w:val="1"/>
                <w:color w:val="auto"/>
              </w:rPr>
            </w:pPr>
          </w:p>
        </w:tc>
      </w:tr>
      <w:tr>
        <w:trPr>
          <w:trHeight w:val="218"/>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intangible assets</w:t>
            </w: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3,142</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65" w:lineRule="exact"/>
        <w:rPr>
          <w:sz w:val="20"/>
          <w:szCs w:val="20"/>
          <w:color w:val="auto"/>
        </w:rPr>
      </w:pPr>
    </w:p>
    <w:p>
      <w:pPr>
        <w:ind w:left="320" w:hanging="314"/>
        <w:spacing w:after="0"/>
        <w:tabs>
          <w:tab w:leader="none" w:pos="320" w:val="left"/>
        </w:tabs>
        <w:numPr>
          <w:ilvl w:val="0"/>
          <w:numId w:val="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Associated with the acquisition of Snyder's-Lance, Inc. (Snyder's-Lance).</w:t>
      </w:r>
    </w:p>
    <w:p>
      <w:pPr>
        <w:spacing w:after="0" w:line="7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Amortization expense was $17 million for the three-month period ended October 29, 2023, and $11 million for the three-month period ended October 30, 2022. The increase in amortization expense in 2024 includes $7 million of accelerated amortization expense on customer relationships beginning in the fourth quarter of 2023 due to the loss of certain contract</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9" w:name="page10"/>
    <w:bookmarkEnd w:id="9"/>
    <w:p>
      <w:pPr>
        <w:jc w:val="both"/>
        <w:spacing w:after="0" w:line="274" w:lineRule="auto"/>
        <w:rPr>
          <w:sz w:val="20"/>
          <w:szCs w:val="20"/>
          <w:color w:val="auto"/>
        </w:rPr>
      </w:pPr>
      <w:r>
        <w:rPr>
          <w:rFonts w:ascii="Times New Roman" w:cs="Times New Roman" w:eastAsia="Times New Roman" w:hAnsi="Times New Roman"/>
          <w:sz w:val="18"/>
          <w:szCs w:val="18"/>
          <w:color w:val="auto"/>
        </w:rPr>
        <w:t>manufacturing customers. As of October 29, 2023, amortizable intangible assets had a weighted-average remaining useful life of 15 years. Amortization expense is estimated to be approximately $68 million in 2024, $59 million in 2025 and $34 million per year for the following three years.</w:t>
      </w:r>
    </w:p>
    <w:p>
      <w:pPr>
        <w:spacing w:after="0" w:line="3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 xml:space="preserve">As of our 2023 annual impairment testing, indefinite-lived trademarks with approximately 10% or less of excess coverage of fair value over carrying value had an aggregate carrying value of $434 million and included </w:t>
      </w:r>
      <w:r>
        <w:rPr>
          <w:rFonts w:ascii="Times New Roman" w:cs="Times New Roman" w:eastAsia="Times New Roman" w:hAnsi="Times New Roman"/>
          <w:sz w:val="18"/>
          <w:szCs w:val="18"/>
          <w:i w:val="1"/>
          <w:iCs w:val="1"/>
          <w:color w:val="auto"/>
        </w:rPr>
        <w:t>Pacific Foods</w:t>
      </w:r>
      <w:r>
        <w:rPr>
          <w:rFonts w:ascii="Times New Roman" w:cs="Times New Roman" w:eastAsia="Times New Roman" w:hAnsi="Times New Roman"/>
          <w:sz w:val="18"/>
          <w:szCs w:val="18"/>
          <w:color w:val="auto"/>
        </w:rPr>
        <w:t xml:space="preserve"> and certain other Snacks trademarks.</w:t>
      </w:r>
    </w:p>
    <w:p>
      <w:pPr>
        <w:spacing w:after="0" w:line="4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estimates of future cash flows used in determining the fair value of goodwill and intangible assets involve significant management judgment and are based upon assumptions about expected future operating performance, economic conditions, market conditions and cost of capital. Inherent in estimating the future cash flows are uncertainties beyond our control, such as changes in capital markets. The actual cash flows could differ materially from management’s estimates due to changes in business conditions, operating performance and economic conditions.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Segment Information</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reportable segments are as follows:</w:t>
      </w:r>
    </w:p>
    <w:p>
      <w:pPr>
        <w:spacing w:after="0" w:line="98" w:lineRule="exact"/>
        <w:rPr>
          <w:sz w:val="20"/>
          <w:szCs w:val="20"/>
          <w:color w:val="auto"/>
        </w:rPr>
      </w:pPr>
    </w:p>
    <w:p>
      <w:pPr>
        <w:jc w:val="both"/>
        <w:ind w:left="640" w:hanging="316"/>
        <w:spacing w:after="0" w:line="255"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Meals &amp; Beverages, which consists of our soup, simple meals and beverages products in retail and foodservice in the U.S. and Canada. The segment includes the following products: </w:t>
      </w:r>
      <w:r>
        <w:rPr>
          <w:rFonts w:ascii="Times New Roman" w:cs="Times New Roman" w:eastAsia="Times New Roman" w:hAnsi="Times New Roman"/>
          <w:sz w:val="18"/>
          <w:szCs w:val="18"/>
          <w:i w:val="1"/>
          <w:iCs w:val="1"/>
          <w:color w:val="auto"/>
        </w:rPr>
        <w:t>Campbell’s</w:t>
      </w:r>
      <w:r>
        <w:rPr>
          <w:rFonts w:ascii="Times New Roman" w:cs="Times New Roman" w:eastAsia="Times New Roman" w:hAnsi="Times New Roman"/>
          <w:sz w:val="18"/>
          <w:szCs w:val="18"/>
          <w:color w:val="auto"/>
        </w:rPr>
        <w:t xml:space="preserve"> condensed and ready-to-serve soups; </w:t>
      </w:r>
      <w:r>
        <w:rPr>
          <w:rFonts w:ascii="Times New Roman" w:cs="Times New Roman" w:eastAsia="Times New Roman" w:hAnsi="Times New Roman"/>
          <w:sz w:val="18"/>
          <w:szCs w:val="18"/>
          <w:i w:val="1"/>
          <w:iCs w:val="1"/>
          <w:color w:val="auto"/>
        </w:rPr>
        <w:t>Swanson</w:t>
      </w:r>
      <w:r>
        <w:rPr>
          <w:rFonts w:ascii="Times New Roman" w:cs="Times New Roman" w:eastAsia="Times New Roman" w:hAnsi="Times New Roman"/>
          <w:sz w:val="18"/>
          <w:szCs w:val="18"/>
          <w:color w:val="auto"/>
        </w:rPr>
        <w:t xml:space="preserve"> broth and stocks; </w:t>
      </w:r>
      <w:r>
        <w:rPr>
          <w:rFonts w:ascii="Times New Roman" w:cs="Times New Roman" w:eastAsia="Times New Roman" w:hAnsi="Times New Roman"/>
          <w:sz w:val="18"/>
          <w:szCs w:val="18"/>
          <w:i w:val="1"/>
          <w:iCs w:val="1"/>
          <w:color w:val="auto"/>
        </w:rPr>
        <w:t>Pacific Foods</w:t>
      </w:r>
      <w:r>
        <w:rPr>
          <w:rFonts w:ascii="Times New Roman" w:cs="Times New Roman" w:eastAsia="Times New Roman" w:hAnsi="Times New Roman"/>
          <w:sz w:val="18"/>
          <w:szCs w:val="18"/>
          <w:color w:val="auto"/>
        </w:rPr>
        <w:t xml:space="preserve"> broth, soups and non-dairy beverages; </w:t>
      </w:r>
      <w:r>
        <w:rPr>
          <w:rFonts w:ascii="Times New Roman" w:cs="Times New Roman" w:eastAsia="Times New Roman" w:hAnsi="Times New Roman"/>
          <w:sz w:val="18"/>
          <w:szCs w:val="18"/>
          <w:i w:val="1"/>
          <w:iCs w:val="1"/>
          <w:color w:val="auto"/>
        </w:rPr>
        <w:t>Prego</w:t>
      </w:r>
      <w:r>
        <w:rPr>
          <w:rFonts w:ascii="Times New Roman" w:cs="Times New Roman" w:eastAsia="Times New Roman" w:hAnsi="Times New Roman"/>
          <w:sz w:val="18"/>
          <w:szCs w:val="18"/>
          <w:color w:val="auto"/>
        </w:rPr>
        <w:t xml:space="preserve"> pasta sauces; </w:t>
      </w:r>
      <w:r>
        <w:rPr>
          <w:rFonts w:ascii="Times New Roman" w:cs="Times New Roman" w:eastAsia="Times New Roman" w:hAnsi="Times New Roman"/>
          <w:sz w:val="18"/>
          <w:szCs w:val="18"/>
          <w:i w:val="1"/>
          <w:iCs w:val="1"/>
          <w:color w:val="auto"/>
        </w:rPr>
        <w:t>Pace</w:t>
      </w:r>
      <w:r>
        <w:rPr>
          <w:rFonts w:ascii="Times New Roman" w:cs="Times New Roman" w:eastAsia="Times New Roman" w:hAnsi="Times New Roman"/>
          <w:sz w:val="18"/>
          <w:szCs w:val="18"/>
          <w:color w:val="auto"/>
        </w:rPr>
        <w:t xml:space="preserve"> Mexican sauces; </w:t>
      </w:r>
      <w:r>
        <w:rPr>
          <w:rFonts w:ascii="Times New Roman" w:cs="Times New Roman" w:eastAsia="Times New Roman" w:hAnsi="Times New Roman"/>
          <w:sz w:val="18"/>
          <w:szCs w:val="18"/>
          <w:i w:val="1"/>
          <w:iCs w:val="1"/>
          <w:color w:val="auto"/>
        </w:rPr>
        <w:t>Campbell’s</w:t>
      </w:r>
      <w:r>
        <w:rPr>
          <w:rFonts w:ascii="Times New Roman" w:cs="Times New Roman" w:eastAsia="Times New Roman" w:hAnsi="Times New Roman"/>
          <w:sz w:val="18"/>
          <w:szCs w:val="18"/>
          <w:color w:val="auto"/>
        </w:rPr>
        <w:t xml:space="preserve"> gravies, pasta, beans and dinner sauces; </w:t>
      </w:r>
      <w:r>
        <w:rPr>
          <w:rFonts w:ascii="Times New Roman" w:cs="Times New Roman" w:eastAsia="Times New Roman" w:hAnsi="Times New Roman"/>
          <w:sz w:val="18"/>
          <w:szCs w:val="18"/>
          <w:i w:val="1"/>
          <w:iCs w:val="1"/>
          <w:color w:val="auto"/>
        </w:rPr>
        <w:t>Swanson</w:t>
      </w:r>
      <w:r>
        <w:rPr>
          <w:rFonts w:ascii="Times New Roman" w:cs="Times New Roman" w:eastAsia="Times New Roman" w:hAnsi="Times New Roman"/>
          <w:sz w:val="18"/>
          <w:szCs w:val="18"/>
          <w:color w:val="auto"/>
        </w:rPr>
        <w:t xml:space="preserve"> canned poultry; </w:t>
      </w:r>
      <w:r>
        <w:rPr>
          <w:rFonts w:ascii="Times New Roman" w:cs="Times New Roman" w:eastAsia="Times New Roman" w:hAnsi="Times New Roman"/>
          <w:sz w:val="18"/>
          <w:szCs w:val="18"/>
          <w:i w:val="1"/>
          <w:iCs w:val="1"/>
          <w:color w:val="auto"/>
        </w:rPr>
        <w:t>V8</w:t>
      </w:r>
      <w:r>
        <w:rPr>
          <w:rFonts w:ascii="Times New Roman" w:cs="Times New Roman" w:eastAsia="Times New Roman" w:hAnsi="Times New Roman"/>
          <w:sz w:val="18"/>
          <w:szCs w:val="18"/>
          <w:color w:val="auto"/>
        </w:rPr>
        <w:t xml:space="preserve"> juices and beverages; and </w:t>
      </w:r>
      <w:r>
        <w:rPr>
          <w:rFonts w:ascii="Times New Roman" w:cs="Times New Roman" w:eastAsia="Times New Roman" w:hAnsi="Times New Roman"/>
          <w:sz w:val="18"/>
          <w:szCs w:val="18"/>
          <w:i w:val="1"/>
          <w:iCs w:val="1"/>
          <w:color w:val="auto"/>
        </w:rPr>
        <w:t>Campbell’s</w:t>
      </w:r>
      <w:r>
        <w:rPr>
          <w:rFonts w:ascii="Times New Roman" w:cs="Times New Roman" w:eastAsia="Times New Roman" w:hAnsi="Times New Roman"/>
          <w:sz w:val="18"/>
          <w:szCs w:val="18"/>
          <w:color w:val="auto"/>
        </w:rPr>
        <w:t xml:space="preserve"> tomato juice. The segment also includes snacking products in foodservice and Canada; and</w:t>
      </w:r>
    </w:p>
    <w:p>
      <w:pPr>
        <w:spacing w:after="0" w:line="45" w:lineRule="exact"/>
        <w:rPr>
          <w:rFonts w:ascii="Times New Roman" w:cs="Times New Roman" w:eastAsia="Times New Roman" w:hAnsi="Times New Roman"/>
          <w:sz w:val="18"/>
          <w:szCs w:val="18"/>
          <w:color w:val="auto"/>
        </w:rPr>
      </w:pPr>
    </w:p>
    <w:p>
      <w:pPr>
        <w:jc w:val="both"/>
        <w:ind w:left="640" w:hanging="316"/>
        <w:spacing w:after="0" w:line="256"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Snacks, which consists of Pepperidge Farm cookies*, crackers, fresh bakery and frozen products, including </w:t>
      </w:r>
      <w:r>
        <w:rPr>
          <w:rFonts w:ascii="Times New Roman" w:cs="Times New Roman" w:eastAsia="Times New Roman" w:hAnsi="Times New Roman"/>
          <w:sz w:val="18"/>
          <w:szCs w:val="18"/>
          <w:i w:val="1"/>
          <w:iCs w:val="1"/>
          <w:color w:val="auto"/>
        </w:rPr>
        <w:t>Goldfish</w:t>
      </w:r>
      <w:r>
        <w:rPr>
          <w:rFonts w:ascii="Times New Roman" w:cs="Times New Roman" w:eastAsia="Times New Roman" w:hAnsi="Times New Roman"/>
          <w:sz w:val="18"/>
          <w:szCs w:val="18"/>
          <w:color w:val="auto"/>
        </w:rPr>
        <w:t xml:space="preserve"> crackers*, </w:t>
      </w:r>
      <w:r>
        <w:rPr>
          <w:rFonts w:ascii="Times New Roman" w:cs="Times New Roman" w:eastAsia="Times New Roman" w:hAnsi="Times New Roman"/>
          <w:sz w:val="18"/>
          <w:szCs w:val="18"/>
          <w:i w:val="1"/>
          <w:iCs w:val="1"/>
          <w:color w:val="auto"/>
        </w:rPr>
        <w:t>Snyder’s of Hanover</w:t>
      </w:r>
      <w:r>
        <w:rPr>
          <w:rFonts w:ascii="Times New Roman" w:cs="Times New Roman" w:eastAsia="Times New Roman" w:hAnsi="Times New Roman"/>
          <w:sz w:val="18"/>
          <w:szCs w:val="18"/>
          <w:color w:val="auto"/>
        </w:rPr>
        <w:t xml:space="preserve"> pretzels*, </w:t>
      </w:r>
      <w:r>
        <w:rPr>
          <w:rFonts w:ascii="Times New Roman" w:cs="Times New Roman" w:eastAsia="Times New Roman" w:hAnsi="Times New Roman"/>
          <w:sz w:val="18"/>
          <w:szCs w:val="18"/>
          <w:i w:val="1"/>
          <w:iCs w:val="1"/>
          <w:color w:val="auto"/>
        </w:rPr>
        <w:t>Lance</w:t>
      </w:r>
      <w:r>
        <w:rPr>
          <w:rFonts w:ascii="Times New Roman" w:cs="Times New Roman" w:eastAsia="Times New Roman" w:hAnsi="Times New Roman"/>
          <w:sz w:val="18"/>
          <w:szCs w:val="18"/>
          <w:color w:val="auto"/>
        </w:rPr>
        <w:t xml:space="preserve"> sandwich crackers*, </w:t>
      </w:r>
      <w:r>
        <w:rPr>
          <w:rFonts w:ascii="Times New Roman" w:cs="Times New Roman" w:eastAsia="Times New Roman" w:hAnsi="Times New Roman"/>
          <w:sz w:val="18"/>
          <w:szCs w:val="18"/>
          <w:i w:val="1"/>
          <w:iCs w:val="1"/>
          <w:color w:val="auto"/>
        </w:rPr>
        <w:t>Cape Cod</w:t>
      </w:r>
      <w:r>
        <w:rPr>
          <w:rFonts w:ascii="Times New Roman" w:cs="Times New Roman" w:eastAsia="Times New Roman" w:hAnsi="Times New Roman"/>
          <w:sz w:val="18"/>
          <w:szCs w:val="18"/>
          <w:color w:val="auto"/>
        </w:rPr>
        <w:t xml:space="preserve"> potato chips*, </w:t>
      </w:r>
      <w:r>
        <w:rPr>
          <w:rFonts w:ascii="Times New Roman" w:cs="Times New Roman" w:eastAsia="Times New Roman" w:hAnsi="Times New Roman"/>
          <w:sz w:val="18"/>
          <w:szCs w:val="18"/>
          <w:i w:val="1"/>
          <w:iCs w:val="1"/>
          <w:color w:val="auto"/>
        </w:rPr>
        <w:t>Kettle Brand</w:t>
      </w:r>
      <w:r>
        <w:rPr>
          <w:rFonts w:ascii="Times New Roman" w:cs="Times New Roman" w:eastAsia="Times New Roman" w:hAnsi="Times New Roman"/>
          <w:sz w:val="18"/>
          <w:szCs w:val="18"/>
          <w:color w:val="auto"/>
        </w:rPr>
        <w:t xml:space="preserve"> potato chips*, </w:t>
      </w:r>
      <w:r>
        <w:rPr>
          <w:rFonts w:ascii="Times New Roman" w:cs="Times New Roman" w:eastAsia="Times New Roman" w:hAnsi="Times New Roman"/>
          <w:sz w:val="18"/>
          <w:szCs w:val="18"/>
          <w:i w:val="1"/>
          <w:iCs w:val="1"/>
          <w:color w:val="auto"/>
        </w:rPr>
        <w:t>Late July</w:t>
      </w:r>
      <w:r>
        <w:rPr>
          <w:rFonts w:ascii="Times New Roman" w:cs="Times New Roman" w:eastAsia="Times New Roman" w:hAnsi="Times New Roman"/>
          <w:sz w:val="18"/>
          <w:szCs w:val="18"/>
          <w:color w:val="auto"/>
        </w:rPr>
        <w:t xml:space="preserve"> snacks*, </w:t>
      </w:r>
      <w:r>
        <w:rPr>
          <w:rFonts w:ascii="Times New Roman" w:cs="Times New Roman" w:eastAsia="Times New Roman" w:hAnsi="Times New Roman"/>
          <w:sz w:val="18"/>
          <w:szCs w:val="18"/>
          <w:i w:val="1"/>
          <w:iCs w:val="1"/>
          <w:color w:val="auto"/>
        </w:rPr>
        <w:t>Snack Factory</w:t>
      </w:r>
      <w:r>
        <w:rPr>
          <w:rFonts w:ascii="Times New Roman" w:cs="Times New Roman" w:eastAsia="Times New Roman" w:hAnsi="Times New Roman"/>
          <w:sz w:val="18"/>
          <w:szCs w:val="18"/>
          <w:color w:val="auto"/>
        </w:rPr>
        <w:t xml:space="preserve"> pretzel crisps*, </w:t>
      </w:r>
      <w:r>
        <w:rPr>
          <w:rFonts w:ascii="Times New Roman" w:cs="Times New Roman" w:eastAsia="Times New Roman" w:hAnsi="Times New Roman"/>
          <w:sz w:val="18"/>
          <w:szCs w:val="18"/>
          <w:i w:val="1"/>
          <w:iCs w:val="1"/>
          <w:color w:val="auto"/>
        </w:rPr>
        <w:t>Pop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Secret </w:t>
      </w:r>
      <w:r>
        <w:rPr>
          <w:rFonts w:ascii="Times New Roman" w:cs="Times New Roman" w:eastAsia="Times New Roman" w:hAnsi="Times New Roman"/>
          <w:sz w:val="18"/>
          <w:szCs w:val="18"/>
          <w:color w:val="auto"/>
        </w:rPr>
        <w:t>popcorn, and other snacking products in retail in the U.S. We refer to the * brands as our "power brands." The segment also includes the retail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in Latin America. The segment included the results of our Emerald nuts business, which was sold on May 30, 2023.</w:t>
      </w:r>
    </w:p>
    <w:p>
      <w:pPr>
        <w:spacing w:after="0" w:line="6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evaluate segment performance before interest, taxes and costs associated with restructuring activities and impairment charges. Unrealized gains and losses on outstanding undesignated commodity hedging activities are excluded from segment operating earnings and are recorded in Corporate as these open positions represent hedges of future purchases. Upon closing of the contracts, the realized gain or loss is transferred to segment operating earnings, which allows the segments to reflect the economic effects of the hedge without exposure to quarterly volatility of unrealized gains and losses. Only the service cost component of pension and postretirement expense is allocated to segments. All other components of expense, including interest cost, expected return on assets, amortization of prior service credits and recognized actuarial gains and losses are reflected in Corporate and not included in segment operating results. Asset information by segment is not discretely maintained for internal reporting or used in evaluating performance.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gridSpan w:val="6"/>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4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0" w:type="dxa"/>
            <w:vAlign w:val="bottom"/>
          </w:tcPr>
          <w:p>
            <w:pPr>
              <w:spacing w:after="0"/>
              <w:rPr>
                <w:sz w:val="1"/>
                <w:szCs w:val="1"/>
                <w:color w:val="auto"/>
              </w:rPr>
            </w:pP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8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Meals &amp; Beverages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8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Snacks</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2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6"/>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4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interest and taxes</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Meals &amp; Beverages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Snacks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460" w:type="dxa"/>
            <w:vAlign w:val="bottom"/>
          </w:tcPr>
          <w:p>
            <w:pPr>
              <w:ind w:left="140"/>
              <w:spacing w:after="0" w:line="225" w:lineRule="exact"/>
              <w:rPr>
                <w:sz w:val="20"/>
                <w:szCs w:val="20"/>
                <w:color w:val="auto"/>
              </w:rPr>
            </w:pPr>
            <w:r>
              <w:rPr>
                <w:rFonts w:ascii="Times New Roman" w:cs="Times New Roman" w:eastAsia="Times New Roman" w:hAnsi="Times New Roman"/>
                <w:sz w:val="18"/>
                <w:szCs w:val="18"/>
                <w:color w:val="auto"/>
              </w:rPr>
              <w:t>Corporate income (expense)</w:t>
            </w:r>
            <w:r>
              <w:rPr>
                <w:rFonts w:ascii="Times New Roman" w:cs="Times New Roman" w:eastAsia="Times New Roman" w:hAnsi="Times New Roman"/>
                <w:sz w:val="22"/>
                <w:szCs w:val="22"/>
                <w:color w:val="auto"/>
                <w:vertAlign w:val="superscript"/>
              </w:rPr>
              <w:t>(1)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460" w:type="dxa"/>
            <w:vAlign w:val="bottom"/>
            <w:shd w:val="clear" w:color="auto" w:fill="CCEEFF"/>
          </w:tcPr>
          <w:p>
            <w:pPr>
              <w:ind w:left="140"/>
              <w:spacing w:after="0" w:line="225" w:lineRule="exact"/>
              <w:rPr>
                <w:sz w:val="20"/>
                <w:szCs w:val="20"/>
                <w:color w:val="auto"/>
              </w:rPr>
            </w:pPr>
            <w:r>
              <w:rPr>
                <w:rFonts w:ascii="Times New Roman" w:cs="Times New Roman" w:eastAsia="Times New Roman" w:hAnsi="Times New Roman"/>
                <w:sz w:val="18"/>
                <w:szCs w:val="18"/>
                <w:color w:val="auto"/>
              </w:rPr>
              <w:t>Restructuring charges</w:t>
            </w:r>
            <w:r>
              <w:rPr>
                <w:rFonts w:ascii="Times New Roman" w:cs="Times New Roman" w:eastAsia="Times New Roman" w:hAnsi="Times New Roman"/>
                <w:sz w:val="22"/>
                <w:szCs w:val="22"/>
                <w:color w:val="auto"/>
                <w:vertAlign w:val="superscript"/>
              </w:rPr>
              <w:t>(2)</w:t>
            </w: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58" w:lineRule="exact"/>
        <w:rPr>
          <w:sz w:val="20"/>
          <w:szCs w:val="20"/>
          <w:color w:val="auto"/>
        </w:rPr>
      </w:pPr>
    </w:p>
    <w:p>
      <w:pPr>
        <w:jc w:val="both"/>
        <w:ind w:left="320" w:hanging="314"/>
        <w:spacing w:after="0" w:line="231" w:lineRule="auto"/>
        <w:tabs>
          <w:tab w:leader="none" w:pos="308"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unallocated items. Costs related to the cost savings initiatives were $11 million and $3 million in the three-month periods ended October 29, 2023, and October 30, 2022, respectively. Unrealized mark-to-market adjustments on outstanding undesignated commodity hedges were losses of $15 million and gains of $5 million in the three-month periods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0" w:name="page11"/>
    <w:bookmarkEnd w:id="10"/>
    <w:p>
      <w:pPr>
        <w:jc w:val="both"/>
        <w:ind w:left="320"/>
        <w:spacing w:after="0" w:line="247" w:lineRule="auto"/>
        <w:rPr>
          <w:sz w:val="20"/>
          <w:szCs w:val="20"/>
          <w:color w:val="auto"/>
        </w:rPr>
      </w:pPr>
      <w:r>
        <w:rPr>
          <w:rFonts w:ascii="Times New Roman" w:cs="Times New Roman" w:eastAsia="Times New Roman" w:hAnsi="Times New Roman"/>
          <w:sz w:val="18"/>
          <w:szCs w:val="18"/>
          <w:color w:val="auto"/>
        </w:rPr>
        <w:t>ended October 29, 2023, and October 30, 2022, respectively. Accelerated amortization expense related to customer relationship intangible assets was $7 million in the three-month period ended October 29, 2023. Costs of $9 million associated with the pending acquisition of Sovos Brands, Inc. (Sovos Brands) were included in the three-month period ended October 29, 2023. Costs of $3 million related to a cybersecurity incident were included in the three-month period ended October 29, 2023. Litigation expenses related to the Plum baby food and snacks business of $2 million were included in the three-month period ended October 29, 2023. There was a pension actuarial loss of $15 million in the three-month period ended October 30, 2022.</w:t>
      </w:r>
    </w:p>
    <w:p>
      <w:pPr>
        <w:ind w:left="320" w:hanging="314"/>
        <w:spacing w:after="0" w:line="205" w:lineRule="auto"/>
        <w:tabs>
          <w:tab w:leader="none" w:pos="32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Note 6 for additional information.</w:t>
      </w:r>
    </w:p>
    <w:p>
      <w:pPr>
        <w:spacing w:after="0" w:line="73" w:lineRule="exact"/>
        <w:rPr>
          <w:rFonts w:ascii="Times New Roman" w:cs="Times New Roman" w:eastAsia="Times New Roman" w:hAnsi="Times New Roman"/>
          <w:sz w:val="23"/>
          <w:szCs w:val="23"/>
          <w:color w:val="auto"/>
          <w:vertAlign w:val="superscript"/>
        </w:rPr>
      </w:pPr>
    </w:p>
    <w:p>
      <w:pPr>
        <w:ind w:left="32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Our net sales based on product categories are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gridSpan w:val="4"/>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4"/>
        </w:trPr>
        <w:tc>
          <w:tcPr>
            <w:tcW w:w="8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5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120" w:type="dxa"/>
            <w:vAlign w:val="bottom"/>
          </w:tcPr>
          <w:p>
            <w:pPr>
              <w:spacing w:after="0"/>
              <w:rPr>
                <w:sz w:val="16"/>
                <w:szCs w:val="16"/>
                <w:color w:val="auto"/>
              </w:rPr>
            </w:pPr>
          </w:p>
        </w:tc>
        <w:tc>
          <w:tcPr>
            <w:tcW w:w="118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0" w:type="dxa"/>
            <w:vAlign w:val="bottom"/>
          </w:tcPr>
          <w:p>
            <w:pPr>
              <w:spacing w:after="0"/>
              <w:rPr>
                <w:sz w:val="1"/>
                <w:szCs w:val="1"/>
                <w:color w:val="auto"/>
              </w:rPr>
            </w:pPr>
          </w:p>
        </w:tc>
      </w:tr>
      <w:tr>
        <w:trPr>
          <w:trHeight w:val="212"/>
        </w:trPr>
        <w:tc>
          <w:tcPr>
            <w:tcW w:w="8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Soup</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0" w:type="dxa"/>
            <w:vAlign w:val="bottom"/>
          </w:tcPr>
          <w:p>
            <w:pPr>
              <w:spacing w:after="0"/>
              <w:rPr>
                <w:sz w:val="1"/>
                <w:szCs w:val="1"/>
                <w:color w:val="auto"/>
              </w:rPr>
            </w:pPr>
          </w:p>
        </w:tc>
      </w:tr>
      <w:tr>
        <w:trPr>
          <w:trHeight w:val="225"/>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Snacks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0" w:type="dxa"/>
            <w:vAlign w:val="bottom"/>
          </w:tcPr>
          <w:p>
            <w:pPr>
              <w:spacing w:after="0"/>
              <w:rPr>
                <w:sz w:val="1"/>
                <w:szCs w:val="1"/>
                <w:color w:val="auto"/>
              </w:rPr>
            </w:pPr>
          </w:p>
        </w:tc>
      </w:tr>
      <w:tr>
        <w:trPr>
          <w:trHeight w:val="225"/>
        </w:trPr>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simple meals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25"/>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Beverages</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18"/>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2,518</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Soup includes various soup, broths and stock products. Snacks include cookies, pretzels, crackers, popcorn, potato chips, tortilla chips and other salty snacks and baked products. Other simple meals include sauces, gravies, pasta, beans and canned poultry. Beverages include </w:t>
      </w:r>
      <w:r>
        <w:rPr>
          <w:rFonts w:ascii="Times New Roman" w:cs="Times New Roman" w:eastAsia="Times New Roman" w:hAnsi="Times New Roman"/>
          <w:sz w:val="18"/>
          <w:szCs w:val="18"/>
          <w:i w:val="1"/>
          <w:iCs w:val="1"/>
          <w:color w:val="auto"/>
        </w:rPr>
        <w:t>V8</w:t>
      </w:r>
      <w:r>
        <w:rPr>
          <w:rFonts w:ascii="Times New Roman" w:cs="Times New Roman" w:eastAsia="Times New Roman" w:hAnsi="Times New Roman"/>
          <w:sz w:val="18"/>
          <w:szCs w:val="18"/>
          <w:color w:val="auto"/>
        </w:rPr>
        <w:t xml:space="preserve"> juices and beverages, </w:t>
      </w:r>
      <w:r>
        <w:rPr>
          <w:rFonts w:ascii="Times New Roman" w:cs="Times New Roman" w:eastAsia="Times New Roman" w:hAnsi="Times New Roman"/>
          <w:sz w:val="18"/>
          <w:szCs w:val="18"/>
          <w:i w:val="1"/>
          <w:iCs w:val="1"/>
          <w:color w:val="auto"/>
        </w:rPr>
        <w:t xml:space="preserve">Campbell’s </w:t>
      </w:r>
      <w:r>
        <w:rPr>
          <w:rFonts w:ascii="Times New Roman" w:cs="Times New Roman" w:eastAsia="Times New Roman" w:hAnsi="Times New Roman"/>
          <w:sz w:val="18"/>
          <w:szCs w:val="18"/>
          <w:color w:val="auto"/>
        </w:rPr>
        <w:t>tomato juice and</w:t>
      </w:r>
      <w:r>
        <w:rPr>
          <w:rFonts w:ascii="Times New Roman" w:cs="Times New Roman" w:eastAsia="Times New Roman" w:hAnsi="Times New Roman"/>
          <w:sz w:val="18"/>
          <w:szCs w:val="18"/>
          <w:i w:val="1"/>
          <w:iCs w:val="1"/>
          <w:color w:val="auto"/>
        </w:rPr>
        <w:t xml:space="preserve"> Pacific Foods </w:t>
      </w:r>
      <w:r>
        <w:rPr>
          <w:rFonts w:ascii="Times New Roman" w:cs="Times New Roman" w:eastAsia="Times New Roman" w:hAnsi="Times New Roman"/>
          <w:sz w:val="18"/>
          <w:szCs w:val="18"/>
          <w:color w:val="auto"/>
        </w:rPr>
        <w:t>non-dairy beverages.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Restructuring Charges and Cost Savings Initiatives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Multi-year Cost Savings Initiatives and Snyder's-Lance Cost Transformation Program and Integration</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Continuing Operations</w:t>
      </w:r>
    </w:p>
    <w:p>
      <w:pPr>
        <w:spacing w:after="0" w:line="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Beginning in fiscal 2015, we implemented initiatives to reduce costs and to streamline our organizational structure.</w:t>
      </w:r>
    </w:p>
    <w:p>
      <w:pPr>
        <w:spacing w:after="0" w:line="9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Over the years, we expanded these initiatives by continuing to optimize our supply chain and manufacturing networks, as well as our information technology infrastructure.</w:t>
      </w:r>
    </w:p>
    <w:p>
      <w:pPr>
        <w:spacing w:after="0" w:line="4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March 26, 2018, we completed the acquisition of Snyder's-Lance. Prior to the acquisition, Snyder's-Lance launched a cost transformation program following a comprehensive review of its operations with the goal of significantly improving its financial performance. We continued to implement this program and identified opportunities for additional cost synergies as we integrated Snyder's-Lance.</w:t>
      </w:r>
    </w:p>
    <w:p>
      <w:pPr>
        <w:spacing w:after="0" w:line="4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2022, we expanded these initiatives as we continue to pursue cost savings by further optimizing our supply chain and manufacturing network and through effective cost management. In the second quarter of 2023, we announced plans to consolidate our Snacks offices in Charlotte, North Carolina, and Norwalk, Connecticut, into our headquarters in Camden, New Jersey. Cost estimates for these expanded initiatives, as well as timing for certain activities, are continuing to be developed.</w:t>
      </w:r>
    </w:p>
    <w:p>
      <w:pPr>
        <w:spacing w:after="0" w:line="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the pre-tax charges recognized in the Consolidated Statements of Earnings related to these initiatives is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6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gridSpan w:val="3"/>
            <w:vMerge w:val="restart"/>
          </w:tcPr>
          <w:p>
            <w:pPr>
              <w:ind w:left="40"/>
              <w:spacing w:after="0" w:line="157" w:lineRule="exact"/>
              <w:rPr>
                <w:sz w:val="20"/>
                <w:szCs w:val="20"/>
                <w:color w:val="auto"/>
              </w:rPr>
            </w:pPr>
            <w:r>
              <w:rPr>
                <w:rFonts w:ascii="Times New Roman" w:cs="Times New Roman" w:eastAsia="Times New Roman" w:hAnsi="Times New Roman"/>
                <w:sz w:val="14"/>
                <w:szCs w:val="14"/>
                <w:b w:val="1"/>
                <w:bCs w:val="1"/>
                <w:color w:val="auto"/>
              </w:rPr>
              <w:t>Recognized as of October</w:t>
            </w:r>
          </w:p>
        </w:tc>
        <w:tc>
          <w:tcPr>
            <w:tcW w:w="0" w:type="dxa"/>
            <w:vAlign w:val="bottom"/>
          </w:tcPr>
          <w:p>
            <w:pPr>
              <w:spacing w:after="0"/>
              <w:rPr>
                <w:sz w:val="1"/>
                <w:szCs w:val="1"/>
                <w:color w:val="auto"/>
              </w:rPr>
            </w:pPr>
          </w:p>
        </w:tc>
      </w:tr>
      <w:tr>
        <w:trPr>
          <w:trHeight w:val="113"/>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140" w:type="dxa"/>
            <w:vAlign w:val="bottom"/>
          </w:tcPr>
          <w:p>
            <w:pPr>
              <w:spacing w:after="0"/>
              <w:rPr>
                <w:sz w:val="9"/>
                <w:szCs w:val="9"/>
                <w:color w:val="auto"/>
              </w:rPr>
            </w:pP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16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4080" w:type="dxa"/>
            <w:vAlign w:val="bottom"/>
            <w:vMerge w:val="continue"/>
          </w:tcPr>
          <w:p>
            <w:pPr>
              <w:spacing w:after="0"/>
              <w:rPr>
                <w:sz w:val="16"/>
                <w:szCs w:val="16"/>
                <w:color w:val="auto"/>
              </w:rPr>
            </w:pPr>
          </w:p>
        </w:tc>
        <w:tc>
          <w:tcPr>
            <w:tcW w:w="2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29, 2023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6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2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2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 and selling expenses</w:t>
            </w:r>
          </w:p>
        </w:tc>
        <w:tc>
          <w:tcPr>
            <w:tcW w:w="2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pre-tax charges</w:t>
            </w:r>
          </w:p>
        </w:tc>
        <w:tc>
          <w:tcPr>
            <w:tcW w:w="26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600" w:type="dxa"/>
            <w:vAlign w:val="bottom"/>
            <w:vMerge w:val="restart"/>
          </w:tcPr>
          <w:p>
            <w:pPr>
              <w:jc w:val="right"/>
              <w:ind w:right="892"/>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9"/>
        </w:trPr>
        <w:tc>
          <w:tcPr>
            <w:tcW w:w="408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080" w:type="dxa"/>
            <w:vAlign w:val="bottom"/>
            <w:tcBorders>
              <w:bottom w:val="single" w:sz="8" w:color="9A9A9A"/>
            </w:tcBorders>
          </w:tcPr>
          <w:p>
            <w:pPr>
              <w:spacing w:after="0"/>
              <w:rPr>
                <w:sz w:val="9"/>
                <w:szCs w:val="9"/>
                <w:color w:val="auto"/>
              </w:rPr>
            </w:pPr>
          </w:p>
        </w:tc>
        <w:tc>
          <w:tcPr>
            <w:tcW w:w="26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11" w:name="page12"/>
    <w:bookmarkEnd w:id="11"/>
    <w:p>
      <w:pPr>
        <w:ind w:left="320"/>
        <w:spacing w:after="0"/>
        <w:rPr>
          <w:sz w:val="20"/>
          <w:szCs w:val="20"/>
          <w:color w:val="auto"/>
        </w:rPr>
      </w:pPr>
      <w:r>
        <w:rPr>
          <w:rFonts w:ascii="Times New Roman" w:cs="Times New Roman" w:eastAsia="Times New Roman" w:hAnsi="Times New Roman"/>
          <w:sz w:val="18"/>
          <w:szCs w:val="18"/>
          <w:color w:val="auto"/>
        </w:rPr>
        <w:t>A summary of the pre-tax costs associated with the initiatives is as follows: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80" w:type="dxa"/>
            <w:vAlign w:val="bottom"/>
          </w:tcPr>
          <w:p>
            <w:pPr>
              <w:spacing w:after="0"/>
              <w:rPr>
                <w:sz w:val="13"/>
                <w:szCs w:val="13"/>
                <w:color w:val="auto"/>
              </w:rPr>
            </w:pPr>
          </w:p>
        </w:tc>
        <w:tc>
          <w:tcPr>
            <w:tcW w:w="1380" w:type="dxa"/>
            <w:vAlign w:val="bottom"/>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Recognized as of</w:t>
            </w:r>
          </w:p>
        </w:tc>
        <w:tc>
          <w:tcPr>
            <w:tcW w:w="0" w:type="dxa"/>
            <w:vAlign w:val="bottom"/>
          </w:tcPr>
          <w:p>
            <w:pPr>
              <w:spacing w:after="0"/>
              <w:rPr>
                <w:sz w:val="1"/>
                <w:szCs w:val="1"/>
                <w:color w:val="auto"/>
              </w:rPr>
            </w:pPr>
          </w:p>
        </w:tc>
      </w:tr>
      <w:tr>
        <w:trPr>
          <w:trHeight w:val="192"/>
        </w:trPr>
        <w:tc>
          <w:tcPr>
            <w:tcW w:w="968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0" w:type="dxa"/>
            <w:vAlign w:val="bottom"/>
          </w:tcPr>
          <w:p>
            <w:pPr>
              <w:spacing w:after="0"/>
              <w:rPr>
                <w:sz w:val="1"/>
                <w:szCs w:val="1"/>
                <w:color w:val="auto"/>
              </w:rPr>
            </w:pPr>
          </w:p>
        </w:tc>
      </w:tr>
      <w:tr>
        <w:trPr>
          <w:trHeight w:val="225"/>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pay and benefits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25"/>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impairment/accelerated depreciation</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25"/>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Implementation costs and other related costs</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1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0" w:type="dxa"/>
            <w:vAlign w:val="bottom"/>
          </w:tcPr>
          <w:p>
            <w:pPr>
              <w:spacing w:after="0"/>
              <w:rPr>
                <w:sz w:val="1"/>
                <w:szCs w:val="1"/>
                <w:color w:val="auto"/>
              </w:rPr>
            </w:pPr>
          </w:p>
        </w:tc>
      </w:tr>
      <w:tr>
        <w:trPr>
          <w:trHeight w:val="20"/>
        </w:trPr>
        <w:tc>
          <w:tcPr>
            <w:tcW w:w="9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total estimated pre-tax costs for actions that have been identified are approximately $885 million to $905 million and we expect to incur substantially all of the costs through 2025. These estimates will be updated as the expanded initiatives are developed.</w:t>
      </w:r>
    </w:p>
    <w:p>
      <w:pPr>
        <w:spacing w:after="0" w:line="4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expect the costs for actions that have been identified to date to consist of the following: approximately $245 million to $250 million in severance pay and benefits; approximately $135 million in asset impairment and accelerated depreciation; and approximately $505 million to $520 million in implementation costs and other related costs. We expect these pre-tax costs to be associated with our segments as follows: Meals &amp; Beverages - approximately 32%; Snacks - approximately 43%; and Corporate - approximately 25%.</w:t>
      </w:r>
    </w:p>
    <w:p>
      <w:pPr>
        <w:spacing w:after="0" w:line="4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Of the aggregate $885 million to $905 million of pre-tax costs identified to date, we expect approximately $710 million to $730 million will be cash expenditures. In addition, we expect to invest approximately $620 million in capital expenditures, of which we invested $482 million as of October 29, 2023. We expect to invest in substantially all of the capital expenditures through 2025. The capital expenditures primarily relate to optimization of production within our Meals &amp; Beverages manufacturing network, a U.S. warehouse optimization project, improvement of quality, safety and cost structure across the Snyder’s-Lance manufacturing network, optimization of information technology infrastructure and applications, implementation of our existing SAP enterprise-resource planning system for Snyder's-Lance, enhancements to our headquarters in Camden, New Jersey, and optimization of the Snyder’s-Lance warehouse and distribution network.</w:t>
      </w:r>
    </w:p>
    <w:p>
      <w:pPr>
        <w:spacing w:after="0" w:line="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the restructuring activity and related reserves at October 29, 2023, is as follows:</w:t>
      </w:r>
    </w:p>
    <w:p>
      <w:pPr>
        <w:sectPr>
          <w:pgSz w:w="11900" w:h="16838" w:orient="portrait"/>
          <w:cols w:equalWidth="0" w:num="1">
            <w:col w:w="11240"/>
          </w:cols>
          <w:pgMar w:left="320" w:top="969" w:right="33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Accrued balance at July 30, 2023</w:t>
      </w:r>
      <w:r>
        <w:rPr>
          <w:rFonts w:ascii="Times New Roman" w:cs="Times New Roman" w:eastAsia="Times New Roman" w:hAnsi="Times New Roman"/>
          <w:sz w:val="22"/>
          <w:szCs w:val="22"/>
          <w:color w:val="auto"/>
          <w:vertAlign w:val="superscript"/>
        </w:rPr>
        <w:t>(1)</w:t>
      </w:r>
    </w:p>
    <w:p>
      <w:pPr>
        <w:ind w:left="220"/>
        <w:spacing w:after="0"/>
        <w:rPr>
          <w:sz w:val="20"/>
          <w:szCs w:val="20"/>
          <w:color w:val="auto"/>
        </w:rPr>
      </w:pPr>
      <w:r>
        <w:rPr>
          <w:rFonts w:ascii="Times New Roman" w:cs="Times New Roman" w:eastAsia="Times New Roman" w:hAnsi="Times New Roman"/>
          <w:sz w:val="18"/>
          <w:szCs w:val="18"/>
          <w:b w:val="1"/>
          <w:bCs w:val="1"/>
          <w:color w:val="auto"/>
        </w:rPr>
        <w:t>2024 charges</w:t>
      </w:r>
    </w:p>
    <w:p>
      <w:pPr>
        <w:spacing w:after="0" w:line="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2024 cash payments</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Accrued balance at October 29, 2023</w:t>
      </w:r>
      <w:r>
        <w:rPr>
          <w:rFonts w:ascii="Times New Roman" w:cs="Times New Roman" w:eastAsia="Times New Roman" w:hAnsi="Times New Roman"/>
          <w:sz w:val="21"/>
          <w:szCs w:val="21"/>
          <w:b w:val="1"/>
          <w:bCs w:val="1"/>
          <w:color w:val="auto"/>
          <w:vertAlign w:val="superscript"/>
        </w:rPr>
        <w:t>(2)</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Severance Pay</w:t>
      </w:r>
    </w:p>
    <w:p>
      <w:pPr>
        <w:spacing w:after="0" w:line="3" w:lineRule="exact"/>
        <w:rPr>
          <w:sz w:val="20"/>
          <w:szCs w:val="20"/>
          <w:color w:val="auto"/>
        </w:rPr>
      </w:pPr>
    </w:p>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and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-3869055</wp:posOffset>
            </wp:positionH>
            <wp:positionV relativeFrom="paragraph">
              <wp:posOffset>11430</wp:posOffset>
            </wp:positionV>
            <wp:extent cx="7134860" cy="1517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860" cy="151765"/>
                    </a:xfrm>
                    <a:prstGeom prst="rect">
                      <a:avLst/>
                    </a:prstGeom>
                    <a:noFill/>
                  </pic:spPr>
                </pic:pic>
              </a:graphicData>
            </a:graphic>
          </wp:anchor>
        </w:drawing>
      </w:r>
    </w:p>
    <w:p>
      <w:pPr>
        <w:spacing w:after="0" w:line="6" w:lineRule="exact"/>
        <w:rPr>
          <w:sz w:val="20"/>
          <w:szCs w:val="20"/>
          <w:color w:val="auto"/>
        </w:rPr>
      </w:pPr>
    </w:p>
    <w:p>
      <w:pPr>
        <w:ind w:left="780" w:hanging="775"/>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w:t>
      </w:r>
    </w:p>
    <w:p>
      <w:pPr>
        <w:spacing w:after="0" w:line="24"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-3869055</wp:posOffset>
            </wp:positionH>
            <wp:positionV relativeFrom="paragraph">
              <wp:posOffset>10795</wp:posOffset>
            </wp:positionV>
            <wp:extent cx="7134860" cy="142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6648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4845" cy="8255"/>
                    </a:xfrm>
                    <a:prstGeom prst="rect">
                      <a:avLst/>
                    </a:prstGeom>
                    <a:noFill/>
                  </pic:spPr>
                </pic:pic>
              </a:graphicData>
            </a:graphic>
          </wp:anchor>
        </w:drawing>
      </w:r>
    </w:p>
    <w:p>
      <w:pPr>
        <w:spacing w:after="0" w:line="3" w:lineRule="exact"/>
        <w:rPr>
          <w:sz w:val="20"/>
          <w:szCs w:val="20"/>
          <w:color w:val="auto"/>
        </w:rPr>
      </w:pPr>
    </w:p>
    <w:p>
      <w:pPr>
        <w:ind w:left="780" w:hanging="775"/>
        <w:spacing w:after="0"/>
        <w:tabs>
          <w:tab w:leader="none" w:pos="7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wp:posOffset>
            </wp:positionV>
            <wp:extent cx="6648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484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41275</wp:posOffset>
            </wp:positionV>
            <wp:extent cx="6648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48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Implementation</w:t>
            </w:r>
          </w:p>
        </w:tc>
        <w:tc>
          <w:tcPr>
            <w:tcW w:w="1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44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rPr>
              <w:t>Costs and Other</w:t>
            </w:r>
          </w:p>
        </w:tc>
        <w:tc>
          <w:tcPr>
            <w:tcW w:w="162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Related</w:t>
            </w:r>
          </w:p>
        </w:tc>
        <w:tc>
          <w:tcPr>
            <w:tcW w:w="16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Impairment/Accelerated</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Charges</w:t>
            </w:r>
          </w:p>
        </w:tc>
        <w:tc>
          <w:tcPr>
            <w:tcW w:w="0" w:type="dxa"/>
            <w:vAlign w:val="bottom"/>
          </w:tcPr>
          <w:p>
            <w:pPr>
              <w:spacing w:after="0"/>
              <w:rPr>
                <w:sz w:val="1"/>
                <w:szCs w:val="1"/>
                <w:color w:val="auto"/>
              </w:rPr>
            </w:pPr>
          </w:p>
        </w:tc>
      </w:tr>
      <w:tr>
        <w:trPr>
          <w:trHeight w:val="199"/>
        </w:trPr>
        <w:tc>
          <w:tcPr>
            <w:tcW w:w="1440" w:type="dxa"/>
            <w:vAlign w:val="bottom"/>
            <w:gridSpan w:val="2"/>
          </w:tcPr>
          <w:p>
            <w:pPr>
              <w:jc w:val="center"/>
              <w:ind w:right="120"/>
              <w:spacing w:after="0" w:line="199" w:lineRule="exact"/>
              <w:rPr>
                <w:sz w:val="20"/>
                <w:szCs w:val="20"/>
                <w:color w:val="auto"/>
              </w:rPr>
            </w:pPr>
            <w:r>
              <w:rPr>
                <w:rFonts w:ascii="Times New Roman" w:cs="Times New Roman" w:eastAsia="Times New Roman" w:hAnsi="Times New Roman"/>
                <w:sz w:val="14"/>
                <w:szCs w:val="14"/>
                <w:b w:val="1"/>
                <w:bCs w:val="1"/>
                <w:color w:val="auto"/>
                <w:w w:val="94"/>
              </w:rPr>
              <w:t>Costs</w:t>
            </w:r>
            <w:r>
              <w:rPr>
                <w:rFonts w:ascii="Times New Roman" w:cs="Times New Roman" w:eastAsia="Times New Roman" w:hAnsi="Times New Roman"/>
                <w:sz w:val="18"/>
                <w:szCs w:val="18"/>
                <w:b w:val="1"/>
                <w:bCs w:val="1"/>
                <w:color w:val="auto"/>
                <w:w w:val="94"/>
                <w:vertAlign w:val="superscript"/>
              </w:rPr>
              <w:t>(3)</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9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45"/>
        </w:trPr>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tcPr>
          <w:p>
            <w:pPr>
              <w:spacing w:after="0"/>
              <w:rPr>
                <w:sz w:val="24"/>
                <w:szCs w:val="24"/>
                <w:color w:val="auto"/>
              </w:rPr>
            </w:pPr>
          </w:p>
        </w:tc>
        <w:tc>
          <w:tcPr>
            <w:tcW w:w="1520" w:type="dxa"/>
            <w:vAlign w:val="bottom"/>
            <w:tcBorders>
              <w:top w:val="single" w:sz="8" w:color="auto"/>
            </w:tcBorders>
          </w:tcPr>
          <w:p>
            <w:pPr>
              <w:jc w:val="right"/>
              <w:ind w:right="5"/>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Pr>
          <w:p>
            <w:pPr>
              <w:spacing w:after="0"/>
              <w:rPr>
                <w:sz w:val="24"/>
                <w:szCs w:val="24"/>
                <w:color w:val="auto"/>
              </w:rPr>
            </w:pPr>
          </w:p>
        </w:tc>
        <w:tc>
          <w:tcPr>
            <w:tcW w:w="400" w:type="dxa"/>
            <w:vAlign w:val="bottom"/>
            <w:tcBorders>
              <w:top w:val="single" w:sz="8" w:color="auto"/>
            </w:tcBorders>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0" w:type="dxa"/>
            <w:vAlign w:val="bottom"/>
          </w:tcPr>
          <w:p>
            <w:pPr>
              <w:spacing w:after="0"/>
              <w:rPr>
                <w:sz w:val="1"/>
                <w:szCs w:val="1"/>
                <w:color w:val="auto"/>
              </w:rPr>
            </w:pPr>
          </w:p>
        </w:tc>
      </w:tr>
    </w:tbl>
    <w:p>
      <w:pPr>
        <w:spacing w:after="0" w:line="821" w:lineRule="exact"/>
        <w:rPr>
          <w:sz w:val="20"/>
          <w:szCs w:val="20"/>
          <w:color w:val="auto"/>
        </w:rPr>
      </w:pPr>
    </w:p>
    <w:p>
      <w:pPr>
        <w:sectPr>
          <w:pgSz w:w="11900" w:h="16838" w:orient="portrait"/>
          <w:cols w:equalWidth="0" w:num="3">
            <w:col w:w="5380" w:space="720"/>
            <w:col w:w="1000" w:space="140"/>
            <w:col w:w="4000"/>
          </w:cols>
          <w:pgMar w:left="320" w:top="969" w:right="339" w:bottom="1440" w:gutter="0" w:footer="0" w:header="0"/>
          <w:type w:val="continuous"/>
        </w:sectPr>
      </w:pPr>
    </w:p>
    <w:p>
      <w:pPr>
        <w:ind w:left="320" w:hanging="314"/>
        <w:spacing w:after="0"/>
        <w:tabs>
          <w:tab w:leader="none" w:pos="32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$7 million of severance pay and benefits recorded in Other liabilities in the Consolidated Balance Sheet.</w:t>
      </w:r>
    </w:p>
    <w:p>
      <w:pPr>
        <w:ind w:left="320" w:hanging="314"/>
        <w:spacing w:after="0" w:line="191" w:lineRule="auto"/>
        <w:tabs>
          <w:tab w:leader="none" w:pos="32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$5 million of severance pay and benefits recorded in Other liabilities in the Consolidated Balance Sheet.</w:t>
      </w:r>
    </w:p>
    <w:p>
      <w:pPr>
        <w:spacing w:after="0" w:line="1" w:lineRule="exact"/>
        <w:rPr>
          <w:rFonts w:ascii="Times New Roman" w:cs="Times New Roman" w:eastAsia="Times New Roman" w:hAnsi="Times New Roman"/>
          <w:sz w:val="23"/>
          <w:szCs w:val="23"/>
          <w:color w:val="auto"/>
          <w:vertAlign w:val="superscript"/>
        </w:rPr>
      </w:pPr>
    </w:p>
    <w:p>
      <w:pPr>
        <w:jc w:val="both"/>
        <w:ind w:left="320" w:hanging="314"/>
        <w:spacing w:after="0" w:line="224" w:lineRule="auto"/>
        <w:tabs>
          <w:tab w:leader="none" w:pos="308"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other costs recognized as incurred that are not reflected in the restructuring reserve in the Consolidated Balance Sheet. The costs are included in Administrative expenses, Cost of products sold, Marketing and selling expenses and Research and development expenses in the Consolidated Statements of Earnings.</w:t>
      </w:r>
    </w:p>
    <w:p>
      <w:pPr>
        <w:spacing w:after="0" w:line="62"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8"/>
          <w:szCs w:val="18"/>
          <w:color w:val="auto"/>
        </w:rPr>
        <w:t>Segment operating results do not include restructuring charges, implementation costs and other related costs because we evaluate segment performance excluding such charges. A summary of the pre-tax costs associated with segments is as follows:</w:t>
      </w:r>
    </w:p>
    <w:tbl>
      <w:tblPr>
        <w:tblLayout w:type="fixed"/>
        <w:tblInd w:w="0" w:type="dxa"/>
        <w:tblCellMar>
          <w:top w:w="0" w:type="dxa"/>
          <w:left w:w="0" w:type="dxa"/>
          <w:bottom w:w="0" w:type="dxa"/>
          <w:right w:w="0" w:type="dxa"/>
        </w:tblCellMar>
      </w:tblPr>
      <w:tr>
        <w:trPr>
          <w:trHeight w:val="186"/>
        </w:trPr>
        <w:tc>
          <w:tcPr>
            <w:tcW w:w="8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20" w:type="dxa"/>
            <w:vAlign w:val="bottom"/>
            <w:gridSpan w:val="4"/>
          </w:tcPr>
          <w:p>
            <w:pPr>
              <w:jc w:val="right"/>
              <w:ind w:right="878"/>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0" w:type="dxa"/>
            <w:vAlign w:val="bottom"/>
          </w:tcPr>
          <w:p>
            <w:pPr>
              <w:spacing w:after="0"/>
              <w:rPr>
                <w:sz w:val="1"/>
                <w:szCs w:val="1"/>
                <w:color w:val="auto"/>
              </w:rPr>
            </w:pPr>
          </w:p>
        </w:tc>
      </w:tr>
      <w:tr>
        <w:trPr>
          <w:trHeight w:val="24"/>
        </w:trPr>
        <w:tc>
          <w:tcPr>
            <w:tcW w:w="82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8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5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1"/>
                <w:szCs w:val="11"/>
                <w:color w:val="auto"/>
              </w:rPr>
            </w:pPr>
          </w:p>
        </w:tc>
        <w:tc>
          <w:tcPr>
            <w:tcW w:w="1260" w:type="dxa"/>
            <w:vAlign w:val="bottom"/>
          </w:tcPr>
          <w:p>
            <w:pPr>
              <w:jc w:val="right"/>
              <w:ind w:right="98"/>
              <w:spacing w:after="0" w:line="128" w:lineRule="exact"/>
              <w:rPr>
                <w:sz w:val="20"/>
                <w:szCs w:val="20"/>
                <w:color w:val="auto"/>
              </w:rPr>
            </w:pPr>
            <w:r>
              <w:rPr>
                <w:rFonts w:ascii="Times New Roman" w:cs="Times New Roman" w:eastAsia="Times New Roman" w:hAnsi="Times New Roman"/>
                <w:sz w:val="14"/>
                <w:szCs w:val="14"/>
                <w:b w:val="1"/>
                <w:bCs w:val="1"/>
                <w:color w:val="auto"/>
              </w:rPr>
              <w:t>Costs Incurred to</w:t>
            </w:r>
          </w:p>
        </w:tc>
        <w:tc>
          <w:tcPr>
            <w:tcW w:w="0" w:type="dxa"/>
            <w:vAlign w:val="bottom"/>
          </w:tcPr>
          <w:p>
            <w:pPr>
              <w:spacing w:after="0"/>
              <w:rPr>
                <w:sz w:val="1"/>
                <w:szCs w:val="1"/>
                <w:color w:val="auto"/>
              </w:rPr>
            </w:pPr>
          </w:p>
        </w:tc>
      </w:tr>
      <w:tr>
        <w:trPr>
          <w:trHeight w:val="191"/>
        </w:trPr>
        <w:tc>
          <w:tcPr>
            <w:tcW w:w="8200" w:type="dxa"/>
            <w:vAlign w:val="bottom"/>
            <w:vMerge w:val="continue"/>
          </w:tcPr>
          <w:p>
            <w:pPr>
              <w:spacing w:after="0"/>
              <w:rPr>
                <w:sz w:val="16"/>
                <w:szCs w:val="16"/>
                <w:color w:val="auto"/>
              </w:rPr>
            </w:pPr>
          </w:p>
        </w:tc>
        <w:tc>
          <w:tcPr>
            <w:tcW w:w="15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24"/>
        </w:trPr>
        <w:tc>
          <w:tcPr>
            <w:tcW w:w="8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&amp; Beverages</w:t>
            </w:r>
          </w:p>
        </w:tc>
        <w:tc>
          <w:tcPr>
            <w:tcW w:w="520" w:type="dxa"/>
            <w:vAlign w:val="bottom"/>
            <w:tcBorders>
              <w:top w:val="single" w:sz="8" w:color="auto"/>
            </w:tcBorders>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25"/>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Snacks</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25"/>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18"/>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Earnings per Share (EPS)</w:t>
      </w:r>
    </w:p>
    <w:p>
      <w:pPr>
        <w:spacing w:after="0" w:line="10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For the periods presented in the Consolidated Statements of Earnings, the calculations of basic EPS and EPS assuming dilution vary in that the weighted average shares outstanding assuming dilution include the incremental effect of stock options and other share-based payment awards, except when such effect would be antidilutive. The earnings per share calculation for the three-month period ended October 29, 2023, excludes less than 1 million stock options that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type w:val="continuous"/>
        </w:sectPr>
      </w:pPr>
    </w:p>
    <w:bookmarkStart w:id="12" w:name="page13"/>
    <w:bookmarkEnd w:id="12"/>
    <w:p>
      <w:pPr>
        <w:jc w:val="both"/>
        <w:spacing w:after="0" w:line="274" w:lineRule="auto"/>
        <w:rPr>
          <w:sz w:val="20"/>
          <w:szCs w:val="20"/>
          <w:color w:val="auto"/>
        </w:rPr>
      </w:pPr>
      <w:r>
        <w:rPr>
          <w:rFonts w:ascii="Times New Roman" w:cs="Times New Roman" w:eastAsia="Times New Roman" w:hAnsi="Times New Roman"/>
          <w:sz w:val="18"/>
          <w:szCs w:val="18"/>
          <w:color w:val="auto"/>
        </w:rPr>
        <w:t>The earnings per share calculation for the three-month period ended October 30, 2022, excludes approximately 1 million stock options that would have been antidilutive.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Pension and Postretirement Benefits</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Components of net periodic benefit expense (income) were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4"/>
        </w:trPr>
        <w:tc>
          <w:tcPr>
            <w:tcW w:w="64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85"/>
        </w:trPr>
        <w:tc>
          <w:tcPr>
            <w:tcW w:w="64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Postretirement</w:t>
            </w:r>
          </w:p>
        </w:tc>
        <w:tc>
          <w:tcPr>
            <w:tcW w:w="480" w:type="dxa"/>
            <w:vAlign w:val="bottom"/>
            <w:tcBorders>
              <w:bottom w:val="single" w:sz="8" w:color="auto"/>
            </w:tcBorders>
          </w:tcPr>
          <w:p>
            <w:pPr>
              <w:spacing w:after="0"/>
              <w:rPr>
                <w:sz w:val="16"/>
                <w:szCs w:val="16"/>
                <w:color w:val="auto"/>
              </w:rPr>
            </w:pPr>
          </w:p>
        </w:tc>
      </w:tr>
      <w:tr>
        <w:trPr>
          <w:trHeight w:val="192"/>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80" w:type="dxa"/>
            <w:vAlign w:val="bottom"/>
          </w:tcPr>
          <w:p>
            <w:pPr>
              <w:spacing w:after="0"/>
              <w:rPr>
                <w:sz w:val="16"/>
                <w:szCs w:val="16"/>
                <w:color w:val="auto"/>
              </w:rPr>
            </w:pP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30, 2022</w:t>
            </w:r>
          </w:p>
        </w:tc>
      </w:tr>
      <w:tr>
        <w:trPr>
          <w:trHeight w:val="225"/>
        </w:trPr>
        <w:tc>
          <w:tcPr>
            <w:tcW w:w="6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480" w:type="dxa"/>
            <w:vAlign w:val="bottom"/>
            <w:tcBorders>
              <w:top w:val="single" w:sz="8" w:color="auto"/>
            </w:tcBorders>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7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5"/>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4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Actuarial losses (gains)</w:t>
            </w:r>
          </w:p>
        </w:tc>
        <w:tc>
          <w:tcPr>
            <w:tcW w:w="4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expense (income)</w:t>
            </w:r>
          </w:p>
        </w:tc>
        <w:tc>
          <w:tcPr>
            <w:tcW w:w="480" w:type="dxa"/>
            <w:vAlign w:val="bottom"/>
            <w:tcBorders>
              <w:top w:val="single" w:sz="8" w:color="auto"/>
              <w:bottom w:val="single" w:sz="8" w:color="auto"/>
            </w:tcBorders>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ind w:right="47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actuarial loss for the three-month period ended October 30, 2022 resulted from the remeasurement of a U.S. pension plan due to lump sum distributions that were expected to exceed service and interest costs resulting in settlement accounting for this plan. The actuarial loss recognized for the three-month period ended October 30, 2022 was primarily due to losses on plan assets, partially offset by increases in discount rates used to determine the benefit obligation.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lease costs were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30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740" w:type="dxa"/>
            <w:vAlign w:val="bottom"/>
            <w:vMerge w:val="continue"/>
          </w:tcPr>
          <w:p>
            <w:pPr>
              <w:spacing w:after="0"/>
              <w:rPr>
                <w:sz w:val="16"/>
                <w:szCs w:val="16"/>
                <w:color w:val="auto"/>
              </w:rPr>
            </w:pPr>
          </w:p>
        </w:tc>
        <w:tc>
          <w:tcPr>
            <w:tcW w:w="13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0" w:type="dxa"/>
            <w:vAlign w:val="bottom"/>
          </w:tcPr>
          <w:p>
            <w:pPr>
              <w:spacing w:after="0"/>
              <w:rPr>
                <w:sz w:val="1"/>
                <w:szCs w:val="1"/>
                <w:color w:val="auto"/>
              </w:rPr>
            </w:pPr>
          </w:p>
        </w:tc>
      </w:tr>
      <w:tr>
        <w:trPr>
          <w:trHeight w:val="225"/>
        </w:trPr>
        <w:tc>
          <w:tcPr>
            <w:tcW w:w="8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60" w:type="dxa"/>
            <w:vAlign w:val="bottom"/>
            <w:tcBorders>
              <w:top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98"/>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5"/>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 amortization of right-of-use (ROU) assets</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5"/>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5"/>
        </w:trPr>
        <w:tc>
          <w:tcPr>
            <w:tcW w:w="8740" w:type="dxa"/>
            <w:vAlign w:val="bottom"/>
            <w:tcBorders>
              <w:bottom w:val="single" w:sz="8" w:color="CCEEFF"/>
            </w:tcBorders>
          </w:tcPr>
          <w:p>
            <w:pPr>
              <w:ind w:left="20"/>
              <w:spacing w:after="0" w:line="225" w:lineRule="exact"/>
              <w:rPr>
                <w:sz w:val="20"/>
                <w:szCs w:val="20"/>
                <w:color w:val="auto"/>
              </w:rPr>
            </w:pPr>
            <w:r>
              <w:rPr>
                <w:rFonts w:ascii="Times New Roman" w:cs="Times New Roman" w:eastAsia="Times New Roman" w:hAnsi="Times New Roman"/>
                <w:sz w:val="18"/>
                <w:szCs w:val="18"/>
                <w:color w:val="auto"/>
              </w:rPr>
              <w:t>Variable lease cost</w:t>
            </w:r>
            <w:r>
              <w:rPr>
                <w:rFonts w:ascii="Times New Roman" w:cs="Times New Roman" w:eastAsia="Times New Roman" w:hAnsi="Times New Roman"/>
                <w:sz w:val="22"/>
                <w:szCs w:val="22"/>
                <w:color w:val="auto"/>
                <w:vertAlign w:val="superscript"/>
              </w:rPr>
              <w:t>(1)</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44"/>
        </w:trPr>
        <w:tc>
          <w:tcPr>
            <w:tcW w:w="8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598"/>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0"/>
        </w:trPr>
        <w:tc>
          <w:tcPr>
            <w:tcW w:w="8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17" w:lineRule="exact"/>
        <w:rPr>
          <w:sz w:val="20"/>
          <w:szCs w:val="20"/>
          <w:color w:val="auto"/>
        </w:rPr>
      </w:pPr>
    </w:p>
    <w:p>
      <w:pPr>
        <w:ind w:left="320" w:hanging="314"/>
        <w:spacing w:after="0"/>
        <w:tabs>
          <w:tab w:leader="none" w:pos="32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labor and other overhead in our service contracts with embedded leases.</w:t>
      </w:r>
    </w:p>
    <w:p>
      <w:pPr>
        <w:spacing w:after="0" w:line="73" w:lineRule="exact"/>
        <w:rPr>
          <w:rFonts w:ascii="Times New Roman" w:cs="Times New Roman" w:eastAsia="Times New Roman" w:hAnsi="Times New Roman"/>
          <w:sz w:val="23"/>
          <w:szCs w:val="23"/>
          <w:color w:val="auto"/>
          <w:vertAlign w:val="superscript"/>
        </w:rPr>
      </w:pPr>
    </w:p>
    <w:p>
      <w:pPr>
        <w:ind w:left="32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following tables summarize the lease amounts recorded in the Consolidated Balance Sheets: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560" w:type="dxa"/>
            <w:vAlign w:val="bottom"/>
            <w:gridSpan w:val="3"/>
          </w:tcPr>
          <w:p>
            <w:pPr>
              <w:jc w:val="center"/>
              <w:ind w:left="1859"/>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8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920" w:type="dxa"/>
            <w:vAlign w:val="bottom"/>
          </w:tcPr>
          <w:p>
            <w:pPr>
              <w:spacing w:after="0"/>
              <w:rPr>
                <w:sz w:val="10"/>
                <w:szCs w:val="10"/>
                <w:color w:val="auto"/>
              </w:rPr>
            </w:pPr>
          </w:p>
        </w:tc>
        <w:tc>
          <w:tcPr>
            <w:tcW w:w="2980" w:type="dxa"/>
            <w:vAlign w:val="bottom"/>
            <w:tcBorders>
              <w:top w:val="single" w:sz="8" w:color="auto"/>
            </w:tcBorders>
            <w:gridSpan w:val="2"/>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1300" w:type="dxa"/>
            <w:vAlign w:val="bottom"/>
            <w:tcBorders>
              <w:top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2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159"/>
              <w:spacing w:after="0" w:line="126" w:lineRule="exact"/>
              <w:rPr>
                <w:sz w:val="20"/>
                <w:szCs w:val="20"/>
                <w:color w:val="auto"/>
              </w:rPr>
            </w:pPr>
            <w:r>
              <w:rPr>
                <w:rFonts w:ascii="Times New Roman" w:cs="Times New Roman" w:eastAsia="Times New Roman" w:hAnsi="Times New Roman"/>
                <w:sz w:val="14"/>
                <w:szCs w:val="14"/>
                <w:b w:val="1"/>
                <w:bCs w:val="1"/>
                <w:color w:val="auto"/>
              </w:rPr>
              <w:t>July 30,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3800" w:type="dxa"/>
            <w:vAlign w:val="bottom"/>
            <w:vMerge w:val="continue"/>
          </w:tcPr>
          <w:p>
            <w:pPr>
              <w:spacing w:after="0"/>
              <w:rPr>
                <w:sz w:val="16"/>
                <w:szCs w:val="16"/>
                <w:color w:val="auto"/>
              </w:rPr>
            </w:pPr>
          </w:p>
        </w:tc>
        <w:tc>
          <w:tcPr>
            <w:tcW w:w="1920" w:type="dxa"/>
            <w:vAlign w:val="bottom"/>
          </w:tcPr>
          <w:p>
            <w:pPr>
              <w:spacing w:after="0"/>
              <w:rPr>
                <w:sz w:val="16"/>
                <w:szCs w:val="16"/>
                <w:color w:val="auto"/>
              </w:rPr>
            </w:pPr>
          </w:p>
        </w:tc>
        <w:tc>
          <w:tcPr>
            <w:tcW w:w="2980" w:type="dxa"/>
            <w:vAlign w:val="bottom"/>
            <w:gridSpan w:val="2"/>
            <w:vMerge w:val="continue"/>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net</w:t>
            </w:r>
          </w:p>
        </w:tc>
        <w:tc>
          <w:tcPr>
            <w:tcW w:w="1920" w:type="dxa"/>
            <w:vAlign w:val="bottom"/>
            <w:tcBorders>
              <w:top w:val="single" w:sz="8" w:color="CCEEFF"/>
            </w:tcBorders>
            <w:shd w:val="clear" w:color="auto" w:fill="CCEEFF"/>
          </w:tcPr>
          <w:p>
            <w:pPr>
              <w:spacing w:after="0"/>
              <w:rPr>
                <w:sz w:val="19"/>
                <w:szCs w:val="19"/>
                <w:color w:val="auto"/>
              </w:rPr>
            </w:pPr>
          </w:p>
        </w:tc>
        <w:tc>
          <w:tcPr>
            <w:tcW w:w="2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1920" w:type="dxa"/>
            <w:vAlign w:val="bottom"/>
          </w:tcPr>
          <w:p>
            <w:pPr>
              <w:spacing w:after="0"/>
              <w:rPr>
                <w:sz w:val="19"/>
                <w:szCs w:val="19"/>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580" w:type="dxa"/>
            <w:vAlign w:val="bottom"/>
          </w:tcPr>
          <w:p>
            <w:pPr>
              <w:jc w:val="right"/>
              <w:ind w:right="3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1920" w:type="dxa"/>
            <w:vAlign w:val="bottom"/>
            <w:shd w:val="clear" w:color="auto" w:fill="CCEEFF"/>
          </w:tcPr>
          <w:p>
            <w:pPr>
              <w:spacing w:after="0"/>
              <w:rPr>
                <w:sz w:val="19"/>
                <w:szCs w:val="19"/>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58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0"/>
        </w:trPr>
        <w:tc>
          <w:tcPr>
            <w:tcW w:w="38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560" w:type="dxa"/>
            <w:vAlign w:val="bottom"/>
            <w:gridSpan w:val="3"/>
          </w:tcPr>
          <w:p>
            <w:pPr>
              <w:jc w:val="center"/>
              <w:ind w:left="1839"/>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8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920" w:type="dxa"/>
            <w:vAlign w:val="bottom"/>
          </w:tcPr>
          <w:p>
            <w:pPr>
              <w:spacing w:after="0"/>
              <w:rPr>
                <w:sz w:val="10"/>
                <w:szCs w:val="10"/>
                <w:color w:val="auto"/>
              </w:rPr>
            </w:pPr>
          </w:p>
        </w:tc>
        <w:tc>
          <w:tcPr>
            <w:tcW w:w="2980" w:type="dxa"/>
            <w:vAlign w:val="bottom"/>
            <w:tcBorders>
              <w:top w:val="single" w:sz="8" w:color="auto"/>
            </w:tcBorders>
            <w:gridSpan w:val="2"/>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1300" w:type="dxa"/>
            <w:vAlign w:val="bottom"/>
            <w:tcBorders>
              <w:top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2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159"/>
              <w:spacing w:after="0" w:line="126" w:lineRule="exact"/>
              <w:rPr>
                <w:sz w:val="20"/>
                <w:szCs w:val="20"/>
                <w:color w:val="auto"/>
              </w:rPr>
            </w:pPr>
            <w:r>
              <w:rPr>
                <w:rFonts w:ascii="Times New Roman" w:cs="Times New Roman" w:eastAsia="Times New Roman" w:hAnsi="Times New Roman"/>
                <w:sz w:val="14"/>
                <w:szCs w:val="14"/>
                <w:b w:val="1"/>
                <w:bCs w:val="1"/>
                <w:color w:val="auto"/>
              </w:rPr>
              <w:t>July 30,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3800" w:type="dxa"/>
            <w:vAlign w:val="bottom"/>
            <w:vMerge w:val="continue"/>
          </w:tcPr>
          <w:p>
            <w:pPr>
              <w:spacing w:after="0"/>
              <w:rPr>
                <w:sz w:val="16"/>
                <w:szCs w:val="16"/>
                <w:color w:val="auto"/>
              </w:rPr>
            </w:pPr>
          </w:p>
        </w:tc>
        <w:tc>
          <w:tcPr>
            <w:tcW w:w="1920" w:type="dxa"/>
            <w:vAlign w:val="bottom"/>
          </w:tcPr>
          <w:p>
            <w:pPr>
              <w:spacing w:after="0"/>
              <w:rPr>
                <w:sz w:val="16"/>
                <w:szCs w:val="16"/>
                <w:color w:val="auto"/>
              </w:rPr>
            </w:pPr>
          </w:p>
        </w:tc>
        <w:tc>
          <w:tcPr>
            <w:tcW w:w="2980" w:type="dxa"/>
            <w:vAlign w:val="bottom"/>
            <w:gridSpan w:val="2"/>
            <w:vMerge w:val="continue"/>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net</w:t>
            </w:r>
          </w:p>
        </w:tc>
        <w:tc>
          <w:tcPr>
            <w:tcW w:w="1920" w:type="dxa"/>
            <w:vAlign w:val="bottom"/>
            <w:tcBorders>
              <w:top w:val="single" w:sz="8" w:color="CCEEFF"/>
            </w:tcBorders>
            <w:shd w:val="clear" w:color="auto" w:fill="CCEEFF"/>
          </w:tcPr>
          <w:p>
            <w:pPr>
              <w:spacing w:after="0"/>
              <w:rPr>
                <w:sz w:val="19"/>
                <w:szCs w:val="19"/>
                <w:color w:val="auto"/>
              </w:rPr>
            </w:pPr>
          </w:p>
        </w:tc>
        <w:tc>
          <w:tcPr>
            <w:tcW w:w="2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Plant assets, net of depreciation</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1920" w:type="dxa"/>
            <w:vAlign w:val="bottom"/>
          </w:tcPr>
          <w:p>
            <w:pPr>
              <w:spacing w:after="0"/>
              <w:rPr>
                <w:sz w:val="19"/>
                <w:szCs w:val="19"/>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borrowings</w:t>
            </w:r>
          </w:p>
        </w:tc>
        <w:tc>
          <w:tcPr>
            <w:tcW w:w="580" w:type="dxa"/>
            <w:vAlign w:val="bottom"/>
          </w:tcPr>
          <w:p>
            <w:pPr>
              <w:jc w:val="right"/>
              <w:ind w:right="3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1920" w:type="dxa"/>
            <w:vAlign w:val="bottom"/>
            <w:shd w:val="clear" w:color="auto" w:fill="CCEEFF"/>
          </w:tcPr>
          <w:p>
            <w:pPr>
              <w:spacing w:after="0"/>
              <w:rPr>
                <w:sz w:val="19"/>
                <w:szCs w:val="19"/>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58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6"/>
        </w:trPr>
        <w:tc>
          <w:tcPr>
            <w:tcW w:w="380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800" w:type="dxa"/>
            <w:vAlign w:val="bottom"/>
            <w:tcBorders>
              <w:bottom w:val="single" w:sz="8" w:color="9A9A9A"/>
            </w:tcBorders>
          </w:tcPr>
          <w:p>
            <w:pPr>
              <w:spacing w:after="0"/>
              <w:rPr>
                <w:sz w:val="9"/>
                <w:szCs w:val="9"/>
                <w:color w:val="auto"/>
              </w:rPr>
            </w:pPr>
          </w:p>
        </w:tc>
        <w:tc>
          <w:tcPr>
            <w:tcW w:w="1920" w:type="dxa"/>
            <w:vAlign w:val="bottom"/>
            <w:tcBorders>
              <w:bottom w:val="single" w:sz="8" w:color="9A9A9A"/>
            </w:tcBorders>
          </w:tcPr>
          <w:p>
            <w:pPr>
              <w:spacing w:after="0"/>
              <w:rPr>
                <w:sz w:val="9"/>
                <w:szCs w:val="9"/>
                <w:color w:val="auto"/>
              </w:rPr>
            </w:pPr>
          </w:p>
        </w:tc>
        <w:tc>
          <w:tcPr>
            <w:tcW w:w="2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3" w:name="page14"/>
    <w:bookmarkEnd w:id="13"/>
    <w:p>
      <w:pPr>
        <w:ind w:left="320"/>
        <w:spacing w:after="0"/>
        <w:rPr>
          <w:sz w:val="20"/>
          <w:szCs w:val="20"/>
          <w:color w:val="auto"/>
        </w:rPr>
      </w:pPr>
      <w:r>
        <w:rPr>
          <w:rFonts w:ascii="Times New Roman" w:cs="Times New Roman" w:eastAsia="Times New Roman" w:hAnsi="Times New Roman"/>
          <w:sz w:val="18"/>
          <w:szCs w:val="18"/>
          <w:color w:val="auto"/>
        </w:rPr>
        <w:t>The following table summarizes cash flow and other information related to leases: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40" w:type="dxa"/>
            <w:vAlign w:val="bottom"/>
            <w:gridSpan w:val="3"/>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32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720" w:type="dxa"/>
            <w:vAlign w:val="bottom"/>
            <w:vMerge w:val="continue"/>
          </w:tcPr>
          <w:p>
            <w:pPr>
              <w:spacing w:after="0"/>
              <w:rPr>
                <w:sz w:val="16"/>
                <w:szCs w:val="16"/>
                <w:color w:val="auto"/>
              </w:rPr>
            </w:pPr>
          </w:p>
        </w:tc>
        <w:tc>
          <w:tcPr>
            <w:tcW w:w="13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0" w:type="dxa"/>
            <w:vAlign w:val="bottom"/>
          </w:tcPr>
          <w:p>
            <w:pPr>
              <w:spacing w:after="0"/>
              <w:rPr>
                <w:sz w:val="1"/>
                <w:szCs w:val="1"/>
                <w:color w:val="auto"/>
              </w:rPr>
            </w:pPr>
          </w:p>
        </w:tc>
      </w:tr>
      <w:tr>
        <w:trPr>
          <w:trHeight w:val="212"/>
        </w:trPr>
        <w:tc>
          <w:tcPr>
            <w:tcW w:w="8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60" w:type="dxa"/>
            <w:vAlign w:val="bottom"/>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00" w:type="dxa"/>
            <w:vAlign w:val="bottom"/>
          </w:tcPr>
          <w:p>
            <w:pPr>
              <w:spacing w:after="0"/>
              <w:rPr>
                <w:sz w:val="19"/>
                <w:szCs w:val="19"/>
                <w:color w:val="auto"/>
              </w:rPr>
            </w:pPr>
          </w:p>
        </w:tc>
        <w:tc>
          <w:tcPr>
            <w:tcW w:w="780" w:type="dxa"/>
            <w:vAlign w:val="bottom"/>
          </w:tcPr>
          <w:p>
            <w:pPr>
              <w:jc w:val="right"/>
              <w:ind w:right="59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5"/>
        </w:trPr>
        <w:tc>
          <w:tcPr>
            <w:tcW w:w="8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3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65"/>
        </w:trPr>
        <w:tc>
          <w:tcPr>
            <w:tcW w:w="87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lease obligations:</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360" w:type="dxa"/>
            <w:vAlign w:val="bottom"/>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100" w:type="dxa"/>
            <w:vAlign w:val="bottom"/>
          </w:tcPr>
          <w:p>
            <w:pPr>
              <w:spacing w:after="0"/>
              <w:rPr>
                <w:sz w:val="19"/>
                <w:szCs w:val="19"/>
                <w:color w:val="auto"/>
              </w:rPr>
            </w:pPr>
          </w:p>
        </w:tc>
        <w:tc>
          <w:tcPr>
            <w:tcW w:w="780" w:type="dxa"/>
            <w:vAlign w:val="bottom"/>
          </w:tcPr>
          <w:p>
            <w:pPr>
              <w:jc w:val="right"/>
              <w:ind w:right="59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5"/>
        </w:trPr>
        <w:tc>
          <w:tcPr>
            <w:tcW w:w="8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3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Short-term Borrowings and Long-term Debt</w:t>
      </w:r>
    </w:p>
    <w:p>
      <w:pPr>
        <w:spacing w:after="0" w:line="8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On October 10, 2023, we entered into a delayed single draw term loan credit agreement (the 2024 DDTL Credit Agreement) totaling up to $2 billion scheduled to mature on October 8, 2024. Loans under the 2024 DDTL Credit Agreement bear interest at the rates specified in the 2024 DDTL Credit Agreement, which vary based on the type of loan and certain other conditions. The 2024 DDTL Credit Agreement contains customary representations and warranties, affirmative and negative covenants, including a financial covenant with respect to a minimum consolidated interest coverage ratio of consolidated adjusted EBITDA to consolidated interest expense (as each is defined in the 2024 DDTL Credit Agreement) of not less than 3.25:1.00, and events of default for credit facilities of this type. The proceeds of the loans under the 2024 DDTL Credit Agreement can only be used in connection with the acquisition of Sovos Brands. The 2024 DDTL Credit Agreement remained unused at October 29,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Financial Instruments</w:t>
      </w:r>
    </w:p>
    <w:p>
      <w:pPr>
        <w:spacing w:after="0" w:line="8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principal market risks to which we are exposed are changes in foreign currency exchange rates, interest rates and commodity prices. In addition, we are exposed to price changes related to certain deferred compensation obligations. In order to manage these exposures, we follow established risk management policies and procedures, including the use of derivative contracts such as swaps, rate locks, options, forwards and commodity futures. We enter into these derivative contracts for periods consistent with the related underlying exposures, and the contracts do not constitute positions independent of those exposures. We do not enter into derivative contracts for speculative purposes and do not use leveraged instruments. Our derivative programs include instruments that qualify for hedge accounting treatment and instruments that are not designated as accounting hedges.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0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are exposed to the risk that counterparties to derivative contracts will fail to meet their contractual obligations. To mitigate counterparty credit risk, we enter into contracts only with carefully selected, leading, credit-worthy financial institutions, and distribute contracts among several financial institutions to reduce the concentration of credit risk. We did not have credit risk-related contingent features in our derivative instruments as of October 29, 2023, or July 30, 2023.</w:t>
      </w:r>
    </w:p>
    <w:p>
      <w:pPr>
        <w:spacing w:after="0" w:line="4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are also exposed to credit risk from our customers. During 2023, our largest customer accounted for approximately 22% of consolidated net sales. Our five largest customers accounted for approximately 47% of our consolidated net sales in 2023.</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closely monitor credit risk associated with counterparties and customers.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89"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are exposed to foreign currency exchange risk, primarily the Canadian dollar, related to intercompany transactions and third-party transactions. We utilize foreign exchange forward purchase and sale contracts to hedge these exposures. The contracts are either designated as cash-flow hedging instruments or are undesignated. We hedge portions of our forecasted foreign currency transaction exposure with foreign exchange forward contracts for periods typically up to 18 months. The notional amount of foreign exchange forward contracts accounted for as cash-flow hedges was $83 million as of October 29, 2023, and $125 million as of July 30, 2023. Changes in the fair value on the portion of the derivative included in the assessment of hedge effectiveness of cash-flow hedges are recorded in other comprehensive income (loss), until earnings are affected by the variability of cash flows. For derivatives that are designated and qualify as hedging instruments, the initial fair value of hedge components excluded from the assessment of effectiveness is recognized in earnings under a systematic and rational method over the life of the hedging instrument and is presented in the same statement of earnings line item as the earnings effect of the hedged item. Any difference between the change in the fair value of the hedge components excluded from the assessment of effectiveness and the amounts recognized in earnings is recorded as a component of other comprehensive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4" w:name="page15"/>
    <w:bookmarkEnd w:id="14"/>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income (loss). The notional amount of foreign exchange forward contracts that are not designated as accounting hedges was $17 million as of October 29, 2023, and $15 million as of July 30,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02"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manage our exposure to changes in interest rates by optimizing the use of variable-rate and fixed-rate debt. From time to time, we may use interest rate swaps in order to maintain our variable-to-total debt ratio within targeted guidelines. We manage our exposure to interest volatility on future debt issuances by entering into forward starting interest rate swaps or treasury lock contracts to hedge the rate on the interest payments related to the anticipated debt issuance. The forward starting interest rate swaps or treasury lock contracts are either designated as cash-flow hedging instruments or are undesignated. Changes in the fair value on the portion of the derivative included in the assessment of hedge effectiveness of cash-flow hedges are recorded in other comprehensive income (loss), and reclassified into Interest expense over the life of the debt. The change in fair value on undesignated instruments is recorded in Interest expense. The notional amount of forward starting interest rate swaps accounted for as cash-flow hedges was $525 million as of October 29, 2023. These forward starting interest rate swaps related to an anticipated debt issuance and mature in January 2025. There were no forward starting interest rate swaps or treasury lock contracts outstanding as of July 30, 2023. Since October 29, 2023, we have entered into additional forward starting interest rate swaps accounted for as cash-flow hedges with a notional value of $450 million.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8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principally use a combination of purchase orders and various short- and long-term supply arrangements in connection with the purchase of raw materials, including certain commodities and agricultural products. We also enter into commodity futures, options and swap contracts to reduce the volatility of price fluctuations of wheat, diesel fuel, natural gas, soybean oil, aluminum, cocoa, corn, soybean meal and butter. Commodity futures, options and swap contracts are either designated as cash-flow hedging instruments or are undesignated. We hedge a portion of commodity requirements for periods typically up to 18 months. There were no commodity contracts designated as cash-flow hedges as of October 29, 2023, or July 30, 2023. The notional amount of commodity contracts not designated as accounting hedges was $197 million as of October 29, 2023, and $194 million as of July 30, 2023. The change in fair value on undesignated instruments is recorded in Cost of products sold.</w:t>
      </w:r>
    </w:p>
    <w:p>
      <w:pPr>
        <w:spacing w:after="0" w:line="6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have a supply contract under which prices for certain raw materials are established based on anticipated volume requirements over a twelve-month period. Certain prices under the contract are based in part on certain component parts of the raw materials that are in excess of our needs or not required for our operations, thereby creating an embedded derivative requiring bifurcation. We net settle amounts due under the contract with our counterparty. The notional amount was $18 million as of October 29, 2023, and $47 million as of July 30, 2023. The change in fair value on the embedded derivative is recorded in Cost of products sold.</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 Obligation Price Risk</w:t>
      </w:r>
    </w:p>
    <w:p>
      <w:pPr>
        <w:spacing w:after="0" w:line="8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enter into swap contracts which hedge a portion of exposures relating to the total return of certain deferred compensation obligations. These contracts are not designated as hedges for accounting purposes. Unrealized gains (losses) and settlements are included in Administrative expenses in the Consolidated Statements of Earnings. We enter into these contracts for periods typically not exceeding 12 months. The notional amounts of the contracts were $42 million as of October 29, 2023, and July 30, 2023.</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5" w:name="page16"/>
    <w:bookmarkEnd w:id="15"/>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fair value of derivative instruments on a gross basis as recorded in the Consolidated Balance Sheets as of</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29, 2023, and July 30, 2023:</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40" w:type="dxa"/>
            <w:vAlign w:val="bottom"/>
          </w:tcPr>
          <w:p>
            <w:pPr>
              <w:spacing w:after="0"/>
              <w:rPr>
                <w:sz w:val="13"/>
                <w:szCs w:val="13"/>
                <w:color w:val="auto"/>
              </w:rPr>
            </w:pPr>
          </w:p>
        </w:tc>
        <w:tc>
          <w:tcPr>
            <w:tcW w:w="382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July 30,</w:t>
            </w:r>
          </w:p>
        </w:tc>
        <w:tc>
          <w:tcPr>
            <w:tcW w:w="0" w:type="dxa"/>
            <w:vAlign w:val="bottom"/>
          </w:tcPr>
          <w:p>
            <w:pPr>
              <w:spacing w:after="0"/>
              <w:rPr>
                <w:sz w:val="1"/>
                <w:szCs w:val="1"/>
                <w:color w:val="auto"/>
              </w:rPr>
            </w:pPr>
          </w:p>
        </w:tc>
      </w:tr>
      <w:tr>
        <w:trPr>
          <w:trHeight w:val="192"/>
        </w:trPr>
        <w:tc>
          <w:tcPr>
            <w:tcW w:w="4780" w:type="dxa"/>
            <w:vAlign w:val="bottom"/>
            <w:tcBorders>
              <w:bottom w:val="single" w:sz="8" w:color="CCEEFF"/>
            </w:tcBorders>
            <w:gridSpan w:val="2"/>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82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3"/>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 Derivatives</w:t>
            </w:r>
          </w:p>
        </w:tc>
        <w:tc>
          <w:tcPr>
            <w:tcW w:w="4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hedges:</w:t>
            </w:r>
          </w:p>
        </w:tc>
        <w:tc>
          <w:tcPr>
            <w:tcW w:w="4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shd w:val="clear" w:color="auto" w:fill="CCEEFF"/>
          </w:tcPr>
          <w:p>
            <w:pPr>
              <w:spacing w:after="0"/>
              <w:rPr>
                <w:sz w:val="19"/>
                <w:szCs w:val="19"/>
                <w:color w:val="auto"/>
              </w:rPr>
            </w:pPr>
          </w:p>
        </w:tc>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40" w:type="dxa"/>
            <w:vAlign w:val="bottom"/>
            <w:shd w:val="clear" w:color="auto" w:fill="CCEEFF"/>
          </w:tcPr>
          <w:p>
            <w:pPr>
              <w:spacing w:after="0"/>
              <w:rPr>
                <w:sz w:val="19"/>
                <w:szCs w:val="19"/>
                <w:color w:val="auto"/>
              </w:rPr>
            </w:pPr>
          </w:p>
        </w:tc>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600" w:type="dxa"/>
            <w:vAlign w:val="bottom"/>
            <w:gridSpan w:val="3"/>
            <w:shd w:val="clear" w:color="auto" w:fill="CCEEFF"/>
          </w:tcPr>
          <w:p>
            <w:pPr>
              <w:jc w:val="right"/>
              <w:ind w:right="319"/>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0" w:type="dxa"/>
            <w:vAlign w:val="bottom"/>
            <w:tcBorders>
              <w:bottom w:val="single" w:sz="8" w:color="CCEEFF"/>
            </w:tcBorders>
          </w:tcPr>
          <w:p>
            <w:pPr>
              <w:spacing w:after="0"/>
              <w:rPr>
                <w:sz w:val="19"/>
                <w:szCs w:val="19"/>
                <w:color w:val="auto"/>
              </w:rPr>
            </w:pPr>
          </w:p>
        </w:tc>
        <w:tc>
          <w:tcPr>
            <w:tcW w:w="47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Forward starting interest rate swaps</w:t>
            </w:r>
          </w:p>
        </w:tc>
        <w:tc>
          <w:tcPr>
            <w:tcW w:w="40" w:type="dxa"/>
            <w:vAlign w:val="bottom"/>
            <w:tcBorders>
              <w:bottom w:val="single" w:sz="8" w:color="CCEEFF"/>
            </w:tcBorders>
          </w:tcPr>
          <w:p>
            <w:pPr>
              <w:spacing w:after="0"/>
              <w:rPr>
                <w:sz w:val="19"/>
                <w:szCs w:val="19"/>
                <w:color w:val="auto"/>
              </w:rPr>
            </w:pPr>
          </w:p>
        </w:tc>
        <w:tc>
          <w:tcPr>
            <w:tcW w:w="3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derivatives designated as hedges</w:t>
            </w:r>
          </w:p>
        </w:tc>
        <w:tc>
          <w:tcPr>
            <w:tcW w:w="40" w:type="dxa"/>
            <w:vAlign w:val="bottom"/>
            <w:shd w:val="clear" w:color="auto" w:fill="CCEEFF"/>
          </w:tcPr>
          <w:p>
            <w:pPr>
              <w:spacing w:after="0"/>
              <w:rPr>
                <w:sz w:val="19"/>
                <w:szCs w:val="19"/>
                <w:color w:val="auto"/>
              </w:rPr>
            </w:pPr>
          </w:p>
        </w:tc>
        <w:tc>
          <w:tcPr>
            <w:tcW w:w="3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478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Derivatives not designated as hedges:</w:t>
            </w:r>
          </w:p>
        </w:tc>
        <w:tc>
          <w:tcPr>
            <w:tcW w:w="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0" w:type="dxa"/>
            <w:vAlign w:val="bottom"/>
            <w:shd w:val="clear" w:color="auto" w:fill="CCEEFF"/>
          </w:tcPr>
          <w:p>
            <w:pPr>
              <w:spacing w:after="0"/>
              <w:rPr>
                <w:sz w:val="19"/>
                <w:szCs w:val="19"/>
                <w:color w:val="auto"/>
              </w:rPr>
            </w:pPr>
          </w:p>
        </w:tc>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Commodity contracts</w:t>
            </w:r>
          </w:p>
        </w:tc>
        <w:tc>
          <w:tcPr>
            <w:tcW w:w="40" w:type="dxa"/>
            <w:vAlign w:val="bottom"/>
            <w:shd w:val="clear" w:color="auto" w:fill="CCEEFF"/>
          </w:tcPr>
          <w:p>
            <w:pPr>
              <w:spacing w:after="0"/>
              <w:rPr>
                <w:sz w:val="19"/>
                <w:szCs w:val="19"/>
                <w:color w:val="auto"/>
              </w:rPr>
            </w:pPr>
          </w:p>
        </w:tc>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600" w:type="dxa"/>
            <w:vAlign w:val="bottom"/>
            <w:gridSpan w:val="3"/>
            <w:shd w:val="clear" w:color="auto" w:fill="CCEEFF"/>
          </w:tcPr>
          <w:p>
            <w:pPr>
              <w:jc w:val="right"/>
              <w:ind w:right="319"/>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compensation contracts</w:t>
            </w:r>
          </w:p>
        </w:tc>
        <w:tc>
          <w:tcPr>
            <w:tcW w:w="40" w:type="dxa"/>
            <w:vAlign w:val="bottom"/>
          </w:tcPr>
          <w:p>
            <w:pPr>
              <w:spacing w:after="0"/>
              <w:rPr>
                <w:sz w:val="19"/>
                <w:szCs w:val="19"/>
                <w:color w:val="auto"/>
              </w:rPr>
            </w:pP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shd w:val="clear" w:color="auto" w:fill="CCEEFF"/>
          </w:tcPr>
          <w:p>
            <w:pPr>
              <w:spacing w:after="0"/>
              <w:rPr>
                <w:sz w:val="19"/>
                <w:szCs w:val="19"/>
                <w:color w:val="auto"/>
              </w:rPr>
            </w:pPr>
          </w:p>
        </w:tc>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Commodity contracts</w:t>
            </w:r>
          </w:p>
        </w:tc>
        <w:tc>
          <w:tcPr>
            <w:tcW w:w="40" w:type="dxa"/>
            <w:vAlign w:val="bottom"/>
            <w:shd w:val="clear" w:color="auto" w:fill="CCEEFF"/>
          </w:tcPr>
          <w:p>
            <w:pPr>
              <w:spacing w:after="0"/>
              <w:rPr>
                <w:sz w:val="19"/>
                <w:szCs w:val="19"/>
                <w:color w:val="auto"/>
              </w:rPr>
            </w:pPr>
          </w:p>
        </w:tc>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derivatives not designated as hedges</w:t>
            </w:r>
          </w:p>
        </w:tc>
        <w:tc>
          <w:tcPr>
            <w:tcW w:w="40" w:type="dxa"/>
            <w:vAlign w:val="bottom"/>
            <w:tcBorders>
              <w:bottom w:val="single" w:sz="8" w:color="CCEEFF"/>
            </w:tcBorders>
          </w:tcPr>
          <w:p>
            <w:pPr>
              <w:spacing w:after="0"/>
              <w:rPr>
                <w:sz w:val="19"/>
                <w:szCs w:val="19"/>
                <w:color w:val="auto"/>
              </w:rPr>
            </w:pPr>
          </w:p>
        </w:tc>
        <w:tc>
          <w:tcPr>
            <w:tcW w:w="38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 derivatives</w:t>
            </w:r>
          </w:p>
        </w:tc>
        <w:tc>
          <w:tcPr>
            <w:tcW w:w="40" w:type="dxa"/>
            <w:vAlign w:val="bottom"/>
            <w:tcBorders>
              <w:bottom w:val="single" w:sz="8" w:color="CCEEFF"/>
            </w:tcBorders>
            <w:shd w:val="clear" w:color="auto" w:fill="CCEEFF"/>
          </w:tcPr>
          <w:p>
            <w:pPr>
              <w:spacing w:after="0"/>
              <w:rPr>
                <w:sz w:val="20"/>
                <w:szCs w:val="20"/>
                <w:color w:val="auto"/>
              </w:rPr>
            </w:pPr>
          </w:p>
        </w:tc>
        <w:tc>
          <w:tcPr>
            <w:tcW w:w="38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2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7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40" w:type="dxa"/>
            <w:vAlign w:val="bottom"/>
          </w:tcPr>
          <w:p>
            <w:pPr>
              <w:spacing w:after="0"/>
              <w:rPr>
                <w:sz w:val="24"/>
                <w:szCs w:val="24"/>
                <w:color w:val="auto"/>
              </w:rPr>
            </w:pPr>
          </w:p>
        </w:tc>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40" w:type="dxa"/>
            <w:vAlign w:val="bottom"/>
          </w:tcPr>
          <w:p>
            <w:pPr>
              <w:spacing w:after="0"/>
              <w:rPr>
                <w:sz w:val="24"/>
                <w:szCs w:val="24"/>
                <w:color w:val="auto"/>
              </w:rPr>
            </w:pPr>
          </w:p>
        </w:tc>
        <w:tc>
          <w:tcPr>
            <w:tcW w:w="382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July 30,</w:t>
            </w: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47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3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Liability Derivatives</w:t>
            </w:r>
          </w:p>
        </w:tc>
        <w:tc>
          <w:tcPr>
            <w:tcW w:w="40" w:type="dxa"/>
            <w:vAlign w:val="bottom"/>
            <w:tcBorders>
              <w:top w:val="single" w:sz="8" w:color="auto"/>
            </w:tcBorders>
            <w:shd w:val="clear" w:color="auto" w:fill="CCEEFF"/>
          </w:tcPr>
          <w:p>
            <w:pPr>
              <w:spacing w:after="0"/>
              <w:rPr>
                <w:sz w:val="18"/>
                <w:szCs w:val="18"/>
                <w:color w:val="auto"/>
              </w:rPr>
            </w:pPr>
          </w:p>
        </w:tc>
        <w:tc>
          <w:tcPr>
            <w:tcW w:w="38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hedges:</w:t>
            </w:r>
          </w:p>
        </w:tc>
        <w:tc>
          <w:tcPr>
            <w:tcW w:w="4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3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600" w:type="dxa"/>
            <w:vAlign w:val="bottom"/>
            <w:gridSpan w:val="3"/>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3"/>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derivatives designated as hedges</w:t>
            </w:r>
          </w:p>
        </w:tc>
        <w:tc>
          <w:tcPr>
            <w:tcW w:w="40" w:type="dxa"/>
            <w:vAlign w:val="bottom"/>
            <w:tcBorders>
              <w:bottom w:val="single" w:sz="8" w:color="CCEEFF"/>
            </w:tcBorders>
          </w:tcPr>
          <w:p>
            <w:pPr>
              <w:spacing w:after="0"/>
              <w:rPr>
                <w:sz w:val="19"/>
                <w:szCs w:val="19"/>
                <w:color w:val="auto"/>
              </w:rPr>
            </w:pPr>
          </w:p>
        </w:tc>
        <w:tc>
          <w:tcPr>
            <w:tcW w:w="38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gridSpan w:val="2"/>
          </w:tcPr>
          <w:p>
            <w:pPr>
              <w:jc w:val="right"/>
              <w:ind w:right="3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474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Derivatives not designated as hedges:</w:t>
            </w:r>
          </w:p>
        </w:tc>
        <w:tc>
          <w:tcPr>
            <w:tcW w:w="40" w:type="dxa"/>
            <w:vAlign w:val="bottom"/>
            <w:shd w:val="clear" w:color="auto" w:fill="CCEEFF"/>
          </w:tcPr>
          <w:p>
            <w:pPr>
              <w:spacing w:after="0"/>
              <w:rPr>
                <w:sz w:val="17"/>
                <w:szCs w:val="17"/>
                <w:color w:val="auto"/>
              </w:rPr>
            </w:pPr>
          </w:p>
        </w:tc>
        <w:tc>
          <w:tcPr>
            <w:tcW w:w="3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Commodity contracts</w:t>
            </w:r>
          </w:p>
        </w:tc>
        <w:tc>
          <w:tcPr>
            <w:tcW w:w="3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600" w:type="dxa"/>
            <w:vAlign w:val="bottom"/>
            <w:gridSpan w:val="3"/>
          </w:tcPr>
          <w:p>
            <w:pPr>
              <w:jc w:val="right"/>
              <w:ind w:right="339"/>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0" w:type="dxa"/>
            <w:vAlign w:val="bottom"/>
          </w:tcPr>
          <w:p>
            <w:pPr>
              <w:spacing w:after="0"/>
              <w:rPr>
                <w:sz w:val="19"/>
                <w:szCs w:val="19"/>
                <w:color w:val="auto"/>
              </w:rPr>
            </w:pPr>
          </w:p>
        </w:tc>
        <w:tc>
          <w:tcPr>
            <w:tcW w:w="320" w:type="dxa"/>
            <w:vAlign w:val="bottom"/>
            <w:gridSpan w:val="3"/>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compensation contracts</w:t>
            </w:r>
          </w:p>
        </w:tc>
        <w:tc>
          <w:tcPr>
            <w:tcW w:w="3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9"/>
                <w:szCs w:val="19"/>
                <w:color w:val="auto"/>
              </w:rPr>
            </w:pPr>
          </w:p>
        </w:tc>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derivatives not designated as hedges</w:t>
            </w:r>
          </w:p>
        </w:tc>
        <w:tc>
          <w:tcPr>
            <w:tcW w:w="40" w:type="dxa"/>
            <w:vAlign w:val="bottom"/>
            <w:tcBorders>
              <w:bottom w:val="single" w:sz="8" w:color="CCEEFF"/>
            </w:tcBorders>
          </w:tcPr>
          <w:p>
            <w:pPr>
              <w:spacing w:after="0"/>
              <w:rPr>
                <w:sz w:val="19"/>
                <w:szCs w:val="19"/>
                <w:color w:val="auto"/>
              </w:rPr>
            </w:pPr>
          </w:p>
        </w:tc>
        <w:tc>
          <w:tcPr>
            <w:tcW w:w="38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gridSpan w:val="2"/>
          </w:tcPr>
          <w:p>
            <w:pPr>
              <w:jc w:val="right"/>
              <w:ind w:right="3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gridSpan w:val="2"/>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0"/>
                <w:szCs w:val="20"/>
                <w:color w:val="auto"/>
              </w:rPr>
            </w:pPr>
          </w:p>
        </w:tc>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liability derivatives</w:t>
            </w:r>
          </w:p>
        </w:tc>
        <w:tc>
          <w:tcPr>
            <w:tcW w:w="40" w:type="dxa"/>
            <w:vAlign w:val="bottom"/>
            <w:tcBorders>
              <w:bottom w:val="single" w:sz="8" w:color="CCEEFF"/>
            </w:tcBorders>
            <w:shd w:val="clear" w:color="auto" w:fill="CCEEFF"/>
          </w:tcPr>
          <w:p>
            <w:pPr>
              <w:spacing w:after="0"/>
              <w:rPr>
                <w:sz w:val="20"/>
                <w:szCs w:val="20"/>
                <w:color w:val="auto"/>
              </w:rPr>
            </w:pPr>
          </w:p>
        </w:tc>
        <w:tc>
          <w:tcPr>
            <w:tcW w:w="38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gridSpan w:val="2"/>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7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We do not offset the fair values of derivative assets and liabilities executed with the same counterparty that are generally subject to enforceable netting agreements. However, if we were to offset and record the asset and liability balances of derivatives on a net basis, the amounts presented in the Consolidated Balance Sheets as of October 29, 2023, and July 30, 2023, would be adjusted as detailed in the following table: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July 30, 2023</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8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3"/>
          </w:tcPr>
          <w:p>
            <w:pPr>
              <w:jc w:val="center"/>
              <w:ind w:right="100"/>
              <w:spacing w:after="0" w:line="128" w:lineRule="exact"/>
              <w:rPr>
                <w:sz w:val="20"/>
                <w:szCs w:val="20"/>
                <w:color w:val="auto"/>
              </w:rPr>
            </w:pPr>
            <w:r>
              <w:rPr>
                <w:rFonts w:ascii="Times New Roman" w:cs="Times New Roman" w:eastAsia="Times New Roman" w:hAnsi="Times New Roman"/>
                <w:sz w:val="14"/>
                <w:szCs w:val="14"/>
                <w:b w:val="1"/>
                <w:bCs w:val="1"/>
                <w:color w:val="auto"/>
              </w:rPr>
              <w:t>Gross Amounts Not</w:t>
            </w: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3"/>
          </w:tcPr>
          <w:p>
            <w:pPr>
              <w:jc w:val="center"/>
              <w:ind w:right="120"/>
              <w:spacing w:after="0" w:line="128" w:lineRule="exact"/>
              <w:rPr>
                <w:sz w:val="20"/>
                <w:szCs w:val="20"/>
                <w:color w:val="auto"/>
              </w:rPr>
            </w:pPr>
            <w:r>
              <w:rPr>
                <w:rFonts w:ascii="Times New Roman" w:cs="Times New Roman" w:eastAsia="Times New Roman" w:hAnsi="Times New Roman"/>
                <w:sz w:val="14"/>
                <w:szCs w:val="14"/>
                <w:b w:val="1"/>
                <w:bCs w:val="1"/>
                <w:color w:val="auto"/>
                <w:w w:val="99"/>
              </w:rPr>
              <w:t>Gross Amounts Not</w:t>
            </w: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120" w:type="dxa"/>
            <w:vAlign w:val="bottom"/>
          </w:tcPr>
          <w:p>
            <w:pPr>
              <w:spacing w:after="0"/>
              <w:rPr>
                <w:sz w:val="11"/>
                <w:szCs w:val="11"/>
                <w:color w:val="auto"/>
              </w:rPr>
            </w:pPr>
          </w:p>
        </w:tc>
        <w:tc>
          <w:tcPr>
            <w:tcW w:w="13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100" w:type="dxa"/>
            <w:vAlign w:val="bottom"/>
          </w:tcPr>
          <w:p>
            <w:pPr>
              <w:spacing w:after="0"/>
              <w:rPr>
                <w:sz w:val="11"/>
                <w:szCs w:val="11"/>
                <w:color w:val="auto"/>
              </w:rPr>
            </w:pPr>
          </w:p>
        </w:tc>
        <w:tc>
          <w:tcPr>
            <w:tcW w:w="13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Pr>
          <w:p>
            <w:pPr>
              <w:spacing w:after="0"/>
              <w:rPr>
                <w:sz w:val="12"/>
                <w:szCs w:val="12"/>
                <w:color w:val="auto"/>
              </w:rPr>
            </w:pPr>
          </w:p>
        </w:tc>
        <w:tc>
          <w:tcPr>
            <w:tcW w:w="126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120" w:type="dxa"/>
            <w:vAlign w:val="bottom"/>
          </w:tcPr>
          <w:p>
            <w:pPr>
              <w:spacing w:after="0"/>
              <w:rPr>
                <w:sz w:val="12"/>
                <w:szCs w:val="12"/>
                <w:color w:val="auto"/>
              </w:rPr>
            </w:pPr>
          </w:p>
        </w:tc>
        <w:tc>
          <w:tcPr>
            <w:tcW w:w="130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w w:val="99"/>
              </w:rPr>
              <w:t>Subject to Netting</w:t>
            </w:r>
          </w:p>
        </w:tc>
        <w:tc>
          <w:tcPr>
            <w:tcW w:w="180" w:type="dxa"/>
            <w:vAlign w:val="bottom"/>
          </w:tcPr>
          <w:p>
            <w:pPr>
              <w:spacing w:after="0"/>
              <w:rPr>
                <w:sz w:val="12"/>
                <w:szCs w:val="12"/>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40" w:type="dxa"/>
            <w:vAlign w:val="bottom"/>
          </w:tcPr>
          <w:p>
            <w:pPr>
              <w:spacing w:after="0"/>
              <w:rPr>
                <w:sz w:val="12"/>
                <w:szCs w:val="12"/>
                <w:color w:val="auto"/>
              </w:rPr>
            </w:pPr>
          </w:p>
        </w:tc>
        <w:tc>
          <w:tcPr>
            <w:tcW w:w="128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rPr>
              <w:t>Subject to Netting</w:t>
            </w:r>
          </w:p>
        </w:tc>
        <w:tc>
          <w:tcPr>
            <w:tcW w:w="180" w:type="dxa"/>
            <w:vAlign w:val="bottom"/>
          </w:tcPr>
          <w:p>
            <w:pPr>
              <w:spacing w:after="0"/>
              <w:rPr>
                <w:sz w:val="12"/>
                <w:szCs w:val="12"/>
                <w:color w:val="auto"/>
              </w:rPr>
            </w:pPr>
          </w:p>
        </w:tc>
        <w:tc>
          <w:tcPr>
            <w:tcW w:w="1100" w:type="dxa"/>
            <w:vAlign w:val="bottom"/>
            <w:vMerge w:val="restart"/>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3"/>
        </w:trPr>
        <w:tc>
          <w:tcPr>
            <w:tcW w:w="28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2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0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 derivatives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3"/>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liability derivatives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bl>
    <w:p>
      <w:pPr>
        <w:spacing w:after="0" w:line="15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are required to maintain cash margin accounts in connection with funding the settlement of open positions for exchange-traded commodity derivative instruments. Cash margin asset balances of $18 million at October 29, 2023, and $2 million at July 30, 2023, were included in Other current assets in the Consolidated Balance Sheets.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6" w:name="page17"/>
    <w:bookmarkEnd w:id="16"/>
    <w:p>
      <w:pPr>
        <w:jc w:val="both"/>
        <w:ind w:firstLine="318"/>
        <w:spacing w:after="0" w:line="265" w:lineRule="auto"/>
        <w:rPr>
          <w:sz w:val="20"/>
          <w:szCs w:val="20"/>
          <w:color w:val="auto"/>
        </w:rPr>
      </w:pPr>
      <w:r>
        <w:rPr>
          <w:rFonts w:ascii="Times New Roman" w:cs="Times New Roman" w:eastAsia="Times New Roman" w:hAnsi="Times New Roman"/>
          <w:sz w:val="18"/>
          <w:szCs w:val="18"/>
          <w:color w:val="auto"/>
        </w:rPr>
        <w:t>The following table shows the effect of our derivative instruments designated as cash-flow hedges for the three-month periods ended October 29, 2023, and October 30, 2022, in other comprehensive income (loss) (OCI) and the Consolidated Statements of Earnings:</w:t>
      </w:r>
    </w:p>
    <w:tbl>
      <w:tblPr>
        <w:tblLayout w:type="fixed"/>
        <w:tblInd w:w="10" w:type="dxa"/>
        <w:tblCellMar>
          <w:top w:w="0" w:type="dxa"/>
          <w:left w:w="0" w:type="dxa"/>
          <w:bottom w:w="0" w:type="dxa"/>
          <w:right w:w="0" w:type="dxa"/>
        </w:tblCellMar>
      </w:tblPr>
      <w:tr>
        <w:trPr>
          <w:trHeight w:val="144"/>
        </w:trPr>
        <w:tc>
          <w:tcPr>
            <w:tcW w:w="16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60" w:type="dxa"/>
            <w:vAlign w:val="bottom"/>
            <w:gridSpan w:val="3"/>
          </w:tcPr>
          <w:p>
            <w:pPr>
              <w:jc w:val="right"/>
              <w:ind w:right="58"/>
              <w:spacing w:after="0" w:line="145" w:lineRule="exact"/>
              <w:rPr>
                <w:sz w:val="20"/>
                <w:szCs w:val="20"/>
                <w:color w:val="auto"/>
              </w:rPr>
            </w:pPr>
            <w:r>
              <w:rPr>
                <w:rFonts w:ascii="Times New Roman" w:cs="Times New Roman" w:eastAsia="Times New Roman" w:hAnsi="Times New Roman"/>
                <w:sz w:val="14"/>
                <w:szCs w:val="14"/>
                <w:b w:val="1"/>
                <w:bCs w:val="1"/>
                <w:color w:val="auto"/>
              </w:rPr>
              <w:t>Total Cash-Flow Hedge</w:t>
            </w:r>
          </w:p>
        </w:tc>
        <w:tc>
          <w:tcPr>
            <w:tcW w:w="380" w:type="dxa"/>
            <w:vAlign w:val="bottom"/>
          </w:tcPr>
          <w:p>
            <w:pPr>
              <w:spacing w:after="0"/>
              <w:rPr>
                <w:sz w:val="12"/>
                <w:szCs w:val="12"/>
                <w:color w:val="auto"/>
              </w:rPr>
            </w:pPr>
          </w:p>
        </w:tc>
      </w:tr>
      <w:tr>
        <w:trPr>
          <w:trHeight w:val="192"/>
        </w:trPr>
        <w:tc>
          <w:tcPr>
            <w:tcW w:w="16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OCI Activity</w:t>
            </w:r>
          </w:p>
        </w:tc>
        <w:tc>
          <w:tcPr>
            <w:tcW w:w="380" w:type="dxa"/>
            <w:vAlign w:val="bottom"/>
            <w:tcBorders>
              <w:bottom w:val="single" w:sz="8" w:color="auto"/>
            </w:tcBorders>
          </w:tcPr>
          <w:p>
            <w:pPr>
              <w:spacing w:after="0"/>
              <w:rPr>
                <w:sz w:val="16"/>
                <w:szCs w:val="16"/>
                <w:color w:val="auto"/>
              </w:rPr>
            </w:pPr>
          </w:p>
        </w:tc>
      </w:tr>
      <w:tr>
        <w:trPr>
          <w:trHeight w:val="192"/>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5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30, 2022</w:t>
            </w:r>
          </w:p>
        </w:tc>
      </w:tr>
      <w:tr>
        <w:trPr>
          <w:trHeight w:val="172"/>
        </w:trPr>
        <w:tc>
          <w:tcPr>
            <w:tcW w:w="6180" w:type="dxa"/>
            <w:vAlign w:val="bottom"/>
            <w:tcBorders>
              <w:top w:val="single" w:sz="8" w:color="CCEEFF"/>
              <w:left w:val="single" w:sz="8" w:color="CCEEFF"/>
            </w:tcBorders>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158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r>
      <w:tr>
        <w:trPr>
          <w:trHeight w:val="40"/>
        </w:trPr>
        <w:tc>
          <w:tcPr>
            <w:tcW w:w="1620" w:type="dxa"/>
            <w:vAlign w:val="bottom"/>
            <w:tcBorders>
              <w:left w:val="single" w:sz="8" w:color="CCEEFF"/>
            </w:tcBorders>
            <w:shd w:val="clear" w:color="auto" w:fill="000000"/>
          </w:tcPr>
          <w:p>
            <w:pPr>
              <w:spacing w:after="0"/>
              <w:rPr>
                <w:sz w:val="3"/>
                <w:szCs w:val="3"/>
                <w:color w:val="auto"/>
              </w:rPr>
            </w:pPr>
          </w:p>
        </w:tc>
        <w:tc>
          <w:tcPr>
            <w:tcW w:w="456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r>
      <w:tr>
        <w:trPr>
          <w:trHeight w:val="225"/>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OCI derivative gain (loss) at beginning of quarter</w:t>
            </w:r>
          </w:p>
        </w:tc>
        <w:tc>
          <w:tcPr>
            <w:tcW w:w="292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Pr>
          <w:p>
            <w:pPr>
              <w:spacing w:after="0"/>
              <w:rPr>
                <w:sz w:val="19"/>
                <w:szCs w:val="19"/>
                <w:color w:val="auto"/>
              </w:rPr>
            </w:pPr>
          </w:p>
        </w:tc>
        <w:tc>
          <w:tcPr>
            <w:tcW w:w="800" w:type="dxa"/>
            <w:vAlign w:val="bottom"/>
          </w:tcPr>
          <w:p>
            <w:pPr>
              <w:jc w:val="right"/>
              <w:ind w:right="618"/>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18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portion of changes in fair value recognized in OCI:</w:t>
            </w:r>
          </w:p>
        </w:tc>
        <w:tc>
          <w:tcPr>
            <w:tcW w:w="15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r>
      <w:tr>
        <w:trPr>
          <w:trHeight w:val="225"/>
        </w:trPr>
        <w:tc>
          <w:tcPr>
            <w:tcW w:w="6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1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5"/>
        </w:trPr>
        <w:tc>
          <w:tcPr>
            <w:tcW w:w="6180" w:type="dxa"/>
            <w:vAlign w:val="bottom"/>
            <w:tcBorders>
              <w:lef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Forward starting interest rate swaps</w:t>
            </w:r>
          </w:p>
        </w:tc>
        <w:tc>
          <w:tcPr>
            <w:tcW w:w="15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5"/>
        </w:trPr>
        <w:tc>
          <w:tcPr>
            <w:tcW w:w="6180" w:type="dxa"/>
            <w:vAlign w:val="bottom"/>
            <w:gridSpan w:val="2"/>
          </w:tcPr>
          <w:p>
            <w:pPr>
              <w:ind w:left="20"/>
              <w:spacing w:after="0" w:line="186" w:lineRule="exact"/>
              <w:rPr>
                <w:sz w:val="20"/>
                <w:szCs w:val="20"/>
                <w:color w:val="auto"/>
              </w:rPr>
            </w:pPr>
            <w:r>
              <w:rPr>
                <w:rFonts w:ascii="Times New Roman" w:cs="Times New Roman" w:eastAsia="Times New Roman" w:hAnsi="Times New Roman"/>
                <w:sz w:val="18"/>
                <w:szCs w:val="18"/>
                <w:color w:val="auto"/>
              </w:rPr>
              <w:t>Amount of loss (gain) reclassified from OCI to earnings:</w:t>
            </w:r>
          </w:p>
        </w:tc>
        <w:tc>
          <w:tcPr>
            <w:tcW w:w="2920" w:type="dxa"/>
            <w:vAlign w:val="bottom"/>
            <w:gridSpan w:val="3"/>
          </w:tcPr>
          <w:p>
            <w:pPr>
              <w:spacing w:after="0" w:line="186" w:lineRule="exact"/>
              <w:rPr>
                <w:sz w:val="20"/>
                <w:szCs w:val="20"/>
                <w:color w:val="auto"/>
              </w:rPr>
            </w:pPr>
            <w:r>
              <w:rPr>
                <w:rFonts w:ascii="Times New Roman" w:cs="Times New Roman" w:eastAsia="Times New Roman" w:hAnsi="Times New Roman"/>
                <w:sz w:val="18"/>
                <w:szCs w:val="18"/>
                <w:b w:val="1"/>
                <w:bCs w:val="1"/>
                <w:color w:val="auto"/>
              </w:rPr>
              <w:t>Location in Earnings</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235"/>
        </w:trPr>
        <w:tc>
          <w:tcPr>
            <w:tcW w:w="6180" w:type="dxa"/>
            <w:vAlign w:val="bottom"/>
            <w:tcBorders>
              <w:lef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Commodity contracts</w:t>
            </w:r>
          </w:p>
        </w:tc>
        <w:tc>
          <w:tcPr>
            <w:tcW w:w="1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1340" w:type="dxa"/>
            <w:vAlign w:val="bottom"/>
            <w:gridSpan w:val="2"/>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5"/>
        </w:trPr>
        <w:tc>
          <w:tcPr>
            <w:tcW w:w="6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6180" w:type="dxa"/>
            <w:vAlign w:val="bottom"/>
            <w:tcBorders>
              <w:top w:val="single" w:sz="8" w:color="CCEEFF"/>
              <w:left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OCI derivative gain (loss) at end of quarter</w:t>
            </w:r>
          </w:p>
        </w:tc>
        <w:tc>
          <w:tcPr>
            <w:tcW w:w="158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ind w:right="618"/>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Based on current valuations, the amount expected to be reclassified from OCI into earnings within the next 12 months is a gain of $3 million.</w:t>
      </w:r>
    </w:p>
    <w:p>
      <w:pPr>
        <w:spacing w:after="0" w:line="9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following table shows the total amounts of line items presented in the Consolidated Statements of Earnings for the three-month periods ended October 29, 2023, and October 30, 2022, in which the effects of derivative instruments designated as cash-flow hedges are recorded and the total effect of hedge activity on these line items are as follows:</w:t>
      </w:r>
    </w:p>
    <w:p>
      <w:pPr>
        <w:sectPr>
          <w:pgSz w:w="11900" w:h="16838" w:orient="portrait"/>
          <w:cols w:equalWidth="0" w:num="1">
            <w:col w:w="11240"/>
          </w:cols>
          <w:pgMar w:left="320" w:top="9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Statements of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7134860" cy="1511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Loss (gain) on cash-flow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7134860" cy="142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Amount of loss (gain) reclassified from OCI to earnings</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300" w:type="dxa"/>
            <w:vAlign w:val="bottom"/>
            <w:tcBorders>
              <w:top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12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October 30, 2022</w:t>
            </w:r>
          </w:p>
        </w:tc>
      </w:tr>
      <w:tr>
        <w:trPr>
          <w:trHeight w:val="134"/>
        </w:trPr>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21"/>
              <w:spacing w:after="0" w:line="134" w:lineRule="exact"/>
              <w:rPr>
                <w:sz w:val="20"/>
                <w:szCs w:val="20"/>
                <w:color w:val="auto"/>
              </w:rPr>
            </w:pPr>
            <w:r>
              <w:rPr>
                <w:rFonts w:ascii="Times New Roman" w:cs="Times New Roman" w:eastAsia="Times New Roman" w:hAnsi="Times New Roman"/>
                <w:sz w:val="14"/>
                <w:szCs w:val="14"/>
                <w:b w:val="1"/>
                <w:bCs w:val="1"/>
                <w:color w:val="auto"/>
              </w:rPr>
              <w:t>Cost of products</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21"/>
              <w:spacing w:after="0" w:line="134" w:lineRule="exact"/>
              <w:rPr>
                <w:sz w:val="20"/>
                <w:szCs w:val="20"/>
                <w:color w:val="auto"/>
              </w:rPr>
            </w:pPr>
            <w:r>
              <w:rPr>
                <w:rFonts w:ascii="Times New Roman" w:cs="Times New Roman" w:eastAsia="Times New Roman" w:hAnsi="Times New Roman"/>
                <w:sz w:val="14"/>
                <w:szCs w:val="14"/>
                <w:b w:val="1"/>
                <w:bCs w:val="1"/>
                <w:color w:val="auto"/>
              </w:rPr>
              <w:t>Cost of products</w:t>
            </w:r>
          </w:p>
        </w:tc>
      </w:tr>
      <w:tr>
        <w:trPr>
          <w:trHeight w:val="191"/>
        </w:trPr>
        <w:tc>
          <w:tcPr>
            <w:tcW w:w="10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sold</w:t>
            </w:r>
          </w:p>
        </w:tc>
        <w:tc>
          <w:tcPr>
            <w:tcW w:w="100" w:type="dxa"/>
            <w:vAlign w:val="bottom"/>
          </w:tcPr>
          <w:p>
            <w:pPr>
              <w:spacing w:after="0"/>
              <w:rPr>
                <w:sz w:val="16"/>
                <w:szCs w:val="16"/>
                <w:color w:val="auto"/>
              </w:rPr>
            </w:pPr>
          </w:p>
        </w:tc>
        <w:tc>
          <w:tcPr>
            <w:tcW w:w="110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99"/>
              </w:rPr>
              <w:t>sold</w:t>
            </w:r>
          </w:p>
        </w:tc>
      </w:tr>
      <w:tr>
        <w:trPr>
          <w:trHeight w:val="232"/>
        </w:trPr>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1,730</w:t>
            </w:r>
          </w:p>
        </w:tc>
        <w:tc>
          <w:tcPr>
            <w:tcW w:w="1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w:t>
            </w:r>
          </w:p>
        </w:tc>
      </w:tr>
      <w:tr>
        <w:trPr>
          <w:trHeight w:val="708"/>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pacing w:after="0" w:line="166" w:lineRule="exact"/>
        <w:rPr>
          <w:sz w:val="20"/>
          <w:szCs w:val="20"/>
          <w:color w:val="auto"/>
        </w:rPr>
      </w:pPr>
    </w:p>
    <w:p>
      <w:pPr>
        <w:sectPr>
          <w:pgSz w:w="11900" w:h="16838" w:orient="portrait"/>
          <w:cols w:equalWidth="0" w:num="2">
            <w:col w:w="8020" w:space="720"/>
            <w:col w:w="2500"/>
          </w:cols>
          <w:pgMar w:left="320" w:top="969" w:right="339" w:bottom="1440" w:gutter="0" w:footer="0" w:header="0"/>
          <w:type w:val="continuous"/>
        </w:sectPr>
      </w:pPr>
    </w:p>
    <w:p>
      <w:pPr>
        <w:ind w:right="20" w:firstLine="318"/>
        <w:spacing w:after="0" w:line="274" w:lineRule="auto"/>
        <w:rPr>
          <w:sz w:val="20"/>
          <w:szCs w:val="20"/>
          <w:color w:val="auto"/>
        </w:rPr>
      </w:pPr>
      <w:r>
        <w:rPr>
          <w:rFonts w:ascii="Times New Roman" w:cs="Times New Roman" w:eastAsia="Times New Roman" w:hAnsi="Times New Roman"/>
          <w:sz w:val="18"/>
          <w:szCs w:val="18"/>
          <w:color w:val="auto"/>
        </w:rPr>
        <w:t>The amount excluded from effectiveness testing recognized in each line item of earnings using an amortization approach was not material in all periods presented.</w:t>
      </w:r>
    </w:p>
    <w:p>
      <w:pPr>
        <w:spacing w:after="0" w:line="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shows the effects of our derivative instruments not designated as hedges in the Consolidated Statements of Earnings: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gridSpan w:val="3"/>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6"/>
                <w:szCs w:val="16"/>
                <w:color w:val="auto"/>
              </w:rPr>
            </w:pPr>
          </w:p>
        </w:tc>
      </w:tr>
      <w:tr>
        <w:trPr>
          <w:trHeight w:val="24"/>
        </w:trPr>
        <w:tc>
          <w:tcPr>
            <w:tcW w:w="40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r>
      <w:tr>
        <w:trPr>
          <w:trHeight w:val="327"/>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4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Location of Loss (Gain) Recognized in Earnings</w:t>
            </w:r>
          </w:p>
        </w:tc>
        <w:tc>
          <w:tcPr>
            <w:tcW w:w="13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30, 2022</w:t>
            </w:r>
          </w:p>
        </w:tc>
      </w:tr>
      <w:tr>
        <w:trPr>
          <w:trHeight w:val="24"/>
        </w:trPr>
        <w:tc>
          <w:tcPr>
            <w:tcW w:w="4060" w:type="dxa"/>
            <w:vAlign w:val="bottom"/>
            <w:tcBorders>
              <w:bottom w:val="single" w:sz="8" w:color="CCEEFF"/>
            </w:tcBorders>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1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8"/>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5"/>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 contracts</w:t>
            </w:r>
          </w:p>
        </w:tc>
        <w:tc>
          <w:tcPr>
            <w:tcW w:w="4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5"/>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contracts</w:t>
            </w:r>
          </w:p>
        </w:tc>
        <w:tc>
          <w:tcPr>
            <w:tcW w:w="4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8"/>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loss (gain)</w:t>
            </w:r>
          </w:p>
        </w:tc>
        <w:tc>
          <w:tcPr>
            <w:tcW w:w="4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40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 Measurements</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categorize financial assets and liabilities based on the following fair value hierarchy:</w:t>
      </w:r>
    </w:p>
    <w:p>
      <w:pPr>
        <w:spacing w:after="0" w:line="98" w:lineRule="exact"/>
        <w:rPr>
          <w:sz w:val="20"/>
          <w:szCs w:val="20"/>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Observable inputs that reflect quoted prices (unadjusted) for identical assets or liabilities in active markets.</w:t>
      </w:r>
    </w:p>
    <w:p>
      <w:pPr>
        <w:spacing w:after="0" w:line="8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quoted prices included in Level 1 that are observable for the asset or liability through corroboration with observable market data.</w:t>
      </w:r>
    </w:p>
    <w:p>
      <w:pPr>
        <w:spacing w:after="0" w:line="4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which are valued based on our estimates of assumptions that market participants would use in pricing the asset or liability.</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type w:val="continuous"/>
        </w:sectPr>
      </w:pPr>
    </w:p>
    <w:bookmarkStart w:id="17" w:name="page18"/>
    <w:bookmarkEnd w:id="17"/>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Fair value is defined as the exit price, or the amount that would be received to sell an asset or paid to transfer a liability in an orderly transaction between market participants as of the measurement date. When available, we use unadjusted quoted market prices to measure the fair value and classify such items as Level 1. If quoted market prices are not available, we base fair value upon internally developed models that use current market-based or independently sourced market parameters such as interest rates and currency rates. Included in the fair value of derivative instruments is an adjustment for credit and nonperformance risk.</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102" w:lineRule="exact"/>
        <w:rPr>
          <w:sz w:val="20"/>
          <w:szCs w:val="20"/>
          <w:color w:val="auto"/>
        </w:rPr>
      </w:pPr>
    </w:p>
    <w:p>
      <w:pPr>
        <w:ind w:right="280"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tables present our financial assets and liabilities that are measured at fair value on a recurring basis as of October 29, 2023, and July 30, 2023, consistent with the fair value hierarchy:</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20" w:type="dxa"/>
            <w:vAlign w:val="bottom"/>
            <w:gridSpan w:val="9"/>
          </w:tcPr>
          <w:p>
            <w:pPr>
              <w:jc w:val="center"/>
              <w:ind w:left="516"/>
              <w:spacing w:after="0"/>
              <w:rPr>
                <w:sz w:val="20"/>
                <w:szCs w:val="20"/>
                <w:color w:val="auto"/>
              </w:rPr>
            </w:pPr>
            <w:r>
              <w:rPr>
                <w:rFonts w:ascii="Times New Roman" w:cs="Times New Roman" w:eastAsia="Times New Roman" w:hAnsi="Times New Roman"/>
                <w:sz w:val="14"/>
                <w:szCs w:val="14"/>
                <w:b w:val="1"/>
                <w:bCs w:val="1"/>
                <w:color w:val="auto"/>
                <w:w w:val="99"/>
              </w:rPr>
              <w:t>Fair Value Measurements at</w:t>
            </w: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40" w:type="dxa"/>
            <w:vAlign w:val="bottom"/>
            <w:gridSpan w:val="9"/>
          </w:tcPr>
          <w:p>
            <w:pPr>
              <w:jc w:val="center"/>
              <w:ind w:left="536"/>
              <w:spacing w:after="0"/>
              <w:rPr>
                <w:sz w:val="20"/>
                <w:szCs w:val="20"/>
                <w:color w:val="auto"/>
              </w:rPr>
            </w:pPr>
            <w:r>
              <w:rPr>
                <w:rFonts w:ascii="Times New Roman" w:cs="Times New Roman" w:eastAsia="Times New Roman" w:hAnsi="Times New Roman"/>
                <w:sz w:val="14"/>
                <w:szCs w:val="14"/>
                <w:b w:val="1"/>
                <w:bCs w:val="1"/>
                <w:color w:val="auto"/>
                <w:w w:val="99"/>
              </w:rPr>
              <w:t>Fair Value Measurements at</w:t>
            </w: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20" w:type="dxa"/>
            <w:vAlign w:val="bottom"/>
            <w:gridSpan w:val="8"/>
          </w:tcPr>
          <w:p>
            <w:pPr>
              <w:jc w:val="center"/>
              <w:ind w:right="92"/>
              <w:spacing w:after="0" w:line="144" w:lineRule="exact"/>
              <w:rPr>
                <w:sz w:val="20"/>
                <w:szCs w:val="20"/>
                <w:color w:val="auto"/>
              </w:rPr>
            </w:pPr>
            <w:r>
              <w:rPr>
                <w:rFonts w:ascii="Times New Roman" w:cs="Times New Roman" w:eastAsia="Times New Roman" w:hAnsi="Times New Roman"/>
                <w:sz w:val="14"/>
                <w:szCs w:val="14"/>
                <w:b w:val="1"/>
                <w:bCs w:val="1"/>
                <w:color w:val="auto"/>
              </w:rPr>
              <w:t>October 29, 2023 Using</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6"/>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July 30, 2023 Using</w:t>
            </w: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130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 Hierarchy</w:t>
            </w: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1300" w:type="dxa"/>
            <w:vAlign w:val="bottom"/>
            <w:gridSpan w:val="6"/>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Fair Value Hierarchy</w:t>
            </w: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tcPr>
          <w:p>
            <w:pPr>
              <w:jc w:val="center"/>
              <w:ind w:right="260"/>
              <w:spacing w:after="0" w:line="124" w:lineRule="exact"/>
              <w:rPr>
                <w:sz w:val="20"/>
                <w:szCs w:val="20"/>
                <w:color w:val="auto"/>
              </w:rPr>
            </w:pPr>
            <w:r>
              <w:rPr>
                <w:rFonts w:ascii="Times New Roman" w:cs="Times New Roman" w:eastAsia="Times New Roman" w:hAnsi="Times New Roman"/>
                <w:sz w:val="14"/>
                <w:szCs w:val="14"/>
                <w:b w:val="1"/>
                <w:bCs w:val="1"/>
                <w:color w:val="auto"/>
              </w:rPr>
              <w:t>as of</w:t>
            </w:r>
          </w:p>
        </w:tc>
        <w:tc>
          <w:tcPr>
            <w:tcW w:w="2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6"/>
            <w:vMerge w:val="continue"/>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3"/>
          </w:tcPr>
          <w:p>
            <w:pPr>
              <w:jc w:val="center"/>
              <w:ind w:right="240"/>
              <w:spacing w:after="0" w:line="124" w:lineRule="exact"/>
              <w:rPr>
                <w:sz w:val="20"/>
                <w:szCs w:val="20"/>
                <w:color w:val="auto"/>
              </w:rPr>
            </w:pPr>
            <w:r>
              <w:rPr>
                <w:rFonts w:ascii="Times New Roman" w:cs="Times New Roman" w:eastAsia="Times New Roman" w:hAnsi="Times New Roman"/>
                <w:sz w:val="14"/>
                <w:szCs w:val="14"/>
                <w:b w:val="1"/>
                <w:bCs w:val="1"/>
                <w:color w:val="auto"/>
              </w:rPr>
              <w:t>as of</w:t>
            </w:r>
          </w:p>
        </w:tc>
        <w:tc>
          <w:tcPr>
            <w:tcW w:w="2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6"/>
            <w:vMerge w:val="continue"/>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220" w:type="dxa"/>
            <w:vAlign w:val="bottom"/>
          </w:tcPr>
          <w:p>
            <w:pPr>
              <w:spacing w:after="0"/>
              <w:rPr>
                <w:sz w:val="16"/>
                <w:szCs w:val="16"/>
                <w:color w:val="auto"/>
              </w:rPr>
            </w:pPr>
          </w:p>
        </w:tc>
        <w:tc>
          <w:tcPr>
            <w:tcW w:w="80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6"/>
                <w:szCs w:val="16"/>
                <w:color w:val="auto"/>
              </w:rPr>
            </w:pPr>
          </w:p>
        </w:tc>
        <w:tc>
          <w:tcPr>
            <w:tcW w:w="9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6"/>
                <w:szCs w:val="16"/>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July 30, 2023</w:t>
            </w:r>
          </w:p>
        </w:tc>
        <w:tc>
          <w:tcPr>
            <w:tcW w:w="200" w:type="dxa"/>
            <w:vAlign w:val="bottom"/>
          </w:tcPr>
          <w:p>
            <w:pPr>
              <w:spacing w:after="0"/>
              <w:rPr>
                <w:sz w:val="16"/>
                <w:szCs w:val="16"/>
                <w:color w:val="auto"/>
              </w:rPr>
            </w:pPr>
          </w:p>
        </w:tc>
        <w:tc>
          <w:tcPr>
            <w:tcW w:w="86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2"/>
        </w:trPr>
        <w:tc>
          <w:tcPr>
            <w:tcW w:w="40" w:type="dxa"/>
            <w:vAlign w:val="bottom"/>
            <w:tcBorders>
              <w:top w:val="single" w:sz="8" w:color="CCEEFF"/>
              <w:right w:val="single" w:sz="8" w:color="CCEEFF"/>
            </w:tcBorders>
            <w:shd w:val="clear" w:color="auto" w:fill="CCEEFF"/>
          </w:tcPr>
          <w:p>
            <w:pPr>
              <w:spacing w:after="0"/>
              <w:rPr>
                <w:sz w:val="14"/>
                <w:szCs w:val="14"/>
                <w:color w:val="auto"/>
              </w:rPr>
            </w:pPr>
          </w:p>
        </w:tc>
        <w:tc>
          <w:tcPr>
            <w:tcW w:w="1780" w:type="dxa"/>
            <w:vAlign w:val="bottom"/>
            <w:tcBorders>
              <w:top w:val="single" w:sz="8" w:color="CCEEFF"/>
            </w:tcBorders>
            <w:gridSpan w:val="3"/>
            <w:shd w:val="clear" w:color="auto" w:fill="CCEEFF"/>
          </w:tcPr>
          <w:p>
            <w:pPr>
              <w:spacing w:after="0" w:line="172" w:lineRule="exact"/>
              <w:rPr>
                <w:sz w:val="20"/>
                <w:szCs w:val="20"/>
                <w:color w:val="auto"/>
              </w:rPr>
            </w:pPr>
            <w:r>
              <w:rPr>
                <w:rFonts w:ascii="Times New Roman" w:cs="Times New Roman" w:eastAsia="Times New Roman" w:hAnsi="Times New Roman"/>
                <w:sz w:val="18"/>
                <w:szCs w:val="18"/>
                <w:color w:val="auto"/>
              </w:rPr>
              <w:t>Assets</w:t>
            </w:r>
          </w:p>
        </w:tc>
        <w:tc>
          <w:tcPr>
            <w:tcW w:w="1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40" w:type="dxa"/>
            <w:vAlign w:val="bottom"/>
            <w:tcBorders>
              <w:right w:val="single" w:sz="8" w:color="auto"/>
            </w:tcBorders>
            <w:shd w:val="clear" w:color="auto" w:fill="CCEEFF"/>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2"/>
        </w:trPr>
        <w:tc>
          <w:tcPr>
            <w:tcW w:w="40" w:type="dxa"/>
            <w:vAlign w:val="bottom"/>
          </w:tcPr>
          <w:p>
            <w:pPr>
              <w:spacing w:after="0"/>
              <w:rPr>
                <w:sz w:val="14"/>
                <w:szCs w:val="14"/>
                <w:color w:val="auto"/>
              </w:rPr>
            </w:pPr>
          </w:p>
        </w:tc>
        <w:tc>
          <w:tcPr>
            <w:tcW w:w="1780" w:type="dxa"/>
            <w:vAlign w:val="bottom"/>
            <w:gridSpan w:val="3"/>
          </w:tcPr>
          <w:p>
            <w:pPr>
              <w:ind w:left="100"/>
              <w:spacing w:after="0" w:line="172" w:lineRule="exact"/>
              <w:rPr>
                <w:sz w:val="20"/>
                <w:szCs w:val="20"/>
                <w:color w:val="auto"/>
              </w:rPr>
            </w:pPr>
            <w:r>
              <w:rPr>
                <w:rFonts w:ascii="Times New Roman" w:cs="Times New Roman" w:eastAsia="Times New Roman" w:hAnsi="Times New Roman"/>
                <w:sz w:val="18"/>
                <w:szCs w:val="18"/>
                <w:color w:val="auto"/>
              </w:rPr>
              <w:t>Foreign exchange</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14"/>
                <w:szCs w:val="14"/>
                <w:color w:val="auto"/>
              </w:rPr>
            </w:pPr>
          </w:p>
        </w:tc>
        <w:tc>
          <w:tcPr>
            <w:tcW w:w="22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4"/>
            <w:vMerge w:val="restart"/>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1780" w:type="dxa"/>
            <w:vAlign w:val="bottom"/>
            <w:gridSpan w:val="3"/>
          </w:tcPr>
          <w:p>
            <w:pPr>
              <w:ind w:left="100"/>
              <w:spacing w:after="0" w:line="239" w:lineRule="exact"/>
              <w:rPr>
                <w:sz w:val="20"/>
                <w:szCs w:val="20"/>
                <w:color w:val="auto"/>
              </w:rPr>
            </w:pPr>
            <w:r>
              <w:rPr>
                <w:rFonts w:ascii="Times New Roman" w:cs="Times New Roman" w:eastAsia="Times New Roman" w:hAnsi="Times New Roman"/>
                <w:sz w:val="18"/>
                <w:szCs w:val="18"/>
                <w:color w:val="auto"/>
              </w:rPr>
              <w:t>forward contracts</w:t>
            </w:r>
            <w:r>
              <w:rPr>
                <w:rFonts w:ascii="Times New Roman" w:cs="Times New Roman" w:eastAsia="Times New Roman" w:hAnsi="Times New Roman"/>
                <w:sz w:val="22"/>
                <w:szCs w:val="22"/>
                <w:color w:val="auto"/>
                <w:vertAlign w:val="superscript"/>
              </w:rPr>
              <w:t>(1)</w:t>
            </w:r>
          </w:p>
        </w:tc>
        <w:tc>
          <w:tcPr>
            <w:tcW w:w="16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380" w:type="dxa"/>
            <w:vAlign w:val="bottom"/>
            <w:gridSpan w:val="4"/>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vMerge w:val="continue"/>
          </w:tcPr>
          <w:p>
            <w:pPr>
              <w:spacing w:after="0"/>
              <w:rPr>
                <w:sz w:val="20"/>
                <w:szCs w:val="20"/>
                <w:color w:val="auto"/>
              </w:rPr>
            </w:pPr>
          </w:p>
        </w:tc>
        <w:tc>
          <w:tcPr>
            <w:tcW w:w="940" w:type="dxa"/>
            <w:vAlign w:val="bottom"/>
            <w:gridSpan w:val="4"/>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4"/>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40" w:type="dxa"/>
            <w:vAlign w:val="bottom"/>
            <w:tcBorders>
              <w:right w:val="single" w:sz="8" w:color="CCEEFF"/>
            </w:tcBorders>
            <w:shd w:val="clear" w:color="auto" w:fill="CCEEFF"/>
          </w:tcPr>
          <w:p>
            <w:pPr>
              <w:spacing w:after="0"/>
              <w:rPr>
                <w:sz w:val="14"/>
                <w:szCs w:val="14"/>
                <w:color w:val="auto"/>
              </w:rPr>
            </w:pPr>
          </w:p>
        </w:tc>
        <w:tc>
          <w:tcPr>
            <w:tcW w:w="1780" w:type="dxa"/>
            <w:vAlign w:val="bottom"/>
            <w:gridSpan w:val="3"/>
            <w:shd w:val="clear" w:color="auto" w:fill="CCEEFF"/>
          </w:tcPr>
          <w:p>
            <w:pPr>
              <w:ind w:left="100"/>
              <w:spacing w:after="0" w:line="172" w:lineRule="exact"/>
              <w:rPr>
                <w:sz w:val="20"/>
                <w:szCs w:val="20"/>
                <w:color w:val="auto"/>
              </w:rPr>
            </w:pPr>
            <w:r>
              <w:rPr>
                <w:rFonts w:ascii="Times New Roman" w:cs="Times New Roman" w:eastAsia="Times New Roman" w:hAnsi="Times New Roman"/>
                <w:sz w:val="18"/>
                <w:szCs w:val="18"/>
                <w:color w:val="auto"/>
              </w:rPr>
              <w:t>Commodity derivative</w:t>
            </w:r>
          </w:p>
        </w:tc>
        <w:tc>
          <w:tcPr>
            <w:tcW w:w="1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CCEEFF"/>
            </w:tcBorders>
            <w:shd w:val="clear" w:color="auto" w:fill="CCEEFF"/>
          </w:tcPr>
          <w:p>
            <w:pPr>
              <w:spacing w:after="0"/>
              <w:rPr>
                <w:sz w:val="20"/>
                <w:szCs w:val="20"/>
                <w:color w:val="auto"/>
              </w:rPr>
            </w:pPr>
          </w:p>
        </w:tc>
        <w:tc>
          <w:tcPr>
            <w:tcW w:w="1780" w:type="dxa"/>
            <w:vAlign w:val="bottom"/>
            <w:gridSpan w:val="3"/>
            <w:shd w:val="clear" w:color="auto" w:fill="CCEEFF"/>
          </w:tcPr>
          <w:p>
            <w:pPr>
              <w:ind w:left="100"/>
              <w:spacing w:after="0" w:line="239" w:lineRule="exact"/>
              <w:rPr>
                <w:sz w:val="20"/>
                <w:szCs w:val="20"/>
                <w:color w:val="auto"/>
              </w:rPr>
            </w:pPr>
            <w:r>
              <w:rPr>
                <w:rFonts w:ascii="Times New Roman" w:cs="Times New Roman" w:eastAsia="Times New Roman" w:hAnsi="Times New Roman"/>
                <w:sz w:val="18"/>
                <w:szCs w:val="18"/>
                <w:color w:val="auto"/>
              </w:rPr>
              <w:t>contracts</w:t>
            </w:r>
            <w:r>
              <w:rPr>
                <w:rFonts w:ascii="Times New Roman" w:cs="Times New Roman" w:eastAsia="Times New Roman" w:hAnsi="Times New Roman"/>
                <w:sz w:val="22"/>
                <w:szCs w:val="22"/>
                <w:color w:val="auto"/>
                <w:vertAlign w:val="superscript"/>
              </w:rPr>
              <w:t>(2)</w:t>
            </w:r>
          </w:p>
        </w:tc>
        <w:tc>
          <w:tcPr>
            <w:tcW w:w="160" w:type="dxa"/>
            <w:vAlign w:val="bottom"/>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1780" w:type="dxa"/>
            <w:vAlign w:val="bottom"/>
            <w:gridSpan w:val="3"/>
          </w:tcPr>
          <w:p>
            <w:pPr>
              <w:ind w:left="100"/>
              <w:spacing w:after="0" w:line="172" w:lineRule="exact"/>
              <w:rPr>
                <w:sz w:val="20"/>
                <w:szCs w:val="20"/>
                <w:color w:val="auto"/>
              </w:rPr>
            </w:pPr>
            <w:r>
              <w:rPr>
                <w:rFonts w:ascii="Times New Roman" w:cs="Times New Roman" w:eastAsia="Times New Roman" w:hAnsi="Times New Roman"/>
                <w:sz w:val="18"/>
                <w:szCs w:val="18"/>
                <w:color w:val="auto"/>
                <w:w w:val="98"/>
              </w:rPr>
              <w:t>Deferred compensation</w:t>
            </w:r>
          </w:p>
        </w:tc>
        <w:tc>
          <w:tcPr>
            <w:tcW w:w="16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4"/>
                <w:szCs w:val="14"/>
                <w:color w:val="auto"/>
              </w:rPr>
            </w:pPr>
          </w:p>
        </w:tc>
        <w:tc>
          <w:tcPr>
            <w:tcW w:w="94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1780" w:type="dxa"/>
            <w:vAlign w:val="bottom"/>
            <w:gridSpan w:val="3"/>
          </w:tcPr>
          <w:p>
            <w:pPr>
              <w:ind w:left="100"/>
              <w:spacing w:after="0" w:line="239" w:lineRule="exact"/>
              <w:rPr>
                <w:sz w:val="20"/>
                <w:szCs w:val="20"/>
                <w:color w:val="auto"/>
              </w:rPr>
            </w:pPr>
            <w:r>
              <w:rPr>
                <w:rFonts w:ascii="Times New Roman" w:cs="Times New Roman" w:eastAsia="Times New Roman" w:hAnsi="Times New Roman"/>
                <w:sz w:val="18"/>
                <w:szCs w:val="18"/>
                <w:color w:val="auto"/>
              </w:rPr>
              <w:t>derivative contracts</w:t>
            </w:r>
            <w:r>
              <w:rPr>
                <w:rFonts w:ascii="Times New Roman" w:cs="Times New Roman" w:eastAsia="Times New Roman" w:hAnsi="Times New Roman"/>
                <w:sz w:val="22"/>
                <w:szCs w:val="22"/>
                <w:color w:val="auto"/>
                <w:vertAlign w:val="superscript"/>
              </w:rPr>
              <w:t>(3)</w:t>
            </w:r>
          </w:p>
        </w:tc>
        <w:tc>
          <w:tcPr>
            <w:tcW w:w="16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3"/>
            <w:vMerge w:val="continue"/>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4"/>
            <w:vMerge w:val="continue"/>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40" w:type="dxa"/>
            <w:vAlign w:val="bottom"/>
            <w:tcBorders>
              <w:right w:val="single" w:sz="8" w:color="CCEEFF"/>
            </w:tcBorders>
            <w:shd w:val="clear" w:color="auto" w:fill="CCEEFF"/>
          </w:tcPr>
          <w:p>
            <w:pPr>
              <w:spacing w:after="0"/>
              <w:rPr>
                <w:sz w:val="14"/>
                <w:szCs w:val="14"/>
                <w:color w:val="auto"/>
              </w:rPr>
            </w:pPr>
          </w:p>
        </w:tc>
        <w:tc>
          <w:tcPr>
            <w:tcW w:w="1780" w:type="dxa"/>
            <w:vAlign w:val="bottom"/>
            <w:gridSpan w:val="3"/>
            <w:shd w:val="clear" w:color="auto" w:fill="CCEEFF"/>
          </w:tcPr>
          <w:p>
            <w:pPr>
              <w:ind w:left="100"/>
              <w:spacing w:after="0" w:line="172" w:lineRule="exact"/>
              <w:rPr>
                <w:sz w:val="20"/>
                <w:szCs w:val="20"/>
                <w:color w:val="auto"/>
              </w:rPr>
            </w:pPr>
            <w:r>
              <w:rPr>
                <w:rFonts w:ascii="Times New Roman" w:cs="Times New Roman" w:eastAsia="Times New Roman" w:hAnsi="Times New Roman"/>
                <w:sz w:val="18"/>
                <w:szCs w:val="18"/>
                <w:color w:val="auto"/>
                <w:w w:val="98"/>
              </w:rPr>
              <w:t>Deferred compensation</w:t>
            </w:r>
          </w:p>
        </w:tc>
        <w:tc>
          <w:tcPr>
            <w:tcW w:w="1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4"/>
                <w:szCs w:val="14"/>
                <w:color w:val="auto"/>
              </w:rPr>
            </w:pPr>
          </w:p>
        </w:tc>
        <w:tc>
          <w:tcPr>
            <w:tcW w:w="94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CCEEFF"/>
            </w:tcBorders>
            <w:shd w:val="clear" w:color="auto" w:fill="CCEEFF"/>
          </w:tcPr>
          <w:p>
            <w:pPr>
              <w:spacing w:after="0"/>
              <w:rPr>
                <w:sz w:val="20"/>
                <w:szCs w:val="20"/>
                <w:color w:val="auto"/>
              </w:rPr>
            </w:pPr>
          </w:p>
        </w:tc>
        <w:tc>
          <w:tcPr>
            <w:tcW w:w="1780" w:type="dxa"/>
            <w:vAlign w:val="bottom"/>
            <w:gridSpan w:val="3"/>
            <w:shd w:val="clear" w:color="auto" w:fill="CCEEFF"/>
          </w:tcPr>
          <w:p>
            <w:pPr>
              <w:ind w:left="100"/>
              <w:spacing w:after="0" w:line="239" w:lineRule="exact"/>
              <w:rPr>
                <w:sz w:val="20"/>
                <w:szCs w:val="20"/>
                <w:color w:val="auto"/>
              </w:rPr>
            </w:pPr>
            <w:r>
              <w:rPr>
                <w:rFonts w:ascii="Times New Roman" w:cs="Times New Roman" w:eastAsia="Times New Roman" w:hAnsi="Times New Roman"/>
                <w:sz w:val="18"/>
                <w:szCs w:val="18"/>
                <w:color w:val="auto"/>
              </w:rPr>
              <w:t>investments</w:t>
            </w:r>
            <w:r>
              <w:rPr>
                <w:rFonts w:ascii="Times New Roman" w:cs="Times New Roman" w:eastAsia="Times New Roman" w:hAnsi="Times New Roman"/>
                <w:sz w:val="22"/>
                <w:szCs w:val="22"/>
                <w:color w:val="auto"/>
                <w:vertAlign w:val="superscript"/>
              </w:rPr>
              <w:t>(4)</w:t>
            </w:r>
          </w:p>
        </w:tc>
        <w:tc>
          <w:tcPr>
            <w:tcW w:w="160" w:type="dxa"/>
            <w:vAlign w:val="bottom"/>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gridSpan w:val="3"/>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gridSpan w:val="4"/>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1780" w:type="dxa"/>
            <w:vAlign w:val="bottom"/>
            <w:gridSpan w:val="3"/>
          </w:tcPr>
          <w:p>
            <w:pPr>
              <w:ind w:left="100"/>
              <w:spacing w:after="0" w:line="172" w:lineRule="exact"/>
              <w:rPr>
                <w:sz w:val="20"/>
                <w:szCs w:val="20"/>
                <w:color w:val="auto"/>
              </w:rPr>
            </w:pPr>
            <w:r>
              <w:rPr>
                <w:rFonts w:ascii="Times New Roman" w:cs="Times New Roman" w:eastAsia="Times New Roman" w:hAnsi="Times New Roman"/>
                <w:sz w:val="18"/>
                <w:szCs w:val="18"/>
                <w:color w:val="auto"/>
              </w:rPr>
              <w:t>Forward starting</w:t>
            </w:r>
          </w:p>
        </w:tc>
        <w:tc>
          <w:tcPr>
            <w:tcW w:w="1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1780" w:type="dxa"/>
            <w:vAlign w:val="bottom"/>
            <w:gridSpan w:val="3"/>
          </w:tcPr>
          <w:p>
            <w:pPr>
              <w:ind w:left="100"/>
              <w:spacing w:after="0" w:line="239" w:lineRule="exact"/>
              <w:rPr>
                <w:sz w:val="20"/>
                <w:szCs w:val="20"/>
                <w:color w:val="auto"/>
              </w:rPr>
            </w:pPr>
            <w:r>
              <w:rPr>
                <w:rFonts w:ascii="Times New Roman" w:cs="Times New Roman" w:eastAsia="Times New Roman" w:hAnsi="Times New Roman"/>
                <w:sz w:val="18"/>
                <w:szCs w:val="18"/>
                <w:color w:val="auto"/>
              </w:rPr>
              <w:t>interest rate swaps</w:t>
            </w:r>
            <w:r>
              <w:rPr>
                <w:rFonts w:ascii="Times New Roman" w:cs="Times New Roman" w:eastAsia="Times New Roman" w:hAnsi="Times New Roman"/>
                <w:sz w:val="22"/>
                <w:szCs w:val="22"/>
                <w:color w:val="auto"/>
                <w:vertAlign w:val="superscript"/>
              </w:rPr>
              <w:t>(5)</w:t>
            </w:r>
          </w:p>
        </w:tc>
        <w:tc>
          <w:tcPr>
            <w:tcW w:w="1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4"/>
            <w:vMerge w:val="continue"/>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17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gridSpan w:val="9"/>
          </w:tcPr>
          <w:p>
            <w:pPr>
              <w:jc w:val="center"/>
              <w:ind w:left="516"/>
              <w:spacing w:after="0"/>
              <w:rPr>
                <w:sz w:val="20"/>
                <w:szCs w:val="20"/>
                <w:color w:val="auto"/>
              </w:rPr>
            </w:pPr>
            <w:r>
              <w:rPr>
                <w:rFonts w:ascii="Times New Roman" w:cs="Times New Roman" w:eastAsia="Times New Roman" w:hAnsi="Times New Roman"/>
                <w:sz w:val="14"/>
                <w:szCs w:val="14"/>
                <w:b w:val="1"/>
                <w:bCs w:val="1"/>
                <w:color w:val="auto"/>
                <w:w w:val="99"/>
              </w:rPr>
              <w:t>Fair Value Measurements at</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gridSpan w:val="9"/>
          </w:tcPr>
          <w:p>
            <w:pPr>
              <w:jc w:val="center"/>
              <w:ind w:left="496"/>
              <w:spacing w:after="0"/>
              <w:rPr>
                <w:sz w:val="20"/>
                <w:szCs w:val="20"/>
                <w:color w:val="auto"/>
              </w:rPr>
            </w:pPr>
            <w:r>
              <w:rPr>
                <w:rFonts w:ascii="Times New Roman" w:cs="Times New Roman" w:eastAsia="Times New Roman" w:hAnsi="Times New Roman"/>
                <w:sz w:val="14"/>
                <w:szCs w:val="14"/>
                <w:b w:val="1"/>
                <w:bCs w:val="1"/>
                <w:color w:val="auto"/>
                <w:w w:val="99"/>
              </w:rPr>
              <w:t>Fair Value Measurements at</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20" w:type="dxa"/>
            <w:vAlign w:val="bottom"/>
            <w:gridSpan w:val="8"/>
          </w:tcPr>
          <w:p>
            <w:pPr>
              <w:jc w:val="center"/>
              <w:ind w:right="112"/>
              <w:spacing w:after="0" w:line="146" w:lineRule="exact"/>
              <w:rPr>
                <w:sz w:val="20"/>
                <w:szCs w:val="20"/>
                <w:color w:val="auto"/>
              </w:rPr>
            </w:pPr>
            <w:r>
              <w:rPr>
                <w:rFonts w:ascii="Times New Roman" w:cs="Times New Roman" w:eastAsia="Times New Roman" w:hAnsi="Times New Roman"/>
                <w:sz w:val="14"/>
                <w:szCs w:val="14"/>
                <w:b w:val="1"/>
                <w:bCs w:val="1"/>
                <w:color w:val="auto"/>
              </w:rPr>
              <w:t>October 29, 2023 Using</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6"/>
          </w:tcPr>
          <w:p>
            <w:pPr>
              <w:jc w:val="center"/>
              <w:ind w:right="40"/>
              <w:spacing w:after="0" w:line="146" w:lineRule="exact"/>
              <w:rPr>
                <w:sz w:val="20"/>
                <w:szCs w:val="20"/>
                <w:color w:val="auto"/>
              </w:rPr>
            </w:pPr>
            <w:r>
              <w:rPr>
                <w:rFonts w:ascii="Times New Roman" w:cs="Times New Roman" w:eastAsia="Times New Roman" w:hAnsi="Times New Roman"/>
                <w:sz w:val="14"/>
                <w:szCs w:val="14"/>
                <w:b w:val="1"/>
                <w:bCs w:val="1"/>
                <w:color w:val="auto"/>
              </w:rPr>
              <w:t>July 30, 2023 Using</w:t>
            </w: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130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Hierarchy</w:t>
            </w: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20" w:type="dxa"/>
            <w:vAlign w:val="bottom"/>
            <w:gridSpan w:val="7"/>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 Hierarchy</w:t>
            </w: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tcPr>
          <w:p>
            <w:pPr>
              <w:jc w:val="center"/>
              <w:ind w:right="260"/>
              <w:spacing w:after="0" w:line="124" w:lineRule="exact"/>
              <w:rPr>
                <w:sz w:val="20"/>
                <w:szCs w:val="20"/>
                <w:color w:val="auto"/>
              </w:rPr>
            </w:pPr>
            <w:r>
              <w:rPr>
                <w:rFonts w:ascii="Times New Roman" w:cs="Times New Roman" w:eastAsia="Times New Roman" w:hAnsi="Times New Roman"/>
                <w:sz w:val="14"/>
                <w:szCs w:val="14"/>
                <w:b w:val="1"/>
                <w:bCs w:val="1"/>
                <w:color w:val="auto"/>
              </w:rPr>
              <w:t>as of</w:t>
            </w:r>
          </w:p>
        </w:tc>
        <w:tc>
          <w:tcPr>
            <w:tcW w:w="2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6"/>
            <w:vMerge w:val="continue"/>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center"/>
              <w:ind w:right="260"/>
              <w:spacing w:after="0" w:line="124" w:lineRule="exact"/>
              <w:rPr>
                <w:sz w:val="20"/>
                <w:szCs w:val="20"/>
                <w:color w:val="auto"/>
              </w:rPr>
            </w:pPr>
            <w:r>
              <w:rPr>
                <w:rFonts w:ascii="Times New Roman" w:cs="Times New Roman" w:eastAsia="Times New Roman" w:hAnsi="Times New Roman"/>
                <w:sz w:val="14"/>
                <w:szCs w:val="14"/>
                <w:b w:val="1"/>
                <w:bCs w:val="1"/>
                <w:color w:val="auto"/>
              </w:rPr>
              <w:t>as of</w:t>
            </w:r>
          </w:p>
        </w:tc>
        <w:tc>
          <w:tcPr>
            <w:tcW w:w="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7"/>
            <w:vMerge w:val="continue"/>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220" w:type="dxa"/>
            <w:vAlign w:val="bottom"/>
          </w:tcPr>
          <w:p>
            <w:pPr>
              <w:spacing w:after="0"/>
              <w:rPr>
                <w:sz w:val="16"/>
                <w:szCs w:val="16"/>
                <w:color w:val="auto"/>
              </w:rPr>
            </w:pPr>
          </w:p>
        </w:tc>
        <w:tc>
          <w:tcPr>
            <w:tcW w:w="80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6"/>
                <w:szCs w:val="16"/>
                <w:color w:val="auto"/>
              </w:rPr>
            </w:pPr>
          </w:p>
        </w:tc>
        <w:tc>
          <w:tcPr>
            <w:tcW w:w="9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6"/>
                <w:szCs w:val="16"/>
                <w:color w:val="auto"/>
              </w:rPr>
            </w:pPr>
          </w:p>
        </w:tc>
        <w:tc>
          <w:tcPr>
            <w:tcW w:w="10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July 30, 2023</w:t>
            </w:r>
          </w:p>
        </w:tc>
        <w:tc>
          <w:tcPr>
            <w:tcW w:w="200" w:type="dxa"/>
            <w:vAlign w:val="bottom"/>
          </w:tcPr>
          <w:p>
            <w:pPr>
              <w:spacing w:after="0"/>
              <w:rPr>
                <w:sz w:val="16"/>
                <w:szCs w:val="16"/>
                <w:color w:val="auto"/>
              </w:rPr>
            </w:pPr>
          </w:p>
        </w:tc>
        <w:tc>
          <w:tcPr>
            <w:tcW w:w="86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40" w:type="dxa"/>
            <w:vAlign w:val="bottom"/>
            <w:tcBorders>
              <w:right w:val="single" w:sz="8" w:color="CCEEFF"/>
            </w:tcBorders>
          </w:tcPr>
          <w:p>
            <w:pPr>
              <w:spacing w:after="0"/>
              <w:rPr>
                <w:sz w:val="14"/>
                <w:szCs w:val="14"/>
                <w:color w:val="auto"/>
              </w:rPr>
            </w:pPr>
          </w:p>
        </w:tc>
        <w:tc>
          <w:tcPr>
            <w:tcW w:w="1780" w:type="dxa"/>
            <w:vAlign w:val="bottom"/>
            <w:tcBorders>
              <w:top w:val="single" w:sz="8" w:color="CCEEFF"/>
            </w:tcBorders>
            <w:gridSpan w:val="3"/>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40" w:type="dxa"/>
            <w:vAlign w:val="bottom"/>
            <w:tcBorders>
              <w:right w:val="single" w:sz="8" w:color="CCEEFF"/>
            </w:tcBorders>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Pr>
          <w:p>
            <w:pPr>
              <w:spacing w:after="0"/>
              <w:rPr>
                <w:sz w:val="15"/>
                <w:szCs w:val="15"/>
                <w:color w:val="auto"/>
              </w:rPr>
            </w:pPr>
          </w:p>
        </w:tc>
        <w:tc>
          <w:tcPr>
            <w:tcW w:w="1780" w:type="dxa"/>
            <w:vAlign w:val="bottom"/>
            <w:gridSpan w:val="3"/>
          </w:tcPr>
          <w:p>
            <w:pPr>
              <w:ind w:left="120"/>
              <w:spacing w:after="0" w:line="177" w:lineRule="exact"/>
              <w:rPr>
                <w:sz w:val="20"/>
                <w:szCs w:val="20"/>
                <w:color w:val="auto"/>
              </w:rPr>
            </w:pPr>
            <w:r>
              <w:rPr>
                <w:rFonts w:ascii="Times New Roman" w:cs="Times New Roman" w:eastAsia="Times New Roman" w:hAnsi="Times New Roman"/>
                <w:sz w:val="18"/>
                <w:szCs w:val="18"/>
                <w:color w:val="auto"/>
              </w:rPr>
              <w:t>Foreign exchange</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4"/>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vMerge w:val="restart"/>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4"/>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1780" w:type="dxa"/>
            <w:vAlign w:val="bottom"/>
            <w:gridSpan w:val="3"/>
          </w:tcPr>
          <w:p>
            <w:pPr>
              <w:ind w:left="120"/>
              <w:spacing w:after="0" w:line="233" w:lineRule="exact"/>
              <w:rPr>
                <w:sz w:val="20"/>
                <w:szCs w:val="20"/>
                <w:color w:val="auto"/>
              </w:rPr>
            </w:pPr>
            <w:r>
              <w:rPr>
                <w:rFonts w:ascii="Times New Roman" w:cs="Times New Roman" w:eastAsia="Times New Roman" w:hAnsi="Times New Roman"/>
                <w:sz w:val="18"/>
                <w:szCs w:val="18"/>
                <w:color w:val="auto"/>
              </w:rPr>
              <w:t>forward contracts</w:t>
            </w:r>
            <w:r>
              <w:rPr>
                <w:rFonts w:ascii="Times New Roman" w:cs="Times New Roman" w:eastAsia="Times New Roman" w:hAnsi="Times New Roman"/>
                <w:sz w:val="22"/>
                <w:szCs w:val="22"/>
                <w:color w:val="auto"/>
                <w:vertAlign w:val="superscript"/>
              </w:rPr>
              <w:t>(1)</w:t>
            </w:r>
          </w:p>
        </w:tc>
        <w:tc>
          <w:tcPr>
            <w:tcW w:w="16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380" w:type="dxa"/>
            <w:vAlign w:val="bottom"/>
            <w:gridSpan w:val="4"/>
            <w:vMerge w:val="continue"/>
          </w:tcPr>
          <w:p>
            <w:pPr>
              <w:spacing w:after="0"/>
              <w:rPr>
                <w:sz w:val="20"/>
                <w:szCs w:val="20"/>
                <w:color w:val="auto"/>
              </w:rPr>
            </w:pPr>
          </w:p>
        </w:tc>
        <w:tc>
          <w:tcPr>
            <w:tcW w:w="980" w:type="dxa"/>
            <w:vAlign w:val="bottom"/>
            <w:gridSpan w:val="3"/>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940" w:type="dxa"/>
            <w:vAlign w:val="bottom"/>
            <w:gridSpan w:val="4"/>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4"/>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7"/>
        </w:trPr>
        <w:tc>
          <w:tcPr>
            <w:tcW w:w="40" w:type="dxa"/>
            <w:vAlign w:val="bottom"/>
            <w:tcBorders>
              <w:right w:val="single" w:sz="8" w:color="CCEEFF"/>
            </w:tcBorders>
          </w:tcPr>
          <w:p>
            <w:pPr>
              <w:spacing w:after="0"/>
              <w:rPr>
                <w:sz w:val="15"/>
                <w:szCs w:val="15"/>
                <w:color w:val="auto"/>
              </w:rPr>
            </w:pPr>
          </w:p>
        </w:tc>
        <w:tc>
          <w:tcPr>
            <w:tcW w:w="1780" w:type="dxa"/>
            <w:vAlign w:val="bottom"/>
            <w:gridSpan w:val="3"/>
            <w:shd w:val="clear" w:color="auto" w:fill="CCEEFF"/>
          </w:tcPr>
          <w:p>
            <w:pPr>
              <w:ind w:left="120"/>
              <w:spacing w:after="0" w:line="177" w:lineRule="exact"/>
              <w:rPr>
                <w:sz w:val="20"/>
                <w:szCs w:val="20"/>
                <w:color w:val="auto"/>
              </w:rPr>
            </w:pPr>
            <w:r>
              <w:rPr>
                <w:rFonts w:ascii="Times New Roman" w:cs="Times New Roman" w:eastAsia="Times New Roman" w:hAnsi="Times New Roman"/>
                <w:sz w:val="18"/>
                <w:szCs w:val="18"/>
                <w:color w:val="auto"/>
              </w:rPr>
              <w:t>Commodity derivative</w:t>
            </w:r>
          </w:p>
        </w:tc>
        <w:tc>
          <w:tcPr>
            <w:tcW w:w="1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gridSpan w:val="4"/>
            <w:vMerge w:val="restart"/>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0" w:type="dxa"/>
            <w:vAlign w:val="bottom"/>
            <w:tcBorders>
              <w:right w:val="single" w:sz="8" w:color="CCEEFF"/>
            </w:tcBorders>
          </w:tcPr>
          <w:p>
            <w:pPr>
              <w:spacing w:after="0"/>
              <w:rPr>
                <w:sz w:val="20"/>
                <w:szCs w:val="20"/>
                <w:color w:val="auto"/>
              </w:rPr>
            </w:pPr>
          </w:p>
        </w:tc>
        <w:tc>
          <w:tcPr>
            <w:tcW w:w="1780" w:type="dxa"/>
            <w:vAlign w:val="bottom"/>
            <w:gridSpan w:val="3"/>
            <w:shd w:val="clear" w:color="auto" w:fill="CCEEFF"/>
          </w:tcPr>
          <w:p>
            <w:pPr>
              <w:ind w:left="120"/>
              <w:spacing w:after="0" w:line="233" w:lineRule="exact"/>
              <w:rPr>
                <w:sz w:val="20"/>
                <w:szCs w:val="20"/>
                <w:color w:val="auto"/>
              </w:rPr>
            </w:pPr>
            <w:r>
              <w:rPr>
                <w:rFonts w:ascii="Times New Roman" w:cs="Times New Roman" w:eastAsia="Times New Roman" w:hAnsi="Times New Roman"/>
                <w:sz w:val="18"/>
                <w:szCs w:val="18"/>
                <w:color w:val="auto"/>
              </w:rPr>
              <w:t>contracts</w:t>
            </w:r>
            <w:r>
              <w:rPr>
                <w:rFonts w:ascii="Times New Roman" w:cs="Times New Roman" w:eastAsia="Times New Roman" w:hAnsi="Times New Roman"/>
                <w:sz w:val="22"/>
                <w:szCs w:val="22"/>
                <w:color w:val="auto"/>
                <w:vertAlign w:val="superscript"/>
              </w:rPr>
              <w:t>(2)</w:t>
            </w:r>
          </w:p>
        </w:tc>
        <w:tc>
          <w:tcPr>
            <w:tcW w:w="160" w:type="dxa"/>
            <w:vAlign w:val="bottom"/>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gridSpan w:val="4"/>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780" w:type="dxa"/>
            <w:vAlign w:val="bottom"/>
            <w:gridSpan w:val="3"/>
          </w:tcPr>
          <w:p>
            <w:pPr>
              <w:ind w:left="120"/>
              <w:spacing w:after="0" w:line="181" w:lineRule="exact"/>
              <w:rPr>
                <w:sz w:val="20"/>
                <w:szCs w:val="20"/>
                <w:color w:val="auto"/>
              </w:rPr>
            </w:pPr>
            <w:r>
              <w:rPr>
                <w:rFonts w:ascii="Times New Roman" w:cs="Times New Roman" w:eastAsia="Times New Roman" w:hAnsi="Times New Roman"/>
                <w:sz w:val="18"/>
                <w:szCs w:val="18"/>
                <w:color w:val="auto"/>
              </w:rPr>
              <w:t>Deferred</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1780" w:type="dxa"/>
            <w:vAlign w:val="bottom"/>
            <w:gridSpan w:val="3"/>
          </w:tcPr>
          <w:p>
            <w:pPr>
              <w:ind w:left="120"/>
              <w:spacing w:after="0" w:line="177" w:lineRule="exact"/>
              <w:rPr>
                <w:sz w:val="20"/>
                <w:szCs w:val="20"/>
                <w:color w:val="auto"/>
              </w:rPr>
            </w:pPr>
            <w:r>
              <w:rPr>
                <w:rFonts w:ascii="Times New Roman" w:cs="Times New Roman" w:eastAsia="Times New Roman" w:hAnsi="Times New Roman"/>
                <w:sz w:val="18"/>
                <w:szCs w:val="18"/>
                <w:color w:val="auto"/>
              </w:rPr>
              <w:t>compensation</w:t>
            </w:r>
          </w:p>
        </w:tc>
        <w:tc>
          <w:tcPr>
            <w:tcW w:w="1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gridSpan w:val="4"/>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5"/>
                <w:szCs w:val="15"/>
                <w:color w:val="auto"/>
              </w:rPr>
            </w:pPr>
          </w:p>
        </w:tc>
        <w:tc>
          <w:tcPr>
            <w:tcW w:w="108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5"/>
                <w:szCs w:val="15"/>
                <w:color w:val="auto"/>
              </w:rPr>
            </w:pPr>
          </w:p>
        </w:tc>
        <w:tc>
          <w:tcPr>
            <w:tcW w:w="8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1780" w:type="dxa"/>
            <w:vAlign w:val="bottom"/>
            <w:gridSpan w:val="3"/>
          </w:tcPr>
          <w:p>
            <w:pPr>
              <w:ind w:left="120"/>
              <w:spacing w:after="0" w:line="225" w:lineRule="exact"/>
              <w:rPr>
                <w:sz w:val="20"/>
                <w:szCs w:val="20"/>
                <w:color w:val="auto"/>
              </w:rPr>
            </w:pPr>
            <w:r>
              <w:rPr>
                <w:rFonts w:ascii="Times New Roman" w:cs="Times New Roman" w:eastAsia="Times New Roman" w:hAnsi="Times New Roman"/>
                <w:sz w:val="18"/>
                <w:szCs w:val="18"/>
                <w:color w:val="auto"/>
              </w:rPr>
              <w:t>derivative contracts</w:t>
            </w:r>
            <w:r>
              <w:rPr>
                <w:rFonts w:ascii="Times New Roman" w:cs="Times New Roman" w:eastAsia="Times New Roman" w:hAnsi="Times New Roman"/>
                <w:sz w:val="22"/>
                <w:szCs w:val="22"/>
                <w:color w:val="auto"/>
                <w:vertAlign w:val="superscript"/>
              </w:rPr>
              <w:t>(3)</w:t>
            </w:r>
          </w:p>
        </w:tc>
        <w:tc>
          <w:tcPr>
            <w:tcW w:w="1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4"/>
            <w:vMerge w:val="continue"/>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vMerge w:val="continue"/>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3"/>
            <w:vMerge w:val="continue"/>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40" w:type="dxa"/>
            <w:vAlign w:val="bottom"/>
            <w:tcBorders>
              <w:right w:val="single" w:sz="8" w:color="CCEEFF"/>
            </w:tcBorders>
          </w:tcPr>
          <w:p>
            <w:pPr>
              <w:spacing w:after="0"/>
              <w:rPr>
                <w:sz w:val="15"/>
                <w:szCs w:val="15"/>
                <w:color w:val="auto"/>
              </w:rPr>
            </w:pPr>
          </w:p>
        </w:tc>
        <w:tc>
          <w:tcPr>
            <w:tcW w:w="1780" w:type="dxa"/>
            <w:vAlign w:val="bottom"/>
            <w:gridSpan w:val="3"/>
            <w:shd w:val="clear" w:color="auto" w:fill="CCEEFF"/>
          </w:tcPr>
          <w:p>
            <w:pPr>
              <w:ind w:left="120"/>
              <w:spacing w:after="0" w:line="181" w:lineRule="exact"/>
              <w:rPr>
                <w:sz w:val="20"/>
                <w:szCs w:val="20"/>
                <w:color w:val="auto"/>
              </w:rPr>
            </w:pPr>
            <w:r>
              <w:rPr>
                <w:rFonts w:ascii="Times New Roman" w:cs="Times New Roman" w:eastAsia="Times New Roman" w:hAnsi="Times New Roman"/>
                <w:sz w:val="18"/>
                <w:szCs w:val="18"/>
                <w:color w:val="auto"/>
              </w:rPr>
              <w:t>Deferred</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0" w:type="dxa"/>
            <w:vAlign w:val="bottom"/>
            <w:tcBorders>
              <w:right w:val="single" w:sz="8" w:color="CCEEFF"/>
            </w:tcBorders>
          </w:tcPr>
          <w:p>
            <w:pPr>
              <w:spacing w:after="0"/>
              <w:rPr>
                <w:sz w:val="15"/>
                <w:szCs w:val="15"/>
                <w:color w:val="auto"/>
              </w:rPr>
            </w:pPr>
          </w:p>
        </w:tc>
        <w:tc>
          <w:tcPr>
            <w:tcW w:w="1780" w:type="dxa"/>
            <w:vAlign w:val="bottom"/>
            <w:gridSpan w:val="3"/>
            <w:shd w:val="clear" w:color="auto" w:fill="CCEEFF"/>
          </w:tcPr>
          <w:p>
            <w:pPr>
              <w:ind w:left="120"/>
              <w:spacing w:after="0" w:line="177" w:lineRule="exact"/>
              <w:rPr>
                <w:sz w:val="20"/>
                <w:szCs w:val="20"/>
                <w:color w:val="auto"/>
              </w:rPr>
            </w:pPr>
            <w:r>
              <w:rPr>
                <w:rFonts w:ascii="Times New Roman" w:cs="Times New Roman" w:eastAsia="Times New Roman" w:hAnsi="Times New Roman"/>
                <w:sz w:val="18"/>
                <w:szCs w:val="18"/>
                <w:color w:val="auto"/>
              </w:rPr>
              <w:t>compensation</w:t>
            </w:r>
          </w:p>
        </w:tc>
        <w:tc>
          <w:tcPr>
            <w:tcW w:w="1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gridSpan w:val="2"/>
            <w:vMerge w:val="restart"/>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gridSpan w:val="2"/>
            <w:vMerge w:val="restart"/>
            <w:shd w:val="clear" w:color="auto" w:fill="CCEEFF"/>
          </w:tcPr>
          <w:p>
            <w:pPr>
              <w:spacing w:after="0"/>
              <w:rPr>
                <w:sz w:val="15"/>
                <w:szCs w:val="15"/>
                <w:color w:val="auto"/>
              </w:rPr>
            </w:pPr>
          </w:p>
        </w:tc>
        <w:tc>
          <w:tcPr>
            <w:tcW w:w="20" w:type="dxa"/>
            <w:vAlign w:val="bottom"/>
            <w:vMerge w:val="restart"/>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shd w:val="clear" w:color="auto" w:fill="CCEEFF"/>
          </w:tcPr>
          <w:p>
            <w:pPr>
              <w:spacing w:after="0"/>
              <w:rPr>
                <w:sz w:val="15"/>
                <w:szCs w:val="15"/>
                <w:color w:val="auto"/>
              </w:rPr>
            </w:pPr>
          </w:p>
        </w:tc>
        <w:tc>
          <w:tcPr>
            <w:tcW w:w="20" w:type="dxa"/>
            <w:vAlign w:val="bottom"/>
            <w:vMerge w:val="restart"/>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0" w:type="dxa"/>
            <w:vAlign w:val="bottom"/>
            <w:tcBorders>
              <w:right w:val="single" w:sz="8" w:color="CCEEFF"/>
            </w:tcBorders>
          </w:tcPr>
          <w:p>
            <w:pPr>
              <w:spacing w:after="0"/>
              <w:rPr>
                <w:sz w:val="19"/>
                <w:szCs w:val="19"/>
                <w:color w:val="auto"/>
              </w:rPr>
            </w:pPr>
          </w:p>
        </w:tc>
        <w:tc>
          <w:tcPr>
            <w:tcW w:w="1780" w:type="dxa"/>
            <w:vAlign w:val="bottom"/>
            <w:gridSpan w:val="3"/>
            <w:shd w:val="clear" w:color="auto" w:fill="CCEEFF"/>
          </w:tcPr>
          <w:p>
            <w:pPr>
              <w:ind w:left="120"/>
              <w:spacing w:after="0" w:line="225" w:lineRule="exact"/>
              <w:rPr>
                <w:sz w:val="20"/>
                <w:szCs w:val="20"/>
                <w:color w:val="auto"/>
              </w:rPr>
            </w:pPr>
            <w:r>
              <w:rPr>
                <w:rFonts w:ascii="Times New Roman" w:cs="Times New Roman" w:eastAsia="Times New Roman" w:hAnsi="Times New Roman"/>
                <w:sz w:val="18"/>
                <w:szCs w:val="18"/>
                <w:color w:val="auto"/>
              </w:rPr>
              <w:t>obligation</w:t>
            </w:r>
            <w:r>
              <w:rPr>
                <w:rFonts w:ascii="Times New Roman" w:cs="Times New Roman" w:eastAsia="Times New Roman" w:hAnsi="Times New Roman"/>
                <w:sz w:val="22"/>
                <w:szCs w:val="22"/>
                <w:color w:val="auto"/>
                <w:vertAlign w:val="superscript"/>
              </w:rPr>
              <w:t>(4)</w:t>
            </w: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gridSpan w:val="2"/>
            <w:vMerge w:val="continue"/>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gridSpan w:val="2"/>
            <w:vMerge w:val="continue"/>
            <w:shd w:val="clear" w:color="auto" w:fill="CCEEFF"/>
          </w:tcPr>
          <w:p>
            <w:pPr>
              <w:spacing w:after="0"/>
              <w:rPr>
                <w:sz w:val="19"/>
                <w:szCs w:val="19"/>
                <w:color w:val="auto"/>
              </w:rPr>
            </w:pPr>
          </w:p>
        </w:tc>
        <w:tc>
          <w:tcPr>
            <w:tcW w:w="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2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1780" w:type="dxa"/>
            <w:vAlign w:val="bottom"/>
            <w:gridSpan w:val="3"/>
          </w:tcPr>
          <w:p>
            <w:pPr>
              <w:spacing w:after="0" w:line="160" w:lineRule="exact"/>
              <w:rPr>
                <w:sz w:val="20"/>
                <w:szCs w:val="20"/>
                <w:color w:val="auto"/>
              </w:rPr>
            </w:pPr>
            <w:r>
              <w:rPr>
                <w:rFonts w:ascii="Times New Roman" w:cs="Times New Roman" w:eastAsia="Times New Roman" w:hAnsi="Times New Roman"/>
                <w:sz w:val="18"/>
                <w:szCs w:val="18"/>
                <w:color w:val="auto"/>
              </w:rPr>
              <w:t>Total liabilities at fair</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100" w:type="dxa"/>
            <w:vAlign w:val="bottom"/>
          </w:tcPr>
          <w:p>
            <w:pPr>
              <w:spacing w:after="0"/>
              <w:rPr>
                <w:sz w:val="13"/>
                <w:szCs w:val="13"/>
                <w:color w:val="auto"/>
              </w:rPr>
            </w:pPr>
          </w:p>
        </w:tc>
        <w:tc>
          <w:tcPr>
            <w:tcW w:w="22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103</w:t>
            </w:r>
          </w:p>
        </w:tc>
        <w:tc>
          <w:tcPr>
            <w:tcW w:w="380" w:type="dxa"/>
            <w:vAlign w:val="bottom"/>
            <w:gridSpan w:val="4"/>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vMerge w:val="restart"/>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4"/>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vMerge w:val="restart"/>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340" w:type="dxa"/>
            <w:vAlign w:val="bottom"/>
            <w:gridSpan w:val="4"/>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vMerge w:val="restart"/>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1780" w:type="dxa"/>
            <w:vAlign w:val="bottom"/>
            <w:gridSpan w:val="3"/>
          </w:tcPr>
          <w:p>
            <w:pPr>
              <w:spacing w:after="0" w:line="204" w:lineRule="exact"/>
              <w:rPr>
                <w:sz w:val="20"/>
                <w:szCs w:val="20"/>
                <w:color w:val="auto"/>
              </w:rPr>
            </w:pPr>
            <w:r>
              <w:rPr>
                <w:rFonts w:ascii="Times New Roman" w:cs="Times New Roman" w:eastAsia="Times New Roman" w:hAnsi="Times New Roman"/>
                <w:sz w:val="18"/>
                <w:szCs w:val="18"/>
                <w:color w:val="auto"/>
              </w:rPr>
              <w:t>value</w:t>
            </w:r>
          </w:p>
        </w:tc>
        <w:tc>
          <w:tcPr>
            <w:tcW w:w="16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380" w:type="dxa"/>
            <w:vAlign w:val="bottom"/>
            <w:gridSpan w:val="4"/>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940" w:type="dxa"/>
            <w:vAlign w:val="bottom"/>
            <w:gridSpan w:val="4"/>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340" w:type="dxa"/>
            <w:vAlign w:val="bottom"/>
            <w:gridSpan w:val="4"/>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w:t>
      </w:r>
    </w:p>
    <w:p>
      <w:pPr>
        <w:spacing w:after="0" w:line="30" w:lineRule="exact"/>
        <w:rPr>
          <w:sz w:val="20"/>
          <w:szCs w:val="20"/>
          <w:color w:val="auto"/>
        </w:rPr>
      </w:pPr>
    </w:p>
    <w:p>
      <w:pPr>
        <w:ind w:left="320" w:hanging="314"/>
        <w:spacing w:after="0"/>
        <w:tabs>
          <w:tab w:leader="none" w:pos="32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observable market transactions of spot currency rates and forward rates.</w:t>
      </w:r>
    </w:p>
    <w:p>
      <w:pPr>
        <w:ind w:left="320" w:hanging="314"/>
        <w:spacing w:after="0" w:line="215" w:lineRule="auto"/>
        <w:tabs>
          <w:tab w:leader="none" w:pos="308"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Level 1 and 2 are based on quoted futures exchanges and on observable prices of futures and options transactions in the marketplace. Level 3 is based on unobservable inputs in which there is little or no market data, which requires management’s own assumptions within an internally developed model.</w:t>
      </w:r>
    </w:p>
    <w:p>
      <w:pPr>
        <w:spacing w:after="0" w:line="1" w:lineRule="exact"/>
        <w:rPr>
          <w:rFonts w:ascii="Times New Roman" w:cs="Times New Roman" w:eastAsia="Times New Roman" w:hAnsi="Times New Roman"/>
          <w:sz w:val="23"/>
          <w:szCs w:val="23"/>
          <w:color w:val="auto"/>
          <w:vertAlign w:val="superscript"/>
        </w:rPr>
      </w:pPr>
    </w:p>
    <w:p>
      <w:pPr>
        <w:ind w:left="320" w:hanging="314"/>
        <w:spacing w:after="0" w:line="192" w:lineRule="auto"/>
        <w:tabs>
          <w:tab w:leader="none" w:pos="32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index swap rates.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8" w:name="page19"/>
    <w:bookmarkEnd w:id="18"/>
    <w:p>
      <w:pPr>
        <w:ind w:left="320" w:hanging="314"/>
        <w:spacing w:after="0"/>
        <w:tabs>
          <w:tab w:leader="none" w:pos="32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the fair value of the participants’ investments.</w:t>
      </w:r>
    </w:p>
    <w:p>
      <w:pPr>
        <w:ind w:left="320" w:hanging="314"/>
        <w:spacing w:after="0" w:line="191" w:lineRule="auto"/>
        <w:tabs>
          <w:tab w:leader="none" w:pos="32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SOFR swap rates.</w:t>
      </w:r>
    </w:p>
    <w:p>
      <w:pPr>
        <w:spacing w:after="0" w:line="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changes in fair value of Level 3 assets and liabilities for the three-month periods ended October 29, 2023, and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30, 2022:</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40" w:type="dxa"/>
            <w:vAlign w:val="bottom"/>
            <w:gridSpan w:val="3"/>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8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720" w:type="dxa"/>
            <w:vAlign w:val="bottom"/>
            <w:vMerge w:val="continue"/>
          </w:tcPr>
          <w:p>
            <w:pPr>
              <w:spacing w:after="0"/>
              <w:rPr>
                <w:sz w:val="16"/>
                <w:szCs w:val="16"/>
                <w:color w:val="auto"/>
              </w:rPr>
            </w:pP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0" w:type="dxa"/>
            <w:vAlign w:val="bottom"/>
          </w:tcPr>
          <w:p>
            <w:pPr>
              <w:spacing w:after="0"/>
              <w:rPr>
                <w:sz w:val="1"/>
                <w:szCs w:val="1"/>
                <w:color w:val="auto"/>
              </w:rPr>
            </w:pPr>
          </w:p>
        </w:tc>
      </w:tr>
      <w:tr>
        <w:trPr>
          <w:trHeight w:val="225"/>
        </w:trPr>
        <w:tc>
          <w:tcPr>
            <w:tcW w:w="8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year</w:t>
            </w:r>
          </w:p>
        </w:tc>
        <w:tc>
          <w:tcPr>
            <w:tcW w:w="340" w:type="dxa"/>
            <w:vAlign w:val="bottom"/>
            <w:tcBorders>
              <w:top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shd w:val="clear" w:color="auto" w:fill="CCEEFF"/>
          </w:tcPr>
          <w:p>
            <w:pPr>
              <w:jc w:val="center"/>
              <w:ind w:left="535"/>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59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jc w:val="center"/>
              <w:ind w:left="92"/>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25"/>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Gains (losses)</w:t>
            </w:r>
          </w:p>
        </w:tc>
        <w:tc>
          <w:tcPr>
            <w:tcW w:w="340" w:type="dxa"/>
            <w:vAlign w:val="bottom"/>
          </w:tcPr>
          <w:p>
            <w:pPr>
              <w:spacing w:after="0"/>
              <w:rPr>
                <w:sz w:val="19"/>
                <w:szCs w:val="19"/>
                <w:color w:val="auto"/>
              </w:rPr>
            </w:pPr>
          </w:p>
        </w:tc>
        <w:tc>
          <w:tcPr>
            <w:tcW w:w="860" w:type="dxa"/>
            <w:vAlign w:val="bottom"/>
          </w:tcPr>
          <w:p>
            <w:pPr>
              <w:jc w:val="center"/>
              <w:ind w:left="535"/>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5"/>
              </w:rPr>
              <w:t>(1)</w:t>
            </w:r>
          </w:p>
        </w:tc>
        <w:tc>
          <w:tcPr>
            <w:tcW w:w="0" w:type="dxa"/>
            <w:vAlign w:val="bottom"/>
          </w:tcPr>
          <w:p>
            <w:pPr>
              <w:spacing w:after="0"/>
              <w:rPr>
                <w:sz w:val="1"/>
                <w:szCs w:val="1"/>
                <w:color w:val="auto"/>
              </w:rPr>
            </w:pPr>
          </w:p>
        </w:tc>
      </w:tr>
      <w:tr>
        <w:trPr>
          <w:trHeight w:val="225"/>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center"/>
              <w:ind w:left="515"/>
              <w:spacing w:after="0"/>
              <w:rPr>
                <w:sz w:val="20"/>
                <w:szCs w:val="20"/>
                <w:color w:val="auto"/>
              </w:rPr>
            </w:pPr>
            <w:r>
              <w:rPr>
                <w:rFonts w:ascii="Times New Roman" w:cs="Times New Roman" w:eastAsia="Times New Roman" w:hAnsi="Times New Roman"/>
                <w:sz w:val="18"/>
                <w:szCs w:val="18"/>
                <w:b w:val="1"/>
                <w:bCs w:val="1"/>
                <w:color w:val="auto"/>
              </w:rPr>
              <w:t>(2)</w:t>
            </w:r>
          </w:p>
        </w:tc>
        <w:tc>
          <w:tcPr>
            <w:tcW w:w="8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95"/>
              </w:rPr>
              <w:t>(1)</w:t>
            </w:r>
          </w:p>
        </w:tc>
        <w:tc>
          <w:tcPr>
            <w:tcW w:w="0" w:type="dxa"/>
            <w:vAlign w:val="bottom"/>
          </w:tcPr>
          <w:p>
            <w:pPr>
              <w:spacing w:after="0"/>
              <w:rPr>
                <w:sz w:val="1"/>
                <w:szCs w:val="1"/>
                <w:color w:val="auto"/>
              </w:rPr>
            </w:pPr>
          </w:p>
        </w:tc>
      </w:tr>
      <w:tr>
        <w:trPr>
          <w:trHeight w:val="218"/>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at end of quarter</w:t>
            </w:r>
          </w:p>
        </w:tc>
        <w:tc>
          <w:tcPr>
            <w:tcW w:w="34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center"/>
              <w:ind w:left="535"/>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80" w:type="dxa"/>
            <w:vAlign w:val="bottom"/>
          </w:tcPr>
          <w:p>
            <w:pPr>
              <w:spacing w:after="0"/>
              <w:rPr>
                <w:sz w:val="19"/>
                <w:szCs w:val="19"/>
                <w:color w:val="auto"/>
              </w:rPr>
            </w:pPr>
          </w:p>
        </w:tc>
        <w:tc>
          <w:tcPr>
            <w:tcW w:w="800" w:type="dxa"/>
            <w:vAlign w:val="bottom"/>
            <w:tcBorders>
              <w:bottom w:val="single" w:sz="8" w:color="auto"/>
            </w:tcBorders>
          </w:tcPr>
          <w:p>
            <w:pPr>
              <w:jc w:val="right"/>
              <w:ind w:right="59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center"/>
              <w:ind w:left="92"/>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carrying values of cash and cash equivalents, accounts receivable and accounts payable approximate fair value.</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were no cash equivalents at October 29, 2023 or July 30, 2023.</w:t>
      </w:r>
    </w:p>
    <w:p>
      <w:pPr>
        <w:spacing w:after="0" w:line="9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fair value of short- and long-term debt was $4.108 billion at October 29, 2023, and $4.293 billion at July 30, 2023. The carrying value was $4.706 billion at October 29, 2023, and $4.689 billion at July 30, 2023. The fair value of long-term debt is principally estimated using Level 2 inputs based on quoted market prices or pricing models using current market rates.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Share Repurchases</w:t>
      </w:r>
    </w:p>
    <w:p>
      <w:pPr>
        <w:spacing w:after="0" w:line="10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June 2021, the Board authorized an anti-dilutive share repurchase program of up to $250 million (June 2021 program) to offset the impact of dilution from shares issued under our stock compensation programs. The June 2021 program has no expiration date, but it may be suspended or discontinued at any time. Repurchases under the June 2021 program may be made in open-market or privately negotiated transactions.</w:t>
      </w:r>
    </w:p>
    <w:p>
      <w:pPr>
        <w:spacing w:after="0" w:line="4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September 2021, the Board approved a strategic share repurchase program of up to $500 million (September 2021 program). The September 2021 program has no expiration date, but it may be suspended or discontinued at any time. Repurchases under the September 2021 program may be made in open-market or privately negotiated transactions.</w:t>
      </w:r>
    </w:p>
    <w:p>
      <w:pPr>
        <w:spacing w:after="0" w:line="59"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During the three-month period ended October 29, 2023, we repurchased 679 thousand shares at a cost of $28 million pursuant to our June 2021 program. As of October 29, 2023, approximately $76 million remained available under the June 2021 program and approximately $301 million remained available under the September 2021 program. During the three-month period ended October 30, 2022, we repurchased 859 thousand shares at a cost of $41 million.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Stock-based Compensation</w:t>
      </w:r>
    </w:p>
    <w:p>
      <w:pPr>
        <w:spacing w:after="0" w:line="10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provide compensation benefits by issuing stock options, unrestricted stock and restricted stock units (including time-lapse restricted stock units, EPS performance restricted stock units, total shareholder return (TSR) performance restricted stock units and free cash flow (FCF) performance restricted stock units). In 2024, we issued time-lapse restricted stock units, unrestricted stock, TSR performance restricted stock units and EPS performance restricted stock units. We last issued stock options and FCF performance restricted stock units in 2019.</w:t>
      </w:r>
    </w:p>
    <w:p>
      <w:pPr>
        <w:spacing w:after="0" w:line="61"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8"/>
          <w:szCs w:val="18"/>
          <w:color w:val="auto"/>
        </w:rPr>
        <w:t>In determining stock-based compensation expense, we estimate forfeitures expected to occur. Total pre-tax stock-based compensation expense and tax-related benefits recognized in the Consolidated Statements of Earnings were as follows:</w:t>
      </w:r>
    </w:p>
    <w:tbl>
      <w:tblPr>
        <w:tblLayout w:type="fixed"/>
        <w:tblInd w:w="0" w:type="dxa"/>
        <w:tblCellMar>
          <w:top w:w="0" w:type="dxa"/>
          <w:left w:w="0" w:type="dxa"/>
          <w:bottom w:w="0" w:type="dxa"/>
          <w:right w:w="0" w:type="dxa"/>
        </w:tblCellMar>
      </w:tblPr>
      <w:tr>
        <w:trPr>
          <w:trHeight w:val="186"/>
        </w:trPr>
        <w:tc>
          <w:tcPr>
            <w:tcW w:w="44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gridSpan w:val="4"/>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4"/>
        </w:trPr>
        <w:tc>
          <w:tcPr>
            <w:tcW w:w="4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4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480" w:type="dxa"/>
            <w:vAlign w:val="bottom"/>
            <w:vMerge w:val="continue"/>
          </w:tcPr>
          <w:p>
            <w:pPr>
              <w:spacing w:after="0"/>
              <w:rPr>
                <w:sz w:val="16"/>
                <w:szCs w:val="16"/>
                <w:color w:val="auto"/>
              </w:rPr>
            </w:pPr>
          </w:p>
        </w:tc>
        <w:tc>
          <w:tcPr>
            <w:tcW w:w="4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120" w:type="dxa"/>
            <w:vAlign w:val="bottom"/>
          </w:tcPr>
          <w:p>
            <w:pPr>
              <w:spacing w:after="0"/>
              <w:rPr>
                <w:sz w:val="16"/>
                <w:szCs w:val="16"/>
                <w:color w:val="auto"/>
              </w:rPr>
            </w:pPr>
          </w:p>
        </w:tc>
        <w:tc>
          <w:tcPr>
            <w:tcW w:w="1160" w:type="dxa"/>
            <w:vAlign w:val="bottom"/>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0" w:type="dxa"/>
            <w:vAlign w:val="bottom"/>
          </w:tcPr>
          <w:p>
            <w:pPr>
              <w:spacing w:after="0"/>
              <w:rPr>
                <w:sz w:val="1"/>
                <w:szCs w:val="1"/>
                <w:color w:val="auto"/>
              </w:rPr>
            </w:pPr>
          </w:p>
        </w:tc>
      </w:tr>
      <w:tr>
        <w:trPr>
          <w:trHeight w:val="225"/>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pre-tax stock-based compensation expense</w:t>
            </w:r>
          </w:p>
        </w:tc>
        <w:tc>
          <w:tcPr>
            <w:tcW w:w="4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Tax-related benefits</w:t>
            </w:r>
          </w:p>
        </w:tc>
        <w:tc>
          <w:tcPr>
            <w:tcW w:w="4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828"/>
        </w:trPr>
        <w:tc>
          <w:tcPr>
            <w:tcW w:w="4480" w:type="dxa"/>
            <w:vAlign w:val="bottom"/>
          </w:tcPr>
          <w:p>
            <w:pPr>
              <w:spacing w:after="0"/>
              <w:rPr>
                <w:sz w:val="24"/>
                <w:szCs w:val="24"/>
                <w:color w:val="auto"/>
              </w:rPr>
            </w:pPr>
          </w:p>
        </w:tc>
        <w:tc>
          <w:tcPr>
            <w:tcW w:w="4120" w:type="dxa"/>
            <w:vAlign w:val="bottom"/>
          </w:tcPr>
          <w:p>
            <w:pPr>
              <w:jc w:val="right"/>
              <w:ind w:right="2792"/>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480" w:type="dxa"/>
            <w:vAlign w:val="bottom"/>
            <w:tcBorders>
              <w:bottom w:val="single" w:sz="8" w:color="9A9A9A"/>
            </w:tcBorders>
          </w:tcPr>
          <w:p>
            <w:pPr>
              <w:spacing w:after="0"/>
              <w:rPr>
                <w:sz w:val="9"/>
                <w:szCs w:val="9"/>
                <w:color w:val="auto"/>
              </w:rPr>
            </w:pPr>
          </w:p>
        </w:tc>
        <w:tc>
          <w:tcPr>
            <w:tcW w:w="4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19" w:name="page20"/>
    <w:bookmarkEnd w:id="19"/>
    <w:p>
      <w:pPr>
        <w:ind w:left="320"/>
        <w:spacing w:after="0"/>
        <w:rPr>
          <w:sz w:val="20"/>
          <w:szCs w:val="20"/>
          <w:color w:val="auto"/>
        </w:rPr>
      </w:pPr>
      <w:r>
        <w:rPr>
          <w:rFonts w:ascii="Times New Roman" w:cs="Times New Roman" w:eastAsia="Times New Roman" w:hAnsi="Times New Roman"/>
          <w:sz w:val="18"/>
          <w:szCs w:val="18"/>
          <w:color w:val="auto"/>
        </w:rPr>
        <w:t>The following table summarizes stock option activity as of October 29, 2023:</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8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3"/>
            <w:vMerge w:val="continue"/>
          </w:tcPr>
          <w:p>
            <w:pPr>
              <w:spacing w:after="0"/>
              <w:rPr>
                <w:sz w:val="11"/>
                <w:szCs w:val="11"/>
                <w:color w:val="auto"/>
              </w:rPr>
            </w:pPr>
          </w:p>
        </w:tc>
        <w:tc>
          <w:tcPr>
            <w:tcW w:w="162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280" w:type="dxa"/>
            <w:vAlign w:val="bottom"/>
          </w:tcPr>
          <w:p>
            <w:pPr>
              <w:spacing w:after="0"/>
              <w:rPr>
                <w:sz w:val="11"/>
                <w:szCs w:val="11"/>
                <w:color w:val="auto"/>
              </w:rPr>
            </w:pPr>
          </w:p>
        </w:tc>
        <w:tc>
          <w:tcPr>
            <w:tcW w:w="1260" w:type="dxa"/>
            <w:vAlign w:val="bottom"/>
            <w:vMerge w:val="restart"/>
          </w:tcPr>
          <w:p>
            <w:pPr>
              <w:jc w:val="center"/>
              <w:ind w:right="203"/>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6"/>
        </w:trPr>
        <w:tc>
          <w:tcPr>
            <w:tcW w:w="48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left="419"/>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820" w:type="dxa"/>
            <w:vAlign w:val="bottom"/>
          </w:tcPr>
          <w:p>
            <w:pPr>
              <w:spacing w:after="0"/>
              <w:rPr>
                <w:sz w:val="12"/>
                <w:szCs w:val="12"/>
                <w:color w:val="auto"/>
              </w:rPr>
            </w:pPr>
          </w:p>
        </w:tc>
        <w:tc>
          <w:tcPr>
            <w:tcW w:w="16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40" w:type="dxa"/>
            <w:vAlign w:val="bottom"/>
          </w:tcPr>
          <w:p>
            <w:pPr>
              <w:jc w:val="center"/>
              <w:ind w:left="419"/>
              <w:spacing w:after="0" w:line="146"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280" w:type="dxa"/>
            <w:vAlign w:val="bottom"/>
          </w:tcPr>
          <w:p>
            <w:pPr>
              <w:spacing w:after="0"/>
              <w:rPr>
                <w:sz w:val="12"/>
                <w:szCs w:val="12"/>
                <w:color w:val="auto"/>
              </w:rPr>
            </w:pPr>
          </w:p>
        </w:tc>
        <w:tc>
          <w:tcPr>
            <w:tcW w:w="1260" w:type="dxa"/>
            <w:vAlign w:val="bottom"/>
          </w:tcPr>
          <w:p>
            <w:pPr>
              <w:jc w:val="center"/>
              <w:ind w:right="183"/>
              <w:spacing w:after="0" w:line="146"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2"/>
        </w:trPr>
        <w:tc>
          <w:tcPr>
            <w:tcW w:w="482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040" w:type="dxa"/>
            <w:vAlign w:val="bottom"/>
          </w:tcPr>
          <w:p>
            <w:pPr>
              <w:jc w:val="center"/>
              <w:ind w:left="419"/>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280" w:type="dxa"/>
            <w:vAlign w:val="bottom"/>
          </w:tcPr>
          <w:p>
            <w:pPr>
              <w:spacing w:after="0"/>
              <w:rPr>
                <w:sz w:val="16"/>
                <w:szCs w:val="16"/>
                <w:color w:val="auto"/>
              </w:rPr>
            </w:pPr>
          </w:p>
        </w:tc>
        <w:tc>
          <w:tcPr>
            <w:tcW w:w="1260" w:type="dxa"/>
            <w:vAlign w:val="bottom"/>
          </w:tcPr>
          <w:p>
            <w:pPr>
              <w:jc w:val="center"/>
              <w:ind w:right="203"/>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2"/>
        </w:trPr>
        <w:tc>
          <w:tcPr>
            <w:tcW w:w="4820" w:type="dxa"/>
            <w:vAlign w:val="bottom"/>
          </w:tcPr>
          <w:p>
            <w:pPr>
              <w:spacing w:after="0"/>
              <w:rPr>
                <w:sz w:val="16"/>
                <w:szCs w:val="16"/>
                <w:color w:val="auto"/>
              </w:rPr>
            </w:pPr>
          </w:p>
        </w:tc>
        <w:tc>
          <w:tcPr>
            <w:tcW w:w="1520" w:type="dxa"/>
            <w:vAlign w:val="bottom"/>
            <w:tcBorders>
              <w:top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center"/>
              <w:ind w:right="203"/>
              <w:spacing w:after="0"/>
              <w:rPr>
                <w:sz w:val="20"/>
                <w:szCs w:val="20"/>
                <w:color w:val="auto"/>
              </w:rPr>
            </w:pPr>
            <w:r>
              <w:rPr>
                <w:rFonts w:ascii="Times New Roman" w:cs="Times New Roman" w:eastAsia="Times New Roman" w:hAnsi="Times New Roman"/>
                <w:sz w:val="14"/>
                <w:szCs w:val="14"/>
                <w:b w:val="1"/>
                <w:bCs w:val="1"/>
                <w:color w:val="auto"/>
                <w:w w:val="99"/>
              </w:rPr>
              <w:t>(Millions)</w:t>
            </w:r>
          </w:p>
        </w:tc>
        <w:tc>
          <w:tcPr>
            <w:tcW w:w="0" w:type="dxa"/>
            <w:vAlign w:val="bottom"/>
          </w:tcPr>
          <w:p>
            <w:pPr>
              <w:spacing w:after="0"/>
              <w:rPr>
                <w:sz w:val="1"/>
                <w:szCs w:val="1"/>
                <w:color w:val="auto"/>
              </w:rPr>
            </w:pPr>
          </w:p>
        </w:tc>
      </w:tr>
      <w:tr>
        <w:trPr>
          <w:trHeight w:val="232"/>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July 30, 2023</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44.77</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Terminated</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October 29, 2023</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CCEEFF"/>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44.77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5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CCEEFF"/>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October 29, 2023</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820" w:type="dxa"/>
            <w:vAlign w:val="bottom"/>
            <w:vMerge w:val="continue"/>
          </w:tcPr>
          <w:p>
            <w:pPr>
              <w:spacing w:after="0"/>
              <w:rPr>
                <w:sz w:val="17"/>
                <w:szCs w:val="17"/>
                <w:color w:val="auto"/>
              </w:rPr>
            </w:pPr>
          </w:p>
        </w:tc>
        <w:tc>
          <w:tcPr>
            <w:tcW w:w="152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833</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839"/>
              <w:spacing w:after="0" w:line="198"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98"/>
              </w:rPr>
              <w:t>44.77</w:t>
            </w:r>
          </w:p>
        </w:tc>
        <w:tc>
          <w:tcPr>
            <w:tcW w:w="120" w:type="dxa"/>
            <w:vAlign w:val="bottom"/>
          </w:tcPr>
          <w:p>
            <w:pPr>
              <w:spacing w:after="0"/>
              <w:rPr>
                <w:sz w:val="17"/>
                <w:szCs w:val="17"/>
                <w:color w:val="auto"/>
              </w:rPr>
            </w:pPr>
          </w:p>
        </w:tc>
        <w:tc>
          <w:tcPr>
            <w:tcW w:w="152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2"/>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The total intrinsic value of options exercised during the three-month period ended October 30, 2022 was not material. We measured the fair value of stock options using the Black-Scholes option pricing model.</w:t>
      </w:r>
    </w:p>
    <w:p>
      <w:pPr>
        <w:spacing w:after="0" w:line="4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expensed stock options on a straight-line basis over the vesting period, except for awards issued to retirement eligible participants, which we expensed on an accelerated basis. As of January 2022, compensation related to stock options was fully expensed.</w:t>
      </w:r>
    </w:p>
    <w:p>
      <w:pPr>
        <w:spacing w:after="0" w:line="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time-lapse restricted stock units and EPS performance restricted stock units as of October 29, 2023:</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3"/>
                <w:szCs w:val="13"/>
                <w:color w:val="auto"/>
              </w:rPr>
            </w:pPr>
          </w:p>
        </w:tc>
        <w:tc>
          <w:tcPr>
            <w:tcW w:w="186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760" w:type="dxa"/>
            <w:vAlign w:val="bottom"/>
            <w:gridSpan w:val="2"/>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0" w:type="dxa"/>
            <w:vAlign w:val="bottom"/>
          </w:tcPr>
          <w:p>
            <w:pPr>
              <w:spacing w:after="0"/>
              <w:rPr>
                <w:sz w:val="1"/>
                <w:szCs w:val="1"/>
                <w:color w:val="auto"/>
              </w:rPr>
            </w:pPr>
          </w:p>
        </w:tc>
      </w:tr>
      <w:tr>
        <w:trPr>
          <w:trHeight w:val="191"/>
        </w:trPr>
        <w:tc>
          <w:tcPr>
            <w:tcW w:w="7620" w:type="dxa"/>
            <w:vAlign w:val="bottom"/>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91"/>
        </w:trPr>
        <w:tc>
          <w:tcPr>
            <w:tcW w:w="7620" w:type="dxa"/>
            <w:vAlign w:val="bottom"/>
          </w:tcPr>
          <w:p>
            <w:pPr>
              <w:spacing w:after="0"/>
              <w:rPr>
                <w:sz w:val="16"/>
                <w:szCs w:val="16"/>
                <w:color w:val="auto"/>
              </w:rPr>
            </w:pPr>
          </w:p>
        </w:tc>
        <w:tc>
          <w:tcPr>
            <w:tcW w:w="1760" w:type="dxa"/>
            <w:vAlign w:val="bottom"/>
            <w:tcBorders>
              <w:top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July 30, 2023</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45.39</w:t>
            </w:r>
          </w:p>
        </w:tc>
        <w:tc>
          <w:tcPr>
            <w:tcW w:w="0" w:type="dxa"/>
            <w:vAlign w:val="bottom"/>
          </w:tcPr>
          <w:p>
            <w:pPr>
              <w:spacing w:after="0"/>
              <w:rPr>
                <w:sz w:val="1"/>
                <w:szCs w:val="1"/>
                <w:color w:val="auto"/>
              </w:rPr>
            </w:pPr>
          </w:p>
        </w:tc>
      </w:tr>
      <w:tr>
        <w:trPr>
          <w:trHeight w:val="225"/>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00" w:type="dxa"/>
            <w:vAlign w:val="bottom"/>
          </w:tcPr>
          <w:p>
            <w:pPr>
              <w:spacing w:after="0"/>
              <w:rPr>
                <w:sz w:val="19"/>
                <w:szCs w:val="19"/>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0" w:type="dxa"/>
            <w:vAlign w:val="bottom"/>
          </w:tcPr>
          <w:p>
            <w:pPr>
              <w:spacing w:after="0"/>
              <w:rPr>
                <w:sz w:val="1"/>
                <w:szCs w:val="1"/>
                <w:color w:val="auto"/>
              </w:rPr>
            </w:pPr>
          </w:p>
        </w:tc>
      </w:tr>
      <w:tr>
        <w:trPr>
          <w:trHeight w:val="225"/>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45.39</w:t>
            </w:r>
          </w:p>
        </w:tc>
        <w:tc>
          <w:tcPr>
            <w:tcW w:w="0" w:type="dxa"/>
            <w:vAlign w:val="bottom"/>
          </w:tcPr>
          <w:p>
            <w:pPr>
              <w:spacing w:after="0"/>
              <w:rPr>
                <w:sz w:val="1"/>
                <w:szCs w:val="1"/>
                <w:color w:val="auto"/>
              </w:rPr>
            </w:pPr>
          </w:p>
        </w:tc>
      </w:tr>
      <w:tr>
        <w:trPr>
          <w:trHeight w:val="225"/>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44.77</w:t>
            </w:r>
          </w:p>
        </w:tc>
        <w:tc>
          <w:tcPr>
            <w:tcW w:w="0" w:type="dxa"/>
            <w:vAlign w:val="bottom"/>
          </w:tcPr>
          <w:p>
            <w:pPr>
              <w:spacing w:after="0"/>
              <w:rPr>
                <w:sz w:val="1"/>
                <w:szCs w:val="1"/>
                <w:color w:val="auto"/>
              </w:rPr>
            </w:pPr>
          </w:p>
        </w:tc>
      </w:tr>
      <w:tr>
        <w:trPr>
          <w:trHeight w:val="244"/>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October 29, 2023</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43.26</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determine the fair value of time-lapse restricted stock units based on the quoted price of our stock at the date of grant. We expense time-lapse restricted stock units on a straight-line basis over the vesting period, except for awards issued to retirement-eligible participants, which we expense on an accelerated basis.</w:t>
      </w:r>
    </w:p>
    <w:p>
      <w:pPr>
        <w:spacing w:after="0" w:line="4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Since 2022, we have granted EPS performance restricted stock units that will be earned upon the achievement of our adjusted EPS compound annual growth rate goal, measured over a three-year period. The actual number of EPS performance restricted stock units issued at the vesting date could range from 0% to 200% of the initial grant depending on actual performance achieved. The fair value of EPS performance restricted stock units is based upon the quoted price of our stock at the date of grant. We expense EPS performance restricted stock units on a straight-line basis over the service period, except for awards issued to retirement-eligible participants, which we expense on an accelerated basis. We estimate expense based on the number of awards expected to vest. There were 936 thousand EPS performance target grants outstanding at October 29, 2023, with a weighted-average grant-date fair value of $42.99.</w:t>
      </w:r>
    </w:p>
    <w:p>
      <w:pPr>
        <w:spacing w:after="0" w:line="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of October 29, 2023, total remaining unearned compensation related to nonvested time-lapse restricted stock units and EPS performance restricted stock units was $83 million, which will be amortized over the weighted-average remaining service period of 1.9 years. The fair value of restricted stock units vested during the three-month periods ended October 29, 2023, and October 30, 2022, was $30 million and $34 million, respectively. The weighted-average grant-date fair value of the restricted stock units granted during the three-month period ended October 30, 2022 was $47.12.</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20" w:name="page21"/>
    <w:bookmarkEnd w:id="20"/>
    <w:p>
      <w:pPr>
        <w:ind w:left="320"/>
        <w:spacing w:after="0"/>
        <w:rPr>
          <w:sz w:val="20"/>
          <w:szCs w:val="20"/>
          <w:color w:val="auto"/>
        </w:rPr>
      </w:pPr>
      <w:r>
        <w:rPr>
          <w:rFonts w:ascii="Times New Roman" w:cs="Times New Roman" w:eastAsia="Times New Roman" w:hAnsi="Times New Roman"/>
          <w:sz w:val="18"/>
          <w:szCs w:val="18"/>
          <w:color w:val="auto"/>
        </w:rPr>
        <w:t>The following table summarizes TSR performance restricted stock units as of October 29, 2023:</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3"/>
                <w:szCs w:val="13"/>
                <w:color w:val="auto"/>
              </w:rPr>
            </w:pPr>
          </w:p>
        </w:tc>
        <w:tc>
          <w:tcPr>
            <w:tcW w:w="17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820" w:type="dxa"/>
            <w:vAlign w:val="bottom"/>
          </w:tcPr>
          <w:p>
            <w:pPr>
              <w:spacing w:after="0"/>
              <w:rPr>
                <w:sz w:val="16"/>
                <w:szCs w:val="16"/>
                <w:color w:val="auto"/>
              </w:rPr>
            </w:pPr>
          </w:p>
        </w:tc>
        <w:tc>
          <w:tcPr>
            <w:tcW w:w="174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820" w:type="dxa"/>
            <w:vAlign w:val="bottom"/>
          </w:tcPr>
          <w:p>
            <w:pPr>
              <w:spacing w:after="0"/>
              <w:rPr>
                <w:sz w:val="16"/>
                <w:szCs w:val="16"/>
                <w:color w:val="auto"/>
              </w:rPr>
            </w:pPr>
          </w:p>
        </w:tc>
        <w:tc>
          <w:tcPr>
            <w:tcW w:w="16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thousands)</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July 30, 2023</w:t>
            </w:r>
          </w:p>
        </w:tc>
        <w:tc>
          <w:tcPr>
            <w:tcW w:w="1640" w:type="dxa"/>
            <w:vAlign w:val="bottom"/>
            <w:gridSpan w:val="2"/>
            <w:shd w:val="clear" w:color="auto" w:fill="CCEEFF"/>
          </w:tcPr>
          <w:p>
            <w:pPr>
              <w:jc w:val="center"/>
              <w:ind w:left="1137"/>
              <w:spacing w:after="0"/>
              <w:rPr>
                <w:sz w:val="20"/>
                <w:szCs w:val="20"/>
                <w:color w:val="auto"/>
              </w:rPr>
            </w:pPr>
            <w:r>
              <w:rPr>
                <w:rFonts w:ascii="Times New Roman" w:cs="Times New Roman" w:eastAsia="Times New Roman" w:hAnsi="Times New Roman"/>
                <w:sz w:val="18"/>
                <w:szCs w:val="18"/>
                <w:color w:val="auto"/>
                <w:w w:val="96"/>
              </w:rPr>
              <w:t>948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gridSpan w:val="2"/>
          </w:tcPr>
          <w:p>
            <w:pPr>
              <w:jc w:val="center"/>
              <w:ind w:left="1137"/>
              <w:spacing w:after="0"/>
              <w:rPr>
                <w:sz w:val="20"/>
                <w:szCs w:val="20"/>
                <w:color w:val="auto"/>
              </w:rPr>
            </w:pPr>
            <w:r>
              <w:rPr>
                <w:rFonts w:ascii="Times New Roman" w:cs="Times New Roman" w:eastAsia="Times New Roman" w:hAnsi="Times New Roman"/>
                <w:sz w:val="18"/>
                <w:szCs w:val="18"/>
                <w:color w:val="auto"/>
                <w:w w:val="96"/>
              </w:rPr>
              <w:t>387</w:t>
            </w:r>
          </w:p>
        </w:tc>
        <w:tc>
          <w:tcPr>
            <w:tcW w:w="10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gridSpan w:val="2"/>
            <w:shd w:val="clear" w:color="auto" w:fill="CCEEFF"/>
          </w:tcPr>
          <w:p>
            <w:pPr>
              <w:jc w:val="center"/>
              <w:ind w:left="1097"/>
              <w:spacing w:after="0"/>
              <w:rPr>
                <w:sz w:val="20"/>
                <w:szCs w:val="20"/>
                <w:color w:val="auto"/>
              </w:rPr>
            </w:pPr>
            <w:r>
              <w:rPr>
                <w:rFonts w:ascii="Times New Roman" w:cs="Times New Roman" w:eastAsia="Times New Roman" w:hAnsi="Times New Roman"/>
                <w:sz w:val="18"/>
                <w:szCs w:val="18"/>
                <w:color w:val="auto"/>
                <w:w w:val="97"/>
              </w:rPr>
              <w:t>(289)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tcBorders>
              <w:bottom w:val="single" w:sz="8" w:color="auto"/>
            </w:tcBorders>
            <w:gridSpan w:val="2"/>
          </w:tcPr>
          <w:p>
            <w:pPr>
              <w:jc w:val="center"/>
              <w:ind w:left="1117"/>
              <w:spacing w:after="0"/>
              <w:rPr>
                <w:sz w:val="20"/>
                <w:szCs w:val="20"/>
                <w:color w:val="auto"/>
              </w:rPr>
            </w:pPr>
            <w:r>
              <w:rPr>
                <w:rFonts w:ascii="Times New Roman" w:cs="Times New Roman" w:eastAsia="Times New Roman" w:hAnsi="Times New Roman"/>
                <w:sz w:val="18"/>
                <w:szCs w:val="18"/>
                <w:color w:val="auto"/>
                <w:w w:val="92"/>
              </w:rPr>
              <w:t>(110)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54.35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October 29, 2023</w:t>
            </w:r>
          </w:p>
        </w:tc>
        <w:tc>
          <w:tcPr>
            <w:tcW w:w="1640" w:type="dxa"/>
            <w:vAlign w:val="bottom"/>
            <w:tcBorders>
              <w:bottom w:val="single" w:sz="8" w:color="auto"/>
            </w:tcBorders>
            <w:gridSpan w:val="2"/>
            <w:shd w:val="clear" w:color="auto" w:fill="CCEEFF"/>
          </w:tcPr>
          <w:p>
            <w:pPr>
              <w:jc w:val="center"/>
              <w:ind w:left="1137"/>
              <w:spacing w:after="0"/>
              <w:rPr>
                <w:sz w:val="20"/>
                <w:szCs w:val="20"/>
                <w:color w:val="auto"/>
              </w:rPr>
            </w:pPr>
            <w:r>
              <w:rPr>
                <w:rFonts w:ascii="Times New Roman" w:cs="Times New Roman" w:eastAsia="Times New Roman" w:hAnsi="Times New Roman"/>
                <w:sz w:val="18"/>
                <w:szCs w:val="18"/>
                <w:color w:val="auto"/>
                <w:w w:val="96"/>
              </w:rPr>
              <w:t>936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56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We estimated the fair value of TSR performance restricted stock units at the grant date using a Monte Carlo simulation.</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7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Assumptions used in the Monte Carlo simulation were as follows:</w:t>
            </w: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7820" w:type="dxa"/>
            <w:vAlign w:val="bottom"/>
          </w:tcPr>
          <w:p>
            <w:pPr>
              <w:spacing w:after="0"/>
              <w:rPr>
                <w:sz w:val="17"/>
                <w:szCs w:val="17"/>
                <w:color w:val="auto"/>
              </w:rPr>
            </w:pPr>
          </w:p>
        </w:tc>
        <w:tc>
          <w:tcPr>
            <w:tcW w:w="1640" w:type="dxa"/>
            <w:vAlign w:val="bottom"/>
            <w:gridSpan w:val="2"/>
          </w:tcPr>
          <w:p>
            <w:pPr>
              <w:jc w:val="center"/>
              <w:ind w:left="107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gridSpan w:val="2"/>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78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7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center"/>
              <w:ind w:left="212"/>
              <w:spacing w:after="0"/>
              <w:rPr>
                <w:sz w:val="20"/>
                <w:szCs w:val="20"/>
                <w:color w:val="auto"/>
              </w:rPr>
            </w:pPr>
            <w:r>
              <w:rPr>
                <w:rFonts w:ascii="Times New Roman" w:cs="Times New Roman" w:eastAsia="Times New Roman" w:hAnsi="Times New Roman"/>
                <w:sz w:val="18"/>
                <w:szCs w:val="18"/>
                <w:b w:val="1"/>
                <w:bCs w:val="1"/>
                <w:color w:val="auto"/>
              </w:rPr>
              <w:t>4.84%</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4.29%</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740" w:type="dxa"/>
            <w:vAlign w:val="bottom"/>
            <w:gridSpan w:val="3"/>
          </w:tcPr>
          <w:p>
            <w:pPr>
              <w:jc w:val="center"/>
              <w:ind w:left="997"/>
              <w:spacing w:after="0"/>
              <w:rPr>
                <w:sz w:val="20"/>
                <w:szCs w:val="20"/>
                <w:color w:val="auto"/>
              </w:rPr>
            </w:pPr>
            <w:r>
              <w:rPr>
                <w:rFonts w:ascii="Times New Roman" w:cs="Times New Roman" w:eastAsia="Times New Roman" w:hAnsi="Times New Roman"/>
                <w:sz w:val="18"/>
                <w:szCs w:val="18"/>
                <w:b w:val="1"/>
                <w:bCs w:val="1"/>
                <w:color w:val="auto"/>
              </w:rPr>
              <w:t>3.54%</w:t>
            </w:r>
          </w:p>
        </w:tc>
        <w:tc>
          <w:tcPr>
            <w:tcW w:w="300" w:type="dxa"/>
            <w:vAlign w:val="bottom"/>
          </w:tcPr>
          <w:p>
            <w:pPr>
              <w:spacing w:after="0"/>
              <w:rPr>
                <w:sz w:val="19"/>
                <w:szCs w:val="19"/>
                <w:color w:val="auto"/>
              </w:rPr>
            </w:pPr>
          </w:p>
        </w:tc>
        <w:tc>
          <w:tcPr>
            <w:tcW w:w="1340" w:type="dxa"/>
            <w:vAlign w:val="bottom"/>
            <w:gridSpan w:val="2"/>
          </w:tcPr>
          <w:p>
            <w:pPr>
              <w:jc w:val="center"/>
              <w:ind w:left="76"/>
              <w:spacing w:after="0"/>
              <w:rPr>
                <w:sz w:val="20"/>
                <w:szCs w:val="20"/>
                <w:color w:val="auto"/>
              </w:rPr>
            </w:pPr>
            <w:r>
              <w:rPr>
                <w:rFonts w:ascii="Times New Roman" w:cs="Times New Roman" w:eastAsia="Times New Roman" w:hAnsi="Times New Roman"/>
                <w:sz w:val="18"/>
                <w:szCs w:val="18"/>
                <w:color w:val="auto"/>
                <w:w w:val="98"/>
              </w:rPr>
              <w:t>3.09%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740" w:type="dxa"/>
            <w:vAlign w:val="bottom"/>
            <w:gridSpan w:val="3"/>
            <w:shd w:val="clear" w:color="auto" w:fill="CCEEFF"/>
          </w:tcPr>
          <w:p>
            <w:pPr>
              <w:jc w:val="center"/>
              <w:ind w:left="997"/>
              <w:spacing w:after="0"/>
              <w:rPr>
                <w:sz w:val="20"/>
                <w:szCs w:val="20"/>
                <w:color w:val="auto"/>
              </w:rPr>
            </w:pPr>
            <w:r>
              <w:rPr>
                <w:rFonts w:ascii="Times New Roman" w:cs="Times New Roman" w:eastAsia="Times New Roman" w:hAnsi="Times New Roman"/>
                <w:sz w:val="18"/>
                <w:szCs w:val="18"/>
                <w:b w:val="1"/>
                <w:bCs w:val="1"/>
                <w:color w:val="auto"/>
                <w:w w:val="99"/>
              </w:rPr>
              <w:t>22.16%</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center"/>
              <w:ind w:left="76"/>
              <w:spacing w:after="0"/>
              <w:rPr>
                <w:sz w:val="20"/>
                <w:szCs w:val="20"/>
                <w:color w:val="auto"/>
              </w:rPr>
            </w:pPr>
            <w:r>
              <w:rPr>
                <w:rFonts w:ascii="Times New Roman" w:cs="Times New Roman" w:eastAsia="Times New Roman" w:hAnsi="Times New Roman"/>
                <w:sz w:val="18"/>
                <w:szCs w:val="18"/>
                <w:color w:val="auto"/>
                <w:w w:val="97"/>
              </w:rPr>
              <w:t>26.40%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780" w:type="dxa"/>
            <w:vAlign w:val="bottom"/>
          </w:tcPr>
          <w:p>
            <w:pPr>
              <w:spacing w:after="0"/>
              <w:rPr>
                <w:sz w:val="20"/>
                <w:szCs w:val="20"/>
                <w:color w:val="auto"/>
              </w:rPr>
            </w:pPr>
          </w:p>
        </w:tc>
        <w:tc>
          <w:tcPr>
            <w:tcW w:w="9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3 years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3 years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recognize compensation expense on a straight-line basis over the service period, except for awards issued to retirement eligible participants, which we expense on an accelerated basis. As of October 29, 2023, total remaining unearned compensation related to TSR performance restricted stock units was $24 million, which will be amortized over the weighted-average remaining service period of 2.0 years. In the first quarter of 2024, recipients of TSR performance restricted stock units earned 75% of the initial grants based upon our TSR ranking in a performance peer group during a three-year period ended July 28, 2023. In the first quarter of 2023, recipients of TSR performance restricted stock units earned 100% of the initial grants based upon our TSR ranking in a performance peer group during a three-year period ended July 29, 2022. The fair value of TSR performance restricted stock units vested during the three-month periods ended October 29, 2023, and October 30, 2022, was $12 million and $21 million, respectively. The weighted-average grant-date fair value of the TSR performance restricted stock units granted during the three-month period ended October 30, 2022, was $53.74.</w:t>
      </w:r>
    </w:p>
    <w:p>
      <w:pPr>
        <w:spacing w:after="0" w:line="7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tax benefits on the exercise of stock options in the three-month period ended October 30, 2022 were not material. Cash received from the exercise of stock options was $2 million for the three-month period ended October 30, 2022, and is reflected in cash flows from financing activities in the Consolidated Statements of Cash Flows.</w:t>
      </w:r>
    </w:p>
    <w:p>
      <w:pPr>
        <w:spacing w:after="0" w:line="136" w:lineRule="exact"/>
        <w:rPr>
          <w:sz w:val="20"/>
          <w:szCs w:val="20"/>
          <w:color w:val="auto"/>
        </w:rPr>
      </w:pPr>
    </w:p>
    <w:p>
      <w:pPr>
        <w:ind w:right="8460" w:firstLine="6"/>
        <w:spacing w:after="0" w:line="367" w:lineRule="auto"/>
        <w:tabs>
          <w:tab w:leader="none" w:pos="265"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i w:val="1"/>
          <w:iCs w:val="1"/>
          <w:color w:val="auto"/>
        </w:rPr>
        <w:t>Regulatory and Litigation Matters</w:t>
      </w: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are involved in various pending or threatened legal or regulatory proceedings, including purported class actions, arising from the conduct of business both in the ordinary course and otherwise.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In addition, jurisdictions may permit plaintiffs to allege monetary damages in amounts well exceeding reasonably possible verdicts in the jurisdiction for similar matters. This variability in pleadings, together with our actual experiences in litigating or resolving through settlement numerous claims over an extended period of time, demonstrates to us that the monetary relief which may be specified in a lawsuit or claim bears little relevance to its merits or disposition value.</w:t>
      </w:r>
    </w:p>
    <w:p>
      <w:pPr>
        <w:spacing w:after="0" w:line="6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Due to the unpredictable nature of litigation, the outcome of a litigation matter and the amount or range of potential loss at particular points in time is normally difficult to ascertain. Uncertainties can include how fact finders will evaluate documentary evidence and the credibility and effectiveness of witness testimony, and how trial and appellate courts will apply the law in the context of the pleadings or evidence presented, whether by motion practice, or at trial or on appeal. Disposition valuations are also subject to the uncertainty of how opposing parties and their counsel will themselves view the relevant evidence and applicable law.</w:t>
      </w:r>
    </w:p>
    <w:p>
      <w:pPr>
        <w:spacing w:after="0" w:line="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establish liabilities for litigation and regulatory loss contingencies when information related to the loss contingencies shows both that it is probable that a loss has been incurred and the amount of the loss can be reasonably estimated. It is possible that some matters could require us to pay damages or make other expenditures or establish accruals in amounts that could not be reasonably estimated as of October 29, 2023. While the potential future charges could be material in a particular quarter or</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21" w:name="page22"/>
    <w:bookmarkEnd w:id="21"/>
    <w:p>
      <w:pPr>
        <w:jc w:val="both"/>
        <w:spacing w:after="0" w:line="274" w:lineRule="auto"/>
        <w:rPr>
          <w:sz w:val="20"/>
          <w:szCs w:val="20"/>
          <w:color w:val="auto"/>
        </w:rPr>
      </w:pPr>
      <w:r>
        <w:rPr>
          <w:rFonts w:ascii="Times New Roman" w:cs="Times New Roman" w:eastAsia="Times New Roman" w:hAnsi="Times New Roman"/>
          <w:sz w:val="18"/>
          <w:szCs w:val="18"/>
          <w:color w:val="auto"/>
        </w:rPr>
        <w:t>annual period, based on information currently known by us, we do not believe any such charges are likely to have a material adverse effect on our consolidated results of operations or financial condition.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Contingencies</w:t>
      </w:r>
    </w:p>
    <w:p>
      <w:pPr>
        <w:spacing w:after="0" w:line="10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have provided certain indemnifications in connection with divestitures, contracts and other transactions. Certain indemnifications have finite expiration dates. Liabilities recognized based on known exposures related to such matters were not material at October 29,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Supplier Finance Program Obligations</w:t>
      </w:r>
    </w:p>
    <w:p>
      <w:pPr>
        <w:spacing w:after="0" w:line="100"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To manage our cash flow and related liquidity, we work with our suppliers to optimize our terms and conditions, including the extension of payment terms. Our current payment terms with our suppliers, which we deem to be commercially reasonable, generally range from 0 to 120 days. We also maintain agreements with third-party administrators that allow participating suppliers to track payment obligations from us, and, at the sole discretion of the supplier, sell those payment obligations to participating financial institutions. Our obligations to our suppliers, including amounts due and scheduled payment terms, are not impacted. Supplier participation in these agreements is voluntary. We have no economic interest in a supplier’s decision to enter into these agreements and no direct financial relationship with the financial institutions. We have not pledged assets as security or provided any guarantees in connection with these arrangements. The payment of these obligations is included in cash provided by operating activities in the Consolidated Statements of Cash Flows. Amounts outstanding under these programs, which are included in Accounts payable on the Consolidated Balance Sheets, were $277 million at October 29, 2023, and $258 million at July 30, 2023.</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Supplemental Financial Statement Data</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80" w:type="dxa"/>
            <w:vAlign w:val="bottom"/>
          </w:tcPr>
          <w:p>
            <w:pPr>
              <w:spacing w:after="0"/>
              <w:rPr>
                <w:sz w:val="13"/>
                <w:szCs w:val="13"/>
                <w:color w:val="auto"/>
              </w:rPr>
            </w:pPr>
          </w:p>
        </w:tc>
        <w:tc>
          <w:tcPr>
            <w:tcW w:w="134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July 30,</w:t>
            </w:r>
          </w:p>
        </w:tc>
        <w:tc>
          <w:tcPr>
            <w:tcW w:w="0" w:type="dxa"/>
            <w:vAlign w:val="bottom"/>
          </w:tcPr>
          <w:p>
            <w:pPr>
              <w:spacing w:after="0"/>
              <w:rPr>
                <w:sz w:val="1"/>
                <w:szCs w:val="1"/>
                <w:color w:val="auto"/>
              </w:rPr>
            </w:pPr>
          </w:p>
        </w:tc>
      </w:tr>
      <w:tr>
        <w:trPr>
          <w:trHeight w:val="191"/>
        </w:trPr>
        <w:tc>
          <w:tcPr>
            <w:tcW w:w="84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1"/>
        </w:trPr>
        <w:tc>
          <w:tcPr>
            <w:tcW w:w="8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Balance Sheets</w:t>
            </w: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Raw materials, containers and supplies</w:t>
            </w:r>
          </w:p>
        </w:tc>
        <w:tc>
          <w:tcPr>
            <w:tcW w:w="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25"/>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Finished products</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847</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43"/>
        </w:trPr>
        <w:tc>
          <w:tcPr>
            <w:tcW w:w="84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1,340</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8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gridSpan w:val="6"/>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4"/>
        </w:trPr>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4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0" w:type="dxa"/>
            <w:vAlign w:val="bottom"/>
          </w:tcPr>
          <w:p>
            <w:pPr>
              <w:spacing w:after="0"/>
              <w:rPr>
                <w:sz w:val="1"/>
                <w:szCs w:val="1"/>
                <w:color w:val="auto"/>
              </w:rPr>
            </w:pPr>
          </w:p>
        </w:tc>
      </w:tr>
      <w:tr>
        <w:trPr>
          <w:trHeight w:val="212"/>
        </w:trPr>
        <w:tc>
          <w:tcPr>
            <w:tcW w:w="8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Statements of Earnings</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 / (income)</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40" w:type="dxa"/>
            <w:vAlign w:val="bottom"/>
            <w:shd w:val="clear" w:color="auto" w:fill="CCEEFF"/>
          </w:tcPr>
          <w:p>
            <w:pPr>
              <w:ind w:left="140"/>
              <w:spacing w:after="0" w:line="225" w:lineRule="exact"/>
              <w:rPr>
                <w:sz w:val="20"/>
                <w:szCs w:val="20"/>
                <w:color w:val="auto"/>
              </w:rPr>
            </w:pPr>
            <w:r>
              <w:rPr>
                <w:rFonts w:ascii="Times New Roman" w:cs="Times New Roman" w:eastAsia="Times New Roman" w:hAnsi="Times New Roman"/>
                <w:sz w:val="18"/>
                <w:szCs w:val="18"/>
                <w:color w:val="auto"/>
              </w:rPr>
              <w:t>Amortization of intangible assets</w:t>
            </w:r>
            <w:r>
              <w:rPr>
                <w:rFonts w:ascii="Times New Roman" w:cs="Times New Roman" w:eastAsia="Times New Roman" w:hAnsi="Times New Roman"/>
                <w:sz w:val="22"/>
                <w:szCs w:val="22"/>
                <w:color w:val="auto"/>
                <w:vertAlign w:val="superscript"/>
              </w:rPr>
              <w:t>(1)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17</w:t>
            </w:r>
          </w:p>
        </w:tc>
        <w:tc>
          <w:tcPr>
            <w:tcW w:w="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5"/>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periodic benefit expense (income) other than the service cost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5"/>
        </w:trPr>
        <w:tc>
          <w:tcPr>
            <w:tcW w:w="8440" w:type="dxa"/>
            <w:vAlign w:val="bottom"/>
            <w:shd w:val="clear" w:color="auto" w:fill="CCEEFF"/>
          </w:tcPr>
          <w:p>
            <w:pPr>
              <w:ind w:left="140"/>
              <w:spacing w:after="0" w:line="225" w:lineRule="exact"/>
              <w:rPr>
                <w:sz w:val="20"/>
                <w:szCs w:val="20"/>
                <w:color w:val="auto"/>
              </w:rPr>
            </w:pPr>
            <w:r>
              <w:rPr>
                <w:rFonts w:ascii="Times New Roman" w:cs="Times New Roman" w:eastAsia="Times New Roman" w:hAnsi="Times New Roman"/>
                <w:sz w:val="18"/>
                <w:szCs w:val="18"/>
                <w:color w:val="auto"/>
              </w:rPr>
              <w:t>Costs associated with pending acquisition</w:t>
            </w:r>
            <w:r>
              <w:rPr>
                <w:rFonts w:ascii="Times New Roman" w:cs="Times New Roman" w:eastAsia="Times New Roman" w:hAnsi="Times New Roman"/>
                <w:sz w:val="22"/>
                <w:szCs w:val="22"/>
                <w:color w:val="auto"/>
                <w:vertAlign w:val="superscript"/>
              </w:rPr>
              <w:t>(2)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Transition services fees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8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58" w:lineRule="exact"/>
        <w:rPr>
          <w:sz w:val="20"/>
          <w:szCs w:val="20"/>
          <w:color w:val="auto"/>
        </w:rPr>
      </w:pPr>
    </w:p>
    <w:p>
      <w:pPr>
        <w:ind w:left="320" w:hanging="314"/>
        <w:spacing w:after="0" w:line="225" w:lineRule="auto"/>
        <w:tabs>
          <w:tab w:leader="none" w:pos="308"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accelerated amortization expense of $7 million related to customer relationship intangible assets in the three-month period ended October 29, 2023.</w:t>
      </w:r>
    </w:p>
    <w:p>
      <w:pPr>
        <w:spacing w:after="0" w:line="1" w:lineRule="exact"/>
        <w:rPr>
          <w:rFonts w:ascii="Times New Roman" w:cs="Times New Roman" w:eastAsia="Times New Roman" w:hAnsi="Times New Roman"/>
          <w:sz w:val="23"/>
          <w:szCs w:val="23"/>
          <w:color w:val="auto"/>
          <w:vertAlign w:val="superscript"/>
        </w:rPr>
      </w:pPr>
    </w:p>
    <w:p>
      <w:pPr>
        <w:ind w:left="320" w:hanging="314"/>
        <w:spacing w:after="0"/>
        <w:tabs>
          <w:tab w:leader="none" w:pos="32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Related to the pending acquisition of Sovos Brands. See Note 18 for additional information.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18. Pending Acquisition</w:t>
      </w:r>
    </w:p>
    <w:p>
      <w:pPr>
        <w:spacing w:after="0" w:line="87" w:lineRule="exact"/>
        <w:rPr>
          <w:sz w:val="20"/>
          <w:szCs w:val="20"/>
          <w:color w:val="auto"/>
        </w:rPr>
      </w:pPr>
    </w:p>
    <w:p>
      <w:pPr>
        <w:jc w:val="both"/>
        <w:ind w:firstLine="318"/>
        <w:spacing w:after="0" w:line="239" w:lineRule="auto"/>
        <w:rPr>
          <w:sz w:val="20"/>
          <w:szCs w:val="20"/>
          <w:color w:val="auto"/>
        </w:rPr>
      </w:pPr>
      <w:r>
        <w:rPr>
          <w:rFonts w:ascii="Times New Roman" w:cs="Times New Roman" w:eastAsia="Times New Roman" w:hAnsi="Times New Roman"/>
          <w:sz w:val="18"/>
          <w:szCs w:val="18"/>
          <w:color w:val="auto"/>
        </w:rPr>
        <w:t>On August 7, 2023, we entered into a merger agreement to acquire Sovos Brands for $23.00 per share in cash, representing a total enterprise value of approximately $2.7 billion. The closing of the Sovos Brands acquisition is subject to certain customary mutual conditions, including among other things the expiration or termination of the applicable waiting period under the Hart-Scott-Rodino Antitrust Improvements Act of 1976, as amended (the HSR Act). If any condition to the acquisition is not satisfied or waived, the completion of the acquisition could be significantly delayed or not occur at all.</w:t>
      </w:r>
    </w:p>
    <w:p>
      <w:pPr>
        <w:spacing w:after="0" w:line="50" w:lineRule="exact"/>
        <w:rPr>
          <w:sz w:val="20"/>
          <w:szCs w:val="20"/>
          <w:color w:val="auto"/>
        </w:rPr>
      </w:pPr>
    </w:p>
    <w:p>
      <w:pPr>
        <w:jc w:val="both"/>
        <w:ind w:firstLine="318"/>
        <w:spacing w:after="0" w:line="238" w:lineRule="auto"/>
        <w:rPr>
          <w:sz w:val="20"/>
          <w:szCs w:val="20"/>
          <w:color w:val="auto"/>
        </w:rPr>
      </w:pPr>
      <w:r>
        <w:rPr>
          <w:rFonts w:ascii="Times New Roman" w:cs="Times New Roman" w:eastAsia="Times New Roman" w:hAnsi="Times New Roman"/>
          <w:sz w:val="18"/>
          <w:szCs w:val="18"/>
          <w:color w:val="auto"/>
        </w:rPr>
        <w:t>On October 23, 2023, we and Sovos Brands each received a request for additional information (the Second Request) from the U.S. Federal Trade Commission (the FTC) in connection with the FTC’s review of the transaction contemplated by the merger agreement. Issuance of the Second Request extends the waiting period under the HSR Act until 30 days after both we and Sovos Brands substantially comply with the Second Request, unless the waiting period is extended voluntarily by the parties or terminated earlier by the FTC. We now expect that the merger will close in calendar 2024, and we will continue to engage with the FTC on its review with the objective of closing the transaction in mid-calendar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23" w:name="page24"/>
    <w:bookmarkEnd w:id="23"/>
    <w:p>
      <w:pPr>
        <w:ind w:right="4100"/>
        <w:spacing w:after="0" w:line="347" w:lineRule="auto"/>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r>
        <w:rPr>
          <w:rFonts w:ascii="Times New Roman" w:cs="Times New Roman" w:eastAsia="Times New Roman" w:hAnsi="Times New Roman"/>
          <w:sz w:val="18"/>
          <w:szCs w:val="18"/>
          <w:b w:val="1"/>
          <w:bCs w:val="1"/>
          <w:color w:val="auto"/>
        </w:rPr>
        <w:t xml:space="preserve"> OVERVIEW</w:t>
      </w:r>
    </w:p>
    <w:p>
      <w:pPr>
        <w:spacing w:after="0" w:line="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is provided as a supplement to, and should be read in conjunction with, the Consolidated Financial Statements and the Notes to the Consolidated Financial Statements in "Part I - Item 1. Financial Statements," and our Form 10-K for the year ended July 30, 2023, including but not limited to "Part I - Item 1A. Risk Factors" and "Part II - Item 7. Management's Discussion and Analysis of Financial Condition and Results of Operations."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Summary</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Unless otherwise stated, the terms "we," "us," "our" and the "company" refer to Campbell Soup Company and its consolidated subsidiaries.</w:t>
      </w:r>
    </w:p>
    <w:p>
      <w:pPr>
        <w:spacing w:after="0" w:line="9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are a manufacturer and marketer of high-quality, branded food and beverage products. We operate in a highly competitive industry and experience competition in all of our categories.</w:t>
      </w:r>
    </w:p>
    <w:p>
      <w:pPr>
        <w:spacing w:after="0" w:line="4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May 30, 2023, we completed the sale of our Emerald nuts business for $41 million. The results of the business through the date of sale were reflected within the Snacks reportable segment.</w:t>
      </w:r>
    </w:p>
    <w:p>
      <w:pPr>
        <w:spacing w:after="0" w:line="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Sovos Brands, Inc. (Sovos Brands) Acquisition Update</w:t>
      </w:r>
    </w:p>
    <w:p>
      <w:pPr>
        <w:spacing w:after="0" w:line="87" w:lineRule="exact"/>
        <w:rPr>
          <w:sz w:val="20"/>
          <w:szCs w:val="20"/>
          <w:color w:val="auto"/>
        </w:rPr>
      </w:pPr>
    </w:p>
    <w:p>
      <w:pPr>
        <w:jc w:val="both"/>
        <w:ind w:firstLine="318"/>
        <w:spacing w:after="0" w:line="239" w:lineRule="auto"/>
        <w:rPr>
          <w:sz w:val="20"/>
          <w:szCs w:val="20"/>
          <w:color w:val="auto"/>
        </w:rPr>
      </w:pPr>
      <w:r>
        <w:rPr>
          <w:rFonts w:ascii="Times New Roman" w:cs="Times New Roman" w:eastAsia="Times New Roman" w:hAnsi="Times New Roman"/>
          <w:sz w:val="18"/>
          <w:szCs w:val="18"/>
          <w:color w:val="auto"/>
        </w:rPr>
        <w:t>On August 7, 2023, we entered into a merger agreement to acquire Sovos Brands for $23.00 per share in cash, representing a total enterprise value of approximately $2.7 billion. The closing of the Sovos Brands acquisition is subject to certain customary mutual conditions, including among other things the expiration or termination of the applicable waiting period under the Hart-Scott-Rodino Antitrust Improvements Act of 1976, as amended (the HSR Act). If any condition to the acquisition is not satisfied or waived, the completion of the acquisition could be significantly delayed or not occur at all.</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On October 16, 2023, at a special meeting of Sovos Brands’ stockholders, the proposal to adopt the merger agreement was approved.</w:t>
      </w:r>
    </w:p>
    <w:p>
      <w:pPr>
        <w:spacing w:after="0" w:line="71" w:lineRule="exact"/>
        <w:rPr>
          <w:sz w:val="20"/>
          <w:szCs w:val="20"/>
          <w:color w:val="auto"/>
        </w:rPr>
      </w:pPr>
    </w:p>
    <w:p>
      <w:pPr>
        <w:jc w:val="both"/>
        <w:ind w:firstLine="318"/>
        <w:spacing w:after="0" w:line="236" w:lineRule="auto"/>
        <w:rPr>
          <w:sz w:val="20"/>
          <w:szCs w:val="20"/>
          <w:color w:val="auto"/>
        </w:rPr>
      </w:pPr>
      <w:r>
        <w:rPr>
          <w:rFonts w:ascii="Times New Roman" w:cs="Times New Roman" w:eastAsia="Times New Roman" w:hAnsi="Times New Roman"/>
          <w:sz w:val="18"/>
          <w:szCs w:val="18"/>
          <w:color w:val="auto"/>
        </w:rPr>
        <w:t>On October 23, 2023, we and Sovos Brands each received a request for additional information (the Second Request) from the U.S. Federal Trade Commission (the FTC) in connection with the FTC’s review of the transaction contemplated by the merger agreement. Issuance of the Second Request extends the waiting period under the HSR Act until 30 days after both we and Sovos Brands substantially comply with the Second Request, unless the waiting period is extended voluntarily by the parties or terminated earlier by the FTC. We now expect that the merger will close in calendar 2024, and we will continue to engage with the FTC on its review with the objective of closing the transaction in mid-calendar 2024. For additional information on this pending acquisition, see our Form 8-K filed with the U.S. Securities and Exchange Commission on August 7, 2023.</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Trends</w:t>
      </w:r>
    </w:p>
    <w:p>
      <w:pPr>
        <w:spacing w:after="0" w:line="87" w:lineRule="exact"/>
        <w:rPr>
          <w:sz w:val="20"/>
          <w:szCs w:val="20"/>
          <w:color w:val="auto"/>
        </w:rPr>
      </w:pPr>
    </w:p>
    <w:p>
      <w:pPr>
        <w:jc w:val="both"/>
        <w:ind w:firstLine="318"/>
        <w:spacing w:after="0" w:line="239" w:lineRule="auto"/>
        <w:rPr>
          <w:sz w:val="20"/>
          <w:szCs w:val="20"/>
          <w:color w:val="auto"/>
        </w:rPr>
      </w:pPr>
      <w:r>
        <w:rPr>
          <w:rFonts w:ascii="Times New Roman" w:cs="Times New Roman" w:eastAsia="Times New Roman" w:hAnsi="Times New Roman"/>
          <w:sz w:val="18"/>
          <w:szCs w:val="18"/>
          <w:color w:val="auto"/>
        </w:rPr>
        <w:t>Our industry continues to be impacted by commodity cost fluctuations, labor cost inflation, input cost inflation and other global macroeconomic challenges. We experienced a moderate amount of input cost inflation during the first quarter of 2024, and we expect modest pressures of input cost inflation to continue throughout the remainder of 2024. We have also experienced a reduction to our volumes due to lower consumption trends seen throughout the industry. We expect these trends to improve as inflation continues to moderate throughout the remainder of 2024.</w:t>
      </w:r>
    </w:p>
    <w:p>
      <w:pPr>
        <w:spacing w:after="0" w:line="50" w:lineRule="exact"/>
        <w:rPr>
          <w:sz w:val="20"/>
          <w:szCs w:val="20"/>
          <w:color w:val="auto"/>
        </w:rPr>
      </w:pPr>
    </w:p>
    <w:p>
      <w:pPr>
        <w:jc w:val="both"/>
        <w:ind w:firstLine="318"/>
        <w:spacing w:after="0" w:line="239" w:lineRule="auto"/>
        <w:rPr>
          <w:sz w:val="20"/>
          <w:szCs w:val="20"/>
          <w:color w:val="auto"/>
        </w:rPr>
      </w:pPr>
      <w:r>
        <w:rPr>
          <w:rFonts w:ascii="Times New Roman" w:cs="Times New Roman" w:eastAsia="Times New Roman" w:hAnsi="Times New Roman"/>
          <w:sz w:val="18"/>
          <w:szCs w:val="18"/>
          <w:color w:val="auto"/>
        </w:rPr>
        <w:t>We anticipate continued supply chain productivity and previously implemented pricing actions to mitigate some of the inflationary pressures, and expect such benefits to largely offset the incremental costs in 2024. We will continue to evaluate the evolving macroeconomic environment to take action to mitigate the impact on our business, consolidated results of operations and financial condition. We will also be lapping 2023 price increases, and anticipate that favorable net price realization will represent a reduced contribution to sales in 2024.</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Results</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This Summary of Results provides significant highlights from the discussion and analysis that follows.</w:t>
      </w:r>
    </w:p>
    <w:p>
      <w:pPr>
        <w:spacing w:after="0" w:line="98" w:lineRule="exact"/>
        <w:rPr>
          <w:sz w:val="20"/>
          <w:szCs w:val="20"/>
          <w:color w:val="auto"/>
        </w:rPr>
      </w:pPr>
    </w:p>
    <w:p>
      <w:pPr>
        <w:ind w:left="640" w:hanging="316"/>
        <w:spacing w:after="0" w:line="274"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decreased 2% in the quarter to $2.518 billion following a 15% increase in the prior year. Volume/mix declines were partially offset by net price realization. On a two-year compounded annual growth rate (CAGR), net sales increased approximately 6%.</w:t>
      </w:r>
    </w:p>
    <w:p>
      <w:pPr>
        <w:spacing w:after="0" w:line="44"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as a percent of sales, was 31.3% in 2024 compared to 32.4% in the prior-year quarter. The decrease was primarily due to higher cost inflation and other supply chain costs as well as unfavorable volume/mix, partially offset by favorable net price realization and supply chain productivity improvements.</w:t>
      </w:r>
    </w:p>
    <w:p>
      <w:pPr>
        <w:spacing w:after="0" w:line="45"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share were $.78 in 2024, compared to $.99 a year ago. The current quarter included expenses of $.13 per share and the prior-year quarter included expenses of $.03 per share from items impacting comparability as discussed below.</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Net Earnings attributable to Campbell Soup Company</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items impacted the comparability of net earnings and net earnings per share:</w:t>
      </w:r>
    </w:p>
    <w:p>
      <w:pPr>
        <w:spacing w:after="0" w:line="98" w:lineRule="exact"/>
        <w:rPr>
          <w:sz w:val="20"/>
          <w:szCs w:val="20"/>
          <w:color w:val="auto"/>
        </w:rPr>
      </w:pPr>
    </w:p>
    <w:p>
      <w:pPr>
        <w:jc w:val="both"/>
        <w:ind w:left="640" w:hanging="316"/>
        <w:spacing w:after="0" w:line="251"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implemented several cost savings initiatives in recent years. In the first quarter of 2024, we recorded Restructuring charges of $2 million and implementation costs and other related costs of $5 million in Administrative expenses, $3 million in Cost of products sold, $2 million in Marketing and selling expenses and $1 million in Research and development expenses (aggregate impact of $10 million after tax, or $.03 per share) related to these initiatives. In the first quarter of 2023, we recorded implementation costs and other related costs of $3 million in Administrative expenses ($.01 per share) related to these initiatives. See Note 6 to the Consolidated Financial Statements and "Restructuring Charges and Cost Savings Initiatives" for additional information;</w:t>
      </w:r>
    </w:p>
    <w:p>
      <w:pPr>
        <w:spacing w:after="0" w:line="65"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2024, we recognized losses in Cost of products sold of $15 million ($11 million after tax, or $.04 per share) associated with unrealized mark-to-market adjustments on outstanding undesignated commodity hedges. In the first quarter of 2023, we recognized gains in Cost of products sold of $5 million ($4 million after tax, or $.01 per share) associated with unrealized mark-to-market adjustments on outstanding undesignated commodity hedges;</w:t>
      </w:r>
    </w:p>
    <w:p>
      <w:pPr>
        <w:spacing w:after="0" w:line="4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2024, we recorded accelerated amortization expense in Other expenses / (income) of $7 million ($5 million after tax, or $.02 per share) related to customer relationship intangible assets due to the loss of certain contract manufacturing customers;</w:t>
      </w:r>
    </w:p>
    <w:p>
      <w:pPr>
        <w:spacing w:after="0" w:line="4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2024, we announced our intent to acquire Sovos Brands and incurred costs in Other expenses / (income) of $9 million ($8 million after tax, or $.03 per share) associated with the pending acquisition;</w:t>
      </w:r>
    </w:p>
    <w:p>
      <w:pPr>
        <w:spacing w:after="0" w:line="4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2024, we recorded costs of $2 million in Cost of products sold and $1 million in Administrative expenses (aggregate impact of $2 million after tax, or $.01 per share) related to a cybersecurity incident that was identified in the fourth quarter of 2023;</w:t>
      </w:r>
    </w:p>
    <w:p>
      <w:pPr>
        <w:spacing w:after="0" w:line="3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2024, we recorded pre- and after-tax litigation expenses in Administrative expenses of $2 million ($.01 per share) related to the Plum baby food and snacks business (Plum), which was divested on May 3, 2021; and</w:t>
      </w:r>
    </w:p>
    <w:p>
      <w:pPr>
        <w:spacing w:after="0" w:line="44"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2023, we recognized an actuarial loss in Other expenses / (income) of $15 million ($11 million after tax, or $.04 per share). The actuarial loss related to interim remeasurements of a U.S. pension plan due to lump sum distributions that were expected to exceed service and interest costs resulting in settlement accounting for the plan.</w:t>
      </w:r>
    </w:p>
    <w:p>
      <w:pPr>
        <w:spacing w:after="0" w:line="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items impacting comparability are summarized below:</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4"/>
        </w:trPr>
        <w:tc>
          <w:tcPr>
            <w:tcW w:w="6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4"/>
          </w:tcPr>
          <w:p>
            <w:pPr>
              <w:spacing w:after="0"/>
              <w:rPr>
                <w:sz w:val="2"/>
                <w:szCs w:val="2"/>
                <w:color w:val="auto"/>
              </w:rPr>
            </w:pPr>
          </w:p>
        </w:tc>
      </w:tr>
      <w:tr>
        <w:trPr>
          <w:trHeight w:val="186"/>
        </w:trPr>
        <w:tc>
          <w:tcPr>
            <w:tcW w:w="6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October 30, 2022</w:t>
            </w:r>
          </w:p>
        </w:tc>
      </w:tr>
      <w:tr>
        <w:trPr>
          <w:trHeight w:val="161"/>
        </w:trPr>
        <w:tc>
          <w:tcPr>
            <w:tcW w:w="6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200" w:type="dxa"/>
            <w:vAlign w:val="bottom"/>
          </w:tcPr>
          <w:p>
            <w:pPr>
              <w:spacing w:after="0"/>
              <w:rPr>
                <w:sz w:val="13"/>
                <w:szCs w:val="13"/>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EPS</w:t>
            </w:r>
          </w:p>
        </w:tc>
        <w:tc>
          <w:tcPr>
            <w:tcW w:w="180" w:type="dxa"/>
            <w:vAlign w:val="bottom"/>
          </w:tcPr>
          <w:p>
            <w:pPr>
              <w:spacing w:after="0"/>
              <w:rPr>
                <w:sz w:val="13"/>
                <w:szCs w:val="13"/>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200" w:type="dxa"/>
            <w:vAlign w:val="bottom"/>
          </w:tcPr>
          <w:p>
            <w:pPr>
              <w:spacing w:after="0"/>
              <w:rPr>
                <w:sz w:val="13"/>
                <w:szCs w:val="13"/>
                <w:color w:val="auto"/>
              </w:rPr>
            </w:pPr>
          </w:p>
        </w:tc>
        <w:tc>
          <w:tcPr>
            <w:tcW w:w="80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EPS</w:t>
            </w:r>
          </w:p>
        </w:tc>
      </w:tr>
      <w:tr>
        <w:trPr>
          <w:trHeight w:val="212"/>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w:t>
            </w:r>
          </w:p>
        </w:tc>
        <w:tc>
          <w:tcPr>
            <w:tcW w:w="18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Impact</w:t>
            </w:r>
          </w:p>
        </w:tc>
        <w:tc>
          <w:tcPr>
            <w:tcW w:w="200" w:type="dxa"/>
            <w:vAlign w:val="bottom"/>
          </w:tcPr>
          <w:p>
            <w:pPr>
              <w:spacing w:after="0"/>
              <w:rPr>
                <w:sz w:val="18"/>
                <w:szCs w:val="18"/>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80" w:type="dxa"/>
            <w:vAlign w:val="bottom"/>
          </w:tcPr>
          <w:p>
            <w:pPr>
              <w:spacing w:after="0"/>
              <w:rPr>
                <w:sz w:val="18"/>
                <w:szCs w:val="18"/>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200" w:type="dxa"/>
            <w:vAlign w:val="bottom"/>
          </w:tcPr>
          <w:p>
            <w:pPr>
              <w:spacing w:after="0"/>
              <w:rPr>
                <w:sz w:val="18"/>
                <w:szCs w:val="18"/>
                <w:color w:val="auto"/>
              </w:rPr>
            </w:pPr>
          </w:p>
        </w:tc>
        <w:tc>
          <w:tcPr>
            <w:tcW w:w="80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Impact</w:t>
            </w:r>
          </w:p>
        </w:tc>
      </w:tr>
      <w:tr>
        <w:trPr>
          <w:trHeight w:val="24"/>
        </w:trPr>
        <w:tc>
          <w:tcPr>
            <w:tcW w:w="6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Campbell Soup Company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6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 implementation costs and other related costs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5"/>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 mark-to-market gains (losses)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Accelerated amortization</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associated with pending acquisition</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Cybersecurity incident costs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Plum litigation expenses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actuarial losses</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18"/>
        </w:trPr>
        <w:tc>
          <w:tcPr>
            <w:tcW w:w="6940" w:type="dxa"/>
            <w:vAlign w:val="bottom"/>
          </w:tcPr>
          <w:p>
            <w:pPr>
              <w:ind w:left="20"/>
              <w:spacing w:after="0" w:line="219" w:lineRule="exact"/>
              <w:rPr>
                <w:sz w:val="20"/>
                <w:szCs w:val="20"/>
                <w:color w:val="auto"/>
              </w:rPr>
            </w:pPr>
            <w:r>
              <w:rPr>
                <w:rFonts w:ascii="Times New Roman" w:cs="Times New Roman" w:eastAsia="Times New Roman" w:hAnsi="Times New Roman"/>
                <w:sz w:val="18"/>
                <w:szCs w:val="18"/>
                <w:color w:val="auto"/>
              </w:rPr>
              <w:t>Impact of items on Net earnings</w:t>
            </w:r>
            <w:r>
              <w:rPr>
                <w:rFonts w:ascii="Times New Roman" w:cs="Times New Roman" w:eastAsia="Times New Roman" w:hAnsi="Times New Roman"/>
                <w:sz w:val="22"/>
                <w:szCs w:val="22"/>
                <w:color w:val="auto"/>
                <w:vertAlign w:val="superscript"/>
              </w:rPr>
              <w:t>(1)</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0"/>
        </w:trPr>
        <w:tc>
          <w:tcPr>
            <w:tcW w:w="6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30" w:lineRule="exact"/>
        <w:rPr>
          <w:sz w:val="20"/>
          <w:szCs w:val="20"/>
          <w:color w:val="auto"/>
        </w:rPr>
      </w:pPr>
    </w:p>
    <w:p>
      <w:pPr>
        <w:ind w:left="320" w:hanging="314"/>
        <w:spacing w:after="0"/>
        <w:tabs>
          <w:tab w:leader="none" w:pos="32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Sum of the individual amounts may not add due to rounding.</w:t>
      </w:r>
    </w:p>
    <w:p>
      <w:pPr>
        <w:spacing w:after="0" w:line="6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Net earnings attributable to Campbell Soup Company were $234 million ($.78 per share) in the current quarter, compared to $297 million ($.99 per share) in the year-ago quarter. After adjusting for items impacting comparability, earnings decreased reflecting lower gross profit, higher marketing and selling expenses, higher other expenses and higher interest expense, partially offset by lower administrative expenses. Earnings per share benefited from a reduction in the weighted average diluted shares outstanding.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FIRST-QUARTER DISCUSSION AND ANALYSIS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 analysis of net sales by reportable segment follows:</w:t>
      </w:r>
    </w:p>
    <w:p>
      <w:pPr>
        <w:spacing w:after="0" w:line="3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0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80" w:type="dxa"/>
            <w:vAlign w:val="bottom"/>
            <w:vMerge w:val="restart"/>
          </w:tcPr>
          <w:p>
            <w:pPr>
              <w:ind w:left="240"/>
              <w:spacing w:after="0" w:line="157" w:lineRule="exact"/>
              <w:rPr>
                <w:sz w:val="20"/>
                <w:szCs w:val="20"/>
                <w:color w:val="auto"/>
              </w:rPr>
            </w:pPr>
            <w:r>
              <w:rPr>
                <w:rFonts w:ascii="Times New Roman" w:cs="Times New Roman" w:eastAsia="Times New Roman" w:hAnsi="Times New Roman"/>
                <w:sz w:val="14"/>
                <w:szCs w:val="14"/>
                <w:b w:val="1"/>
                <w:bCs w:val="1"/>
                <w:color w:val="auto"/>
              </w:rPr>
              <w:t>% Change</w:t>
            </w:r>
          </w:p>
        </w:tc>
        <w:tc>
          <w:tcPr>
            <w:tcW w:w="800" w:type="dxa"/>
            <w:vAlign w:val="bottom"/>
            <w:vMerge w:val="restart"/>
          </w:tcPr>
          <w:p>
            <w:pPr>
              <w:ind w:left="200"/>
              <w:spacing w:after="0" w:line="157" w:lineRule="exact"/>
              <w:rPr>
                <w:sz w:val="20"/>
                <w:szCs w:val="20"/>
                <w:color w:val="auto"/>
              </w:rPr>
            </w:pPr>
            <w:r>
              <w:rPr>
                <w:rFonts w:ascii="Times New Roman" w:cs="Times New Roman" w:eastAsia="Times New Roman" w:hAnsi="Times New Roman"/>
                <w:sz w:val="14"/>
                <w:szCs w:val="14"/>
                <w:b w:val="1"/>
                <w:bCs w:val="1"/>
                <w:color w:val="auto"/>
                <w:w w:val="95"/>
              </w:rPr>
              <w:t>Two-Year</w:t>
            </w:r>
          </w:p>
        </w:tc>
        <w:tc>
          <w:tcPr>
            <w:tcW w:w="0" w:type="dxa"/>
            <w:vAlign w:val="bottom"/>
          </w:tcPr>
          <w:p>
            <w:pPr>
              <w:spacing w:after="0"/>
              <w:rPr>
                <w:sz w:val="1"/>
                <w:szCs w:val="1"/>
                <w:color w:val="auto"/>
              </w:rPr>
            </w:pPr>
          </w:p>
        </w:tc>
      </w:tr>
      <w:tr>
        <w:trPr>
          <w:trHeight w:val="113"/>
        </w:trPr>
        <w:tc>
          <w:tcPr>
            <w:tcW w:w="5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3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12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October 31, 2021</w:t>
            </w:r>
          </w:p>
        </w:tc>
        <w:tc>
          <w:tcPr>
            <w:tcW w:w="10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508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10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2024/2023</w:t>
            </w:r>
          </w:p>
        </w:tc>
        <w:tc>
          <w:tcPr>
            <w:tcW w:w="8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w w:val="98"/>
              </w:rPr>
              <w:t>CAGR %</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&amp; Beverages</w:t>
            </w:r>
          </w:p>
        </w:tc>
        <w:tc>
          <w:tcPr>
            <w:tcW w:w="480" w:type="dxa"/>
            <w:vAlign w:val="bottom"/>
            <w:tcBorders>
              <w:top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1,404</w:t>
            </w:r>
          </w:p>
        </w:tc>
        <w:tc>
          <w:tcPr>
            <w:tcW w:w="10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8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0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5</w:t>
            </w:r>
          </w:p>
        </w:tc>
      </w:tr>
      <w:tr>
        <w:trPr>
          <w:trHeight w:val="225"/>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Snacks</w:t>
            </w: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020" w:type="dxa"/>
            <w:vAlign w:val="bottom"/>
            <w:tcBorders>
              <w:bottom w:val="single" w:sz="8" w:color="CCEEFF"/>
            </w:tcBorders>
            <w:gridSpan w:val="2"/>
          </w:tcPr>
          <w:p>
            <w:pPr>
              <w:jc w:val="right"/>
              <w:ind w:right="27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ind w:right="332"/>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5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2,518</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1020" w:type="dxa"/>
            <w:vAlign w:val="bottom"/>
            <w:tcBorders>
              <w:bottom w:val="single" w:sz="8" w:color="CCEEFF"/>
            </w:tcBorders>
            <w:gridSpan w:val="2"/>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r>
    </w:tbl>
    <w:p>
      <w:pPr>
        <w:spacing w:after="0" w:line="3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 analysis of percent change of net sales by reportable segment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2024 versus 2023</w:t>
            </w: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Meals &amp; Beverages</w:t>
            </w:r>
          </w:p>
        </w:tc>
        <w:tc>
          <w:tcPr>
            <w:tcW w:w="14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Snacks</w:t>
            </w:r>
          </w:p>
        </w:tc>
        <w:tc>
          <w:tcPr>
            <w:tcW w:w="9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r>
              <w:rPr>
                <w:rFonts w:ascii="Times New Roman" w:cs="Times New Roman" w:eastAsia="Times New Roman" w:hAnsi="Times New Roman"/>
                <w:sz w:val="18"/>
                <w:szCs w:val="18"/>
                <w:b w:val="1"/>
                <w:bCs w:val="1"/>
                <w:color w:val="auto"/>
                <w:vertAlign w:val="superscript"/>
              </w:rPr>
              <w:t>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80" w:type="dxa"/>
            <w:vAlign w:val="bottom"/>
            <w:tcBorders>
              <w:top w:val="single" w:sz="8" w:color="auto"/>
              <w:bottom w:val="single" w:sz="8" w:color="CCEEFF"/>
            </w:tcBorders>
          </w:tcPr>
          <w:p>
            <w:pPr>
              <w:spacing w:after="0" w:line="20" w:lineRule="exact"/>
              <w:rPr>
                <w:sz w:val="1"/>
                <w:szCs w:val="1"/>
                <w:color w:val="auto"/>
              </w:rPr>
            </w:pPr>
          </w:p>
        </w:tc>
        <w:tc>
          <w:tcPr>
            <w:tcW w:w="62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Volume/mix</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(5)%</w:t>
            </w:r>
          </w:p>
        </w:tc>
      </w:tr>
      <w:tr>
        <w:trPr>
          <w:trHeight w:val="225"/>
        </w:trPr>
        <w:tc>
          <w:tcPr>
            <w:tcW w:w="20" w:type="dxa"/>
            <w:vAlign w:val="bottom"/>
          </w:tcPr>
          <w:p>
            <w:pPr>
              <w:spacing w:after="0"/>
              <w:rPr>
                <w:sz w:val="19"/>
                <w:szCs w:val="19"/>
                <w:color w:val="auto"/>
              </w:rPr>
            </w:pPr>
          </w:p>
        </w:tc>
        <w:tc>
          <w:tcPr>
            <w:tcW w:w="7480" w:type="dxa"/>
            <w:vAlign w:val="bottom"/>
            <w:gridSpan w:val="2"/>
          </w:tcPr>
          <w:p>
            <w:pPr>
              <w:spacing w:after="0" w:line="225" w:lineRule="exact"/>
              <w:rPr>
                <w:sz w:val="20"/>
                <w:szCs w:val="20"/>
                <w:color w:val="auto"/>
              </w:rPr>
            </w:pPr>
            <w:r>
              <w:rPr>
                <w:rFonts w:ascii="Times New Roman" w:cs="Times New Roman" w:eastAsia="Times New Roman" w:hAnsi="Times New Roman"/>
                <w:sz w:val="18"/>
                <w:szCs w:val="18"/>
                <w:color w:val="auto"/>
              </w:rPr>
              <w:t>Net price realization</w:t>
            </w:r>
            <w:r>
              <w:rPr>
                <w:rFonts w:ascii="Times New Roman" w:cs="Times New Roman" w:eastAsia="Times New Roman" w:hAnsi="Times New Roman"/>
                <w:sz w:val="22"/>
                <w:szCs w:val="22"/>
                <w:color w:val="auto"/>
                <w:vertAlign w:val="superscript"/>
              </w:rPr>
              <w:t>(1)</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r>
      <w:tr>
        <w:trPr>
          <w:trHeight w:val="225"/>
        </w:trPr>
        <w:tc>
          <w:tcPr>
            <w:tcW w:w="20" w:type="dxa"/>
            <w:vAlign w:val="bottom"/>
            <w:shd w:val="clear" w:color="auto" w:fill="CCEEFF"/>
          </w:tcPr>
          <w:p>
            <w:pPr>
              <w:spacing w:after="0"/>
              <w:rPr>
                <w:sz w:val="19"/>
                <w:szCs w:val="19"/>
                <w:color w:val="auto"/>
              </w:rPr>
            </w:pPr>
          </w:p>
        </w:tc>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Divestiture</w:t>
            </w:r>
          </w:p>
        </w:tc>
        <w:tc>
          <w:tcPr>
            <w:tcW w:w="1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18"/>
        </w:trPr>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2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1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(2)%</w:t>
            </w: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17" w:lineRule="exact"/>
        <w:rPr>
          <w:sz w:val="20"/>
          <w:szCs w:val="20"/>
          <w:color w:val="auto"/>
        </w:rPr>
      </w:pPr>
    </w:p>
    <w:p>
      <w:pPr>
        <w:ind w:left="320" w:hanging="314"/>
        <w:spacing w:after="0"/>
        <w:tabs>
          <w:tab w:leader="none" w:pos="32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revenue reductions from trade promotion and consumer coupon redemption programs.</w:t>
      </w:r>
    </w:p>
    <w:p>
      <w:pPr>
        <w:spacing w:after="0" w:line="53" w:lineRule="exact"/>
        <w:rPr>
          <w:rFonts w:ascii="Times New Roman" w:cs="Times New Roman" w:eastAsia="Times New Roman" w:hAnsi="Times New Roman"/>
          <w:sz w:val="23"/>
          <w:szCs w:val="23"/>
          <w:color w:val="auto"/>
          <w:vertAlign w:val="superscript"/>
        </w:rPr>
      </w:pPr>
    </w:p>
    <w:p>
      <w:pPr>
        <w:ind w:left="320" w:hanging="314"/>
        <w:spacing w:after="0" w:line="191" w:lineRule="auto"/>
        <w:tabs>
          <w:tab w:leader="none" w:pos="32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Sum of the individual amounts does not add due to rounding.</w:t>
      </w:r>
    </w:p>
    <w:p>
      <w:pPr>
        <w:spacing w:after="0" w:line="7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Meals &amp; Beverages, sales decreased 4% primarily due to declines in U.S. retail products, including U.S. soup and beverages, partially offset by gains in foodservice. Volume/mix declines were partially offset by favorable net price realization. On a two-year CAGR basis, net sales increased approximately 5%. Following an 11% increase in the prior year, sales of U.S. soup decreased 5% primarily due to decreases in condensed soups and ready-to-serve soups, partially offset by an increase in broth.</w:t>
      </w:r>
    </w:p>
    <w:p>
      <w:pPr>
        <w:spacing w:after="0" w:line="4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In Snacks, sales decreased 1%. Excluding the impact from the divestiture of the Emerald nuts business, sales increased driven by sales of our power brands, which increased 5%. Sales increased due to increases in cookies and crackers, primarily </w:t>
      </w:r>
      <w:r>
        <w:rPr>
          <w:rFonts w:ascii="Times New Roman" w:cs="Times New Roman" w:eastAsia="Times New Roman" w:hAnsi="Times New Roman"/>
          <w:sz w:val="18"/>
          <w:szCs w:val="18"/>
          <w:i w:val="1"/>
          <w:iCs w:val="1"/>
          <w:color w:val="auto"/>
        </w:rPr>
        <w:t>Lance</w:t>
      </w:r>
      <w:r>
        <w:rPr>
          <w:rFonts w:ascii="Times New Roman" w:cs="Times New Roman" w:eastAsia="Times New Roman" w:hAnsi="Times New Roman"/>
          <w:sz w:val="18"/>
          <w:szCs w:val="18"/>
          <w:color w:val="auto"/>
        </w:rPr>
        <w:t xml:space="preserve"> sandwich crackers and </w:t>
      </w:r>
      <w:r>
        <w:rPr>
          <w:rFonts w:ascii="Times New Roman" w:cs="Times New Roman" w:eastAsia="Times New Roman" w:hAnsi="Times New Roman"/>
          <w:sz w:val="18"/>
          <w:szCs w:val="18"/>
          <w:i w:val="1"/>
          <w:iCs w:val="1"/>
          <w:color w:val="auto"/>
        </w:rPr>
        <w:t>Goldfish</w:t>
      </w:r>
      <w:r>
        <w:rPr>
          <w:rFonts w:ascii="Times New Roman" w:cs="Times New Roman" w:eastAsia="Times New Roman" w:hAnsi="Times New Roman"/>
          <w:sz w:val="18"/>
          <w:szCs w:val="18"/>
          <w:color w:val="auto"/>
        </w:rPr>
        <w:t xml:space="preserve"> crackers, partially offset by declines in sales of third-party partner brands. Sales benefited from favorable net price realization, partially offset by volume/mix declines. On a two-year CAGR basis, net sales increased approximately 7%.`</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0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Gross profit, defined as Net sales less Cost of products sold, decreased by $46 million in 2024 from 2023. As a percent of sales, gross profit was 31.3% in 2024 and 32.4% in 2023.</w:t>
      </w:r>
    </w:p>
    <w:p>
      <w:pPr>
        <w:spacing w:after="0" w:line="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110 basis-point decrease in gross profit margin was due to the following factors:</w:t>
      </w:r>
    </w:p>
    <w:p>
      <w:pPr>
        <w:spacing w:after="0" w:line="39" w:lineRule="exact"/>
        <w:rPr>
          <w:sz w:val="20"/>
          <w:szCs w:val="20"/>
          <w:color w:val="auto"/>
        </w:rPr>
      </w:pPr>
    </w:p>
    <w:p>
      <w:pPr>
        <w:ind w:left="10140"/>
        <w:spacing w:after="0"/>
        <w:rPr>
          <w:sz w:val="20"/>
          <w:szCs w:val="20"/>
          <w:color w:val="auto"/>
        </w:rPr>
      </w:pPr>
      <w:r>
        <w:rPr>
          <w:rFonts w:ascii="Times New Roman" w:cs="Times New Roman" w:eastAsia="Times New Roman" w:hAnsi="Times New Roman"/>
          <w:sz w:val="14"/>
          <w:szCs w:val="14"/>
          <w:b w:val="1"/>
          <w:bCs w:val="1"/>
          <w:color w:val="auto"/>
        </w:rPr>
        <w:t>Margin Impact</w:t>
      </w:r>
    </w:p>
    <w:p>
      <w:pPr>
        <w:sectPr>
          <w:pgSz w:w="11900" w:h="16838" w:orient="portrait"/>
          <w:cols w:equalWidth="0" w:num="1">
            <w:col w:w="11240"/>
          </w:cols>
          <w:pgMar w:left="320" w:top="1047" w:right="339" w:bottom="1440" w:gutter="0" w:footer="0" w:header="0"/>
        </w:sectPr>
      </w:pP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Cost inflation, supply chain costs and other factors</w:t>
      </w:r>
      <w:r>
        <w:rPr>
          <w:rFonts w:ascii="Times New Roman" w:cs="Times New Roman" w:eastAsia="Times New Roman" w:hAnsi="Times New Roman"/>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7134860" cy="1511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ind w:left="20"/>
        <w:spacing w:after="0" w:line="229" w:lineRule="auto"/>
        <w:rPr>
          <w:sz w:val="20"/>
          <w:szCs w:val="20"/>
          <w:color w:val="auto"/>
        </w:rPr>
      </w:pPr>
      <w:r>
        <w:rPr>
          <w:rFonts w:ascii="Times New Roman" w:cs="Times New Roman" w:eastAsia="Times New Roman" w:hAnsi="Times New Roman"/>
          <w:sz w:val="18"/>
          <w:szCs w:val="18"/>
          <w:color w:val="auto"/>
        </w:rPr>
        <w:t>Volume/mix</w:t>
      </w:r>
      <w:r>
        <w:rPr>
          <w:rFonts w:ascii="Times New Roman" w:cs="Times New Roman" w:eastAsia="Times New Roman" w:hAnsi="Times New Roman"/>
          <w:sz w:val="22"/>
          <w:szCs w:val="22"/>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134860" cy="142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Higher restructuring-related costs</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price realization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42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Productivity improvements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(540)</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230</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10795</wp:posOffset>
            </wp:positionV>
            <wp:extent cx="8077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0772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23495</wp:posOffset>
            </wp:positionV>
            <wp:extent cx="8077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07720" cy="8255"/>
                    </a:xfrm>
                    <a:prstGeom prst="rect">
                      <a:avLst/>
                    </a:prstGeom>
                    <a:noFill/>
                  </pic:spPr>
                </pic:pic>
              </a:graphicData>
            </a:graphic>
          </wp:anchor>
        </w:drawing>
        <w:drawing>
          <wp:anchor simplePos="0" relativeHeight="251657728" behindDoc="1" locked="0" layoutInCell="0" allowOverlap="1">
            <wp:simplePos x="0" y="0"/>
            <wp:positionH relativeFrom="column">
              <wp:posOffset>-285115</wp:posOffset>
            </wp:positionH>
            <wp:positionV relativeFrom="paragraph">
              <wp:posOffset>48895</wp:posOffset>
            </wp:positionV>
            <wp:extent cx="8077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07720" cy="8255"/>
                    </a:xfrm>
                    <a:prstGeom prst="rect">
                      <a:avLst/>
                    </a:prstGeom>
                    <a:noFill/>
                  </pic:spPr>
                </pic:pic>
              </a:graphicData>
            </a:graphic>
          </wp:anchor>
        </w:drawing>
      </w:r>
    </w:p>
    <w:p>
      <w:pPr>
        <w:spacing w:after="0" w:line="402" w:lineRule="exact"/>
        <w:rPr>
          <w:sz w:val="20"/>
          <w:szCs w:val="20"/>
          <w:color w:val="auto"/>
        </w:rPr>
      </w:pPr>
    </w:p>
    <w:p>
      <w:pPr>
        <w:sectPr>
          <w:pgSz w:w="11900" w:h="16838" w:orient="portrait"/>
          <w:cols w:equalWidth="0" w:num="2">
            <w:col w:w="9700" w:space="720"/>
            <w:col w:w="820"/>
          </w:cols>
          <w:pgMar w:left="320" w:top="1047" w:right="339" w:bottom="1440" w:gutter="0" w:footer="0" w:header="0"/>
          <w:type w:val="continuous"/>
        </w:sectPr>
      </w:pPr>
    </w:p>
    <w:p>
      <w:pPr>
        <w:jc w:val="both"/>
        <w:ind w:left="320" w:hanging="314"/>
        <w:spacing w:after="0" w:line="231" w:lineRule="auto"/>
        <w:tabs>
          <w:tab w:leader="none" w:pos="308"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an estimated positive margin impact of 10 basis points from the benefit of cost savings initiatives which was more than offset by cost inflation and other factors, including an 80 basis-point negative impact from the change in unrealized mark-to-market adjustments on outstanding undesignated commodity hedges and a 10 basis-point negative impact from a cybersecurity incident.</w:t>
      </w:r>
    </w:p>
    <w:p>
      <w:pPr>
        <w:spacing w:after="0" w:line="2" w:lineRule="exact"/>
        <w:rPr>
          <w:rFonts w:ascii="Times New Roman" w:cs="Times New Roman" w:eastAsia="Times New Roman" w:hAnsi="Times New Roman"/>
          <w:sz w:val="23"/>
          <w:szCs w:val="23"/>
          <w:color w:val="auto"/>
          <w:vertAlign w:val="superscript"/>
        </w:rPr>
      </w:pPr>
    </w:p>
    <w:p>
      <w:pPr>
        <w:ind w:left="320" w:hanging="314"/>
        <w:spacing w:after="0"/>
        <w:tabs>
          <w:tab w:leader="none" w:pos="32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the impact of operating leverage.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and Selling Expenses</w:t>
      </w:r>
    </w:p>
    <w:p>
      <w:pPr>
        <w:spacing w:after="0" w:line="91"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Marketing and selling expenses as a percent of sales were 8.8% in 2024 compared to 7.8% in 2023. Marketing and selling expenses increased 10% in 2024 from 2023. The increase was primarily due to higher selling expenses (approximately 4</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type w:val="continuous"/>
        </w:sectPr>
      </w:pPr>
    </w:p>
    <w:bookmarkStart w:id="26" w:name="page27"/>
    <w:bookmarkEnd w:id="26"/>
    <w:p>
      <w:pPr>
        <w:jc w:val="both"/>
        <w:spacing w:after="0" w:line="274" w:lineRule="auto"/>
        <w:rPr>
          <w:sz w:val="20"/>
          <w:szCs w:val="20"/>
          <w:color w:val="auto"/>
        </w:rPr>
      </w:pPr>
      <w:r>
        <w:rPr>
          <w:rFonts w:ascii="Times New Roman" w:cs="Times New Roman" w:eastAsia="Times New Roman" w:hAnsi="Times New Roman"/>
          <w:sz w:val="18"/>
          <w:szCs w:val="18"/>
          <w:color w:val="auto"/>
        </w:rPr>
        <w:t>points), higher advertising and consumer promotion expense (approximately 2 points) and higher other marketing expenses (approximately 2 points). The increase in advertising and consumer promotion expense was primarily in Snacks.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Expenses</w:t>
      </w:r>
    </w:p>
    <w:p>
      <w:pPr>
        <w:spacing w:after="0" w:line="10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Administrative expenses as a percent of sales were 6.3% in 2024 compared to 6.1% in 2023. Administrative expenses in 2024 were comparable to 2023. Lower general administrative costs (approximately 4 points) were offset by inflation (approximately 2 points) and higher costs associated with cost savings initiatives (approximately 1 point).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 / (Income)</w:t>
      </w:r>
    </w:p>
    <w:p>
      <w:pPr>
        <w:spacing w:after="0" w:line="89"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Other expenses were $24 million in 2024 compared to other expenses of $18 million in 2023. Other expenses in 2024 included costs associated with the pending acquisition of $9 million and accelerated amortization expense of $7 million. Other expenses in 2023 included a pension actuarial loss of $15 million. Excluding these amounts, the remaining change was primarily due to higher net periodic pension and postretirement benefit income in the prior year.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Earnings</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Segment operating earnings decreased 7% in 2024 from 2023.</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 analysis of operating earnings by segment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gridSpan w:val="4"/>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74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120" w:type="dxa"/>
            <w:vAlign w:val="bottom"/>
          </w:tcPr>
          <w:p>
            <w:pPr>
              <w:spacing w:after="0"/>
              <w:rPr>
                <w:sz w:val="16"/>
                <w:szCs w:val="16"/>
                <w:color w:val="auto"/>
              </w:rPr>
            </w:pP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&amp; Beverages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287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(13)</w:t>
            </w:r>
          </w:p>
        </w:tc>
        <w:tc>
          <w:tcPr>
            <w:tcW w:w="0" w:type="dxa"/>
            <w:vAlign w:val="bottom"/>
          </w:tcPr>
          <w:p>
            <w:pPr>
              <w:spacing w:after="0"/>
              <w:rPr>
                <w:sz w:val="1"/>
                <w:szCs w:val="1"/>
                <w:color w:val="auto"/>
              </w:rPr>
            </w:pPr>
          </w:p>
        </w:tc>
      </w:tr>
      <w:tr>
        <w:trPr>
          <w:trHeight w:val="225"/>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Snacks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161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153</w:t>
            </w:r>
          </w:p>
        </w:tc>
        <w:tc>
          <w:tcPr>
            <w:tcW w:w="1040" w:type="dxa"/>
            <w:vAlign w:val="bottom"/>
            <w:tcBorders>
              <w:bottom w:val="single" w:sz="8" w:color="CCEEFF"/>
            </w:tcBorders>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18"/>
        </w:trPr>
        <w:tc>
          <w:tcPr>
            <w:tcW w:w="7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448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484</w:t>
            </w:r>
          </w:p>
        </w:tc>
        <w:tc>
          <w:tcPr>
            <w:tcW w:w="104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5"/>
              </w:rPr>
              <w:t>(7)</w:t>
            </w:r>
          </w:p>
        </w:tc>
        <w:tc>
          <w:tcPr>
            <w:tcW w:w="0" w:type="dxa"/>
            <w:vAlign w:val="bottom"/>
          </w:tcPr>
          <w:p>
            <w:pPr>
              <w:spacing w:after="0"/>
              <w:rPr>
                <w:sz w:val="1"/>
                <w:szCs w:val="1"/>
                <w:color w:val="auto"/>
              </w:rPr>
            </w:pPr>
          </w:p>
        </w:tc>
      </w:tr>
      <w:tr>
        <w:trPr>
          <w:trHeight w:val="225"/>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income (expense)</w:t>
            </w:r>
          </w:p>
        </w:tc>
        <w:tc>
          <w:tcPr>
            <w:tcW w:w="120" w:type="dxa"/>
            <w:vAlign w:val="bottom"/>
          </w:tcPr>
          <w:p>
            <w:pPr>
              <w:spacing w:after="0"/>
              <w:rPr>
                <w:sz w:val="19"/>
                <w:szCs w:val="19"/>
                <w:color w:val="auto"/>
              </w:rPr>
            </w:pPr>
          </w:p>
        </w:tc>
        <w:tc>
          <w:tcPr>
            <w:tcW w:w="1200" w:type="dxa"/>
            <w:vAlign w:val="bottom"/>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48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Restructuring charges</w:t>
            </w:r>
            <w:r>
              <w:rPr>
                <w:rFonts w:ascii="Times New Roman" w:cs="Times New Roman" w:eastAsia="Times New Roman" w:hAnsi="Times New Roman"/>
                <w:sz w:val="22"/>
                <w:szCs w:val="22"/>
                <w:color w:val="auto"/>
                <w:vertAlign w:val="superscript"/>
              </w:rPr>
              <w:t>(1)</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before interest and taxes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358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436</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17" w:lineRule="exact"/>
        <w:rPr>
          <w:sz w:val="20"/>
          <w:szCs w:val="20"/>
          <w:color w:val="auto"/>
        </w:rPr>
      </w:pPr>
    </w:p>
    <w:p>
      <w:pPr>
        <w:ind w:left="320" w:hanging="314"/>
        <w:spacing w:after="0"/>
        <w:tabs>
          <w:tab w:leader="none" w:pos="32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Note 6 to the Consolidated Financial Statements for additional information on restructuring charges.</w:t>
      </w:r>
    </w:p>
    <w:p>
      <w:pPr>
        <w:spacing w:after="0" w:line="8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Operating earnings from Meals &amp; Beverages decreased 13%. The decrease was primarily due to lower gross profit. Gross profit margin decreased due to higher cost inflation and other supply chain costs as well as unfavorable volume/mix, partially offset by supply chain productivity improvements and favorable net price realization.</w:t>
      </w:r>
    </w:p>
    <w:p>
      <w:pPr>
        <w:spacing w:after="0" w:line="6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Operating earnings from Snacks increased 5%. The increase was primarily due to higher gross profit, partially offset by higher marketing and selling expenses. Gross profit margin increased due to favorable net price realization and supply chain productivity improvements more than offsetting higher cost inflation and other supply chain costs.</w:t>
      </w:r>
    </w:p>
    <w:p>
      <w:pPr>
        <w:spacing w:after="0" w:line="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Corporate expense in 2024 included the following:</w:t>
      </w:r>
    </w:p>
    <w:p>
      <w:pPr>
        <w:spacing w:after="0" w:line="98" w:lineRule="exact"/>
        <w:rPr>
          <w:sz w:val="20"/>
          <w:szCs w:val="20"/>
          <w:color w:val="auto"/>
        </w:rPr>
      </w:pPr>
    </w:p>
    <w:p>
      <w:pPr>
        <w:ind w:left="640" w:hanging="157"/>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million of unrealized mark-to-market losses on outstanding undesignated commodity hedges;</w:t>
      </w:r>
    </w:p>
    <w:p>
      <w:pPr>
        <w:spacing w:after="0" w:line="97"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$11 million related to costs savings initiatives;</w:t>
      </w:r>
    </w:p>
    <w:p>
      <w:pPr>
        <w:spacing w:after="0" w:line="84"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million of costs associated with the pending acquisition of Sovos Brands;</w:t>
      </w:r>
    </w:p>
    <w:p>
      <w:pPr>
        <w:spacing w:after="0" w:line="97"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million of accelerated amortization expense;</w:t>
      </w:r>
    </w:p>
    <w:p>
      <w:pPr>
        <w:spacing w:after="0" w:line="97"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million of costs associated with a cybersecurity incident; and</w:t>
      </w:r>
    </w:p>
    <w:p>
      <w:pPr>
        <w:spacing w:after="0" w:line="84"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million of Plum litigation expenses.</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Corporate expense in 2023 included the following:</w:t>
      </w:r>
    </w:p>
    <w:p>
      <w:pPr>
        <w:spacing w:after="0" w:line="98" w:lineRule="exact"/>
        <w:rPr>
          <w:sz w:val="20"/>
          <w:szCs w:val="20"/>
          <w:color w:val="auto"/>
        </w:rPr>
      </w:pPr>
    </w:p>
    <w:p>
      <w:pPr>
        <w:ind w:left="640" w:hanging="157"/>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million of a pension actuarial loss;</w:t>
      </w:r>
    </w:p>
    <w:p>
      <w:pPr>
        <w:spacing w:after="0" w:line="84"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$3 million related to cost savings initiatives; and</w:t>
      </w:r>
    </w:p>
    <w:p>
      <w:pPr>
        <w:spacing w:after="0" w:line="97"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million of unrealized mark-to-market gains on outstanding undesignated commodity hedges.</w:t>
      </w:r>
    </w:p>
    <w:p>
      <w:pPr>
        <w:spacing w:after="0" w:line="85" w:lineRule="exact"/>
        <w:rPr>
          <w:sz w:val="20"/>
          <w:szCs w:val="20"/>
          <w:color w:val="auto"/>
        </w:rPr>
      </w:pPr>
    </w:p>
    <w:p>
      <w:pPr>
        <w:ind w:right="300" w:firstLine="318"/>
        <w:spacing w:after="0" w:line="353" w:lineRule="auto"/>
        <w:rPr>
          <w:sz w:val="20"/>
          <w:szCs w:val="20"/>
          <w:color w:val="auto"/>
        </w:rPr>
      </w:pPr>
      <w:r>
        <w:rPr>
          <w:rFonts w:ascii="Times New Roman" w:cs="Times New Roman" w:eastAsia="Times New Roman" w:hAnsi="Times New Roman"/>
          <w:sz w:val="18"/>
          <w:szCs w:val="18"/>
          <w:color w:val="auto"/>
        </w:rPr>
        <w:t xml:space="preserve">Excluding these amounts, the remaining increase was primarily due to higher net periodic pension and postretirement benefit income in the prior year. </w:t>
      </w:r>
      <w:r>
        <w:rPr>
          <w:rFonts w:ascii="Times New Roman" w:cs="Times New Roman" w:eastAsia="Times New Roman" w:hAnsi="Times New Roman"/>
          <w:sz w:val="18"/>
          <w:szCs w:val="18"/>
          <w:b w:val="1"/>
          <w:bCs w:val="1"/>
          <w:i w:val="1"/>
          <w:iCs w:val="1"/>
          <w:color w:val="auto"/>
        </w:rPr>
        <w:t>Interest Expense</w:t>
      </w:r>
    </w:p>
    <w:p>
      <w:pPr>
        <w:spacing w:after="0" w:line="1"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Interest expense of $49 million in 2024 increased from $47 million in 2023. The increase was primarily due to higher average interest rates on the debt portfolio.</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Taxes on Earnings</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effective tax rate was 24.5% in 2024 and 23.8% in 2023.</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Charges and Cost Savings Initiatives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Multi-year Cost Savings Initiatives and Snyder's-Lance Cost Transformation Program and Integration</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Continuing Operations</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Beginning in fiscal 2015, we implemented initiatives to reduce costs and to streamline our organizational structure.</w:t>
      </w:r>
    </w:p>
    <w:p>
      <w:pPr>
        <w:spacing w:after="0" w:line="9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Over the years, we expanded these initiatives by continuing to optimize our supply chain and manufacturing networks, as well as our information technology infrastructure.</w:t>
      </w:r>
    </w:p>
    <w:p>
      <w:pPr>
        <w:spacing w:after="0" w:line="3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March 26, 2018, we completed the acquisition of Snyder's-Lance. Prior to the acquisition, Snyder's-Lance launched a cost transformation program following a comprehensive review of its operations with the goal of significantly improving its financial performance. We continued to implement this program and identified opportunities for additional cost synergies as we integrated Snyder's-Lance.</w:t>
      </w:r>
    </w:p>
    <w:p>
      <w:pPr>
        <w:spacing w:after="0" w:line="5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2022, we expanded these initiatives as we continue to pursue cost savings by further optimizing our supply chain and manufacturing network and through effective cost management. In the second quarter of 2023, we announced plans to consolidate our Snacks offices in Charlotte, North Carolina, and Norwalk, Connecticut, into our headquarters in Camden, New Jersey. Cost estimates for these expanded initiatives, as well as timing for certain activities, are continuing to be developed.</w:t>
      </w:r>
    </w:p>
    <w:p>
      <w:pPr>
        <w:spacing w:after="0" w:line="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the pre-tax charges recognized in the Consolidated Statements of Earnings related to these initiatives is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40" w:type="dxa"/>
            <w:vAlign w:val="bottom"/>
            <w:gridSpan w:val="4"/>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8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vMerge w:val="restart"/>
          </w:tcPr>
          <w:p>
            <w:pPr>
              <w:jc w:val="right"/>
              <w:ind w:right="196"/>
              <w:spacing w:after="0" w:line="157" w:lineRule="exact"/>
              <w:rPr>
                <w:sz w:val="20"/>
                <w:szCs w:val="20"/>
                <w:color w:val="auto"/>
              </w:rPr>
            </w:pPr>
            <w:r>
              <w:rPr>
                <w:rFonts w:ascii="Times New Roman" w:cs="Times New Roman" w:eastAsia="Times New Roman" w:hAnsi="Times New Roman"/>
                <w:sz w:val="14"/>
                <w:szCs w:val="14"/>
                <w:b w:val="1"/>
                <w:bCs w:val="1"/>
                <w:color w:val="auto"/>
              </w:rPr>
              <w:t>Recognized as of</w:t>
            </w:r>
          </w:p>
        </w:tc>
        <w:tc>
          <w:tcPr>
            <w:tcW w:w="0" w:type="dxa"/>
            <w:vAlign w:val="bottom"/>
          </w:tcPr>
          <w:p>
            <w:pPr>
              <w:spacing w:after="0"/>
              <w:rPr>
                <w:sz w:val="1"/>
                <w:szCs w:val="1"/>
                <w:color w:val="auto"/>
              </w:rPr>
            </w:pPr>
          </w:p>
        </w:tc>
      </w:tr>
      <w:tr>
        <w:trPr>
          <w:trHeight w:val="113"/>
        </w:trPr>
        <w:tc>
          <w:tcPr>
            <w:tcW w:w="6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w:t>
            </w:r>
          </w:p>
        </w:tc>
        <w:tc>
          <w:tcPr>
            <w:tcW w:w="140" w:type="dxa"/>
            <w:vAlign w:val="bottom"/>
          </w:tcPr>
          <w:p>
            <w:pPr>
              <w:spacing w:after="0"/>
              <w:rPr>
                <w:sz w:val="9"/>
                <w:szCs w:val="9"/>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140" w:type="dxa"/>
            <w:vAlign w:val="bottom"/>
          </w:tcPr>
          <w:p>
            <w:pPr>
              <w:spacing w:after="0"/>
              <w:rPr>
                <w:sz w:val="9"/>
                <w:szCs w:val="9"/>
                <w:color w:val="auto"/>
              </w:rPr>
            </w:pPr>
          </w:p>
        </w:tc>
        <w:tc>
          <w:tcPr>
            <w:tcW w:w="120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68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0" w:type="dxa"/>
            <w:vAlign w:val="bottom"/>
          </w:tcPr>
          <w:p>
            <w:pPr>
              <w:spacing w:after="0"/>
              <w:rPr>
                <w:sz w:val="1"/>
                <w:szCs w:val="1"/>
                <w:color w:val="auto"/>
              </w:rPr>
            </w:pPr>
          </w:p>
        </w:tc>
      </w:tr>
      <w:tr>
        <w:trPr>
          <w:trHeight w:val="225"/>
        </w:trPr>
        <w:tc>
          <w:tcPr>
            <w:tcW w:w="6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25"/>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25"/>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25"/>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 and selling expenses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5"/>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8"/>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pre-tax charges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0" w:type="dxa"/>
            <w:vAlign w:val="bottom"/>
          </w:tcPr>
          <w:p>
            <w:pPr>
              <w:spacing w:after="0"/>
              <w:rPr>
                <w:sz w:val="1"/>
                <w:szCs w:val="1"/>
                <w:color w:val="auto"/>
              </w:rPr>
            </w:pP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8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Aggregate after-tax impact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 share impact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65" w:right="339" w:bottom="1440" w:gutter="0" w:footer="0" w:header="0"/>
        </w:sectPr>
      </w:pP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 summary of the pre-tax costs associated with these initiatives is as follows:</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7101205" cy="1517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01205" cy="151765"/>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Severance pay and benefits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Asset impairment/accelerated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01205" cy="142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01205" cy="14287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Implementation costs and other related costs</w:t>
      </w: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left="237"/>
        <w:spacing w:after="0"/>
        <w:rPr>
          <w:sz w:val="20"/>
          <w:szCs w:val="20"/>
          <w:color w:val="auto"/>
        </w:rPr>
      </w:pPr>
      <w:r>
        <w:rPr>
          <w:rFonts w:ascii="Times New Roman" w:cs="Times New Roman" w:eastAsia="Times New Roman" w:hAnsi="Times New Roman"/>
          <w:sz w:val="14"/>
          <w:szCs w:val="14"/>
          <w:b w:val="1"/>
          <w:bCs w:val="1"/>
          <w:color w:val="auto"/>
        </w:rPr>
        <w:t>Recognized as of</w:t>
      </w:r>
    </w:p>
    <w:p>
      <w:pPr>
        <w:spacing w:after="0" w:line="3" w:lineRule="exact"/>
        <w:rPr>
          <w:sz w:val="20"/>
          <w:szCs w:val="20"/>
          <w:color w:val="auto"/>
        </w:rPr>
      </w:pPr>
    </w:p>
    <w:p>
      <w:pPr>
        <w:ind w:left="237"/>
        <w:spacing w:after="0"/>
        <w:rPr>
          <w:sz w:val="20"/>
          <w:szCs w:val="20"/>
          <w:color w:val="auto"/>
        </w:rPr>
      </w:pPr>
      <w:r>
        <w:rPr>
          <w:rFonts w:ascii="Times New Roman" w:cs="Times New Roman" w:eastAsia="Times New Roman" w:hAnsi="Times New Roman"/>
          <w:sz w:val="14"/>
          <w:szCs w:val="14"/>
          <w:b w:val="1"/>
          <w:bCs w:val="1"/>
          <w:color w:val="auto"/>
        </w:rPr>
        <w:t>October 29, 2023</w:t>
      </w:r>
    </w:p>
    <w:p>
      <w:pPr>
        <w:spacing w:after="0" w:line="26" w:lineRule="exact"/>
        <w:rPr>
          <w:sz w:val="20"/>
          <w:szCs w:val="20"/>
          <w:color w:val="auto"/>
        </w:rPr>
      </w:pPr>
    </w:p>
    <w:p>
      <w:pPr>
        <w:ind w:left="1177" w:hanging="1177"/>
        <w:spacing w:after="0"/>
        <w:tabs>
          <w:tab w:leader="none" w:pos="1177"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242</w:t>
      </w:r>
    </w:p>
    <w:p>
      <w:pPr>
        <w:spacing w:after="0" w:line="35" w:lineRule="exact"/>
        <w:rPr>
          <w:rFonts w:ascii="Times New Roman" w:cs="Times New Roman" w:eastAsia="Times New Roman" w:hAnsi="Times New Roman"/>
          <w:sz w:val="17"/>
          <w:szCs w:val="17"/>
          <w:color w:val="auto"/>
        </w:rPr>
      </w:pPr>
    </w:p>
    <w:p>
      <w:pPr>
        <w:ind w:left="117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111</w:t>
      </w:r>
    </w:p>
    <w:p>
      <w:pPr>
        <w:spacing w:after="0" w:line="29" w:lineRule="exact"/>
        <w:rPr>
          <w:rFonts w:ascii="Times New Roman" w:cs="Times New Roman" w:eastAsia="Times New Roman" w:hAnsi="Times New Roman"/>
          <w:sz w:val="17"/>
          <w:szCs w:val="17"/>
          <w:color w:val="auto"/>
        </w:rPr>
      </w:pPr>
    </w:p>
    <w:p>
      <w:pPr>
        <w:ind w:left="117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18415</wp:posOffset>
            </wp:positionV>
            <wp:extent cx="96774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67740" cy="8255"/>
                    </a:xfrm>
                    <a:prstGeom prst="rect">
                      <a:avLst/>
                    </a:prstGeom>
                    <a:noFill/>
                  </pic:spPr>
                </pic:pic>
              </a:graphicData>
            </a:graphic>
          </wp:anchor>
        </w:drawing>
      </w:r>
    </w:p>
    <w:p>
      <w:pPr>
        <w:spacing w:after="0" w:line="17" w:lineRule="exact"/>
        <w:rPr>
          <w:sz w:val="20"/>
          <w:szCs w:val="20"/>
          <w:color w:val="auto"/>
        </w:rPr>
      </w:pPr>
    </w:p>
    <w:p>
      <w:pPr>
        <w:ind w:left="1177" w:hanging="1177"/>
        <w:spacing w:after="0"/>
        <w:tabs>
          <w:tab w:leader="none" w:pos="1177"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22225</wp:posOffset>
            </wp:positionV>
            <wp:extent cx="96774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6774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47625</wp:posOffset>
            </wp:positionV>
            <wp:extent cx="96774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67740" cy="8255"/>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8963" w:space="720"/>
            <w:col w:w="1557"/>
          </w:cols>
          <w:pgMar w:left="320" w:top="965" w:right="339" w:bottom="1440" w:gutter="0" w:footer="0" w:header="0"/>
          <w:type w:val="continuous"/>
        </w:sectPr>
      </w:pPr>
    </w:p>
    <w:p>
      <w:pPr>
        <w:spacing w:after="0" w:line="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total estimated pre-tax costs for actions that have been identified are approximately $885 million to $905 million and we expect to incur substantially all of the costs through 2025. These estimates will be updated as the expanded initiatives are developed.</w:t>
      </w:r>
    </w:p>
    <w:p>
      <w:pPr>
        <w:spacing w:after="0" w:line="4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expect the costs for actions that have been identified to date to consist of the following: approximately $245 million to $250 million in severance pay and benefits; approximately $135 million in asset impairment and accelerated depreciation; and approximately $505 million to $520 million in implementation costs and other related costs. We expect these pre-tax costs to be associated with our segments as follows: Meals &amp; Beverages - approximately 32%; Snacks - approximately 43%; and Corporate - approximately 25%.</w:t>
      </w:r>
    </w:p>
    <w:p>
      <w:pPr>
        <w:spacing w:after="0" w:line="6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Of the aggregate $885 million to $905 million of pre-tax costs identified to date, we expect approximately $710 million to $730 million will be cash expenditures. In addition, we expect to invest approximately $620 million in capital expenditures, of which we invested $482 million as of October 29, 2023. We expect to invest in substantially all of the capital expenditures through 2025. The capital expenditures primarily relate to optimization of production within our Meals &amp; Beverages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type w:val="continuous"/>
        </w:sectPr>
      </w:pPr>
    </w:p>
    <w:bookmarkStart w:id="28" w:name="page29"/>
    <w:bookmarkEnd w:id="28"/>
    <w:p>
      <w:pPr>
        <w:jc w:val="both"/>
        <w:spacing w:after="0" w:line="282" w:lineRule="auto"/>
        <w:rPr>
          <w:sz w:val="20"/>
          <w:szCs w:val="20"/>
          <w:color w:val="auto"/>
        </w:rPr>
      </w:pPr>
      <w:r>
        <w:rPr>
          <w:rFonts w:ascii="Times New Roman" w:cs="Times New Roman" w:eastAsia="Times New Roman" w:hAnsi="Times New Roman"/>
          <w:sz w:val="17"/>
          <w:szCs w:val="17"/>
          <w:color w:val="auto"/>
        </w:rPr>
        <w:t>manufacturing network, a U.S. warehouse optimization project, improvement of quality, safety and cost structure across the Snyder’s-Lance manufacturing network, optimization of information technology infrastructure and applications, implementation of our existing SAP enterprise-resource planning system for Snyder's-Lance, enhancements to our headquarters in Camden, New Jersey, and optimization of the Snyder’s-Lance warehouse and distribution network.</w:t>
      </w:r>
    </w:p>
    <w:p>
      <w:pPr>
        <w:spacing w:after="0" w:line="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expect to fund the costs through cash flows from operations and short-term borrowings.</w:t>
      </w:r>
    </w:p>
    <w:p>
      <w:pPr>
        <w:spacing w:after="0" w:line="9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expect the initiatives, once all phases are implemented, to generate annual ongoing savings of approximately $1 billion by the end of 2025. As of October 29, 2023, we have generated total program-to-date pre-tax savings of $895 million.</w:t>
      </w:r>
    </w:p>
    <w:p>
      <w:pPr>
        <w:spacing w:after="0" w:line="44"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8"/>
          <w:szCs w:val="18"/>
          <w:color w:val="auto"/>
        </w:rPr>
        <w:t>Segment operating results do not include restructuring charges, implementation costs and other related costs because we evaluate segment performance excluding such charges. A summary of the pre-tax costs associated with segments is as follows:</w:t>
      </w:r>
    </w:p>
    <w:tbl>
      <w:tblPr>
        <w:tblLayout w:type="fixed"/>
        <w:tblInd w:w="0" w:type="dxa"/>
        <w:tblCellMar>
          <w:top w:w="0" w:type="dxa"/>
          <w:left w:w="0" w:type="dxa"/>
          <w:bottom w:w="0" w:type="dxa"/>
          <w:right w:w="0" w:type="dxa"/>
        </w:tblCellMar>
      </w:tblPr>
      <w:tr>
        <w:trPr>
          <w:trHeight w:val="186"/>
        </w:trPr>
        <w:tc>
          <w:tcPr>
            <w:tcW w:w="8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gridSpan w:val="3"/>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Costs Incurred to Date</w:t>
            </w:r>
          </w:p>
        </w:tc>
        <w:tc>
          <w:tcPr>
            <w:tcW w:w="0" w:type="dxa"/>
            <w:vAlign w:val="bottom"/>
          </w:tcPr>
          <w:p>
            <w:pPr>
              <w:spacing w:after="0"/>
              <w:rPr>
                <w:sz w:val="1"/>
                <w:szCs w:val="1"/>
                <w:color w:val="auto"/>
              </w:rPr>
            </w:pPr>
          </w:p>
        </w:tc>
      </w:tr>
      <w:tr>
        <w:trPr>
          <w:trHeight w:val="225"/>
        </w:trPr>
        <w:tc>
          <w:tcPr>
            <w:tcW w:w="8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&amp; Beverages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638"/>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25"/>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Snacks</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25"/>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18"/>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820" w:type="dxa"/>
            <w:vAlign w:val="bottom"/>
            <w:tcBorders>
              <w:bottom w:val="single" w:sz="8" w:color="auto"/>
            </w:tcBorders>
          </w:tcPr>
          <w:p>
            <w:pPr>
              <w:jc w:val="right"/>
              <w:ind w:right="638"/>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expect foreseeable liquidity and capital resource requirements to be met through anticipated cash flows from operations; long-term borrowings; short-term borrowings, which may include commercial paper; credit facilities; and cash and cash equivalents. We believe that our sources of financing will be adequate to meet our future requirements.</w:t>
      </w:r>
    </w:p>
    <w:p>
      <w:pPr>
        <w:spacing w:after="0" w:line="4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generated cash flows from operations of $174 million in 2024, compared to $227 million in 2023. The decline in 2024 was primarily due to lower cash earnings.</w:t>
      </w:r>
    </w:p>
    <w:p>
      <w:pPr>
        <w:spacing w:after="0" w:line="4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Current assets are less than current liabilities, which include debt maturing in one year, as we focus on lowering core working capital requirements. We had negative working capital of $71 million as of October 29, 2023, and $161 million as of July 30, 2023. Total debt maturing within one year was $206 million as of October 29, 2023, and $191 million as of July 30, 2023.</w:t>
      </w:r>
    </w:p>
    <w:p>
      <w:pPr>
        <w:spacing w:after="0" w:line="59"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As part of our focus to lower core working capital requirements, we have worked with our suppliers to optimize our terms and conditions, including the extension of payment terms. Our current payment terms with our suppliers, which we deem to be commercially reasonable, generally range from 0 to 120 days. We also maintain agreements with third-party administrators that allow participating suppliers to track payment obligations from us, and, at the sole discretion of the supplier, sell those payment obligations to participating financial institutions. Our obligations to our suppliers, including amounts due and scheduled payment terms, are not impacted. Supplier participation in these agreements is voluntary. We have no economic interest in a supplier’s decision to enter into these agreements and no direct financial relationship with the financial institutions. We have not pledged assets as security or provided any guarantees in connection with these arrangements. The payment of these obligations is included in cash provided by operating activities in the Consolidated Statements of Cash Flows. Amounts outstanding under these programs, which are included in Accounts payable on the Consolidated Balance Sheets, were $277 million at October 29, 2023, and $258 million at July 30, 2023.</w:t>
      </w:r>
    </w:p>
    <w:p>
      <w:pPr>
        <w:spacing w:after="0" w:line="5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Capital expenditures were $143 million in 2024 and $77 million in 2023. Capital expenditures are expected to total approximately $470 million to $500 million in 2024. Capital expenditures in the first three months of 2024 included upgrades of assets across both segments of the business, chip and cracker capacity expansion for our Snacks business, network optimization for our Meals &amp; Beverages business and enhancements to our headquarters in Camden, New Jersey.</w:t>
      </w:r>
    </w:p>
    <w:p>
      <w:pPr>
        <w:spacing w:after="0" w:line="6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Snacks, we have a direct-store-delivery distribution model that uses independent contractor distributors. From time to time, we purchase and sell routes. The purchase and sale proceeds of the routes are reflected in investing activities.</w:t>
      </w:r>
    </w:p>
    <w:p>
      <w:pPr>
        <w:spacing w:after="0" w:line="4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Dividend payments were $114 million in 2024 and $115 million in 2023. The regular quarterly dividend paid on our capital stock was $.37 per share in both the first quarter of 2024 and 2023. On September 20, 2023, the Board of Directors declared a regular quarterly dividend of $.37 per share payable on October 30, 2023, to shareholders of record at the close of business on October 5, 2023. On November 29, 2023, the Board of Directors declared a regular quarterly dividend of $.37 per share payable on January 29, 2024 to shareholders of record at the close of business on January 4, 2024.</w:t>
      </w:r>
    </w:p>
    <w:p>
      <w:pPr>
        <w:spacing w:after="0" w:line="4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June 2021, the Board authorized an anti-dilutive share repurchase program of up to $250 million (June 2021 program) to offset the impact of dilution from shares issued under our stock compensation programs. The June 2021 program has no expiration date, but it may be suspended or discontinued at any time. Repurchases under the anti-dilutive program may be made in open-market or privately negotiated transactions. In September 2021, the Board approved a strategic share repurchase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29" w:name="page30"/>
    <w:bookmarkEnd w:id="29"/>
    <w:p>
      <w:pPr>
        <w:jc w:val="both"/>
        <w:spacing w:after="0" w:line="251" w:lineRule="auto"/>
        <w:rPr>
          <w:sz w:val="20"/>
          <w:szCs w:val="20"/>
          <w:color w:val="auto"/>
        </w:rPr>
      </w:pPr>
      <w:r>
        <w:rPr>
          <w:rFonts w:ascii="Times New Roman" w:cs="Times New Roman" w:eastAsia="Times New Roman" w:hAnsi="Times New Roman"/>
          <w:sz w:val="18"/>
          <w:szCs w:val="18"/>
          <w:color w:val="auto"/>
        </w:rPr>
        <w:t>program of up to $500 million (September 2021 program). The September 2021 program has no expiration date, but it may be suspended or discontinued at any time. Repurchases under the September 2021 program may be made in open-market or privately negotiated transactions. We repurchased 679 thousand shares at a cost of $28 million in 2024 pursuant to our June 2021 program. As of October 29, 2023, approximately $76 million remained available under the June 2021 program and approximately $301 million remained available under the September 2021 program. We repurchased 859 thousand shares at a cost of $41 million in 2023. See Note 13 to the Consolidated Financial Statements and “Unregistered Sales of Equity Securities and Use of Proceeds” for additional information.</w:t>
      </w:r>
    </w:p>
    <w:p>
      <w:pPr>
        <w:spacing w:after="0" w:line="53"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On October 10, 2023, we entered into a delayed single draw term loan credit agreement (the 2024 DDTL Credit Agreement) totaling up to $2 billion scheduled to mature on October 8, 2024. Loans under the 2024 DDTL Credit Agreement bear interest at the rates specified in the 2024 DDTL Credit Agreement, which vary based on the type of loan and certain other conditions. The 2024 DDTL Credit Agreement contains customary representations and warranties, affirmative and negative covenants, including a financial covenant with respect to a minimum consolidated interest coverage ratio of consolidated adjusted EBITDA to consolidated interest expense (as each is defined in the 2024 DDTL Credit Agreement) of not less than 3.25:1.00, and events of default for credit facilities of this type. The proceeds of the loans under the 2024 DDTL Credit Agreement can only be used in connection with the acquisition of Sovos Brands. The 2024 DDTL Credit Agreement remained unused at October 29, 2023.</w:t>
      </w:r>
    </w:p>
    <w:p>
      <w:pPr>
        <w:spacing w:after="0" w:line="6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As of October 29, 2023, we had $206 million of short-term borrowings due within one year, $195 million of which was comprised of commercial paper borrowings. As of October 29, 2023, we issued $28 million of standby letters of credit. On September 27, 2021, we entered into a committed revolving credit facility totaling $1.85 billion scheduled to mature on September 27, 2026. The facility remained unused at October 29, 2023, except for $1 million of standby letters of credit that we issued under it. The facility contains customary covenants, including a financial covenant with respect to a minimum consolidated interest coverage ratio of consolidated adjusted EBITDA to consolidated interest expense (as each is defined in the credit facility) of not less than 3.25:1.00, measured quarterly, and customary events of default for credit facilities of this type. Loans under this facility bear interest at the rates specified in the facility, which vary based on the type of loan and certain other customary conditions. The facility supports our commercial paper program and other general corporate purposes. We expect to continue to access the commercial paper markets, bank credit lines and utilize cash flows from operations to support our short-term liquidity requirements.</w:t>
      </w:r>
    </w:p>
    <w:p>
      <w:pPr>
        <w:spacing w:after="0" w:line="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are in compliance with the covenants contained in our credit facilities and debt securities.</w:t>
      </w:r>
    </w:p>
    <w:p>
      <w:pPr>
        <w:spacing w:after="0" w:line="85"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In August 2023, we filed a registration statement with the Securities and Exchange Commission that registered an indeterminate amount of debt securities. Under the registration statement we may issue debt securities from time to time, depending on market conditions.</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intend to finance the pending Sovos Brands acquisition with the issuance of new debt.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ESTIMATES</w:t>
      </w:r>
    </w:p>
    <w:p>
      <w:pPr>
        <w:spacing w:after="0" w:line="87" w:lineRule="exact"/>
        <w:rPr>
          <w:sz w:val="20"/>
          <w:szCs w:val="20"/>
          <w:color w:val="auto"/>
        </w:rPr>
      </w:pPr>
    </w:p>
    <w:p>
      <w:pPr>
        <w:jc w:val="both"/>
        <w:ind w:firstLine="318"/>
        <w:spacing w:after="0" w:line="219" w:lineRule="exact"/>
        <w:rPr>
          <w:sz w:val="20"/>
          <w:szCs w:val="20"/>
          <w:color w:val="auto"/>
        </w:rPr>
      </w:pPr>
      <w:r>
        <w:rPr>
          <w:rFonts w:ascii="Times New Roman" w:cs="Times New Roman" w:eastAsia="Times New Roman" w:hAnsi="Times New Roman"/>
          <w:sz w:val="18"/>
          <w:szCs w:val="18"/>
          <w:color w:val="auto"/>
        </w:rPr>
        <w:t>We prepare our consolidated financial statements in conformity with accounting principles generally accepted in the United States.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Our significant accounting policies are described in Note 1 to the Consolidated Financial Statements in the Annual Report on Form 10-K for the year ended July 30, 2023 (2023 Annual Report on Form 10-K). The accounting policies we used in preparing these financial statements are substantially consistent with those we applied in our 2023 Annual Report on Form 10-K. Our significant accounting estimates are described in Management’s Discussion and Analysis included in the 2023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2 to the Consolidated Financial Statements for information on recent accounting pronouncements.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0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These forward-looking statements reflect our current expectations regarding our future results of operations, economic performance, financial condition and achievements. These forward-looking statements can be identified by words such as "anticipate," "believe," "estimate," "expect," "intend," "plan," "pursue," "strategy," "target," "will" and similar expressions. One can also identify forward-looking statements by the fact that they do not relate strictly to historical or current facts, and may reflect anticipated cost savings or implementation of our strategic plan. These statements reflect our current plans and expectations and are based on information currently available to us. They rely on several assumptions regarding future events and estimates which could be inaccurate and which are inherently subject to risks and uncertainties.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30" w:name="page31"/>
    <w:bookmarkEnd w:id="30"/>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wish to caution the reader that the following important factors and those important factors described in our other Securities and Exchange Commission filings, or in our 2023 Annual Report on Form 10-K, could affect our actual results and could cause such results to vary materially from those expressed in any forward-looking statements made by, or on behalf of, us:</w:t>
      </w:r>
    </w:p>
    <w:p>
      <w:pPr>
        <w:spacing w:after="0" w:line="45" w:lineRule="exact"/>
        <w:rPr>
          <w:sz w:val="20"/>
          <w:szCs w:val="20"/>
          <w:color w:val="auto"/>
        </w:rPr>
      </w:pPr>
    </w:p>
    <w:p>
      <w:pPr>
        <w:ind w:left="640" w:hanging="316"/>
        <w:spacing w:after="0" w:line="274"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to the completion of the Sovos Brands transaction may not be satisfied, or the regulatory approvals required for the transaction may not be obtained on the terms expected, on the anticipated schedule, or at all;</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financing for the Sovos Brands transaction may not be obtained on favorable terms, or at all;</w:t>
      </w:r>
    </w:p>
    <w:p>
      <w:pPr>
        <w:spacing w:after="0" w:line="9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of the Sovos Brands transaction may not occur or be delayed, either as a result of litigation related to the transaction or otherwise or result in significant costs of defense, indemnification and liability;</w:t>
      </w:r>
    </w:p>
    <w:p>
      <w:pPr>
        <w:spacing w:after="0" w:line="30" w:lineRule="exact"/>
        <w:rPr>
          <w:rFonts w:ascii="Times New Roman" w:cs="Times New Roman" w:eastAsia="Times New Roman" w:hAnsi="Times New Roman"/>
          <w:sz w:val="18"/>
          <w:szCs w:val="18"/>
          <w:color w:val="auto"/>
        </w:rPr>
      </w:pPr>
    </w:p>
    <w:p>
      <w:pPr>
        <w:ind w:left="640" w:hanging="316"/>
        <w:spacing w:after="0" w:line="304" w:lineRule="auto"/>
        <w:tabs>
          <w:tab w:leader="none" w:pos="63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that the cost savings and any other synergies from the Sovos Brands transaction may not be fully realized or may take longer or cost more to be realized than expected, including that the Sovos Brands transaction may not be accretive within the expected timeframe or the extent anticipated;</w:t>
      </w:r>
    </w:p>
    <w:p>
      <w:pPr>
        <w:spacing w:after="0" w:line="21" w:lineRule="exact"/>
        <w:rPr>
          <w:rFonts w:ascii="Times New Roman" w:cs="Times New Roman" w:eastAsia="Times New Roman" w:hAnsi="Times New Roman"/>
          <w:sz w:val="17"/>
          <w:szCs w:val="17"/>
          <w:color w:val="auto"/>
        </w:rPr>
      </w:pPr>
    </w:p>
    <w:p>
      <w:pPr>
        <w:ind w:left="640" w:hanging="316"/>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the Sovos Brands transaction may distract our management from other important matters;</w:t>
      </w:r>
    </w:p>
    <w:p>
      <w:pPr>
        <w:spacing w:after="0" w:line="9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related to the availability of, and cost inflation in, supply chain inputs, including labor, raw materials, commodities, packaging and transportation;</w:t>
      </w:r>
    </w:p>
    <w:p>
      <w:pPr>
        <w:spacing w:after="0" w:line="3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on and realize the expected benefits from our strategy, including growing sales in snacks and growing/maintaining our market share position in soup;</w:t>
      </w:r>
    </w:p>
    <w:p>
      <w:pPr>
        <w:spacing w:after="0" w:line="4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strong competitive responses to our efforts to leverage brand power with product innovation, promotional programs and new advertising;</w:t>
      </w:r>
    </w:p>
    <w:p>
      <w:pPr>
        <w:spacing w:after="0" w:line="4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trade and consumer acceptance of product improvements, shelving initiatives, new products and pricing and promotional strategies;</w:t>
      </w:r>
    </w:p>
    <w:p>
      <w:pPr>
        <w:spacing w:after="0" w:line="3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projected cost savings and benefits from cost savings initiatives and the integration of recent acquisitions;</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or inefficiencies to our supply chain and/or operations, including reliance on key supplier relationships;</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effectiveness of our hedging activities and our ability to respond to volatility in commodity prices;</w:t>
      </w:r>
    </w:p>
    <w:p>
      <w:pPr>
        <w:spacing w:after="0" w:line="8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changes to our organizational structure and/or business processes, including selling, distribution, manufacturing and information management systems or processes;</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demand for our products and favorable perception of our brands;</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inventory management practices by certain of our key customers;</w:t>
      </w:r>
    </w:p>
    <w:p>
      <w:pPr>
        <w:spacing w:after="0" w:line="8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changing customer landscape, with value and e-commerce retailers expanding their market presence, while certain of our key customers maintain significance to our business;</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quality and safety issues, including recalls and product liabilities;</w:t>
      </w:r>
    </w:p>
    <w:p>
      <w:pPr>
        <w:spacing w:after="0" w:line="8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disruption to the independent contractor distribution models used by certain of our businesses, including as a result of litigation or regulatory actions affecting their independent contractor classification;</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uncertainties of litigation and regulatory actions against us;</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disruption and diversion of management's attention associated with activist investors;</w:t>
      </w:r>
    </w:p>
    <w:p>
      <w:pPr>
        <w:spacing w:after="0" w:line="8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disruption, failure or security breach of our or our vendors' information technology systems, including ransomware attacks;</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to goodwill or other intangible assets;</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w:t>
      </w:r>
    </w:p>
    <w:p>
      <w:pPr>
        <w:spacing w:after="0" w:line="8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liabilities and costs related to our defined benefit pension plans;</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talent;</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goals and initiatives related to, and the impacts of, climate change, including from weather-related events;</w:t>
      </w:r>
    </w:p>
    <w:p>
      <w:pPr>
        <w:spacing w:after="0" w:line="8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changes and volatility in financial and credit markets, deteriorating economic conditions and other external factors, including changes in laws and regulations; and</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31" w:name="page32"/>
    <w:bookmarkEnd w:id="31"/>
    <w:p>
      <w:pPr>
        <w:jc w:val="both"/>
        <w:ind w:left="640" w:right="100" w:hanging="316"/>
        <w:spacing w:after="0" w:line="259"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business disruptions or other impacts due to political instability, civil disobedience, terrorism, geopolitical conflicts (including the ongoing conflicts between Russia and Ukraine and in Israel and Gaza), extreme weather conditions, natural disasters, pandemics or other outbreaks of disease or other calamities.</w:t>
      </w:r>
    </w:p>
    <w:p>
      <w:pPr>
        <w:spacing w:after="0" w:line="45" w:lineRule="exact"/>
        <w:rPr>
          <w:sz w:val="20"/>
          <w:szCs w:val="20"/>
          <w:color w:val="auto"/>
        </w:rPr>
      </w:pPr>
    </w:p>
    <w:p>
      <w:pPr>
        <w:jc w:val="both"/>
        <w:ind w:right="100" w:firstLine="318"/>
        <w:spacing w:after="0" w:line="304" w:lineRule="auto"/>
        <w:rPr>
          <w:sz w:val="20"/>
          <w:szCs w:val="20"/>
          <w:color w:val="auto"/>
        </w:rPr>
      </w:pPr>
      <w:r>
        <w:rPr>
          <w:rFonts w:ascii="Times New Roman" w:cs="Times New Roman" w:eastAsia="Times New Roman" w:hAnsi="Times New Roman"/>
          <w:sz w:val="17"/>
          <w:szCs w:val="17"/>
          <w:color w:val="auto"/>
        </w:rPr>
        <w:t>This discussion of uncertainties is by no means exhaustive but is designed to highlight important factors that may impact our outlook. We disclaim any obligation or intent to update forward-looking statements made by us in order to reflect new information, events or circumstances after the date they are made.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 About Market Risk</w:t>
      </w:r>
    </w:p>
    <w:p>
      <w:pPr>
        <w:spacing w:after="0" w:line="102" w:lineRule="exact"/>
        <w:rPr>
          <w:sz w:val="20"/>
          <w:szCs w:val="20"/>
          <w:color w:val="auto"/>
        </w:rPr>
      </w:pPr>
    </w:p>
    <w:p>
      <w:pPr>
        <w:jc w:val="both"/>
        <w:ind w:right="100" w:firstLine="318"/>
        <w:spacing w:after="0" w:line="251" w:lineRule="auto"/>
        <w:rPr>
          <w:sz w:val="20"/>
          <w:szCs w:val="20"/>
          <w:color w:val="auto"/>
        </w:rPr>
      </w:pPr>
      <w:r>
        <w:rPr>
          <w:rFonts w:ascii="Times New Roman" w:cs="Times New Roman" w:eastAsia="Times New Roman" w:hAnsi="Times New Roman"/>
          <w:sz w:val="18"/>
          <w:szCs w:val="18"/>
          <w:color w:val="auto"/>
        </w:rPr>
        <w:t>For information regarding our exposure to certain market risk, see Item 7A, Quantitative and Qualitative Disclosure About Market Risk, in the 2023 Annual Report on Form 10-K. During the first quarter ended October 29, 2023, we entered into forward starting interest rate swaps accounted for as cash-flow hedges with a notional value of $525 million related to an anticipated debt issuance. The fair value was a gain of $3 million as of October 29, 2023. The forward starting interest rate swaps mature in January 2025. Since October 29, 2023, we have entered into additional forward starting interest rate swaps accounted for as cash-flow hedges with a notional value of $450 million. There were no forward starting interest rate swaps or treasury lock contracts outstanding as of July 30, 2023.</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115" w:lineRule="exact"/>
        <w:rPr>
          <w:sz w:val="20"/>
          <w:szCs w:val="20"/>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Evaluation of Disclosure Controls and Procedure</w:t>
      </w:r>
    </w:p>
    <w:p>
      <w:pPr>
        <w:spacing w:after="0" w:line="98" w:lineRule="exact"/>
        <w:rPr>
          <w:sz w:val="20"/>
          <w:szCs w:val="20"/>
          <w:color w:val="auto"/>
        </w:rPr>
      </w:pPr>
    </w:p>
    <w:p>
      <w:pPr>
        <w:jc w:val="both"/>
        <w:ind w:right="100" w:firstLine="318"/>
        <w:spacing w:after="0" w:line="252" w:lineRule="auto"/>
        <w:rPr>
          <w:sz w:val="20"/>
          <w:szCs w:val="20"/>
          <w:color w:val="auto"/>
        </w:rPr>
      </w:pPr>
      <w:r>
        <w:rPr>
          <w:rFonts w:ascii="Times New Roman" w:cs="Times New Roman" w:eastAsia="Times New Roman" w:hAnsi="Times New Roman"/>
          <w:sz w:val="18"/>
          <w:szCs w:val="18"/>
          <w:color w:val="auto"/>
        </w:rPr>
        <w:t>We, under the supervision and with the participation of our management, including the President and Chief Executive Officer and the Executive Vice President and Chief Financial Officer, have evaluated the effectiveness of our disclosure controls and procedures (as such term is defined in Rules 13a-15(e) and 15d-15(e) under the Securities Exchange Act of 1934, as amended) as of October 29, 2023 (Evaluation Date). Based on such evaluation, the President and Chief Executive Officer and the Executive Vice President and Chief Financial Officer have concluded that, as of the Evaluation Date, our disclosure controls and procedures are effective.</w:t>
      </w:r>
    </w:p>
    <w:p>
      <w:pPr>
        <w:spacing w:after="0" w:line="79" w:lineRule="exact"/>
        <w:rPr>
          <w:sz w:val="20"/>
          <w:szCs w:val="20"/>
          <w:color w:val="auto"/>
        </w:rPr>
      </w:pPr>
    </w:p>
    <w:p>
      <w:pPr>
        <w:ind w:left="640" w:hanging="316"/>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Internal Control</w:t>
      </w:r>
    </w:p>
    <w:p>
      <w:pPr>
        <w:spacing w:after="0" w:line="98" w:lineRule="exact"/>
        <w:rPr>
          <w:sz w:val="20"/>
          <w:szCs w:val="20"/>
          <w:color w:val="auto"/>
        </w:rPr>
      </w:pPr>
    </w:p>
    <w:p>
      <w:pPr>
        <w:jc w:val="both"/>
        <w:ind w:right="100" w:firstLine="318"/>
        <w:spacing w:after="0" w:line="259"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under the Securities Exchange Act of 1934, as amended) that materially affected, or are likely to materially affect, such internal control over financial reporting during the quarter ended October 29, 2023.</w:t>
      </w:r>
    </w:p>
    <w:p>
      <w:pPr>
        <w:spacing w:after="0" w:line="37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Information regarding reportable legal proceedings is contained in Note 15 to the Consolidated Financial Statements and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share repurchase activity in the three months ended October 29, 2023 was:</w:t>
      </w:r>
    </w:p>
    <w:p>
      <w:pPr>
        <w:spacing w:after="0" w:line="114"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20" w:type="dxa"/>
            <w:vAlign w:val="bottom"/>
          </w:tcPr>
          <w:p>
            <w:pPr>
              <w:jc w:val="center"/>
              <w:ind w:left="143"/>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20" w:type="dxa"/>
            <w:vAlign w:val="bottom"/>
          </w:tcPr>
          <w:p>
            <w:pPr>
              <w:jc w:val="center"/>
              <w:ind w:left="143"/>
              <w:spacing w:after="0" w:line="135" w:lineRule="exact"/>
              <w:rPr>
                <w:sz w:val="20"/>
                <w:szCs w:val="20"/>
                <w:color w:val="auto"/>
              </w:rPr>
            </w:pPr>
            <w:r>
              <w:rPr>
                <w:rFonts w:ascii="Times New Roman" w:cs="Times New Roman" w:eastAsia="Times New Roman" w:hAnsi="Times New Roman"/>
                <w:sz w:val="14"/>
                <w:szCs w:val="14"/>
                <w:b w:val="1"/>
                <w:bCs w:val="1"/>
                <w:color w:val="auto"/>
              </w:rPr>
              <w:t>Dollar Value of</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40" w:type="dxa"/>
            <w:vAlign w:val="bottom"/>
            <w:gridSpan w:val="2"/>
          </w:tcPr>
          <w:p>
            <w:pPr>
              <w:jc w:val="center"/>
              <w:ind w:right="400"/>
              <w:spacing w:after="0" w:line="157" w:lineRule="exact"/>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420" w:type="dxa"/>
            <w:vAlign w:val="bottom"/>
          </w:tcPr>
          <w:p>
            <w:pPr>
              <w:jc w:val="center"/>
              <w:ind w:left="143"/>
              <w:spacing w:after="0" w:line="157" w:lineRule="exact"/>
              <w:rPr>
                <w:sz w:val="20"/>
                <w:szCs w:val="20"/>
                <w:color w:val="auto"/>
              </w:rPr>
            </w:pPr>
            <w:r>
              <w:rPr>
                <w:rFonts w:ascii="Times New Roman" w:cs="Times New Roman" w:eastAsia="Times New Roman" w:hAnsi="Times New Roman"/>
                <w:sz w:val="14"/>
                <w:szCs w:val="14"/>
                <w:b w:val="1"/>
                <w:bCs w:val="1"/>
                <w:color w:val="auto"/>
              </w:rPr>
              <w:t>Shares that may yet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16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Total Number</w:t>
            </w:r>
          </w:p>
        </w:tc>
        <w:tc>
          <w:tcPr>
            <w:tcW w:w="15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2040" w:type="dxa"/>
            <w:vAlign w:val="bottom"/>
            <w:gridSpan w:val="2"/>
          </w:tcPr>
          <w:p>
            <w:pPr>
              <w:jc w:val="center"/>
              <w:ind w:right="400"/>
              <w:spacing w:after="0" w:line="133"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420" w:type="dxa"/>
            <w:vAlign w:val="bottom"/>
          </w:tcPr>
          <w:p>
            <w:pPr>
              <w:jc w:val="center"/>
              <w:ind w:left="143"/>
              <w:spacing w:after="0" w:line="133" w:lineRule="exact"/>
              <w:rPr>
                <w:sz w:val="20"/>
                <w:szCs w:val="20"/>
                <w:color w:val="auto"/>
              </w:rPr>
            </w:pPr>
            <w:r>
              <w:rPr>
                <w:rFonts w:ascii="Times New Roman" w:cs="Times New Roman" w:eastAsia="Times New Roman" w:hAnsi="Times New Roman"/>
                <w:sz w:val="14"/>
                <w:szCs w:val="14"/>
                <w:b w:val="1"/>
                <w:bCs w:val="1"/>
                <w:color w:val="auto"/>
                <w:w w:val="99"/>
              </w:rPr>
              <w:t>be Purchased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040" w:type="dxa"/>
            <w:vAlign w:val="bottom"/>
            <w:gridSpan w:val="2"/>
          </w:tcPr>
          <w:p>
            <w:pPr>
              <w:jc w:val="center"/>
              <w:ind w:right="400"/>
              <w:spacing w:after="0" w:line="146"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420" w:type="dxa"/>
            <w:vAlign w:val="bottom"/>
          </w:tcPr>
          <w:p>
            <w:pPr>
              <w:jc w:val="center"/>
              <w:ind w:left="123"/>
              <w:spacing w:after="0" w:line="146"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20" w:type="dxa"/>
            <w:vAlign w:val="bottom"/>
            <w:gridSpan w:val="2"/>
          </w:tcPr>
          <w:p>
            <w:pPr>
              <w:jc w:val="center"/>
              <w:ind w:right="380"/>
              <w:spacing w:after="0" w:line="146"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500" w:type="dxa"/>
            <w:vAlign w:val="bottom"/>
            <w:gridSpan w:val="2"/>
          </w:tcPr>
          <w:p>
            <w:pPr>
              <w:jc w:val="center"/>
              <w:ind w:right="400"/>
              <w:spacing w:after="0" w:line="146"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2040" w:type="dxa"/>
            <w:vAlign w:val="bottom"/>
            <w:gridSpan w:val="2"/>
          </w:tcPr>
          <w:p>
            <w:pPr>
              <w:jc w:val="center"/>
              <w:ind w:right="380"/>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420" w:type="dxa"/>
            <w:vAlign w:val="bottom"/>
          </w:tcPr>
          <w:p>
            <w:pPr>
              <w:jc w:val="center"/>
              <w:ind w:left="143"/>
              <w:spacing w:after="0" w:line="146" w:lineRule="exact"/>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420" w:type="dxa"/>
            <w:vAlign w:val="bottom"/>
            <w:gridSpan w:val="2"/>
            <w:vMerge w:val="continue"/>
          </w:tcPr>
          <w:p>
            <w:pPr>
              <w:spacing w:after="0"/>
              <w:rPr>
                <w:sz w:val="12"/>
                <w:szCs w:val="12"/>
                <w:color w:val="auto"/>
              </w:rPr>
            </w:pPr>
          </w:p>
        </w:tc>
        <w:tc>
          <w:tcPr>
            <w:tcW w:w="1620" w:type="dxa"/>
            <w:vAlign w:val="bottom"/>
            <w:gridSpan w:val="2"/>
          </w:tcPr>
          <w:p>
            <w:pPr>
              <w:jc w:val="center"/>
              <w:ind w:right="380"/>
              <w:spacing w:after="0" w:line="146" w:lineRule="exact"/>
              <w:rPr>
                <w:sz w:val="20"/>
                <w:szCs w:val="20"/>
                <w:color w:val="auto"/>
              </w:rPr>
            </w:pPr>
            <w:r>
              <w:rPr>
                <w:rFonts w:ascii="Times New Roman" w:cs="Times New Roman" w:eastAsia="Times New Roman" w:hAnsi="Times New Roman"/>
                <w:sz w:val="13"/>
                <w:szCs w:val="13"/>
                <w:b w:val="1"/>
                <w:bCs w:val="1"/>
                <w:color w:val="auto"/>
              </w:rPr>
              <w:t xml:space="preserve">Purchased </w:t>
            </w:r>
            <w:r>
              <w:rPr>
                <w:rFonts w:ascii="Times New Roman" w:cs="Times New Roman" w:eastAsia="Times New Roman" w:hAnsi="Times New Roman"/>
                <w:sz w:val="16"/>
                <w:szCs w:val="16"/>
                <w:b w:val="1"/>
                <w:bCs w:val="1"/>
                <w:color w:val="auto"/>
                <w:vertAlign w:val="superscript"/>
              </w:rPr>
              <w:t>(1)</w:t>
            </w:r>
          </w:p>
        </w:tc>
        <w:tc>
          <w:tcPr>
            <w:tcW w:w="1500" w:type="dxa"/>
            <w:vAlign w:val="bottom"/>
            <w:gridSpan w:val="2"/>
          </w:tcPr>
          <w:p>
            <w:pPr>
              <w:jc w:val="center"/>
              <w:ind w:right="400"/>
              <w:spacing w:after="0" w:line="146" w:lineRule="exact"/>
              <w:rPr>
                <w:sz w:val="20"/>
                <w:szCs w:val="20"/>
                <w:color w:val="auto"/>
              </w:rPr>
            </w:pPr>
            <w:r>
              <w:rPr>
                <w:rFonts w:ascii="Times New Roman" w:cs="Times New Roman" w:eastAsia="Times New Roman" w:hAnsi="Times New Roman"/>
                <w:sz w:val="13"/>
                <w:szCs w:val="13"/>
                <w:b w:val="1"/>
                <w:bCs w:val="1"/>
                <w:color w:val="auto"/>
              </w:rPr>
              <w:t xml:space="preserve">Per Share </w:t>
            </w:r>
            <w:r>
              <w:rPr>
                <w:rFonts w:ascii="Times New Roman" w:cs="Times New Roman" w:eastAsia="Times New Roman" w:hAnsi="Times New Roman"/>
                <w:sz w:val="16"/>
                <w:szCs w:val="16"/>
                <w:b w:val="1"/>
                <w:bCs w:val="1"/>
                <w:color w:val="auto"/>
                <w:vertAlign w:val="superscript"/>
              </w:rPr>
              <w:t>(2)</w:t>
            </w:r>
          </w:p>
        </w:tc>
        <w:tc>
          <w:tcPr>
            <w:tcW w:w="2040" w:type="dxa"/>
            <w:vAlign w:val="bottom"/>
            <w:gridSpan w:val="2"/>
          </w:tcPr>
          <w:p>
            <w:pPr>
              <w:jc w:val="center"/>
              <w:ind w:right="380"/>
              <w:spacing w:after="0" w:line="146" w:lineRule="exact"/>
              <w:rPr>
                <w:sz w:val="20"/>
                <w:szCs w:val="20"/>
                <w:color w:val="auto"/>
              </w:rPr>
            </w:pPr>
            <w:r>
              <w:rPr>
                <w:rFonts w:ascii="Times New Roman" w:cs="Times New Roman" w:eastAsia="Times New Roman" w:hAnsi="Times New Roman"/>
                <w:sz w:val="13"/>
                <w:szCs w:val="13"/>
                <w:b w:val="1"/>
                <w:bCs w:val="1"/>
                <w:color w:val="auto"/>
              </w:rPr>
              <w:t xml:space="preserve">Programs </w:t>
            </w:r>
            <w:r>
              <w:rPr>
                <w:rFonts w:ascii="Times New Roman" w:cs="Times New Roman" w:eastAsia="Times New Roman" w:hAnsi="Times New Roman"/>
                <w:sz w:val="16"/>
                <w:szCs w:val="16"/>
                <w:b w:val="1"/>
                <w:bCs w:val="1"/>
                <w:color w:val="auto"/>
                <w:vertAlign w:val="superscript"/>
              </w:rPr>
              <w:t>(3)</w:t>
            </w:r>
          </w:p>
        </w:tc>
        <w:tc>
          <w:tcPr>
            <w:tcW w:w="1420" w:type="dxa"/>
            <w:vAlign w:val="bottom"/>
          </w:tcPr>
          <w:p>
            <w:pPr>
              <w:jc w:val="center"/>
              <w:ind w:left="143"/>
              <w:spacing w:after="0" w:line="146" w:lineRule="exact"/>
              <w:rPr>
                <w:sz w:val="20"/>
                <w:szCs w:val="20"/>
                <w:color w:val="auto"/>
              </w:rPr>
            </w:pPr>
            <w:r>
              <w:rPr>
                <w:rFonts w:ascii="Times New Roman" w:cs="Times New Roman" w:eastAsia="Times New Roman" w:hAnsi="Times New Roman"/>
                <w:sz w:val="14"/>
                <w:szCs w:val="14"/>
                <w:b w:val="1"/>
                <w:bCs w:val="1"/>
                <w:color w:val="auto"/>
              </w:rPr>
              <w:t xml:space="preserve">($ in Millions) </w:t>
            </w:r>
            <w:r>
              <w:rPr>
                <w:rFonts w:ascii="Times New Roman" w:cs="Times New Roman" w:eastAsia="Times New Roman" w:hAnsi="Times New Roman"/>
                <w:sz w:val="9"/>
                <w:szCs w:val="9"/>
                <w:b w:val="1"/>
                <w:bCs w:val="1"/>
                <w:color w:val="auto"/>
              </w:rPr>
              <w:t>(3)</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400" w:type="dxa"/>
            <w:vAlign w:val="bottom"/>
            <w:tcBorders>
              <w:top w:val="single" w:sz="8" w:color="auto"/>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4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7/31/23-8/31/23</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5"/>
        </w:trPr>
        <w:tc>
          <w:tcPr>
            <w:tcW w:w="44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9/1/23-9/29/23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513,144</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380" w:type="dxa"/>
            <w:vAlign w:val="bottom"/>
          </w:tcPr>
          <w:p>
            <w:pPr>
              <w:spacing w:after="0"/>
              <w:rPr>
                <w:sz w:val="19"/>
                <w:szCs w:val="19"/>
                <w:color w:val="auto"/>
              </w:rPr>
            </w:pPr>
          </w:p>
        </w:tc>
        <w:tc>
          <w:tcPr>
            <w:tcW w:w="166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513,144</w:t>
            </w:r>
          </w:p>
        </w:tc>
        <w:tc>
          <w:tcPr>
            <w:tcW w:w="3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5"/>
        </w:trPr>
        <w:tc>
          <w:tcPr>
            <w:tcW w:w="4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10/2/23-10/27/23</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166,245</w:t>
            </w:r>
          </w:p>
        </w:tc>
        <w:tc>
          <w:tcPr>
            <w:tcW w:w="38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$39.54</w:t>
            </w:r>
          </w:p>
        </w:tc>
        <w:tc>
          <w:tcPr>
            <w:tcW w:w="38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166,245</w:t>
            </w:r>
          </w:p>
        </w:tc>
        <w:tc>
          <w:tcPr>
            <w:tcW w:w="38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679,389</w:t>
            </w:r>
          </w:p>
        </w:tc>
        <w:tc>
          <w:tcPr>
            <w:tcW w:w="38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$41.53</w:t>
            </w:r>
          </w:p>
        </w:tc>
        <w:tc>
          <w:tcPr>
            <w:tcW w:w="380" w:type="dxa"/>
            <w:vAlign w:val="bottom"/>
          </w:tcPr>
          <w:p>
            <w:pPr>
              <w:spacing w:after="0"/>
              <w:rPr>
                <w:sz w:val="19"/>
                <w:szCs w:val="19"/>
                <w:color w:val="auto"/>
              </w:rPr>
            </w:pPr>
          </w:p>
        </w:tc>
        <w:tc>
          <w:tcPr>
            <w:tcW w:w="16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679,389</w:t>
            </w:r>
          </w:p>
        </w:tc>
        <w:tc>
          <w:tcPr>
            <w:tcW w:w="38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w:t>
      </w:r>
    </w:p>
    <w:p>
      <w:pPr>
        <w:spacing w:after="0" w:line="30" w:lineRule="exact"/>
        <w:rPr>
          <w:sz w:val="20"/>
          <w:szCs w:val="20"/>
          <w:color w:val="auto"/>
        </w:rPr>
      </w:pPr>
    </w:p>
    <w:p>
      <w:pPr>
        <w:ind w:left="320" w:hanging="314"/>
        <w:spacing w:after="0"/>
        <w:tabs>
          <w:tab w:leader="none" w:pos="320"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Shares purchased are as of the trade date.</w:t>
      </w:r>
    </w:p>
    <w:p>
      <w:pPr>
        <w:jc w:val="both"/>
        <w:ind w:left="320" w:right="100" w:hanging="314"/>
        <w:spacing w:after="0" w:line="224" w:lineRule="auto"/>
        <w:tabs>
          <w:tab w:leader="none" w:pos="308"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Average price paid per share is calculated on a settlement basis and excludes commission and excise tax. As of January 1, 2023, our share repurchases in excess of issuances are subject to a 1% excise tax enacted by the Inflation Reduction Act. Any excise tax incurred is recognized as part of the cost basis of the shares acquired in the Consolidated Statements of Equity.</w:t>
      </w:r>
    </w:p>
    <w:p>
      <w:pPr>
        <w:spacing w:after="0" w:line="2" w:lineRule="exact"/>
        <w:rPr>
          <w:rFonts w:ascii="Times New Roman" w:cs="Times New Roman" w:eastAsia="Times New Roman" w:hAnsi="Times New Roman"/>
          <w:sz w:val="23"/>
          <w:szCs w:val="23"/>
          <w:color w:val="auto"/>
          <w:vertAlign w:val="superscript"/>
        </w:rPr>
      </w:pPr>
    </w:p>
    <w:p>
      <w:pPr>
        <w:ind w:left="320" w:right="100" w:hanging="314"/>
        <w:spacing w:after="0" w:line="215" w:lineRule="auto"/>
        <w:tabs>
          <w:tab w:leader="none" w:pos="308"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June 2021, our Board of Directors authorized an anti-dilutive share repurchase program of up to $250 million (June 2021 program) to offset the impact of dilution from shares issued under our stock compensation programs. The June 2021</w:t>
      </w:r>
    </w:p>
    <w:p>
      <w:pPr>
        <w:spacing w:after="0" w:line="200" w:lineRule="exact"/>
        <w:rPr>
          <w:sz w:val="20"/>
          <w:szCs w:val="20"/>
          <w:color w:val="auto"/>
        </w:rPr>
      </w:pPr>
    </w:p>
    <w:p>
      <w:pPr>
        <w:spacing w:after="0" w:line="32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969" w:right="239" w:bottom="1440" w:gutter="0" w:footer="0" w:header="0"/>
        </w:sectPr>
      </w:pPr>
    </w:p>
    <w:bookmarkStart w:id="32" w:name="page33"/>
    <w:bookmarkEnd w:id="32"/>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program has no expiration date, but it may be suspended or discontinued at any time. Repurchases under the June 2021 program may be made in open-market or privately negotiated transactions. In September 2021, the Board approved a strategic share repurchase program of up to $500 million (September 2021 program). The September 2021 program has no expiration date, but it may be suspended or discontinued at any time. Repurchases under the September 2021 program may be made in open-market or privately negotiated transactions.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8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quarter ended October 29, 2023, none of our directors or officers (as defined in Rule 16a-1(f) under the Exchange Act) adopted or terminated any contract, instruction or written plan for the purchase or sale of our securities that was intended to satisfy the affirmative defense conditions of Rule 10b5-1(c) or any "non-Rule 10b5-1 trading arrangement" in accordance with Item 408 of Regulation S-K of the Securities Act.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Index to Exhibits, which immediately precedes the signature page, is incorporated by reference into this Report.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33" w:name="page34"/>
    <w:bookmarkEnd w:id="33"/>
    <w:tbl>
      <w:tblPr>
        <w:tblLayout w:type="fixed"/>
        <w:tblInd w:w="3" w:type="dxa"/>
        <w:tblCellMar>
          <w:top w:w="0" w:type="dxa"/>
          <w:left w:w="0" w:type="dxa"/>
          <w:bottom w:w="0" w:type="dxa"/>
          <w:right w:w="0" w:type="dxa"/>
        </w:tblCellMar>
      </w:tblPr>
      <w:tr>
        <w:trPr>
          <w:trHeight w:val="231"/>
        </w:trPr>
        <w:tc>
          <w:tcPr>
            <w:tcW w:w="1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780" w:type="dxa"/>
            <w:vAlign w:val="bottom"/>
            <w:gridSpan w:val="17"/>
          </w:tcPr>
          <w:p>
            <w:pPr>
              <w:ind w:left="340"/>
              <w:spacing w:after="0"/>
              <w:rPr>
                <w:sz w:val="20"/>
                <w:szCs w:val="20"/>
                <w:color w:val="auto"/>
              </w:rPr>
            </w:pPr>
            <w:r>
              <w:rPr>
                <w:rFonts w:ascii="Times New Roman" w:cs="Times New Roman" w:eastAsia="Times New Roman" w:hAnsi="Times New Roman"/>
                <w:sz w:val="18"/>
                <w:szCs w:val="18"/>
                <w:color w:val="auto"/>
              </w:rPr>
              <w:t>INDEX TO EXHIBITS</w:t>
            </w: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0080" w:type="dxa"/>
            <w:vAlign w:val="bottom"/>
            <w:gridSpan w:val="21"/>
          </w:tcPr>
          <w:p>
            <w:pPr>
              <w:spacing w:after="0"/>
              <w:rPr>
                <w:rFonts w:ascii="Times New Roman" w:cs="Times New Roman" w:eastAsia="Times New Roman" w:hAnsi="Times New Roman"/>
                <w:sz w:val="18"/>
                <w:szCs w:val="18"/>
                <w:color w:val="0000FF"/>
                <w:w w:val="97"/>
              </w:rPr>
            </w:pPr>
            <w:hyperlink r:id="rId65">
              <w:r>
                <w:rPr>
                  <w:rFonts w:ascii="Times New Roman" w:cs="Times New Roman" w:eastAsia="Times New Roman" w:hAnsi="Times New Roman"/>
                  <w:sz w:val="18"/>
                  <w:szCs w:val="18"/>
                  <w:color w:val="0000FF"/>
                  <w:w w:val="97"/>
                </w:rPr>
                <w:t>Agreement and Plan of Merger, dated as of August 7, 2023, by and among Campbell Soup Company, Premium Products Merger Sub, Inc. and</w:t>
              </w:r>
            </w:hyperlink>
          </w:p>
        </w:tc>
      </w:tr>
      <w:tr>
        <w:trPr>
          <w:trHeight w:val="152"/>
        </w:trPr>
        <w:tc>
          <w:tcPr>
            <w:tcW w:w="1100" w:type="dxa"/>
            <w:vAlign w:val="bottom"/>
          </w:tcPr>
          <w:p>
            <w:pPr>
              <w:spacing w:after="0"/>
              <w:rPr>
                <w:sz w:val="13"/>
                <w:szCs w:val="13"/>
                <w:color w:val="auto"/>
              </w:rPr>
            </w:pPr>
          </w:p>
        </w:tc>
        <w:tc>
          <w:tcPr>
            <w:tcW w:w="10060" w:type="dxa"/>
            <w:vAlign w:val="bottom"/>
            <w:tcBorders>
              <w:top w:val="single" w:sz="8" w:color="0000FF"/>
            </w:tcBorders>
            <w:gridSpan w:val="20"/>
          </w:tcPr>
          <w:p>
            <w:pPr>
              <w:spacing w:after="0" w:line="152" w:lineRule="exact"/>
              <w:rPr>
                <w:rFonts w:ascii="Times New Roman" w:cs="Times New Roman" w:eastAsia="Times New Roman" w:hAnsi="Times New Roman"/>
                <w:sz w:val="17"/>
                <w:szCs w:val="17"/>
                <w:color w:val="0000FF"/>
              </w:rPr>
            </w:pPr>
            <w:hyperlink r:id="rId65">
              <w:r>
                <w:rPr>
                  <w:rFonts w:ascii="Times New Roman" w:cs="Times New Roman" w:eastAsia="Times New Roman" w:hAnsi="Times New Roman"/>
                  <w:sz w:val="17"/>
                  <w:szCs w:val="17"/>
                  <w:color w:val="0000FF"/>
                </w:rPr>
                <w:t>Sovos Brands, Inc. is incorporated by reference to Exhibit 2.1 to Campbell's Form 8-K (SEC file number 1-3822) filed with the SEC on</w:t>
              </w:r>
            </w:hyperlink>
          </w:p>
        </w:tc>
        <w:tc>
          <w:tcPr>
            <w:tcW w:w="20" w:type="dxa"/>
            <w:vAlign w:val="bottom"/>
          </w:tcPr>
          <w:p>
            <w:pPr>
              <w:spacing w:after="0"/>
              <w:rPr>
                <w:sz w:val="13"/>
                <w:szCs w:val="13"/>
                <w:color w:val="auto"/>
              </w:rPr>
            </w:pPr>
          </w:p>
        </w:tc>
      </w:tr>
      <w:tr>
        <w:trPr>
          <w:trHeight w:val="152"/>
        </w:trPr>
        <w:tc>
          <w:tcPr>
            <w:tcW w:w="1100" w:type="dxa"/>
            <w:vAlign w:val="bottom"/>
          </w:tcPr>
          <w:p>
            <w:pPr>
              <w:spacing w:after="0"/>
              <w:rPr>
                <w:sz w:val="13"/>
                <w:szCs w:val="13"/>
                <w:color w:val="auto"/>
              </w:rPr>
            </w:pPr>
          </w:p>
        </w:tc>
        <w:tc>
          <w:tcPr>
            <w:tcW w:w="9580" w:type="dxa"/>
            <w:vAlign w:val="bottom"/>
            <w:tcBorders>
              <w:top w:val="single" w:sz="8" w:color="0000FF"/>
            </w:tcBorders>
            <w:gridSpan w:val="11"/>
          </w:tcPr>
          <w:p>
            <w:pPr>
              <w:spacing w:after="0" w:line="152" w:lineRule="exact"/>
              <w:rPr>
                <w:rFonts w:ascii="Times New Roman" w:cs="Times New Roman" w:eastAsia="Times New Roman" w:hAnsi="Times New Roman"/>
                <w:sz w:val="17"/>
                <w:szCs w:val="17"/>
                <w:color w:val="0000FF"/>
              </w:rPr>
            </w:pPr>
            <w:hyperlink r:id="rId65">
              <w:r>
                <w:rPr>
                  <w:rFonts w:ascii="Times New Roman" w:cs="Times New Roman" w:eastAsia="Times New Roman" w:hAnsi="Times New Roman"/>
                  <w:sz w:val="17"/>
                  <w:szCs w:val="17"/>
                  <w:color w:val="0000FF"/>
                </w:rPr>
                <w:t>August 7, 2023.</w:t>
              </w:r>
            </w:hyperlink>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1"/>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4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2024 Non-Employee Director Fees</w:t>
            </w:r>
          </w:p>
        </w:tc>
        <w:tc>
          <w:tcPr>
            <w:tcW w:w="7600" w:type="dxa"/>
            <w:vAlign w:val="bottom"/>
            <w:gridSpan w:val="18"/>
          </w:tcPr>
          <w:p>
            <w:pPr>
              <w:spacing w:after="0"/>
              <w:rPr>
                <w:sz w:val="24"/>
                <w:szCs w:val="24"/>
                <w:color w:val="auto"/>
              </w:rPr>
            </w:pPr>
          </w:p>
        </w:tc>
      </w:tr>
      <w:tr>
        <w:trPr>
          <w:trHeight w:val="25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080" w:type="dxa"/>
            <w:vAlign w:val="bottom"/>
            <w:gridSpan w:val="21"/>
          </w:tcPr>
          <w:p>
            <w:pPr>
              <w:spacing w:after="0"/>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Delayed Draw Term Loan Credit Agreement, dated October 10, 2023, by and among Campbell Soup Company, Bank of America, N.A., as</w:t>
              </w:r>
            </w:hyperlink>
          </w:p>
        </w:tc>
      </w:tr>
      <w:tr>
        <w:trPr>
          <w:trHeight w:val="152"/>
        </w:trPr>
        <w:tc>
          <w:tcPr>
            <w:tcW w:w="1100" w:type="dxa"/>
            <w:vAlign w:val="bottom"/>
          </w:tcPr>
          <w:p>
            <w:pPr>
              <w:spacing w:after="0"/>
              <w:rPr>
                <w:sz w:val="13"/>
                <w:szCs w:val="13"/>
                <w:color w:val="auto"/>
              </w:rPr>
            </w:pPr>
          </w:p>
        </w:tc>
        <w:tc>
          <w:tcPr>
            <w:tcW w:w="9840" w:type="dxa"/>
            <w:vAlign w:val="bottom"/>
            <w:tcBorders>
              <w:top w:val="single" w:sz="8" w:color="0000FF"/>
            </w:tcBorders>
            <w:gridSpan w:val="16"/>
          </w:tcPr>
          <w:p>
            <w:pPr>
              <w:spacing w:after="0" w:line="152" w:lineRule="exact"/>
              <w:rPr>
                <w:rFonts w:ascii="Times New Roman" w:cs="Times New Roman" w:eastAsia="Times New Roman" w:hAnsi="Times New Roman"/>
                <w:sz w:val="17"/>
                <w:szCs w:val="17"/>
                <w:color w:val="0000FF"/>
              </w:rPr>
            </w:pPr>
            <w:hyperlink r:id="rId66">
              <w:r>
                <w:rPr>
                  <w:rFonts w:ascii="Times New Roman" w:cs="Times New Roman" w:eastAsia="Times New Roman" w:hAnsi="Times New Roman"/>
                  <w:sz w:val="17"/>
                  <w:szCs w:val="17"/>
                  <w:color w:val="0000FF"/>
                </w:rPr>
                <w:t>administrative agent and the lenders party thereto, is incorporated by reference to Exhibit 10 to Campbell's Form 8-K (SEC file number 1-</w:t>
              </w:r>
            </w:hyperlink>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2"/>
        </w:trPr>
        <w:tc>
          <w:tcPr>
            <w:tcW w:w="1100" w:type="dxa"/>
            <w:vAlign w:val="bottom"/>
          </w:tcPr>
          <w:p>
            <w:pPr>
              <w:spacing w:after="0"/>
              <w:rPr>
                <w:sz w:val="13"/>
                <w:szCs w:val="13"/>
                <w:color w:val="auto"/>
              </w:rPr>
            </w:pPr>
          </w:p>
        </w:tc>
        <w:tc>
          <w:tcPr>
            <w:tcW w:w="3300" w:type="dxa"/>
            <w:vAlign w:val="bottom"/>
            <w:tcBorders>
              <w:top w:val="single" w:sz="8" w:color="0000FF"/>
              <w:bottom w:val="single" w:sz="8" w:color="0000FF"/>
            </w:tcBorders>
            <w:gridSpan w:val="4"/>
          </w:tcPr>
          <w:p>
            <w:pPr>
              <w:spacing w:after="0" w:line="152" w:lineRule="exact"/>
              <w:rPr>
                <w:rFonts w:ascii="Times New Roman" w:cs="Times New Roman" w:eastAsia="Times New Roman" w:hAnsi="Times New Roman"/>
                <w:sz w:val="17"/>
                <w:szCs w:val="17"/>
                <w:color w:val="0000FF"/>
              </w:rPr>
            </w:pPr>
            <w:hyperlink r:id="rId66">
              <w:r>
                <w:rPr>
                  <w:rFonts w:ascii="Times New Roman" w:cs="Times New Roman" w:eastAsia="Times New Roman" w:hAnsi="Times New Roman"/>
                  <w:sz w:val="17"/>
                  <w:szCs w:val="17"/>
                  <w:color w:val="0000FF"/>
                </w:rPr>
                <w:t>3822) filed with the SEC on October 11, 2023.</w:t>
              </w:r>
            </w:hyperlink>
          </w:p>
        </w:tc>
        <w:tc>
          <w:tcPr>
            <w:tcW w:w="646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1"/>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080" w:type="dxa"/>
            <w:vAlign w:val="bottom"/>
            <w:gridSpan w:val="21"/>
          </w:tcPr>
          <w:p>
            <w:pPr>
              <w:spacing w:after="0"/>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First Amendment to Campbell Soup Company Deferred Compensation Plan, as amended and restated effective as of September 1, 2023 is</w:t>
              </w:r>
            </w:hyperlink>
          </w:p>
        </w:tc>
      </w:tr>
      <w:tr>
        <w:trPr>
          <w:trHeight w:val="152"/>
        </w:trPr>
        <w:tc>
          <w:tcPr>
            <w:tcW w:w="1100" w:type="dxa"/>
            <w:vAlign w:val="bottom"/>
          </w:tcPr>
          <w:p>
            <w:pPr>
              <w:spacing w:after="0"/>
              <w:rPr>
                <w:sz w:val="13"/>
                <w:szCs w:val="13"/>
                <w:color w:val="auto"/>
              </w:rPr>
            </w:pPr>
          </w:p>
        </w:tc>
        <w:tc>
          <w:tcPr>
            <w:tcW w:w="9780" w:type="dxa"/>
            <w:vAlign w:val="bottom"/>
            <w:tcBorders>
              <w:top w:val="single" w:sz="8" w:color="0000FF"/>
              <w:bottom w:val="single" w:sz="8" w:color="0000FF"/>
            </w:tcBorders>
            <w:gridSpan w:val="13"/>
          </w:tcPr>
          <w:p>
            <w:pPr>
              <w:spacing w:after="0" w:line="152" w:lineRule="exact"/>
              <w:rPr>
                <w:rFonts w:ascii="Times New Roman" w:cs="Times New Roman" w:eastAsia="Times New Roman" w:hAnsi="Times New Roman"/>
                <w:sz w:val="17"/>
                <w:szCs w:val="17"/>
                <w:color w:val="0000FF"/>
              </w:rPr>
            </w:pPr>
            <w:hyperlink r:id="rId67">
              <w:r>
                <w:rPr>
                  <w:rFonts w:ascii="Times New Roman" w:cs="Times New Roman" w:eastAsia="Times New Roman" w:hAnsi="Times New Roman"/>
                  <w:sz w:val="17"/>
                  <w:szCs w:val="17"/>
                  <w:color w:val="0000FF"/>
                </w:rPr>
                <w:t>incorporated by reference to Exhibit 10(h) to Campbell's Form 10-K (SEC file number 1-3822) filed with the SEC on September 21, 2023.</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6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80" w:type="dxa"/>
            <w:vAlign w:val="bottom"/>
            <w:gridSpan w:val="21"/>
          </w:tcPr>
          <w:p>
            <w:pPr>
              <w:spacing w:after="0"/>
              <w:rPr>
                <w:rFonts w:ascii="Times New Roman" w:cs="Times New Roman" w:eastAsia="Times New Roman" w:hAnsi="Times New Roman"/>
                <w:sz w:val="18"/>
                <w:szCs w:val="18"/>
                <w:color w:val="0000FF"/>
                <w:w w:val="98"/>
              </w:rPr>
            </w:pPr>
            <w:hyperlink r:id="rId68">
              <w:r>
                <w:rPr>
                  <w:rFonts w:ascii="Times New Roman" w:cs="Times New Roman" w:eastAsia="Times New Roman" w:hAnsi="Times New Roman"/>
                  <w:sz w:val="18"/>
                  <w:szCs w:val="18"/>
                  <w:color w:val="0000FF"/>
                  <w:w w:val="98"/>
                </w:rPr>
                <w:t>Fourth Amendment to the Campbell Soup Company Supplemental Retirement Plan, effective September 1, 2023 is incorporated by reference</w:t>
              </w:r>
            </w:hyperlink>
          </w:p>
        </w:tc>
      </w:tr>
      <w:tr>
        <w:trPr>
          <w:trHeight w:val="152"/>
        </w:trPr>
        <w:tc>
          <w:tcPr>
            <w:tcW w:w="1100" w:type="dxa"/>
            <w:vAlign w:val="bottom"/>
          </w:tcPr>
          <w:p>
            <w:pPr>
              <w:spacing w:after="0"/>
              <w:rPr>
                <w:sz w:val="13"/>
                <w:szCs w:val="13"/>
                <w:color w:val="auto"/>
              </w:rPr>
            </w:pPr>
          </w:p>
        </w:tc>
        <w:tc>
          <w:tcPr>
            <w:tcW w:w="7980" w:type="dxa"/>
            <w:vAlign w:val="bottom"/>
            <w:tcBorders>
              <w:top w:val="single" w:sz="8" w:color="0000FF"/>
              <w:bottom w:val="single" w:sz="8" w:color="0000FF"/>
            </w:tcBorders>
            <w:gridSpan w:val="10"/>
          </w:tcPr>
          <w:p>
            <w:pPr>
              <w:spacing w:after="0" w:line="152" w:lineRule="exact"/>
              <w:rPr>
                <w:rFonts w:ascii="Times New Roman" w:cs="Times New Roman" w:eastAsia="Times New Roman" w:hAnsi="Times New Roman"/>
                <w:sz w:val="17"/>
                <w:szCs w:val="17"/>
                <w:color w:val="0000FF"/>
              </w:rPr>
            </w:pPr>
            <w:hyperlink r:id="rId68">
              <w:r>
                <w:rPr>
                  <w:rFonts w:ascii="Times New Roman" w:cs="Times New Roman" w:eastAsia="Times New Roman" w:hAnsi="Times New Roman"/>
                  <w:sz w:val="17"/>
                  <w:szCs w:val="17"/>
                  <w:color w:val="0000FF"/>
                </w:rPr>
                <w:t>to Exhibit 10(ff) to Campbell's Form 10-K (SEC file number 1-3822) filed with the SEC on September 21, 2023.</w:t>
              </w:r>
            </w:hyperlink>
          </w:p>
        </w:tc>
        <w:tc>
          <w:tcPr>
            <w:tcW w:w="202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6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080" w:type="dxa"/>
            <w:vAlign w:val="bottom"/>
            <w:gridSpan w:val="21"/>
          </w:tcPr>
          <w:p>
            <w:pPr>
              <w:spacing w:after="0"/>
              <w:rPr>
                <w:rFonts w:ascii="Times New Roman" w:cs="Times New Roman" w:eastAsia="Times New Roman" w:hAnsi="Times New Roman"/>
                <w:sz w:val="18"/>
                <w:szCs w:val="18"/>
                <w:color w:val="0000FF"/>
                <w:w w:val="98"/>
              </w:rPr>
            </w:pPr>
            <w:hyperlink r:id="rId69">
              <w:r>
                <w:rPr>
                  <w:rFonts w:ascii="Times New Roman" w:cs="Times New Roman" w:eastAsia="Times New Roman" w:hAnsi="Times New Roman"/>
                  <w:sz w:val="18"/>
                  <w:szCs w:val="18"/>
                  <w:color w:val="0000FF"/>
                  <w:w w:val="98"/>
                </w:rPr>
                <w:t>First Amendment to the Campbell Soup Company Executive Severance Pay Plan, effective September 1, 2023 is incorporated by reference to</w:t>
              </w:r>
            </w:hyperlink>
          </w:p>
        </w:tc>
      </w:tr>
      <w:tr>
        <w:trPr>
          <w:trHeight w:val="152"/>
        </w:trPr>
        <w:tc>
          <w:tcPr>
            <w:tcW w:w="1100" w:type="dxa"/>
            <w:vAlign w:val="bottom"/>
          </w:tcPr>
          <w:p>
            <w:pPr>
              <w:spacing w:after="0"/>
              <w:rPr>
                <w:sz w:val="13"/>
                <w:szCs w:val="13"/>
                <w:color w:val="auto"/>
              </w:rPr>
            </w:pPr>
          </w:p>
        </w:tc>
        <w:tc>
          <w:tcPr>
            <w:tcW w:w="7860" w:type="dxa"/>
            <w:vAlign w:val="bottom"/>
            <w:tcBorders>
              <w:top w:val="single" w:sz="8" w:color="0000FF"/>
              <w:bottom w:val="single" w:sz="8" w:color="0000FF"/>
            </w:tcBorders>
            <w:gridSpan w:val="9"/>
          </w:tcPr>
          <w:p>
            <w:pPr>
              <w:spacing w:after="0" w:line="152" w:lineRule="exact"/>
              <w:rPr>
                <w:rFonts w:ascii="Times New Roman" w:cs="Times New Roman" w:eastAsia="Times New Roman" w:hAnsi="Times New Roman"/>
                <w:sz w:val="17"/>
                <w:szCs w:val="17"/>
                <w:color w:val="0000FF"/>
              </w:rPr>
            </w:pPr>
            <w:hyperlink r:id="rId69">
              <w:r>
                <w:rPr>
                  <w:rFonts w:ascii="Times New Roman" w:cs="Times New Roman" w:eastAsia="Times New Roman" w:hAnsi="Times New Roman"/>
                  <w:sz w:val="17"/>
                  <w:szCs w:val="17"/>
                  <w:color w:val="0000FF"/>
                </w:rPr>
                <w:t>Exhibit 10(hh) to Campbell's Form 10-K filed with the SEC (SEC file number 1-3822) on September 21, 2023.</w:t>
              </w:r>
            </w:hyperlink>
          </w:p>
        </w:tc>
        <w:tc>
          <w:tcPr>
            <w:tcW w:w="216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1"/>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982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7"/>
              </w:rPr>
            </w:pPr>
            <w:hyperlink r:id="rId70">
              <w:r>
                <w:rPr>
                  <w:rFonts w:ascii="Times New Roman" w:cs="Times New Roman" w:eastAsia="Times New Roman" w:hAnsi="Times New Roman"/>
                  <w:sz w:val="18"/>
                  <w:szCs w:val="18"/>
                  <w:color w:val="0000FF"/>
                  <w:w w:val="97"/>
                </w:rPr>
                <w:t>Voting Agreement, dated as of August 7, 2023, by and among Campbell Soup Company and the stockholders of Sovos Brands, Inc. parties</w:t>
              </w:r>
            </w:hyperlink>
          </w:p>
        </w:tc>
        <w:tc>
          <w:tcPr>
            <w:tcW w:w="260" w:type="dxa"/>
            <w:vAlign w:val="bottom"/>
            <w:gridSpan w:val="6"/>
          </w:tcPr>
          <w:p>
            <w:pPr>
              <w:spacing w:after="0"/>
              <w:rPr>
                <w:sz w:val="24"/>
                <w:szCs w:val="24"/>
                <w:color w:val="auto"/>
              </w:rPr>
            </w:pPr>
          </w:p>
        </w:tc>
      </w:tr>
      <w:tr>
        <w:trPr>
          <w:trHeight w:val="152"/>
        </w:trPr>
        <w:tc>
          <w:tcPr>
            <w:tcW w:w="1100" w:type="dxa"/>
            <w:vAlign w:val="bottom"/>
          </w:tcPr>
          <w:p>
            <w:pPr>
              <w:spacing w:after="0"/>
              <w:rPr>
                <w:sz w:val="13"/>
                <w:szCs w:val="13"/>
                <w:color w:val="auto"/>
              </w:rPr>
            </w:pPr>
          </w:p>
        </w:tc>
        <w:tc>
          <w:tcPr>
            <w:tcW w:w="10020" w:type="dxa"/>
            <w:vAlign w:val="bottom"/>
            <w:tcBorders>
              <w:bottom w:val="single" w:sz="8" w:color="0000FF"/>
            </w:tcBorders>
            <w:gridSpan w:val="18"/>
          </w:tcPr>
          <w:p>
            <w:pPr>
              <w:spacing w:after="0" w:line="152" w:lineRule="exact"/>
              <w:rPr>
                <w:rFonts w:ascii="Times New Roman" w:cs="Times New Roman" w:eastAsia="Times New Roman" w:hAnsi="Times New Roman"/>
                <w:sz w:val="17"/>
                <w:szCs w:val="17"/>
                <w:color w:val="0000FF"/>
              </w:rPr>
            </w:pPr>
            <w:hyperlink r:id="rId70">
              <w:r>
                <w:rPr>
                  <w:rFonts w:ascii="Times New Roman" w:cs="Times New Roman" w:eastAsia="Times New Roman" w:hAnsi="Times New Roman"/>
                  <w:sz w:val="17"/>
                  <w:szCs w:val="17"/>
                  <w:color w:val="0000FF"/>
                </w:rPr>
                <w:t>thereto is incorporated by reference to Exhibit 10.1 to Campbell's Form 8-K (SEC file number 1-3822) filed with the SEC on August 7, 2023.</w:t>
              </w:r>
            </w:hyperlink>
          </w:p>
        </w:tc>
        <w:tc>
          <w:tcPr>
            <w:tcW w:w="60" w:type="dxa"/>
            <w:vAlign w:val="bottom"/>
            <w:gridSpan w:val="3"/>
          </w:tcPr>
          <w:p>
            <w:pPr>
              <w:spacing w:after="0"/>
              <w:rPr>
                <w:sz w:val="13"/>
                <w:szCs w:val="13"/>
                <w:color w:val="auto"/>
              </w:rPr>
            </w:pPr>
          </w:p>
        </w:tc>
      </w:tr>
      <w:tr>
        <w:trPr>
          <w:trHeight w:val="311"/>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0080" w:type="dxa"/>
            <w:vAlign w:val="bottom"/>
            <w:gridSpan w:val="21"/>
          </w:tcPr>
          <w:p>
            <w:pPr>
              <w:spacing w:after="0"/>
              <w:rPr>
                <w:rFonts w:ascii="Times New Roman" w:cs="Times New Roman" w:eastAsia="Times New Roman" w:hAnsi="Times New Roman"/>
                <w:sz w:val="18"/>
                <w:szCs w:val="18"/>
                <w:color w:val="0000FF"/>
                <w:w w:val="98"/>
              </w:rPr>
            </w:pPr>
            <w:hyperlink r:id="rId71">
              <w:r>
                <w:rPr>
                  <w:rFonts w:ascii="Times New Roman" w:cs="Times New Roman" w:eastAsia="Times New Roman" w:hAnsi="Times New Roman"/>
                  <w:sz w:val="18"/>
                  <w:szCs w:val="18"/>
                  <w:color w:val="0000FF"/>
                  <w:w w:val="98"/>
                </w:rPr>
                <w:t>Form of Voting Agreement is incorporated by reference to Exhibit 10.2 to Campbell's Form 8-K (SEC file number 1-3822) filed with the SEC</w:t>
              </w:r>
            </w:hyperlink>
          </w:p>
        </w:tc>
      </w:tr>
      <w:tr>
        <w:trPr>
          <w:trHeight w:val="152"/>
        </w:trPr>
        <w:tc>
          <w:tcPr>
            <w:tcW w:w="1100" w:type="dxa"/>
            <w:vAlign w:val="bottom"/>
          </w:tcPr>
          <w:p>
            <w:pPr>
              <w:spacing w:after="0"/>
              <w:rPr>
                <w:sz w:val="13"/>
                <w:szCs w:val="13"/>
                <w:color w:val="auto"/>
              </w:rPr>
            </w:pPr>
          </w:p>
        </w:tc>
        <w:tc>
          <w:tcPr>
            <w:tcW w:w="10040" w:type="dxa"/>
            <w:vAlign w:val="bottom"/>
            <w:tcBorders>
              <w:top w:val="single" w:sz="8" w:color="0000FF"/>
            </w:tcBorders>
            <w:gridSpan w:val="19"/>
          </w:tcPr>
          <w:p>
            <w:pPr>
              <w:spacing w:after="0" w:line="152" w:lineRule="exact"/>
              <w:rPr>
                <w:rFonts w:ascii="Times New Roman" w:cs="Times New Roman" w:eastAsia="Times New Roman" w:hAnsi="Times New Roman"/>
                <w:sz w:val="17"/>
                <w:szCs w:val="17"/>
                <w:color w:val="0000FF"/>
              </w:rPr>
            </w:pPr>
            <w:hyperlink r:id="rId71">
              <w:r>
                <w:rPr>
                  <w:rFonts w:ascii="Times New Roman" w:cs="Times New Roman" w:eastAsia="Times New Roman" w:hAnsi="Times New Roman"/>
                  <w:sz w:val="17"/>
                  <w:szCs w:val="17"/>
                  <w:color w:val="0000FF"/>
                </w:rPr>
                <w:t>on August 7, 2023.</w:t>
              </w:r>
            </w:hyperlink>
          </w:p>
        </w:tc>
        <w:tc>
          <w:tcPr>
            <w:tcW w:w="40" w:type="dxa"/>
            <w:vAlign w:val="bottom"/>
            <w:gridSpan w:val="2"/>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0" w:type="dxa"/>
            <w:vAlign w:val="bottom"/>
            <w:gridSpan w:val="13"/>
          </w:tcPr>
          <w:p>
            <w:pPr>
              <w:spacing w:after="0" w:line="20" w:lineRule="exact"/>
              <w:rPr>
                <w:sz w:val="1"/>
                <w:szCs w:val="1"/>
                <w:color w:val="auto"/>
              </w:rPr>
            </w:pPr>
          </w:p>
        </w:tc>
      </w:tr>
      <w:tr>
        <w:trPr>
          <w:trHeight w:val="311"/>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Certification of Mark A. Clouse pursuant to Rule 13a-14(a).</w:t>
            </w:r>
          </w:p>
        </w:tc>
      </w:tr>
      <w:tr>
        <w:trPr>
          <w:trHeight w:val="20"/>
        </w:trPr>
        <w:tc>
          <w:tcPr>
            <w:tcW w:w="1100" w:type="dxa"/>
            <w:vAlign w:val="bottom"/>
          </w:tcPr>
          <w:p>
            <w:pPr>
              <w:spacing w:after="0" w:line="20" w:lineRule="exact"/>
              <w:rPr>
                <w:sz w:val="1"/>
                <w:szCs w:val="1"/>
                <w:color w:val="auto"/>
              </w:rPr>
            </w:pPr>
          </w:p>
        </w:tc>
        <w:tc>
          <w:tcPr>
            <w:tcW w:w="4240" w:type="dxa"/>
            <w:vAlign w:val="bottom"/>
            <w:gridSpan w:val="5"/>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0" w:type="dxa"/>
            <w:vAlign w:val="bottom"/>
            <w:gridSpan w:val="13"/>
          </w:tcPr>
          <w:p>
            <w:pPr>
              <w:spacing w:after="0" w:line="20" w:lineRule="exact"/>
              <w:rPr>
                <w:sz w:val="1"/>
                <w:szCs w:val="1"/>
                <w:color w:val="auto"/>
              </w:rPr>
            </w:pPr>
          </w:p>
        </w:tc>
      </w:tr>
      <w:tr>
        <w:trPr>
          <w:trHeight w:val="29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Certification of Carrie L. Anderson pursuant to Rule 13a-14(a)</w:t>
            </w:r>
            <w:r>
              <w:rPr>
                <w:rFonts w:ascii="Times New Roman" w:cs="Times New Roman" w:eastAsia="Times New Roman" w:hAnsi="Times New Roman"/>
                <w:sz w:val="18"/>
                <w:szCs w:val="18"/>
                <w:color w:val="000000"/>
              </w:rPr>
              <w:t>.</w:t>
            </w:r>
          </w:p>
        </w:tc>
      </w:tr>
      <w:tr>
        <w:trPr>
          <w:trHeight w:val="20"/>
        </w:trPr>
        <w:tc>
          <w:tcPr>
            <w:tcW w:w="1100" w:type="dxa"/>
            <w:vAlign w:val="bottom"/>
          </w:tcPr>
          <w:p>
            <w:pPr>
              <w:spacing w:after="0" w:line="20" w:lineRule="exact"/>
              <w:rPr>
                <w:sz w:val="1"/>
                <w:szCs w:val="1"/>
                <w:color w:val="auto"/>
              </w:rPr>
            </w:pPr>
          </w:p>
        </w:tc>
        <w:tc>
          <w:tcPr>
            <w:tcW w:w="4440" w:type="dxa"/>
            <w:vAlign w:val="bottom"/>
            <w:gridSpan w:val="6"/>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0" w:type="dxa"/>
            <w:vAlign w:val="bottom"/>
            <w:gridSpan w:val="13"/>
          </w:tcPr>
          <w:p>
            <w:pPr>
              <w:spacing w:after="0" w:line="20" w:lineRule="exact"/>
              <w:rPr>
                <w:sz w:val="1"/>
                <w:szCs w:val="1"/>
                <w:color w:val="auto"/>
              </w:rPr>
            </w:pPr>
          </w:p>
        </w:tc>
      </w:tr>
      <w:tr>
        <w:trPr>
          <w:trHeight w:val="29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Certification of Mark A. Clouse pursuant to 18 U.S.C. Section 1350.</w:t>
            </w:r>
          </w:p>
        </w:tc>
      </w:tr>
      <w:tr>
        <w:trPr>
          <w:trHeight w:val="20"/>
        </w:trPr>
        <w:tc>
          <w:tcPr>
            <w:tcW w:w="1100" w:type="dxa"/>
            <w:vAlign w:val="bottom"/>
          </w:tcPr>
          <w:p>
            <w:pPr>
              <w:spacing w:after="0" w:line="20" w:lineRule="exact"/>
              <w:rPr>
                <w:sz w:val="1"/>
                <w:szCs w:val="1"/>
                <w:color w:val="auto"/>
              </w:rPr>
            </w:pPr>
          </w:p>
        </w:tc>
        <w:tc>
          <w:tcPr>
            <w:tcW w:w="4840" w:type="dxa"/>
            <w:vAlign w:val="bottom"/>
            <w:gridSpan w:val="7"/>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0" w:type="dxa"/>
            <w:vAlign w:val="bottom"/>
            <w:gridSpan w:val="13"/>
          </w:tcPr>
          <w:p>
            <w:pPr>
              <w:spacing w:after="0" w:line="20" w:lineRule="exact"/>
              <w:rPr>
                <w:sz w:val="1"/>
                <w:szCs w:val="1"/>
                <w:color w:val="auto"/>
              </w:rPr>
            </w:pPr>
          </w:p>
        </w:tc>
      </w:tr>
      <w:tr>
        <w:trPr>
          <w:trHeight w:val="29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Certification of Carrie L. Anderson pursuant to 18 U.S.C. Section 1350.</w:t>
            </w:r>
          </w:p>
        </w:tc>
      </w:tr>
      <w:tr>
        <w:trPr>
          <w:trHeight w:val="20"/>
        </w:trPr>
        <w:tc>
          <w:tcPr>
            <w:tcW w:w="1100" w:type="dxa"/>
            <w:vAlign w:val="bottom"/>
          </w:tcPr>
          <w:p>
            <w:pPr>
              <w:spacing w:after="0" w:line="20" w:lineRule="exact"/>
              <w:rPr>
                <w:sz w:val="1"/>
                <w:szCs w:val="1"/>
                <w:color w:val="auto"/>
              </w:rPr>
            </w:pPr>
          </w:p>
        </w:tc>
        <w:tc>
          <w:tcPr>
            <w:tcW w:w="5080" w:type="dxa"/>
            <w:vAlign w:val="bottom"/>
            <w:gridSpan w:val="8"/>
            <w:shd w:val="clear" w:color="auto" w:fill="0000FF"/>
          </w:tcPr>
          <w:p>
            <w:pPr>
              <w:spacing w:after="0" w:line="20" w:lineRule="exact"/>
              <w:rPr>
                <w:sz w:val="1"/>
                <w:szCs w:val="1"/>
                <w:color w:val="auto"/>
              </w:rPr>
            </w:pPr>
          </w:p>
        </w:tc>
        <w:tc>
          <w:tcPr>
            <w:tcW w:w="5000" w:type="dxa"/>
            <w:vAlign w:val="bottom"/>
            <w:gridSpan w:val="13"/>
          </w:tcPr>
          <w:p>
            <w:pPr>
              <w:spacing w:after="0" w:line="20" w:lineRule="exact"/>
              <w:rPr>
                <w:sz w:val="1"/>
                <w:szCs w:val="1"/>
                <w:color w:val="auto"/>
              </w:rPr>
            </w:pPr>
          </w:p>
        </w:tc>
      </w:tr>
      <w:tr>
        <w:trPr>
          <w:trHeight w:val="285"/>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80" w:type="dxa"/>
            <w:vAlign w:val="bottom"/>
            <w:gridSpan w:val="21"/>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on the Interactive Data File because its XBRL tags are embedded</w:t>
            </w:r>
          </w:p>
        </w:tc>
      </w:tr>
      <w:tr>
        <w:trPr>
          <w:trHeight w:val="231"/>
        </w:trPr>
        <w:tc>
          <w:tcPr>
            <w:tcW w:w="1100" w:type="dxa"/>
            <w:vAlign w:val="bottom"/>
          </w:tcPr>
          <w:p>
            <w:pPr>
              <w:spacing w:after="0"/>
              <w:rPr>
                <w:sz w:val="20"/>
                <w:szCs w:val="20"/>
                <w:color w:val="auto"/>
              </w:rPr>
            </w:pPr>
          </w:p>
        </w:tc>
        <w:tc>
          <w:tcPr>
            <w:tcW w:w="100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32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Extension Schema Document.</w:t>
            </w:r>
          </w:p>
        </w:tc>
      </w:tr>
      <w:tr>
        <w:trPr>
          <w:trHeight w:val="3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0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Extension Calculation Linkbase Document.</w:t>
            </w:r>
          </w:p>
        </w:tc>
      </w:tr>
      <w:tr>
        <w:trPr>
          <w:trHeight w:val="3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0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Extension Definition Linkbase Document.</w:t>
            </w:r>
          </w:p>
        </w:tc>
      </w:tr>
      <w:tr>
        <w:trPr>
          <w:trHeight w:val="3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0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Extension Label Linkbase Document.</w:t>
            </w:r>
          </w:p>
        </w:tc>
      </w:tr>
      <w:tr>
        <w:trPr>
          <w:trHeight w:val="3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0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Extension Presentation Linkbase Document.</w:t>
            </w:r>
          </w:p>
        </w:tc>
      </w:tr>
    </w:tbl>
    <w:p>
      <w:pPr>
        <w:spacing w:after="0" w:line="87" w:lineRule="exact"/>
        <w:rPr>
          <w:sz w:val="20"/>
          <w:szCs w:val="20"/>
          <w:color w:val="auto"/>
        </w:rPr>
      </w:pPr>
    </w:p>
    <w:p>
      <w:pPr>
        <w:ind w:left="1103" w:hanging="1103"/>
        <w:spacing w:after="0"/>
        <w:tabs>
          <w:tab w:leader="none" w:pos="110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this Quarterly Report on Form 10-Q, formatted in Inline XBRL (included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7" w:lineRule="exact"/>
        <w:rPr>
          <w:rFonts w:ascii="Times New Roman" w:cs="Times New Roman" w:eastAsia="Times New Roman" w:hAnsi="Times New Roman"/>
          <w:sz w:val="18"/>
          <w:szCs w:val="18"/>
          <w:color w:val="auto"/>
        </w:rPr>
      </w:pPr>
    </w:p>
    <w:p>
      <w:pPr>
        <w:ind w:left="550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69215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43"/>
          </w:cols>
          <w:pgMar w:left="357" w:top="969" w:right="399" w:bottom="1440" w:gutter="0" w:footer="0" w:header="0"/>
        </w:sectPr>
      </w:pPr>
    </w:p>
    <w:bookmarkStart w:id="34" w:name="page35"/>
    <w:bookmarkEnd w:id="34"/>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13"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6, 2023</w:t>
      </w:r>
    </w:p>
    <w:p>
      <w:pPr>
        <w:spacing w:after="0" w:line="4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CAMPBELL SOUP COMPANY</w:t>
      </w:r>
    </w:p>
    <w:p>
      <w:pPr>
        <w:spacing w:after="0" w:line="23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By: /s/ Carrie 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3621405</wp:posOffset>
            </wp:positionH>
            <wp:positionV relativeFrom="paragraph">
              <wp:posOffset>14605</wp:posOffset>
            </wp:positionV>
            <wp:extent cx="31718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1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Carrie L. Anderson</w:t>
      </w:r>
    </w:p>
    <w:p>
      <w:pPr>
        <w:spacing w:after="0" w:line="2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2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By: /s/ Stanley Polomski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3621405</wp:posOffset>
            </wp:positionH>
            <wp:positionV relativeFrom="paragraph">
              <wp:posOffset>14605</wp:posOffset>
            </wp:positionV>
            <wp:extent cx="31718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1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Stanley Polomski</w:t>
      </w:r>
    </w:p>
    <w:p>
      <w:pPr>
        <w:spacing w:after="0" w:line="2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Senior Vice President and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874" w:right="45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CAMPBELL SOUP COMPANY</w:t>
      </w:r>
    </w:p>
    <w:p>
      <w:pPr>
        <w:spacing w:after="0" w:line="236"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1"/>
          <w:szCs w:val="21"/>
          <w:b w:val="1"/>
          <w:bCs w:val="1"/>
          <w:u w:val="single" w:color="auto"/>
          <w:color w:val="auto"/>
        </w:rPr>
        <w:t>Non-Employee Director Compensation for Calendar 2024</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Board and Committee Retainer for Calendar 2024</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$119,000 shall be paid in cash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$157,000 shall be paid in shares of Campbell stock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Additional Retainers for Board Chair, Committee Chairs and Audit Committee Members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addition to the above Board and Committee retainer, the following amounts shall be paid 50% in cash and 50% in shares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Campbell stock:</w:t>
      </w: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277"/>
        </w:trPr>
        <w:tc>
          <w:tcPr>
            <w:tcW w:w="2160" w:type="dxa"/>
            <w:vAlign w:val="bottom"/>
          </w:tcPr>
          <w:p>
            <w:pPr>
              <w:spacing w:after="0"/>
              <w:rPr>
                <w:sz w:val="20"/>
                <w:szCs w:val="20"/>
                <w:color w:val="auto"/>
              </w:rPr>
            </w:pPr>
            <w:r>
              <w:rPr>
                <w:rFonts w:ascii="Times New Roman" w:cs="Times New Roman" w:eastAsia="Times New Roman" w:hAnsi="Times New Roman"/>
                <w:sz w:val="21"/>
                <w:szCs w:val="21"/>
                <w:color w:val="auto"/>
              </w:rPr>
              <w:t>$350,000</w:t>
            </w:r>
          </w:p>
        </w:tc>
        <w:tc>
          <w:tcPr>
            <w:tcW w:w="7020" w:type="dxa"/>
            <w:vAlign w:val="bottom"/>
          </w:tcPr>
          <w:p>
            <w:pPr>
              <w:ind w:left="1360"/>
              <w:spacing w:after="0"/>
              <w:rPr>
                <w:sz w:val="20"/>
                <w:szCs w:val="20"/>
                <w:color w:val="auto"/>
              </w:rPr>
            </w:pPr>
            <w:r>
              <w:rPr>
                <w:rFonts w:ascii="Times New Roman" w:cs="Times New Roman" w:eastAsia="Times New Roman" w:hAnsi="Times New Roman"/>
                <w:sz w:val="21"/>
                <w:szCs w:val="21"/>
                <w:color w:val="auto"/>
              </w:rPr>
              <w:t>Chair of the Board</w:t>
            </w:r>
          </w:p>
        </w:tc>
      </w:tr>
      <w:tr>
        <w:trPr>
          <w:trHeight w:val="292"/>
        </w:trPr>
        <w:tc>
          <w:tcPr>
            <w:tcW w:w="2160" w:type="dxa"/>
            <w:vAlign w:val="bottom"/>
          </w:tcPr>
          <w:p>
            <w:pPr>
              <w:spacing w:after="0"/>
              <w:rPr>
                <w:sz w:val="20"/>
                <w:szCs w:val="20"/>
                <w:color w:val="auto"/>
              </w:rPr>
            </w:pPr>
            <w:r>
              <w:rPr>
                <w:rFonts w:ascii="Times New Roman" w:cs="Times New Roman" w:eastAsia="Times New Roman" w:hAnsi="Times New Roman"/>
                <w:sz w:val="21"/>
                <w:szCs w:val="21"/>
                <w:color w:val="auto"/>
              </w:rPr>
              <w:t>$30,000</w:t>
            </w:r>
          </w:p>
        </w:tc>
        <w:tc>
          <w:tcPr>
            <w:tcW w:w="7020" w:type="dxa"/>
            <w:vAlign w:val="bottom"/>
          </w:tcPr>
          <w:p>
            <w:pPr>
              <w:ind w:left="1360"/>
              <w:spacing w:after="0"/>
              <w:rPr>
                <w:sz w:val="20"/>
                <w:szCs w:val="20"/>
                <w:color w:val="auto"/>
              </w:rPr>
            </w:pPr>
            <w:r>
              <w:rPr>
                <w:rFonts w:ascii="Times New Roman" w:cs="Times New Roman" w:eastAsia="Times New Roman" w:hAnsi="Times New Roman"/>
                <w:sz w:val="21"/>
                <w:szCs w:val="21"/>
                <w:color w:val="auto"/>
              </w:rPr>
              <w:t>Audit Committee chair</w:t>
            </w:r>
          </w:p>
        </w:tc>
      </w:tr>
      <w:tr>
        <w:trPr>
          <w:trHeight w:val="292"/>
        </w:trPr>
        <w:tc>
          <w:tcPr>
            <w:tcW w:w="2160" w:type="dxa"/>
            <w:vAlign w:val="bottom"/>
          </w:tcPr>
          <w:p>
            <w:pPr>
              <w:spacing w:after="0"/>
              <w:rPr>
                <w:sz w:val="20"/>
                <w:szCs w:val="20"/>
                <w:color w:val="auto"/>
              </w:rPr>
            </w:pPr>
            <w:r>
              <w:rPr>
                <w:rFonts w:ascii="Times New Roman" w:cs="Times New Roman" w:eastAsia="Times New Roman" w:hAnsi="Times New Roman"/>
                <w:sz w:val="21"/>
                <w:szCs w:val="21"/>
                <w:color w:val="auto"/>
              </w:rPr>
              <w:t>$25,000</w:t>
            </w:r>
          </w:p>
        </w:tc>
        <w:tc>
          <w:tcPr>
            <w:tcW w:w="7020" w:type="dxa"/>
            <w:vAlign w:val="bottom"/>
          </w:tcPr>
          <w:p>
            <w:pPr>
              <w:ind w:left="1360"/>
              <w:spacing w:after="0"/>
              <w:rPr>
                <w:sz w:val="20"/>
                <w:szCs w:val="20"/>
                <w:color w:val="auto"/>
              </w:rPr>
            </w:pPr>
            <w:r>
              <w:rPr>
                <w:rFonts w:ascii="Times New Roman" w:cs="Times New Roman" w:eastAsia="Times New Roman" w:hAnsi="Times New Roman"/>
                <w:sz w:val="21"/>
                <w:szCs w:val="21"/>
                <w:color w:val="auto"/>
              </w:rPr>
              <w:t>Compensation and Organization Committee chair</w:t>
            </w:r>
          </w:p>
        </w:tc>
      </w:tr>
      <w:tr>
        <w:trPr>
          <w:trHeight w:val="292"/>
        </w:trPr>
        <w:tc>
          <w:tcPr>
            <w:tcW w:w="2160" w:type="dxa"/>
            <w:vAlign w:val="bottom"/>
          </w:tcPr>
          <w:p>
            <w:pPr>
              <w:spacing w:after="0"/>
              <w:rPr>
                <w:sz w:val="20"/>
                <w:szCs w:val="20"/>
                <w:color w:val="auto"/>
              </w:rPr>
            </w:pPr>
            <w:r>
              <w:rPr>
                <w:rFonts w:ascii="Times New Roman" w:cs="Times New Roman" w:eastAsia="Times New Roman" w:hAnsi="Times New Roman"/>
                <w:sz w:val="21"/>
                <w:szCs w:val="21"/>
                <w:color w:val="auto"/>
              </w:rPr>
              <w:t>$20,000</w:t>
            </w:r>
          </w:p>
        </w:tc>
        <w:tc>
          <w:tcPr>
            <w:tcW w:w="7020" w:type="dxa"/>
            <w:vAlign w:val="bottom"/>
          </w:tcPr>
          <w:p>
            <w:pPr>
              <w:ind w:left="1360"/>
              <w:spacing w:after="0"/>
              <w:rPr>
                <w:sz w:val="20"/>
                <w:szCs w:val="20"/>
                <w:color w:val="auto"/>
              </w:rPr>
            </w:pPr>
            <w:r>
              <w:rPr>
                <w:rFonts w:ascii="Times New Roman" w:cs="Times New Roman" w:eastAsia="Times New Roman" w:hAnsi="Times New Roman"/>
                <w:sz w:val="21"/>
                <w:szCs w:val="21"/>
                <w:color w:val="auto"/>
              </w:rPr>
              <w:t>Finance Committee chair</w:t>
            </w:r>
          </w:p>
        </w:tc>
      </w:tr>
      <w:tr>
        <w:trPr>
          <w:trHeight w:val="291"/>
        </w:trPr>
        <w:tc>
          <w:tcPr>
            <w:tcW w:w="2160" w:type="dxa"/>
            <w:vAlign w:val="bottom"/>
          </w:tcPr>
          <w:p>
            <w:pPr>
              <w:spacing w:after="0"/>
              <w:rPr>
                <w:sz w:val="20"/>
                <w:szCs w:val="20"/>
                <w:color w:val="auto"/>
              </w:rPr>
            </w:pPr>
            <w:r>
              <w:rPr>
                <w:rFonts w:ascii="Times New Roman" w:cs="Times New Roman" w:eastAsia="Times New Roman" w:hAnsi="Times New Roman"/>
                <w:sz w:val="21"/>
                <w:szCs w:val="21"/>
                <w:color w:val="auto"/>
              </w:rPr>
              <w:t>$20,000</w:t>
            </w:r>
          </w:p>
        </w:tc>
        <w:tc>
          <w:tcPr>
            <w:tcW w:w="7020" w:type="dxa"/>
            <w:vAlign w:val="bottom"/>
          </w:tcPr>
          <w:p>
            <w:pPr>
              <w:ind w:left="1360"/>
              <w:spacing w:after="0"/>
              <w:rPr>
                <w:sz w:val="20"/>
                <w:szCs w:val="20"/>
                <w:color w:val="auto"/>
              </w:rPr>
            </w:pPr>
            <w:r>
              <w:rPr>
                <w:rFonts w:ascii="Times New Roman" w:cs="Times New Roman" w:eastAsia="Times New Roman" w:hAnsi="Times New Roman"/>
                <w:sz w:val="21"/>
                <w:szCs w:val="21"/>
                <w:color w:val="auto"/>
              </w:rPr>
              <w:t>Governance Committee chair</w:t>
            </w:r>
          </w:p>
        </w:tc>
      </w:tr>
      <w:tr>
        <w:trPr>
          <w:trHeight w:val="292"/>
        </w:trPr>
        <w:tc>
          <w:tcPr>
            <w:tcW w:w="2160" w:type="dxa"/>
            <w:vAlign w:val="bottom"/>
          </w:tcPr>
          <w:p>
            <w:pPr>
              <w:spacing w:after="0"/>
              <w:rPr>
                <w:sz w:val="20"/>
                <w:szCs w:val="20"/>
                <w:color w:val="auto"/>
              </w:rPr>
            </w:pPr>
            <w:r>
              <w:rPr>
                <w:rFonts w:ascii="Times New Roman" w:cs="Times New Roman" w:eastAsia="Times New Roman" w:hAnsi="Times New Roman"/>
                <w:sz w:val="21"/>
                <w:szCs w:val="21"/>
                <w:color w:val="auto"/>
              </w:rPr>
              <w:t>$7,500</w:t>
            </w:r>
          </w:p>
        </w:tc>
        <w:tc>
          <w:tcPr>
            <w:tcW w:w="7020" w:type="dxa"/>
            <w:vAlign w:val="bottom"/>
          </w:tcPr>
          <w:p>
            <w:pPr>
              <w:ind w:left="1360"/>
              <w:spacing w:after="0"/>
              <w:rPr>
                <w:sz w:val="20"/>
                <w:szCs w:val="20"/>
                <w:color w:val="auto"/>
              </w:rPr>
            </w:pPr>
            <w:r>
              <w:rPr>
                <w:rFonts w:ascii="Times New Roman" w:cs="Times New Roman" w:eastAsia="Times New Roman" w:hAnsi="Times New Roman"/>
                <w:sz w:val="21"/>
                <w:szCs w:val="21"/>
                <w:color w:val="auto"/>
              </w:rPr>
              <w:t>Audit Committee members (excluding the Audit Committee chair)</w:t>
            </w:r>
          </w:p>
        </w:tc>
      </w:tr>
    </w:tbl>
    <w:p>
      <w:pPr>
        <w:spacing w:after="0" w:line="319"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21"/>
          <w:szCs w:val="21"/>
          <w:color w:val="auto"/>
        </w:rPr>
        <w:t>The retainers will be paid quarterly in arrears. Prior to the beginning of a calendar year, a non-employee director may elect to (i) receive shares of Campbell stock in lieu of the cash portion of any retainer (such election to be made in 10% increments) and/or (ii) defer all or a portion of any cash or stock retainer in accordance with the terms and conditions of the Campbell Soup Company Supplemental Retirement Plan.</w:t>
      </w:r>
    </w:p>
    <w:p>
      <w:pPr>
        <w:sectPr>
          <w:pgSz w:w="11900" w:h="16838" w:orient="portrait"/>
          <w:cols w:equalWidth="0" w:num="1">
            <w:col w:w="11240"/>
          </w:cols>
          <w:pgMar w:left="320" w:top="1380"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RULE 13a-14(a)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A. Clouse, certify that:</w:t>
      </w:r>
    </w:p>
    <w:p>
      <w:pPr>
        <w:spacing w:after="0" w:line="164" w:lineRule="exact"/>
        <w:rPr>
          <w:sz w:val="20"/>
          <w:szCs w:val="20"/>
          <w:color w:val="auto"/>
        </w:rPr>
      </w:pPr>
    </w:p>
    <w:p>
      <w:pPr>
        <w:ind w:left="380" w:hanging="175"/>
        <w:spacing w:after="0"/>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Campbell Soup Company;</w:t>
      </w:r>
    </w:p>
    <w:p>
      <w:pPr>
        <w:spacing w:after="0" w:line="164" w:lineRule="exact"/>
        <w:rPr>
          <w:rFonts w:ascii="Times New Roman" w:cs="Times New Roman" w:eastAsia="Times New Roman" w:hAnsi="Times New Roman"/>
          <w:sz w:val="18"/>
          <w:szCs w:val="18"/>
          <w:color w:val="auto"/>
        </w:rPr>
      </w:pPr>
    </w:p>
    <w:p>
      <w:pPr>
        <w:ind w:right="460" w:firstLine="205"/>
        <w:spacing w:after="0" w:line="304" w:lineRule="auto"/>
        <w:tabs>
          <w:tab w:leader="none" w:pos="37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Times New Roman" w:cs="Times New Roman" w:eastAsia="Times New Roman" w:hAnsi="Times New Roman"/>
          <w:sz w:val="17"/>
          <w:szCs w:val="17"/>
          <w:color w:val="auto"/>
        </w:rPr>
      </w:pPr>
    </w:p>
    <w:p>
      <w:pPr>
        <w:ind w:right="560" w:firstLine="205"/>
        <w:spacing w:after="0" w:line="274" w:lineRule="auto"/>
        <w:tabs>
          <w:tab w:leader="none" w:pos="3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8"/>
          <w:szCs w:val="18"/>
          <w:color w:val="auto"/>
        </w:rPr>
      </w:pPr>
    </w:p>
    <w:p>
      <w:pPr>
        <w:ind w:right="40" w:firstLine="205"/>
        <w:spacing w:after="0" w:line="259" w:lineRule="auto"/>
        <w:tabs>
          <w:tab w:leader="none" w:pos="37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8"/>
          <w:szCs w:val="18"/>
          <w:color w:val="auto"/>
        </w:rPr>
      </w:pPr>
    </w:p>
    <w:p>
      <w:pPr>
        <w:ind w:right="140" w:firstLine="443"/>
        <w:spacing w:after="0" w:line="259" w:lineRule="auto"/>
        <w:tabs>
          <w:tab w:leader="none" w:pos="619"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8"/>
          <w:szCs w:val="18"/>
          <w:color w:val="auto"/>
        </w:rPr>
      </w:pPr>
    </w:p>
    <w:p>
      <w:pPr>
        <w:jc w:val="both"/>
        <w:ind w:right="120" w:firstLine="443"/>
        <w:spacing w:after="0" w:line="259" w:lineRule="auto"/>
        <w:tabs>
          <w:tab w:leader="none" w:pos="629"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8"/>
          <w:szCs w:val="18"/>
          <w:color w:val="auto"/>
        </w:rPr>
      </w:pPr>
    </w:p>
    <w:p>
      <w:pPr>
        <w:ind w:right="160" w:firstLine="443"/>
        <w:spacing w:after="0" w:line="274" w:lineRule="auto"/>
        <w:tabs>
          <w:tab w:leader="none" w:pos="619"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8"/>
          <w:szCs w:val="18"/>
          <w:color w:val="auto"/>
        </w:rPr>
      </w:pPr>
    </w:p>
    <w:p>
      <w:pPr>
        <w:ind w:right="200" w:firstLine="443"/>
        <w:spacing w:after="0" w:line="259" w:lineRule="auto"/>
        <w:tabs>
          <w:tab w:leader="none" w:pos="629"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8"/>
          <w:szCs w:val="18"/>
          <w:color w:val="auto"/>
        </w:rPr>
      </w:pPr>
    </w:p>
    <w:p>
      <w:pPr>
        <w:ind w:right="300" w:firstLine="205"/>
        <w:spacing w:after="0" w:line="274" w:lineRule="auto"/>
        <w:tabs>
          <w:tab w:leader="none" w:pos="37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Times New Roman" w:cs="Times New Roman" w:eastAsia="Times New Roman" w:hAnsi="Times New Roman"/>
          <w:sz w:val="18"/>
          <w:szCs w:val="18"/>
          <w:color w:val="auto"/>
        </w:rPr>
      </w:pPr>
    </w:p>
    <w:p>
      <w:pPr>
        <w:ind w:right="100" w:firstLine="443"/>
        <w:spacing w:after="0" w:line="274" w:lineRule="auto"/>
        <w:tabs>
          <w:tab w:leader="none" w:pos="619"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Times New Roman" w:cs="Times New Roman" w:eastAsia="Times New Roman" w:hAnsi="Times New Roman"/>
          <w:sz w:val="18"/>
          <w:szCs w:val="18"/>
          <w:color w:val="auto"/>
        </w:rPr>
      </w:pPr>
    </w:p>
    <w:p>
      <w:pPr>
        <w:ind w:right="140" w:firstLine="443"/>
        <w:spacing w:after="0" w:line="274" w:lineRule="auto"/>
        <w:tabs>
          <w:tab w:leader="none" w:pos="629"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6, 2023</w:t>
      </w:r>
    </w:p>
    <w:p>
      <w:pPr>
        <w:spacing w:after="0" w:line="45" w:lineRule="exact"/>
        <w:rPr>
          <w:sz w:val="20"/>
          <w:szCs w:val="20"/>
          <w:color w:val="auto"/>
        </w:rPr>
      </w:pPr>
    </w:p>
    <w:p>
      <w:pPr>
        <w:ind w:left="4200"/>
        <w:spacing w:after="0"/>
        <w:tabs>
          <w:tab w:leader="none" w:pos="4640" w:val="left"/>
        </w:tabs>
        <w:rPr>
          <w:sz w:val="20"/>
          <w:szCs w:val="20"/>
          <w:color w:val="auto"/>
        </w:rPr>
      </w:pPr>
      <w:r>
        <w:rPr>
          <w:rFonts w:ascii="Times New Roman" w:cs="Times New Roman" w:eastAsia="Times New Roman" w:hAnsi="Times New Roman"/>
          <w:sz w:val="18"/>
          <w:szCs w:val="18"/>
          <w:color w:val="auto"/>
        </w:rPr>
        <w:t>By:</w:t>
        <w:tab/>
        <w:t>/s/ Mark A. Clouse</w:t>
      </w:r>
    </w:p>
    <w:p>
      <w:pPr>
        <w:spacing w:after="0" w:line="23" w:lineRule="exact"/>
        <w:rPr>
          <w:sz w:val="20"/>
          <w:szCs w:val="20"/>
          <w:color w:val="auto"/>
        </w:rPr>
      </w:pPr>
    </w:p>
    <w:tbl>
      <w:tblPr>
        <w:tblLayout w:type="fixed"/>
        <w:tblInd w:w="4640" w:type="dxa"/>
        <w:tblCellMar>
          <w:top w:w="0" w:type="dxa"/>
          <w:left w:w="0" w:type="dxa"/>
          <w:bottom w:w="0" w:type="dxa"/>
          <w:right w:w="0" w:type="dxa"/>
        </w:tblCellMar>
      </w:tblPr>
      <w:tr>
        <w:trPr>
          <w:trHeight w:val="213"/>
        </w:trPr>
        <w:tc>
          <w:tcPr>
            <w:tcW w:w="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3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Mark A. Clouse</w:t>
            </w:r>
          </w:p>
        </w:tc>
      </w:tr>
      <w:tr>
        <w:trPr>
          <w:trHeight w:val="231"/>
        </w:trPr>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74"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RULE 13a-14(a)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Carrie L. Anderson, certify that:</w:t>
      </w:r>
    </w:p>
    <w:p>
      <w:pPr>
        <w:spacing w:after="0" w:line="164" w:lineRule="exact"/>
        <w:rPr>
          <w:sz w:val="20"/>
          <w:szCs w:val="20"/>
          <w:color w:val="auto"/>
        </w:rPr>
      </w:pPr>
    </w:p>
    <w:p>
      <w:pPr>
        <w:ind w:left="380" w:hanging="175"/>
        <w:spacing w:after="0"/>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Campbell Soup Company;</w:t>
      </w:r>
    </w:p>
    <w:p>
      <w:pPr>
        <w:spacing w:after="0" w:line="164" w:lineRule="exact"/>
        <w:rPr>
          <w:rFonts w:ascii="Times New Roman" w:cs="Times New Roman" w:eastAsia="Times New Roman" w:hAnsi="Times New Roman"/>
          <w:sz w:val="18"/>
          <w:szCs w:val="18"/>
          <w:color w:val="auto"/>
        </w:rPr>
      </w:pPr>
    </w:p>
    <w:p>
      <w:pPr>
        <w:ind w:right="460" w:firstLine="205"/>
        <w:spacing w:after="0" w:line="304" w:lineRule="auto"/>
        <w:tabs>
          <w:tab w:leader="none" w:pos="375"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Times New Roman" w:cs="Times New Roman" w:eastAsia="Times New Roman" w:hAnsi="Times New Roman"/>
          <w:sz w:val="17"/>
          <w:szCs w:val="17"/>
          <w:color w:val="auto"/>
        </w:rPr>
      </w:pPr>
    </w:p>
    <w:p>
      <w:pPr>
        <w:ind w:right="560" w:firstLine="205"/>
        <w:spacing w:after="0" w:line="274" w:lineRule="auto"/>
        <w:tabs>
          <w:tab w:leader="none" w:pos="3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8"/>
          <w:szCs w:val="18"/>
          <w:color w:val="auto"/>
        </w:rPr>
      </w:pPr>
    </w:p>
    <w:p>
      <w:pPr>
        <w:ind w:right="40" w:firstLine="205"/>
        <w:spacing w:after="0" w:line="259" w:lineRule="auto"/>
        <w:tabs>
          <w:tab w:leader="none" w:pos="37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8"/>
          <w:szCs w:val="18"/>
          <w:color w:val="auto"/>
        </w:rPr>
      </w:pPr>
    </w:p>
    <w:p>
      <w:pPr>
        <w:ind w:right="140" w:firstLine="443"/>
        <w:spacing w:after="0" w:line="259" w:lineRule="auto"/>
        <w:tabs>
          <w:tab w:leader="none" w:pos="61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8"/>
          <w:szCs w:val="18"/>
          <w:color w:val="auto"/>
        </w:rPr>
      </w:pPr>
    </w:p>
    <w:p>
      <w:pPr>
        <w:jc w:val="both"/>
        <w:ind w:right="120" w:firstLine="443"/>
        <w:spacing w:after="0" w:line="259" w:lineRule="auto"/>
        <w:tabs>
          <w:tab w:leader="none" w:pos="62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8"/>
          <w:szCs w:val="18"/>
          <w:color w:val="auto"/>
        </w:rPr>
      </w:pPr>
    </w:p>
    <w:p>
      <w:pPr>
        <w:ind w:right="160" w:firstLine="443"/>
        <w:spacing w:after="0" w:line="274" w:lineRule="auto"/>
        <w:tabs>
          <w:tab w:leader="none" w:pos="61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8"/>
          <w:szCs w:val="18"/>
          <w:color w:val="auto"/>
        </w:rPr>
      </w:pPr>
    </w:p>
    <w:p>
      <w:pPr>
        <w:ind w:right="200" w:firstLine="443"/>
        <w:spacing w:after="0" w:line="259" w:lineRule="auto"/>
        <w:tabs>
          <w:tab w:leader="none" w:pos="62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8"/>
          <w:szCs w:val="18"/>
          <w:color w:val="auto"/>
        </w:rPr>
      </w:pPr>
    </w:p>
    <w:p>
      <w:pPr>
        <w:ind w:right="300" w:firstLine="205"/>
        <w:spacing w:after="0" w:line="274" w:lineRule="auto"/>
        <w:tabs>
          <w:tab w:leader="none" w:pos="37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Times New Roman" w:cs="Times New Roman" w:eastAsia="Times New Roman" w:hAnsi="Times New Roman"/>
          <w:sz w:val="18"/>
          <w:szCs w:val="18"/>
          <w:color w:val="auto"/>
        </w:rPr>
      </w:pPr>
    </w:p>
    <w:p>
      <w:pPr>
        <w:ind w:right="100" w:firstLine="443"/>
        <w:spacing w:after="0" w:line="274" w:lineRule="auto"/>
        <w:tabs>
          <w:tab w:leader="none" w:pos="61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Times New Roman" w:cs="Times New Roman" w:eastAsia="Times New Roman" w:hAnsi="Times New Roman"/>
          <w:sz w:val="18"/>
          <w:szCs w:val="18"/>
          <w:color w:val="auto"/>
        </w:rPr>
      </w:pPr>
    </w:p>
    <w:p>
      <w:pPr>
        <w:ind w:right="140" w:firstLine="443"/>
        <w:spacing w:after="0" w:line="274" w:lineRule="auto"/>
        <w:tabs>
          <w:tab w:leader="none" w:pos="62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6, 2023</w:t>
      </w:r>
    </w:p>
    <w:p>
      <w:pPr>
        <w:spacing w:after="0" w:line="204" w:lineRule="exact"/>
        <w:rPr>
          <w:sz w:val="20"/>
          <w:szCs w:val="20"/>
          <w:color w:val="auto"/>
        </w:rPr>
      </w:pPr>
    </w:p>
    <w:p>
      <w:pPr>
        <w:ind w:left="4140"/>
        <w:spacing w:after="0"/>
        <w:tabs>
          <w:tab w:leader="none" w:pos="4580" w:val="left"/>
        </w:tabs>
        <w:rPr>
          <w:sz w:val="20"/>
          <w:szCs w:val="20"/>
          <w:color w:val="auto"/>
        </w:rPr>
      </w:pPr>
      <w:r>
        <w:rPr>
          <w:rFonts w:ascii="Times New Roman" w:cs="Times New Roman" w:eastAsia="Times New Roman" w:hAnsi="Times New Roman"/>
          <w:sz w:val="18"/>
          <w:szCs w:val="18"/>
          <w:color w:val="auto"/>
        </w:rPr>
        <w:t>By:</w:t>
        <w:tab/>
        <w:t>/s/ Carrie L. Anderson</w:t>
      </w:r>
    </w:p>
    <w:p>
      <w:pPr>
        <w:spacing w:after="0" w:line="23" w:lineRule="exact"/>
        <w:rPr>
          <w:sz w:val="20"/>
          <w:szCs w:val="20"/>
          <w:color w:val="auto"/>
        </w:rPr>
      </w:pPr>
    </w:p>
    <w:tbl>
      <w:tblPr>
        <w:tblLayout w:type="fixed"/>
        <w:tblInd w:w="4600" w:type="dxa"/>
        <w:tblCellMar>
          <w:top w:w="0" w:type="dxa"/>
          <w:left w:w="0" w:type="dxa"/>
          <w:bottom w:w="0" w:type="dxa"/>
          <w:right w:w="0" w:type="dxa"/>
        </w:tblCellMar>
      </w:tblPr>
      <w:tr>
        <w:trPr>
          <w:trHeight w:val="213"/>
        </w:trPr>
        <w:tc>
          <w:tcPr>
            <w:tcW w:w="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488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Carrie L. Anderson</w:t>
            </w:r>
          </w:p>
        </w:tc>
      </w:tr>
      <w:tr>
        <w:trPr>
          <w:trHeight w:val="23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ectPr>
          <w:pgSz w:w="11900" w:h="16838" w:orient="portrait"/>
          <w:cols w:equalWidth="0" w:num="1">
            <w:col w:w="11240"/>
          </w:cols>
          <w:pgMar w:left="320" w:top="874"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45" w:lineRule="exact"/>
        <w:rPr>
          <w:sz w:val="20"/>
          <w:szCs w:val="20"/>
          <w:color w:val="auto"/>
        </w:rPr>
      </w:pPr>
    </w:p>
    <w:p>
      <w:pPr>
        <w:ind w:right="80" w:firstLine="199"/>
        <w:spacing w:after="0" w:line="259" w:lineRule="auto"/>
        <w:rPr>
          <w:sz w:val="20"/>
          <w:szCs w:val="20"/>
          <w:color w:val="auto"/>
        </w:rPr>
      </w:pPr>
      <w:r>
        <w:rPr>
          <w:rFonts w:ascii="Times New Roman" w:cs="Times New Roman" w:eastAsia="Times New Roman" w:hAnsi="Times New Roman"/>
          <w:sz w:val="18"/>
          <w:szCs w:val="18"/>
          <w:color w:val="auto"/>
        </w:rPr>
        <w:t>In connection with the Quarterly Report of Campbell Soup Company (the “Company”) on Form 10-Q for the fiscal quarter ended October 29, 2023 (the “Report”), I, Mark A. Clouse, President and Chief Executive Officer of the Company, hereby certify, pursuant to 18 U.S.C. Section 1350, as adopted pursuant to Section 906 of the Sarbanes-Oxley Act of 2002, that, to my knowledge:</w:t>
      </w:r>
    </w:p>
    <w:p>
      <w:pPr>
        <w:spacing w:after="0" w:line="125" w:lineRule="exact"/>
        <w:rPr>
          <w:sz w:val="20"/>
          <w:szCs w:val="20"/>
          <w:color w:val="auto"/>
        </w:rPr>
      </w:pPr>
    </w:p>
    <w:p>
      <w:pPr>
        <w:ind w:left="700" w:hanging="257"/>
        <w:spacing w:after="0"/>
        <w:tabs>
          <w:tab w:leader="none" w:pos="7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4" w:lineRule="exact"/>
        <w:rPr>
          <w:rFonts w:ascii="Times New Roman" w:cs="Times New Roman" w:eastAsia="Times New Roman" w:hAnsi="Times New Roman"/>
          <w:sz w:val="18"/>
          <w:szCs w:val="18"/>
          <w:color w:val="auto"/>
        </w:rPr>
      </w:pPr>
    </w:p>
    <w:p>
      <w:pPr>
        <w:ind w:left="700" w:hanging="257"/>
        <w:spacing w:after="0"/>
        <w:tabs>
          <w:tab w:leader="none" w:pos="7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6, 2023</w:t>
      </w:r>
    </w:p>
    <w:p>
      <w:pPr>
        <w:spacing w:after="0" w:line="45" w:lineRule="exact"/>
        <w:rPr>
          <w:sz w:val="20"/>
          <w:szCs w:val="20"/>
          <w:color w:val="auto"/>
        </w:rPr>
      </w:pPr>
    </w:p>
    <w:p>
      <w:pPr>
        <w:ind w:left="4140"/>
        <w:spacing w:after="0"/>
        <w:tabs>
          <w:tab w:leader="none" w:pos="4580" w:val="left"/>
        </w:tabs>
        <w:rPr>
          <w:sz w:val="20"/>
          <w:szCs w:val="20"/>
          <w:color w:val="auto"/>
        </w:rPr>
      </w:pPr>
      <w:r>
        <w:rPr>
          <w:rFonts w:ascii="Times New Roman" w:cs="Times New Roman" w:eastAsia="Times New Roman" w:hAnsi="Times New Roman"/>
          <w:sz w:val="18"/>
          <w:szCs w:val="18"/>
          <w:color w:val="auto"/>
        </w:rPr>
        <w:t>By:</w:t>
        <w:tab/>
        <w:t>/s/ Mark A. Clouse</w:t>
      </w:r>
    </w:p>
    <w:p>
      <w:pPr>
        <w:spacing w:after="0" w:line="23" w:lineRule="exact"/>
        <w:rPr>
          <w:sz w:val="20"/>
          <w:szCs w:val="20"/>
          <w:color w:val="auto"/>
        </w:rPr>
      </w:pPr>
    </w:p>
    <w:tbl>
      <w:tblPr>
        <w:tblLayout w:type="fixed"/>
        <w:tblInd w:w="4580" w:type="dxa"/>
        <w:tblCellMar>
          <w:top w:w="0" w:type="dxa"/>
          <w:left w:w="0" w:type="dxa"/>
          <w:bottom w:w="0" w:type="dxa"/>
          <w:right w:w="0" w:type="dxa"/>
        </w:tblCellMar>
      </w:tblPr>
      <w:tr>
        <w:trPr>
          <w:trHeight w:val="213"/>
        </w:trPr>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3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Mark A. Clouse</w:t>
            </w:r>
          </w:p>
        </w:tc>
      </w:tr>
      <w:tr>
        <w:trPr>
          <w:trHeight w:val="231"/>
        </w:trPr>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110"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8"/>
          <w:szCs w:val="18"/>
          <w:color w:val="auto"/>
        </w:rPr>
        <w:t>A signed original of this written statement required under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74"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45" w:lineRule="exact"/>
        <w:rPr>
          <w:sz w:val="20"/>
          <w:szCs w:val="20"/>
          <w:color w:val="auto"/>
        </w:rPr>
      </w:pPr>
    </w:p>
    <w:p>
      <w:pPr>
        <w:ind w:right="20" w:firstLine="199"/>
        <w:spacing w:after="0" w:line="259" w:lineRule="auto"/>
        <w:rPr>
          <w:sz w:val="20"/>
          <w:szCs w:val="20"/>
          <w:color w:val="auto"/>
        </w:rPr>
      </w:pPr>
      <w:r>
        <w:rPr>
          <w:rFonts w:ascii="Times New Roman" w:cs="Times New Roman" w:eastAsia="Times New Roman" w:hAnsi="Times New Roman"/>
          <w:sz w:val="18"/>
          <w:szCs w:val="18"/>
          <w:color w:val="auto"/>
        </w:rPr>
        <w:t>In connection with the Quarterly Report of Campbell Soup Company (the “Company”) on Form 10-Q for the fiscal quarter ended October 29, 2023 (the “Report”), I, Carrie L. Anderson, Executive Vice President and Chief Financial Officer of the Company, hereby certify, pursuant to 18 U.S.C. Section 1350, as adopted pursuant to Section 906 of the Sarbanes-Oxley Act of 2002, that, to my knowledge:</w:t>
      </w:r>
    </w:p>
    <w:p>
      <w:pPr>
        <w:spacing w:after="0" w:line="125" w:lineRule="exact"/>
        <w:rPr>
          <w:sz w:val="20"/>
          <w:szCs w:val="20"/>
          <w:color w:val="auto"/>
        </w:rPr>
      </w:pPr>
    </w:p>
    <w:p>
      <w:pPr>
        <w:ind w:left="700" w:hanging="257"/>
        <w:spacing w:after="0"/>
        <w:tabs>
          <w:tab w:leader="none" w:pos="7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4" w:lineRule="exact"/>
        <w:rPr>
          <w:rFonts w:ascii="Times New Roman" w:cs="Times New Roman" w:eastAsia="Times New Roman" w:hAnsi="Times New Roman"/>
          <w:sz w:val="18"/>
          <w:szCs w:val="18"/>
          <w:color w:val="auto"/>
        </w:rPr>
      </w:pPr>
    </w:p>
    <w:p>
      <w:pPr>
        <w:ind w:left="700" w:hanging="257"/>
        <w:spacing w:after="0"/>
        <w:tabs>
          <w:tab w:leader="none" w:pos="7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6, 2023</w:t>
      </w:r>
    </w:p>
    <w:p>
      <w:pPr>
        <w:spacing w:after="0" w:line="45" w:lineRule="exact"/>
        <w:rPr>
          <w:sz w:val="20"/>
          <w:szCs w:val="20"/>
          <w:color w:val="auto"/>
        </w:rPr>
      </w:pPr>
    </w:p>
    <w:p>
      <w:pPr>
        <w:ind w:left="4160"/>
        <w:spacing w:after="0"/>
        <w:tabs>
          <w:tab w:leader="none" w:pos="4580" w:val="left"/>
        </w:tabs>
        <w:rPr>
          <w:sz w:val="20"/>
          <w:szCs w:val="20"/>
          <w:color w:val="auto"/>
        </w:rPr>
      </w:pPr>
      <w:r>
        <w:rPr>
          <w:rFonts w:ascii="Times New Roman" w:cs="Times New Roman" w:eastAsia="Times New Roman" w:hAnsi="Times New Roman"/>
          <w:sz w:val="18"/>
          <w:szCs w:val="18"/>
          <w:color w:val="auto"/>
        </w:rPr>
        <w:t>By:</w:t>
        <w:tab/>
        <w:t>/s/ Carrie 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2914650</wp:posOffset>
            </wp:positionH>
            <wp:positionV relativeFrom="paragraph">
              <wp:posOffset>14605</wp:posOffset>
            </wp:positionV>
            <wp:extent cx="37776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3777615" cy="825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p>
      <w:pPr>
        <w:spacing w:after="0" w:line="19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Name:</w:t>
      </w:r>
    </w:p>
    <w:p>
      <w:pPr>
        <w:spacing w:after="0" w:line="2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Carrie L. Anderson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spacing w:after="0" w:line="211" w:lineRule="exact"/>
        <w:rPr>
          <w:sz w:val="20"/>
          <w:szCs w:val="20"/>
          <w:color w:val="auto"/>
        </w:rPr>
      </w:pPr>
    </w:p>
    <w:p>
      <w:pPr>
        <w:sectPr>
          <w:pgSz w:w="11900" w:h="16838" w:orient="portrait"/>
          <w:cols w:equalWidth="0" w:num="2">
            <w:col w:w="5080" w:space="340"/>
            <w:col w:w="5820"/>
          </w:cols>
          <w:pgMar w:left="320" w:top="874" w:right="339" w:bottom="1440" w:gutter="0" w:footer="0" w:header="0"/>
          <w:type w:val="continuous"/>
        </w:sectPr>
      </w:pPr>
    </w:p>
    <w:p>
      <w:pPr>
        <w:spacing w:after="0" w:line="200" w:lineRule="exact"/>
        <w:rPr>
          <w:sz w:val="20"/>
          <w:szCs w:val="20"/>
          <w:color w:val="auto"/>
        </w:rPr>
      </w:pPr>
    </w:p>
    <w:p>
      <w:pPr>
        <w:spacing w:after="0" w:line="354"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110"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8"/>
          <w:szCs w:val="18"/>
          <w:color w:val="auto"/>
        </w:rPr>
        <w:t>A signed original of this written statement required under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74"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1)"/>
      <w:numFmt w:val="decimal"/>
      <w:start w:val="1"/>
    </w:lvl>
  </w:abstractNum>
  <w:abstractNum w:abstractNumId="1">
    <w:nsid w:val="431BD7B7"/>
    <w:multiLevelType w:val="hybridMultilevel"/>
    <w:lvl w:ilvl="0">
      <w:lvlJc w:val="left"/>
      <w:lvlText w:val="(%1)"/>
      <w:numFmt w:val="decimal"/>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1)"/>
      <w:numFmt w:val="decimal"/>
      <w:start w:val="1"/>
    </w:lvl>
  </w:abstractNum>
  <w:abstractNum w:abstractNumId="4">
    <w:nsid w:val="257130A3"/>
    <w:multiLevelType w:val="hybridMultilevel"/>
    <w:lvl w:ilvl="0">
      <w:lvlJc w:val="left"/>
      <w:lvlText w:val="(%1)"/>
      <w:numFmt w:val="decimal"/>
      <w:start w:val="2"/>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1)"/>
      <w:numFmt w:val="decimal"/>
      <w:start w:val="1"/>
    </w:lvl>
  </w:abstractNum>
  <w:abstractNum w:abstractNumId="8">
    <w:nsid w:val="333AB105"/>
    <w:multiLevelType w:val="hybridMultilevel"/>
    <w:lvl w:ilvl="0">
      <w:lvlJc w:val="left"/>
      <w:lvlText w:val="(%1)"/>
      <w:numFmt w:val="decimal"/>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1)"/>
      <w:numFmt w:val="decimal"/>
      <w:start w:val="1"/>
    </w:lvl>
  </w:abstractNum>
  <w:abstractNum w:abstractNumId="11">
    <w:nsid w:val="2D1D5AE9"/>
    <w:multiLevelType w:val="hybridMultilevel"/>
    <w:lvl w:ilvl="0">
      <w:lvlJc w:val="left"/>
      <w:lvlText w:val="(%1)"/>
      <w:numFmt w:val="decimal"/>
      <w:start w:val="4"/>
    </w:lvl>
  </w:abstractNum>
  <w:abstractNum w:abstractNumId="12">
    <w:nsid w:val="6763845E"/>
    <w:multiLevelType w:val="hybridMultilevel"/>
    <w:lvl w:ilvl="0">
      <w:lvlJc w:val="left"/>
      <w:lvlText w:val="%1."/>
      <w:numFmt w:val="decimal"/>
      <w:start w:val="15"/>
    </w:lvl>
  </w:abstractNum>
  <w:abstractNum w:abstractNumId="13">
    <w:nsid w:val="75A2A8D4"/>
    <w:multiLevelType w:val="hybridMultilevel"/>
    <w:lvl w:ilvl="0">
      <w:lvlJc w:val="left"/>
      <w:lvlText w:val="(%1)"/>
      <w:numFmt w:val="decimal"/>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1)"/>
      <w:numFmt w:val="decimal"/>
      <w:start w:val="1"/>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1)"/>
      <w:numFmt w:val="decimal"/>
      <w:start w:val="1"/>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1."/>
      <w:numFmt w:val="lowerLetter"/>
      <w:start w:val="1"/>
    </w:lvl>
  </w:abstractNum>
  <w:abstractNum w:abstractNumId="27">
    <w:nsid w:val="7C3DBD3D"/>
    <w:multiLevelType w:val="hybridMultilevel"/>
    <w:lvl w:ilvl="0">
      <w:lvlJc w:val="left"/>
      <w:lvlText w:val="%1."/>
      <w:numFmt w:val="lowerLetter"/>
      <w:start w:val="2"/>
    </w:lvl>
  </w:abstractNum>
  <w:abstractNum w:abstractNumId="28">
    <w:nsid w:val="737B8DDC"/>
    <w:multiLevelType w:val="hybridMultilevel"/>
    <w:lvl w:ilvl="0">
      <w:lvlJc w:val="left"/>
      <w:lvlText w:val="(%1)"/>
      <w:numFmt w:val="decimal"/>
      <w:start w:val="1"/>
    </w:lvl>
  </w:abstractNum>
  <w:abstractNum w:abstractNumId="29">
    <w:nsid w:val="6CEAF087"/>
    <w:multiLevelType w:val="hybridMultilevel"/>
    <w:lvl w:ilvl="0">
      <w:lvlJc w:val="left"/>
      <w:lvlText w:val="%1"/>
      <w:numFmt w:val="decimal"/>
      <w:start w:val="104"/>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65" Type="http://schemas.openxmlformats.org/officeDocument/2006/relationships/hyperlink" Target="https://www.sec.gov/Archives/edgar/data/16732/000095010323011620/dp198090_ex0201.htm" TargetMode="External"/><Relationship Id="rId66" Type="http://schemas.openxmlformats.org/officeDocument/2006/relationships/hyperlink" Target="https://www.sec.gov/Archives/edgar/data/16732/000119312523253873/d410910dex10.htm" TargetMode="External"/><Relationship Id="rId67" Type="http://schemas.openxmlformats.org/officeDocument/2006/relationships/hyperlink" Target="https://www.sec.gov/Archives/edgar/data/16732/000001673223000109/cpb-7302023exb10h.htm" TargetMode="External"/><Relationship Id="rId68" Type="http://schemas.openxmlformats.org/officeDocument/2006/relationships/hyperlink" Target="https://www.sec.gov/Archives/edgar/data/16732/000001673223000109/cpb7302023exb10ff.htm" TargetMode="External"/><Relationship Id="rId69" Type="http://schemas.openxmlformats.org/officeDocument/2006/relationships/hyperlink" Target="https://www.sec.gov/Archives/edgar/data/16732/000001673223000109/cpb-7302023exb10hh.htm" TargetMode="External"/><Relationship Id="rId70" Type="http://schemas.openxmlformats.org/officeDocument/2006/relationships/hyperlink" Target="https://www.sec.gov/Archives/edgar/data/16732/000095010323011620/dp198090_ex1001.htm" TargetMode="External"/><Relationship Id="rId71" Type="http://schemas.openxmlformats.org/officeDocument/2006/relationships/hyperlink" Target="https://www.sec.gov/Archives/edgar/data/16732/000095010323011620/dp198090_ex10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2023-12-06T06:39:28Z</dcterms:created>
  <dcterms:modified xsi:type="dcterms:W3CDTF">2023-12-06T06:39:28Z</dcterms:modified>
</cp:coreProperties>
</file>