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390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ANNUAL REPORT PURSUANT TO SECTION 13 OR 15(d)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225" w:right="239" w:bottom="1440" w:gutter="0" w:footer="0" w:header="0"/>
        </w:sectPr>
      </w:pPr>
    </w:p>
    <w:p>
      <w:pPr>
        <w:spacing w:after="0" w:line="137" w:lineRule="exact"/>
        <w:rPr>
          <w:sz w:val="24"/>
          <w:szCs w:val="24"/>
          <w:color w:val="auto"/>
        </w:rPr>
      </w:pPr>
    </w:p>
    <w:p>
      <w:pPr>
        <w:jc w:val="center"/>
        <w:ind w:right="2500"/>
        <w:spacing w:after="0"/>
        <w:rPr>
          <w:sz w:val="20"/>
          <w:szCs w:val="20"/>
          <w:color w:val="auto"/>
        </w:rPr>
      </w:pPr>
      <w:r>
        <w:rPr>
          <w:rFonts w:ascii="Arial" w:cs="Arial" w:eastAsia="Arial" w:hAnsi="Arial"/>
          <w:sz w:val="16"/>
          <w:szCs w:val="16"/>
          <w:b w:val="1"/>
          <w:bCs w:val="1"/>
          <w:color w:val="auto"/>
        </w:rPr>
        <w:t>For the Fiscal Year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July 29, 2018</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-2209800</wp:posOffset>
            </wp:positionH>
            <wp:positionV relativeFrom="paragraph">
              <wp:posOffset>34290</wp:posOffset>
            </wp:positionV>
            <wp:extent cx="1475105"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320" w:space="720"/>
            <w:col w:w="3380"/>
          </w:cols>
          <w:pgMar w:left="240" w:top="225"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225"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225"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60" w:space="720"/>
            <w:col w:w="414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(856) 342-4800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25" w:right="239" w:bottom="1440" w:gutter="0" w:footer="0" w:header="0"/>
          <w:type w:val="continuous"/>
        </w:sectPr>
      </w:pPr>
    </w:p>
    <w:p>
      <w:pPr>
        <w:spacing w:after="0" w:line="176"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90" w:lineRule="exact"/>
        <w:rPr>
          <w:sz w:val="24"/>
          <w:szCs w:val="24"/>
          <w:color w:val="auto"/>
        </w:rPr>
      </w:pPr>
    </w:p>
    <w:p>
      <w:pPr>
        <w:sectPr>
          <w:pgSz w:w="11900" w:h="16838" w:orient="portrait"/>
          <w:cols w:equalWidth="0" w:num="2">
            <w:col w:w="6120" w:space="720"/>
            <w:col w:w="4580"/>
          </w:cols>
          <w:pgMar w:left="240" w:top="225" w:right="239" w:bottom="1440" w:gutter="0" w:footer="0" w:header="0"/>
          <w:type w:val="continuous"/>
        </w:sectPr>
      </w:pPr>
    </w:p>
    <w:p>
      <w:pPr>
        <w:ind w:left="1800"/>
        <w:spacing w:after="0"/>
        <w:rPr>
          <w:sz w:val="20"/>
          <w:szCs w:val="20"/>
          <w:color w:val="auto"/>
        </w:rPr>
      </w:pPr>
      <w:r>
        <w:rPr>
          <w:rFonts w:ascii="Arial" w:cs="Arial" w:eastAsia="Arial" w:hAnsi="Arial"/>
          <w:sz w:val="16"/>
          <w:szCs w:val="16"/>
          <w:color w:val="auto"/>
        </w:rPr>
        <w:t>Capital Stock, par value $.0375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55" w:lineRule="exact"/>
        <w:rPr>
          <w:sz w:val="24"/>
          <w:szCs w:val="24"/>
          <w:color w:val="auto"/>
        </w:rPr>
      </w:pPr>
    </w:p>
    <w:p>
      <w:pPr>
        <w:sectPr>
          <w:pgSz w:w="11900" w:h="16838" w:orient="portrait"/>
          <w:cols w:equalWidth="0" w:num="2">
            <w:col w:w="6920" w:space="720"/>
            <w:col w:w="378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 w:lineRule="exact"/>
        <w:rPr>
          <w:sz w:val="24"/>
          <w:szCs w:val="24"/>
          <w:color w:val="auto"/>
        </w:rPr>
      </w:pPr>
    </w:p>
    <w:p>
      <w:pPr>
        <w:ind w:left="340" w:right="168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333333"/>
        </w:rPr>
        <w:t>☐</w:t>
      </w:r>
      <w:r>
        <w:rPr>
          <w:rFonts w:ascii="Arial" w:cs="Arial" w:eastAsia="Arial" w:hAnsi="Arial"/>
          <w:sz w:val="16"/>
          <w:szCs w:val="16"/>
          <w:color w:val="auto"/>
        </w:rPr>
        <w:t xml:space="preserve"> No Indicate by check mark if the registrant is not required to file reports pursuant to Section 13 or 15(d) of the Act. </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4"/>
          <w:szCs w:val="14"/>
          <w:color w:val="auto"/>
        </w:rPr>
        <w:t>☑</w:t>
      </w:r>
      <w:r>
        <w:rPr>
          <w:rFonts w:ascii="Arial" w:cs="Arial" w:eastAsia="Arial" w:hAnsi="Arial"/>
          <w:sz w:val="16"/>
          <w:szCs w:val="16"/>
          <w:color w:val="auto"/>
        </w:rPr>
        <w:t xml:space="preserve"> No</w:t>
      </w:r>
    </w:p>
    <w:p>
      <w:pPr>
        <w:spacing w:after="0" w:line="2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2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333333"/>
        </w:rPr>
        <w:t>☐</w:t>
      </w:r>
    </w:p>
    <w:p>
      <w:pPr>
        <w:spacing w:after="0" w:line="2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225"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225"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5" w:right="239" w:bottom="1440" w:gutter="0" w:footer="0" w:header="0"/>
          <w:type w:val="continuous"/>
        </w:sectPr>
      </w:pPr>
    </w:p>
    <w:p>
      <w:pPr>
        <w:spacing w:after="0" w:line="8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8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26, 2018 (the last business day of the registrant’s most recently completed second fiscal quarter), the aggregate market value of capital stock held by non-affiliates of the registrant was approximately $9,014,993,646. There were 300,656,129 shares of capital stock outstanding as of September 17, 2018.</w:t>
      </w:r>
    </w:p>
    <w:p>
      <w:pPr>
        <w:spacing w:after="0" w:line="1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Portions of the Registrant’s Proxy Statement for the 2018 Annual Meeting of Shareholders are incorporated by reference into Part III.</w:t>
      </w:r>
    </w:p>
    <w:p>
      <w:pPr>
        <w:sectPr>
          <w:pgSz w:w="11900" w:h="16838" w:orient="portrait"/>
          <w:cols w:equalWidth="0" w:num="1">
            <w:col w:w="11420"/>
          </w:cols>
          <w:pgMar w:left="240" w:top="22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7"/>
                <w:szCs w:val="17"/>
                <w:color w:val="auto"/>
              </w:rPr>
            </w:pPr>
          </w:p>
        </w:tc>
      </w:tr>
      <w:tr>
        <w:trPr>
          <w:trHeight w:val="615"/>
        </w:trPr>
        <w:tc>
          <w:tcPr>
            <w:tcW w:w="4720" w:type="dxa"/>
            <w:vAlign w:val="bottom"/>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9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540" w:type="dxa"/>
            <w:vAlign w:val="bottom"/>
          </w:tcPr>
          <w:p>
            <w:pPr>
              <w:ind w:left="36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5">
              <w:r>
                <w:rPr>
                  <w:rFonts w:ascii="Arial" w:cs="Arial" w:eastAsia="Arial" w:hAnsi="Arial"/>
                  <w:sz w:val="18"/>
                  <w:szCs w:val="18"/>
                  <w:color w:val="0000EE"/>
                </w:rPr>
                <w:t>Item 1A. Risk Factors</w:t>
              </w:r>
            </w:hyperlink>
          </w:p>
        </w:tc>
        <w:tc>
          <w:tcPr>
            <w:tcW w:w="540" w:type="dxa"/>
            <w:vAlign w:val="bottom"/>
          </w:tcPr>
          <w:p>
            <w:pPr>
              <w:ind w:left="36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2">
              <w:r>
                <w:rPr>
                  <w:rFonts w:ascii="Arial" w:cs="Arial" w:eastAsia="Arial" w:hAnsi="Arial"/>
                  <w:sz w:val="18"/>
                  <w:szCs w:val="18"/>
                  <w:color w:val="0000EE"/>
                </w:rPr>
                <w:t>Item 1B. Unresolved Staff Comments</w:t>
              </w:r>
            </w:hyperlink>
          </w:p>
        </w:tc>
        <w:tc>
          <w:tcPr>
            <w:tcW w:w="540" w:type="dxa"/>
            <w:vAlign w:val="bottom"/>
          </w:tcPr>
          <w:p>
            <w:pPr>
              <w:ind w:left="36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2">
              <w:r>
                <w:rPr>
                  <w:rFonts w:ascii="Arial" w:cs="Arial" w:eastAsia="Arial" w:hAnsi="Arial"/>
                  <w:sz w:val="18"/>
                  <w:szCs w:val="18"/>
                  <w:color w:val="0000EE"/>
                </w:rPr>
                <w:t>Item 2. Properties</w:t>
              </w:r>
            </w:hyperlink>
          </w:p>
        </w:tc>
        <w:tc>
          <w:tcPr>
            <w:tcW w:w="540" w:type="dxa"/>
            <w:vAlign w:val="bottom"/>
          </w:tcPr>
          <w:p>
            <w:pPr>
              <w:ind w:left="36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12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3">
              <w:r>
                <w:rPr>
                  <w:rFonts w:ascii="Arial" w:cs="Arial" w:eastAsia="Arial" w:hAnsi="Arial"/>
                  <w:sz w:val="18"/>
                  <w:szCs w:val="18"/>
                  <w:color w:val="0000EE"/>
                </w:rPr>
                <w:t>Item 3. Legal Proceedings</w:t>
              </w:r>
            </w:hyperlink>
          </w:p>
        </w:tc>
        <w:tc>
          <w:tcPr>
            <w:tcW w:w="540" w:type="dxa"/>
            <w:vAlign w:val="bottom"/>
          </w:tcPr>
          <w:p>
            <w:pPr>
              <w:ind w:left="36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3">
              <w:r>
                <w:rPr>
                  <w:rFonts w:ascii="Arial" w:cs="Arial" w:eastAsia="Arial" w:hAnsi="Arial"/>
                  <w:sz w:val="18"/>
                  <w:szCs w:val="18"/>
                  <w:color w:val="0000EE"/>
                </w:rPr>
                <w:t>Item 4. Mine Safety Disclosures</w:t>
              </w:r>
            </w:hyperlink>
          </w:p>
        </w:tc>
        <w:tc>
          <w:tcPr>
            <w:tcW w:w="540" w:type="dxa"/>
            <w:vAlign w:val="bottom"/>
          </w:tcPr>
          <w:p>
            <w:pPr>
              <w:ind w:left="36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3">
              <w:r>
                <w:rPr>
                  <w:rFonts w:ascii="Arial" w:cs="Arial" w:eastAsia="Arial" w:hAnsi="Arial"/>
                  <w:sz w:val="18"/>
                  <w:szCs w:val="18"/>
                  <w:color w:val="0000EE"/>
                </w:rPr>
                <w:t>Executive Officers of the Company</w:t>
              </w:r>
            </w:hyperlink>
          </w:p>
        </w:tc>
        <w:tc>
          <w:tcPr>
            <w:tcW w:w="540" w:type="dxa"/>
            <w:vAlign w:val="bottom"/>
          </w:tcPr>
          <w:p>
            <w:pPr>
              <w:ind w:left="36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PART 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Item 5. Market for Registrant’s Capital Stock, Related Shareholder Matters and Issuer Purchases of Equity Securities</w:t>
              </w:r>
            </w:hyperlink>
          </w:p>
        </w:tc>
        <w:tc>
          <w:tcPr>
            <w:tcW w:w="540" w:type="dxa"/>
            <w:vAlign w:val="bottom"/>
          </w:tcPr>
          <w:p>
            <w:pPr>
              <w:ind w:left="36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5">
              <w:r>
                <w:rPr>
                  <w:rFonts w:ascii="Arial" w:cs="Arial" w:eastAsia="Arial" w:hAnsi="Arial"/>
                  <w:sz w:val="18"/>
                  <w:szCs w:val="18"/>
                  <w:color w:val="0000EE"/>
                </w:rPr>
                <w:t>Item 6. Selected Financial Data</w:t>
              </w:r>
            </w:hyperlink>
          </w:p>
        </w:tc>
        <w:tc>
          <w:tcPr>
            <w:tcW w:w="540" w:type="dxa"/>
            <w:vAlign w:val="bottom"/>
          </w:tcPr>
          <w:p>
            <w:pPr>
              <w:ind w:left="360"/>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6">
              <w:r>
                <w:rPr>
                  <w:rFonts w:ascii="Arial" w:cs="Arial" w:eastAsia="Arial" w:hAnsi="Arial"/>
                  <w:sz w:val="18"/>
                  <w:szCs w:val="18"/>
                  <w:color w:val="0000EE"/>
                </w:rPr>
                <w:t>Item 7. Management's Discussion and Analysis of Financial Condition and Results of Operations</w:t>
              </w:r>
            </w:hyperlink>
          </w:p>
        </w:tc>
        <w:tc>
          <w:tcPr>
            <w:tcW w:w="540" w:type="dxa"/>
            <w:vAlign w:val="bottom"/>
          </w:tcPr>
          <w:p>
            <w:pPr>
              <w:ind w:left="360"/>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6">
              <w:r>
                <w:rPr>
                  <w:rFonts w:ascii="Arial" w:cs="Arial" w:eastAsia="Arial" w:hAnsi="Arial"/>
                  <w:sz w:val="18"/>
                  <w:szCs w:val="18"/>
                  <w:color w:val="0000EE"/>
                </w:rPr>
                <w:t>Item 7A. Quantitative and Qualitative Disclosure about Market Risk</w:t>
              </w:r>
            </w:hyperlink>
          </w:p>
        </w:tc>
        <w:tc>
          <w:tcPr>
            <w:tcW w:w="540" w:type="dxa"/>
            <w:vAlign w:val="bottom"/>
          </w:tcPr>
          <w:p>
            <w:pPr>
              <w:ind w:left="36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7">
              <w:r>
                <w:rPr>
                  <w:rFonts w:ascii="Arial" w:cs="Arial" w:eastAsia="Arial" w:hAnsi="Arial"/>
                  <w:sz w:val="18"/>
                  <w:szCs w:val="18"/>
                  <w:color w:val="0000EE"/>
                </w:rPr>
                <w:t>Item 8. Financial Statements and Supplementary Data</w:t>
              </w:r>
            </w:hyperlink>
          </w:p>
        </w:tc>
        <w:tc>
          <w:tcPr>
            <w:tcW w:w="540" w:type="dxa"/>
            <w:vAlign w:val="bottom"/>
          </w:tcPr>
          <w:p>
            <w:pPr>
              <w:ind w:left="36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4">
              <w:r>
                <w:rPr>
                  <w:rFonts w:ascii="Arial" w:cs="Arial" w:eastAsia="Arial" w:hAnsi="Arial"/>
                  <w:sz w:val="18"/>
                  <w:szCs w:val="18"/>
                  <w:color w:val="0000EE"/>
                </w:rPr>
                <w:t>Item 9. Changes in and Disagreements with Accountants on Accounting and Financial Disclosure</w:t>
              </w:r>
            </w:hyperlink>
          </w:p>
        </w:tc>
        <w:tc>
          <w:tcPr>
            <w:tcW w:w="540" w:type="dxa"/>
            <w:vAlign w:val="bottom"/>
          </w:tcPr>
          <w:p>
            <w:pPr>
              <w:ind w:left="36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4">
              <w:r>
                <w:rPr>
                  <w:rFonts w:ascii="Arial" w:cs="Arial" w:eastAsia="Arial" w:hAnsi="Arial"/>
                  <w:sz w:val="18"/>
                  <w:szCs w:val="18"/>
                  <w:color w:val="0000EE"/>
                </w:rPr>
                <w:t>Item 9A. Controls and Procedures</w:t>
              </w:r>
            </w:hyperlink>
          </w:p>
        </w:tc>
        <w:tc>
          <w:tcPr>
            <w:tcW w:w="540" w:type="dxa"/>
            <w:vAlign w:val="bottom"/>
          </w:tcPr>
          <w:p>
            <w:pPr>
              <w:ind w:left="36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4">
              <w:r>
                <w:rPr>
                  <w:rFonts w:ascii="Arial" w:cs="Arial" w:eastAsia="Arial" w:hAnsi="Arial"/>
                  <w:sz w:val="18"/>
                  <w:szCs w:val="18"/>
                  <w:color w:val="0000EE"/>
                </w:rPr>
                <w:t>Item 9B. Other Information</w:t>
              </w:r>
            </w:hyperlink>
          </w:p>
        </w:tc>
        <w:tc>
          <w:tcPr>
            <w:tcW w:w="540" w:type="dxa"/>
            <w:vAlign w:val="bottom"/>
          </w:tcPr>
          <w:p>
            <w:pPr>
              <w:ind w:left="36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PART III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4">
              <w:r>
                <w:rPr>
                  <w:rFonts w:ascii="Arial" w:cs="Arial" w:eastAsia="Arial" w:hAnsi="Arial"/>
                  <w:sz w:val="18"/>
                  <w:szCs w:val="18"/>
                  <w:color w:val="0000EE"/>
                </w:rPr>
                <w:t>Item 10. Directors, Executive Officers and Corporate Governance</w:t>
              </w:r>
            </w:hyperlink>
          </w:p>
        </w:tc>
        <w:tc>
          <w:tcPr>
            <w:tcW w:w="540" w:type="dxa"/>
            <w:vAlign w:val="bottom"/>
          </w:tcPr>
          <w:p>
            <w:pPr>
              <w:ind w:left="36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4">
              <w:r>
                <w:rPr>
                  <w:rFonts w:ascii="Arial" w:cs="Arial" w:eastAsia="Arial" w:hAnsi="Arial"/>
                  <w:sz w:val="18"/>
                  <w:szCs w:val="18"/>
                  <w:color w:val="0000EE"/>
                </w:rPr>
                <w:t>Item 11. Executive Compensation</w:t>
              </w:r>
            </w:hyperlink>
          </w:p>
        </w:tc>
        <w:tc>
          <w:tcPr>
            <w:tcW w:w="540" w:type="dxa"/>
            <w:vAlign w:val="bottom"/>
          </w:tcPr>
          <w:p>
            <w:pPr>
              <w:ind w:left="36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4">
              <w:r>
                <w:rPr>
                  <w:rFonts w:ascii="Arial" w:cs="Arial" w:eastAsia="Arial" w:hAnsi="Arial"/>
                  <w:sz w:val="18"/>
                  <w:szCs w:val="18"/>
                  <w:color w:val="0000EE"/>
                </w:rPr>
                <w:t>Item 12. Security Ownership of Certain Beneficial Owners and Management and Related Shareholder Matters</w:t>
              </w:r>
            </w:hyperlink>
          </w:p>
        </w:tc>
        <w:tc>
          <w:tcPr>
            <w:tcW w:w="540" w:type="dxa"/>
            <w:vAlign w:val="bottom"/>
          </w:tcPr>
          <w:p>
            <w:pPr>
              <w:ind w:left="360"/>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5">
              <w:r>
                <w:rPr>
                  <w:rFonts w:ascii="Arial" w:cs="Arial" w:eastAsia="Arial" w:hAnsi="Arial"/>
                  <w:sz w:val="18"/>
                  <w:szCs w:val="18"/>
                  <w:color w:val="0000EE"/>
                </w:rPr>
                <w:t>Item 13. Certain Relationships and Related Transactions, and Director Independence</w:t>
              </w:r>
            </w:hyperlink>
          </w:p>
        </w:tc>
        <w:tc>
          <w:tcPr>
            <w:tcW w:w="540" w:type="dxa"/>
            <w:vAlign w:val="bottom"/>
          </w:tcPr>
          <w:p>
            <w:pPr>
              <w:ind w:left="360"/>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85</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5">
              <w:r>
                <w:rPr>
                  <w:rFonts w:ascii="Arial" w:cs="Arial" w:eastAsia="Arial" w:hAnsi="Arial"/>
                  <w:sz w:val="18"/>
                  <w:szCs w:val="18"/>
                  <w:color w:val="0000EE"/>
                </w:rPr>
                <w:t>Item 14. Principal Accounting Fees and Services</w:t>
              </w:r>
            </w:hyperlink>
          </w:p>
        </w:tc>
        <w:tc>
          <w:tcPr>
            <w:tcW w:w="540" w:type="dxa"/>
            <w:vAlign w:val="bottom"/>
          </w:tcPr>
          <w:p>
            <w:pPr>
              <w:ind w:left="360"/>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85</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PART IV</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5">
              <w:r>
                <w:rPr>
                  <w:rFonts w:ascii="Arial" w:cs="Arial" w:eastAsia="Arial" w:hAnsi="Arial"/>
                  <w:sz w:val="18"/>
                  <w:szCs w:val="18"/>
                  <w:color w:val="0000EE"/>
                </w:rPr>
                <w:t>Item 15. Exhibits and Financial Statement Schedules</w:t>
              </w:r>
            </w:hyperlink>
          </w:p>
        </w:tc>
        <w:tc>
          <w:tcPr>
            <w:tcW w:w="540" w:type="dxa"/>
            <w:vAlign w:val="bottom"/>
          </w:tcPr>
          <w:p>
            <w:pPr>
              <w:ind w:left="360"/>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85</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6">
              <w:r>
                <w:rPr>
                  <w:rFonts w:ascii="Arial" w:cs="Arial" w:eastAsia="Arial" w:hAnsi="Arial"/>
                  <w:sz w:val="18"/>
                  <w:szCs w:val="18"/>
                  <w:color w:val="0000EE"/>
                </w:rPr>
                <w:t>Item 16. Form 10-K Summary</w:t>
              </w:r>
            </w:hyperlink>
          </w:p>
        </w:tc>
        <w:tc>
          <w:tcPr>
            <w:tcW w:w="540" w:type="dxa"/>
            <w:vAlign w:val="bottom"/>
          </w:tcPr>
          <w:p>
            <w:pPr>
              <w:ind w:left="360"/>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7">
              <w:r>
                <w:rPr>
                  <w:rFonts w:ascii="Arial" w:cs="Arial" w:eastAsia="Arial" w:hAnsi="Arial"/>
                  <w:sz w:val="18"/>
                  <w:szCs w:val="18"/>
                  <w:color w:val="0000EE"/>
                </w:rPr>
                <w:t>Index to Exhibits</w:t>
              </w:r>
            </w:hyperlink>
          </w:p>
        </w:tc>
        <w:tc>
          <w:tcPr>
            <w:tcW w:w="540" w:type="dxa"/>
            <w:vAlign w:val="bottom"/>
          </w:tcPr>
          <w:p>
            <w:pPr>
              <w:ind w:left="360"/>
              <w:spacing w:after="0"/>
              <w:rPr>
                <w:rFonts w:ascii="Arial" w:cs="Arial" w:eastAsia="Arial" w:hAnsi="Arial"/>
                <w:sz w:val="18"/>
                <w:szCs w:val="18"/>
                <w:color w:val="0000EE"/>
                <w:w w:val="79"/>
              </w:rPr>
            </w:pPr>
            <w:hyperlink w:anchor="page87">
              <w:r>
                <w:rPr>
                  <w:rFonts w:ascii="Arial" w:cs="Arial" w:eastAsia="Arial" w:hAnsi="Arial"/>
                  <w:sz w:val="18"/>
                  <w:szCs w:val="18"/>
                  <w:color w:val="0000EE"/>
                  <w:w w:val="79"/>
                </w:rPr>
                <w:t>87</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90">
              <w:r>
                <w:rPr>
                  <w:rFonts w:ascii="Arial" w:cs="Arial" w:eastAsia="Arial" w:hAnsi="Arial"/>
                  <w:sz w:val="18"/>
                  <w:szCs w:val="18"/>
                  <w:color w:val="0000EE"/>
                </w:rPr>
                <w:t>Signatures</w:t>
              </w:r>
            </w:hyperlink>
          </w:p>
        </w:tc>
        <w:tc>
          <w:tcPr>
            <w:tcW w:w="540" w:type="dxa"/>
            <w:vAlign w:val="bottom"/>
          </w:tcPr>
          <w:p>
            <w:pPr>
              <w:ind w:left="360"/>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r>
      <w:tr>
        <w:trPr>
          <w:trHeight w:val="918"/>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"plan," "vision"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2013, we acquired BF Bolthouse Holdco LLC (Bolthouse Farms) and Plum, PBC (formerly Plum Inc.) (Plum). In 2014, we acquired Kelsen Group A/S (Kelsen) and divested our European simple meals business. In 2015, we acquired the assets of Garden Fresh Gourmet. On December 12, 2017, we acquired Pacific Foods of Oregon, LLC (Pacific Foods) and, on March 26, 2018, we acquired Snyder's-Lance, Inc. (Snyder's-Lance). See Note 3 to the Consolidated Financial Statements for additional information on our recent acquisitions.</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August 30, 2018, we announced our vision to be a leading snacks and simple meals company, with a portfolio of best-in-class products and brands in our core North American market. In support of this strategy, we will continue to focus on the integration of Snyder’s-Lance. We also announced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 In 2018, the international biscuits and snacks operating segment and the Campbell Fresh operating segment combined represent approximately $2.1 billion in net sales. We expect to use the proceeds from these divestitures to reduce debt. As a result of a more focused portfolio, we are pursuing increased multi-year cost savings initiatives with targeted annualized cost savings of $945 million by the end of 2022, which includes $295 million in synergies and run-rate cost savings from our acquisition of Snyder's-Lance. See "Management's Discussion and Analysis of Financial Condition and Results of Operations" for additional information regarding our strategy and cost savings initiatives.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Commencing in the third quarter of 2018, we have four operating segments and three reportable segments. The segments are aggregated based on similar economic characteristics, products, production processes, types or classes of customers, distribution methods, and regulatory environment. The reportable segments are:</w:t>
      </w:r>
    </w:p>
    <w:p>
      <w:pPr>
        <w:spacing w:after="0" w:line="127"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Americas Simple Meals and Beverages segment, which includes the retail and food service businesses in the U.S. and Canada.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 and </w:t>
      </w:r>
      <w:r>
        <w:rPr>
          <w:rFonts w:ascii="Arial" w:cs="Arial" w:eastAsia="Arial" w:hAnsi="Arial"/>
          <w:sz w:val="18"/>
          <w:szCs w:val="18"/>
          <w:i w:val="1"/>
          <w:iCs w:val="1"/>
          <w:color w:val="auto"/>
        </w:rPr>
        <w:t>Pacific</w:t>
      </w:r>
      <w:r>
        <w:rPr>
          <w:rFonts w:ascii="Arial" w:cs="Arial" w:eastAsia="Arial" w:hAnsi="Arial"/>
          <w:sz w:val="18"/>
          <w:szCs w:val="18"/>
          <w:color w:val="auto"/>
        </w:rPr>
        <w:t xml:space="preserve"> broth, soups, non-dairy beverages and other simple meals;</w:t>
      </w:r>
    </w:p>
    <w:p>
      <w:pPr>
        <w:spacing w:after="0" w:line="13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Global Biscuits and Snacks segment, which represents an aggregation of the following operating segments: the U.S. snacks operating segment, which includes Pepperidge Farm cookies, crackers, bakery and frozen products in U.S. retail, and Snyder’s-Lance pretzels, sandwich crackers, potato chips, tortilla chips and other snacking products in the U.S. and Europe; and the international biscuits and snacks operating segment, which includes Arnott’s biscuits in Australia and Asia Pacific, Kelsen cookies globally, the simple meals and shelf-stable beverages business in Australia and Asia Pacific, and the business in Latin America; and</w:t>
      </w:r>
    </w:p>
    <w:p>
      <w:pPr>
        <w:spacing w:after="0" w:line="13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Campbell Fresh segment, which includes: Bolthouse Farms fresh carrots, carrot ingredients, refrigerated beverages and refrigerated salad dressings; Garden Fresh Gourmet salsa, hummus, dips and tortilla chips; and the U.S. refrigerated soup business.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ind w:right="440"/>
        <w:spacing w:after="0" w:line="277" w:lineRule="auto"/>
        <w:rPr>
          <w:sz w:val="20"/>
          <w:szCs w:val="20"/>
          <w:color w:val="auto"/>
        </w:rPr>
      </w:pPr>
      <w:r>
        <w:rPr>
          <w:rFonts w:ascii="Arial" w:cs="Arial" w:eastAsia="Arial" w:hAnsi="Arial"/>
          <w:sz w:val="18"/>
          <w:szCs w:val="18"/>
          <w:color w:val="auto"/>
        </w:rPr>
        <w:t>See Note 6 to the Consolidated Financial Statements and "Management's Discussion and Analysis of Financial Condition and Results of Operations" for additional information regarding our reportable segments.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Ingredients and Packaging</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ingredients and packaging materials required for the manufacture of our food and beverage products are purchased from various suppliers. These items are subject to price fluctuations from a number of factors, including changes in crop size, cattle cycles, crop disease, crop pests, product scarcity, demand for raw materials, commodity market speculation, energy costs, currency fluctuations, government-sponsored agricultural programs, import and export requirements (including tariffs), drought, water scarcity, temperature extremes, scarcity of suitable agricultural land, scarcity of organic ingredients and other factors that may be beyond our control during the growing and harvesting seasons. To help reduce some of this price volatility, we use a combination of purchase orders, short- and long-term contracts, inventory management practices and various commodity risk management tools for most of our ingredients and packaging. Ingredient inventories are generally at a peak during the late fall and decline during the winter and spring. Since many ingredients of suitable quality are available in sufficient quantities only during certain seasons, we make commitments for the purchase of such ingredients in their respective seasons. In addition, certain of the materials required for the manufacture of our products, including steel, have been or may be impacted by new or recently proposed tariffs. At this time, we do not anticipate any material restrictions on the availability of ingredients or packaging that would have a significant impact on our businesses. For information on the impact of inflation, see "Management’s Discussion and Analysis of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most of our markets, sales and merchandising activities are conducted through our own sales force and/or third-party brokers and distribution partners. In the U.S., Canada and Latin America, our products are generally resold to consumers through retail food chains, mass discounters, mass merchandisers, club stores, convenience stores, drug stores, dollar stores, e-commerce and other retail, commercial and non-commercial establishments. Each of Pepperidge Farm and Snyder's-Lance also has a direct-store-delivery distribution model that uses independent contractor distributors. In the Asia Pacific region and Europe, our products are generally resold to consumers through retail food chains, convenience stores, e-commerce and other retail, commercial and non-commercial establishments. We make shipments promptly after acceptance of orders.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five largest customers accounted for approximately 38% of our consolidated net sales in 2018, 39% in 2017 and 40% in 2016. Our largest customer, Wal-Mart Stores, Inc. and its affiliates, accounted for approximately 18% of our consolidated net sales in 2018, and 20% of our consolidated net sales in 2017 and 2016. All of our reportable segments sold products to Wal-Mart Stores, Inc. or its affiliates. No other customer accounted for 10% or more of our consolidated net sales. For additional information on our customers, see "Management’s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Technology</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As of September 17, 2018, we owned over 4,400 trademark registrations and applications in over 160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Arial" w:cs="Arial" w:eastAsia="Arial" w:hAnsi="Arial"/>
          <w:sz w:val="16"/>
          <w:szCs w:val="16"/>
          <w:i w:val="1"/>
          <w:iCs w:val="1"/>
          <w:color w:val="auto"/>
        </w:rPr>
        <w:t>Arnott's</w:t>
      </w:r>
      <w:r>
        <w:rPr>
          <w:rFonts w:ascii="Arial" w:cs="Arial" w:eastAsia="Arial" w:hAnsi="Arial"/>
          <w:sz w:val="16"/>
          <w:szCs w:val="16"/>
          <w:color w:val="auto"/>
        </w:rPr>
        <w:t xml:space="preserve">, </w:t>
      </w:r>
      <w:r>
        <w:rPr>
          <w:rFonts w:ascii="Arial" w:cs="Arial" w:eastAsia="Arial" w:hAnsi="Arial"/>
          <w:sz w:val="16"/>
          <w:szCs w:val="16"/>
          <w:i w:val="1"/>
          <w:iCs w:val="1"/>
          <w:color w:val="auto"/>
        </w:rPr>
        <w:t>Bolthouse Farms</w:t>
      </w:r>
      <w:r>
        <w:rPr>
          <w:rFonts w:ascii="Arial" w:cs="Arial" w:eastAsia="Arial" w:hAnsi="Arial"/>
          <w:sz w:val="16"/>
          <w:szCs w:val="16"/>
          <w:color w:val="auto"/>
        </w:rPr>
        <w:t xml:space="preserve">, </w:t>
      </w:r>
      <w:r>
        <w:rPr>
          <w:rFonts w:ascii="Arial" w:cs="Arial" w:eastAsia="Arial" w:hAnsi="Arial"/>
          <w:sz w:val="16"/>
          <w:szCs w:val="16"/>
          <w:i w:val="1"/>
          <w:iCs w:val="1"/>
          <w:color w:val="auto"/>
        </w:rPr>
        <w:t>Campbell's</w:t>
      </w:r>
      <w:r>
        <w:rPr>
          <w:rFonts w:ascii="Arial" w:cs="Arial" w:eastAsia="Arial" w:hAnsi="Arial"/>
          <w:sz w:val="16"/>
          <w:szCs w:val="16"/>
          <w:color w:val="auto"/>
        </w:rPr>
        <w:t xml:space="preserve">, </w:t>
      </w:r>
      <w:r>
        <w:rPr>
          <w:rFonts w:ascii="Arial" w:cs="Arial" w:eastAsia="Arial" w:hAnsi="Arial"/>
          <w:sz w:val="16"/>
          <w:szCs w:val="16"/>
          <w:i w:val="1"/>
          <w:iCs w:val="1"/>
          <w:color w:val="auto"/>
        </w:rPr>
        <w:t>Cape Cod</w:t>
      </w:r>
      <w:r>
        <w:rPr>
          <w:rFonts w:ascii="Arial" w:cs="Arial" w:eastAsia="Arial" w:hAnsi="Arial"/>
          <w:sz w:val="16"/>
          <w:szCs w:val="16"/>
          <w:color w:val="auto"/>
        </w:rPr>
        <w:t xml:space="preserve">, </w:t>
      </w:r>
      <w:r>
        <w:rPr>
          <w:rFonts w:ascii="Arial" w:cs="Arial" w:eastAsia="Arial" w:hAnsi="Arial"/>
          <w:sz w:val="16"/>
          <w:szCs w:val="16"/>
          <w:i w:val="1"/>
          <w:iCs w:val="1"/>
          <w:color w:val="auto"/>
        </w:rPr>
        <w:t>Chunky</w:t>
      </w:r>
      <w:r>
        <w:rPr>
          <w:rFonts w:ascii="Arial" w:cs="Arial" w:eastAsia="Arial" w:hAnsi="Arial"/>
          <w:sz w:val="16"/>
          <w:szCs w:val="16"/>
          <w:color w:val="auto"/>
        </w:rPr>
        <w:t xml:space="preserve">, </w:t>
      </w:r>
      <w:r>
        <w:rPr>
          <w:rFonts w:ascii="Arial" w:cs="Arial" w:eastAsia="Arial" w:hAnsi="Arial"/>
          <w:sz w:val="16"/>
          <w:szCs w:val="16"/>
          <w:i w:val="1"/>
          <w:iCs w:val="1"/>
          <w:color w:val="auto"/>
        </w:rPr>
        <w:t>Emerald</w:t>
      </w:r>
      <w:r>
        <w:rPr>
          <w:rFonts w:ascii="Arial" w:cs="Arial" w:eastAsia="Arial" w:hAnsi="Arial"/>
          <w:sz w:val="16"/>
          <w:szCs w:val="16"/>
          <w:color w:val="auto"/>
        </w:rPr>
        <w:t xml:space="preserve">, </w:t>
      </w:r>
      <w:r>
        <w:rPr>
          <w:rFonts w:ascii="Arial" w:cs="Arial" w:eastAsia="Arial" w:hAnsi="Arial"/>
          <w:sz w:val="16"/>
          <w:szCs w:val="16"/>
          <w:i w:val="1"/>
          <w:iCs w:val="1"/>
          <w:color w:val="auto"/>
        </w:rPr>
        <w:t>Garden Fresh</w:t>
      </w:r>
      <w:r>
        <w:rPr>
          <w:rFonts w:ascii="Arial" w:cs="Arial" w:eastAsia="Arial" w:hAnsi="Arial"/>
          <w:sz w:val="16"/>
          <w:szCs w:val="16"/>
          <w:color w:val="auto"/>
        </w:rPr>
        <w:t xml:space="preserve"> </w:t>
      </w:r>
      <w:r>
        <w:rPr>
          <w:rFonts w:ascii="Arial" w:cs="Arial" w:eastAsia="Arial" w:hAnsi="Arial"/>
          <w:sz w:val="16"/>
          <w:szCs w:val="16"/>
          <w:i w:val="1"/>
          <w:iCs w:val="1"/>
          <w:color w:val="auto"/>
        </w:rPr>
        <w:t>Gourmet</w:t>
      </w:r>
      <w:r>
        <w:rPr>
          <w:rFonts w:ascii="Arial" w:cs="Arial" w:eastAsia="Arial" w:hAnsi="Arial"/>
          <w:sz w:val="16"/>
          <w:szCs w:val="16"/>
          <w:color w:val="auto"/>
        </w:rPr>
        <w:t>,</w:t>
      </w:r>
      <w:r>
        <w:rPr>
          <w:rFonts w:ascii="Arial" w:cs="Arial" w:eastAsia="Arial" w:hAnsi="Arial"/>
          <w:sz w:val="16"/>
          <w:szCs w:val="16"/>
          <w:i w:val="1"/>
          <w:iCs w:val="1"/>
          <w:color w:val="auto"/>
        </w:rPr>
        <w:t xml:space="preserve"> Goldfish</w:t>
      </w:r>
      <w:r>
        <w:rPr>
          <w:rFonts w:ascii="Arial" w:cs="Arial" w:eastAsia="Arial" w:hAnsi="Arial"/>
          <w:sz w:val="16"/>
          <w:szCs w:val="16"/>
          <w:color w:val="auto"/>
        </w:rPr>
        <w:t>,</w:t>
      </w:r>
      <w:r>
        <w:rPr>
          <w:rFonts w:ascii="Arial" w:cs="Arial" w:eastAsia="Arial" w:hAnsi="Arial"/>
          <w:sz w:val="16"/>
          <w:szCs w:val="16"/>
          <w:i w:val="1"/>
          <w:iCs w:val="1"/>
          <w:color w:val="auto"/>
        </w:rPr>
        <w:t xml:space="preserve"> KETTLE</w:t>
      </w:r>
      <w:r>
        <w:rPr>
          <w:rFonts w:ascii="Arial" w:cs="Arial" w:eastAsia="Arial" w:hAnsi="Arial"/>
          <w:sz w:val="16"/>
          <w:szCs w:val="16"/>
          <w:color w:val="auto"/>
        </w:rPr>
        <w:t>,</w:t>
      </w:r>
      <w:r>
        <w:rPr>
          <w:rFonts w:ascii="Arial" w:cs="Arial" w:eastAsia="Arial" w:hAnsi="Arial"/>
          <w:sz w:val="16"/>
          <w:szCs w:val="16"/>
          <w:i w:val="1"/>
          <w:iCs w:val="1"/>
          <w:color w:val="auto"/>
        </w:rPr>
        <w:t xml:space="preserve"> Kettle Brand</w:t>
      </w:r>
      <w:r>
        <w:rPr>
          <w:rFonts w:ascii="Arial" w:cs="Arial" w:eastAsia="Arial" w:hAnsi="Arial"/>
          <w:sz w:val="16"/>
          <w:szCs w:val="16"/>
          <w:color w:val="auto"/>
        </w:rPr>
        <w:t>,</w:t>
      </w:r>
      <w:r>
        <w:rPr>
          <w:rFonts w:ascii="Arial" w:cs="Arial" w:eastAsia="Arial" w:hAnsi="Arial"/>
          <w:sz w:val="16"/>
          <w:szCs w:val="16"/>
          <w:i w:val="1"/>
          <w:iCs w:val="1"/>
          <w:color w:val="auto"/>
        </w:rPr>
        <w:t xml:space="preserve"> Kjeldsens</w:t>
      </w:r>
      <w:r>
        <w:rPr>
          <w:rFonts w:ascii="Arial" w:cs="Arial" w:eastAsia="Arial" w:hAnsi="Arial"/>
          <w:sz w:val="16"/>
          <w:szCs w:val="16"/>
          <w:color w:val="auto"/>
        </w:rPr>
        <w:t>,</w:t>
      </w:r>
      <w:r>
        <w:rPr>
          <w:rFonts w:ascii="Arial" w:cs="Arial" w:eastAsia="Arial" w:hAnsi="Arial"/>
          <w:sz w:val="16"/>
          <w:szCs w:val="16"/>
          <w:i w:val="1"/>
          <w:iCs w:val="1"/>
          <w:color w:val="auto"/>
        </w:rPr>
        <w:t xml:space="preserve"> Lance</w:t>
      </w:r>
      <w:r>
        <w:rPr>
          <w:rFonts w:ascii="Arial" w:cs="Arial" w:eastAsia="Arial" w:hAnsi="Arial"/>
          <w:sz w:val="16"/>
          <w:szCs w:val="16"/>
          <w:color w:val="auto"/>
        </w:rPr>
        <w:t>,</w:t>
      </w:r>
      <w:r>
        <w:rPr>
          <w:rFonts w:ascii="Arial" w:cs="Arial" w:eastAsia="Arial" w:hAnsi="Arial"/>
          <w:sz w:val="16"/>
          <w:szCs w:val="16"/>
          <w:i w:val="1"/>
          <w:iCs w:val="1"/>
          <w:color w:val="auto"/>
        </w:rPr>
        <w:t xml:space="preserve"> Late July</w:t>
      </w:r>
      <w:r>
        <w:rPr>
          <w:rFonts w:ascii="Arial" w:cs="Arial" w:eastAsia="Arial" w:hAnsi="Arial"/>
          <w:sz w:val="16"/>
          <w:szCs w:val="16"/>
          <w:color w:val="auto"/>
        </w:rPr>
        <w:t>,</w:t>
      </w:r>
      <w:r>
        <w:rPr>
          <w:rFonts w:ascii="Arial" w:cs="Arial" w:eastAsia="Arial" w:hAnsi="Arial"/>
          <w:sz w:val="16"/>
          <w:szCs w:val="16"/>
          <w:i w:val="1"/>
          <w:iCs w:val="1"/>
          <w:color w:val="auto"/>
        </w:rPr>
        <w:t xml:space="preserve"> Milano</w:t>
      </w:r>
      <w:r>
        <w:rPr>
          <w:rFonts w:ascii="Arial" w:cs="Arial" w:eastAsia="Arial" w:hAnsi="Arial"/>
          <w:sz w:val="16"/>
          <w:szCs w:val="16"/>
          <w:color w:val="auto"/>
        </w:rPr>
        <w:t>,</w:t>
      </w:r>
      <w:r>
        <w:rPr>
          <w:rFonts w:ascii="Arial" w:cs="Arial" w:eastAsia="Arial" w:hAnsi="Arial"/>
          <w:sz w:val="16"/>
          <w:szCs w:val="16"/>
          <w:i w:val="1"/>
          <w:iCs w:val="1"/>
          <w:color w:val="auto"/>
        </w:rPr>
        <w:t xml:space="preserve"> Pace</w:t>
      </w:r>
      <w:r>
        <w:rPr>
          <w:rFonts w:ascii="Arial" w:cs="Arial" w:eastAsia="Arial" w:hAnsi="Arial"/>
          <w:sz w:val="16"/>
          <w:szCs w:val="16"/>
          <w:color w:val="auto"/>
        </w:rPr>
        <w:t>,</w:t>
      </w:r>
      <w:r>
        <w:rPr>
          <w:rFonts w:ascii="Arial" w:cs="Arial" w:eastAsia="Arial" w:hAnsi="Arial"/>
          <w:sz w:val="16"/>
          <w:szCs w:val="16"/>
          <w:i w:val="1"/>
          <w:iCs w:val="1"/>
          <w:color w:val="auto"/>
        </w:rPr>
        <w:t xml:space="preserve"> Pacific</w:t>
      </w:r>
      <w:r>
        <w:rPr>
          <w:rFonts w:ascii="Arial" w:cs="Arial" w:eastAsia="Arial" w:hAnsi="Arial"/>
          <w:sz w:val="16"/>
          <w:szCs w:val="16"/>
          <w:color w:val="auto"/>
        </w:rPr>
        <w:t>,</w:t>
      </w:r>
      <w:r>
        <w:rPr>
          <w:rFonts w:ascii="Arial" w:cs="Arial" w:eastAsia="Arial" w:hAnsi="Arial"/>
          <w:sz w:val="16"/>
          <w:szCs w:val="16"/>
          <w:i w:val="1"/>
          <w:iCs w:val="1"/>
          <w:color w:val="auto"/>
        </w:rPr>
        <w:t xml:space="preserve"> Pepperidge Farm</w:t>
      </w:r>
      <w:r>
        <w:rPr>
          <w:rFonts w:ascii="Arial" w:cs="Arial" w:eastAsia="Arial" w:hAnsi="Arial"/>
          <w:sz w:val="16"/>
          <w:szCs w:val="16"/>
          <w:color w:val="auto"/>
        </w:rPr>
        <w:t>,</w:t>
      </w:r>
      <w:r>
        <w:rPr>
          <w:rFonts w:ascii="Arial" w:cs="Arial" w:eastAsia="Arial" w:hAnsi="Arial"/>
          <w:sz w:val="16"/>
          <w:szCs w:val="16"/>
          <w:i w:val="1"/>
          <w:iCs w:val="1"/>
          <w:color w:val="auto"/>
        </w:rPr>
        <w:t xml:space="preserve"> Plum</w:t>
      </w:r>
      <w:r>
        <w:rPr>
          <w:rFonts w:ascii="Arial" w:cs="Arial" w:eastAsia="Arial" w:hAnsi="Arial"/>
          <w:sz w:val="16"/>
          <w:szCs w:val="16"/>
          <w:color w:val="auto"/>
        </w:rPr>
        <w:t>,</w:t>
      </w:r>
      <w:r>
        <w:rPr>
          <w:rFonts w:ascii="Arial" w:cs="Arial" w:eastAsia="Arial" w:hAnsi="Arial"/>
          <w:sz w:val="16"/>
          <w:szCs w:val="16"/>
          <w:i w:val="1"/>
          <w:iCs w:val="1"/>
          <w:color w:val="auto"/>
        </w:rPr>
        <w:t xml:space="preserve"> Pop Secret</w:t>
      </w:r>
      <w:r>
        <w:rPr>
          <w:rFonts w:ascii="Arial" w:cs="Arial" w:eastAsia="Arial" w:hAnsi="Arial"/>
          <w:sz w:val="16"/>
          <w:szCs w:val="16"/>
          <w:color w:val="auto"/>
        </w:rPr>
        <w:t>,</w:t>
      </w:r>
      <w:r>
        <w:rPr>
          <w:rFonts w:ascii="Arial" w:cs="Arial" w:eastAsia="Arial" w:hAnsi="Arial"/>
          <w:sz w:val="16"/>
          <w:szCs w:val="16"/>
          <w:i w:val="1"/>
          <w:iCs w:val="1"/>
          <w:color w:val="auto"/>
        </w:rPr>
        <w:t xml:space="preserve"> Prego</w:t>
      </w:r>
      <w:r>
        <w:rPr>
          <w:rFonts w:ascii="Arial" w:cs="Arial" w:eastAsia="Arial" w:hAnsi="Arial"/>
          <w:sz w:val="16"/>
          <w:szCs w:val="16"/>
          <w:color w:val="auto"/>
        </w:rPr>
        <w:t>,</w:t>
      </w:r>
      <w:r>
        <w:rPr>
          <w:rFonts w:ascii="Arial" w:cs="Arial" w:eastAsia="Arial" w:hAnsi="Arial"/>
          <w:sz w:val="16"/>
          <w:szCs w:val="16"/>
          <w:i w:val="1"/>
          <w:iCs w:val="1"/>
          <w:color w:val="auto"/>
        </w:rPr>
        <w:t xml:space="preserve"> Royal Dansk</w:t>
      </w:r>
      <w:r>
        <w:rPr>
          <w:rFonts w:ascii="Arial" w:cs="Arial" w:eastAsia="Arial" w:hAnsi="Arial"/>
          <w:sz w:val="16"/>
          <w:szCs w:val="16"/>
          <w:color w:val="auto"/>
        </w:rPr>
        <w:t>,</w:t>
      </w:r>
      <w:r>
        <w:rPr>
          <w:rFonts w:ascii="Arial" w:cs="Arial" w:eastAsia="Arial" w:hAnsi="Arial"/>
          <w:sz w:val="16"/>
          <w:szCs w:val="16"/>
          <w:i w:val="1"/>
          <w:iCs w:val="1"/>
          <w:color w:val="auto"/>
        </w:rPr>
        <w:t xml:space="preserve"> Snack Factory Pretzel Crisps</w:t>
      </w:r>
      <w:r>
        <w:rPr>
          <w:rFonts w:ascii="Arial" w:cs="Arial" w:eastAsia="Arial" w:hAnsi="Arial"/>
          <w:sz w:val="16"/>
          <w:szCs w:val="16"/>
          <w:color w:val="auto"/>
        </w:rPr>
        <w:t>,</w:t>
      </w:r>
      <w:r>
        <w:rPr>
          <w:rFonts w:ascii="Arial" w:cs="Arial" w:eastAsia="Arial" w:hAnsi="Arial"/>
          <w:sz w:val="16"/>
          <w:szCs w:val="16"/>
          <w:i w:val="1"/>
          <w:iCs w:val="1"/>
          <w:color w:val="auto"/>
        </w:rPr>
        <w:t xml:space="preserve"> Snyder's of Hanover</w:t>
      </w:r>
      <w:r>
        <w:rPr>
          <w:rFonts w:ascii="Arial" w:cs="Arial" w:eastAsia="Arial" w:hAnsi="Arial"/>
          <w:sz w:val="16"/>
          <w:szCs w:val="16"/>
          <w:color w:val="auto"/>
        </w:rPr>
        <w:t>,</w:t>
      </w:r>
      <w:r>
        <w:rPr>
          <w:rFonts w:ascii="Arial" w:cs="Arial" w:eastAsia="Arial" w:hAnsi="Arial"/>
          <w:sz w:val="16"/>
          <w:szCs w:val="16"/>
          <w:i w:val="1"/>
          <w:iCs w:val="1"/>
          <w:color w:val="auto"/>
        </w:rPr>
        <w:t xml:space="preserve"> Swanson</w:t>
      </w:r>
      <w:r>
        <w:rPr>
          <w:rFonts w:ascii="Arial" w:cs="Arial" w:eastAsia="Arial" w:hAnsi="Arial"/>
          <w:sz w:val="16"/>
          <w:szCs w:val="16"/>
          <w:color w:val="auto"/>
        </w:rPr>
        <w:t>, and</w:t>
      </w:r>
      <w:r>
        <w:rPr>
          <w:rFonts w:ascii="Arial" w:cs="Arial" w:eastAsia="Arial" w:hAnsi="Arial"/>
          <w:sz w:val="16"/>
          <w:szCs w:val="16"/>
          <w:i w:val="1"/>
          <w:iCs w:val="1"/>
          <w:color w:val="auto"/>
        </w:rPr>
        <w:t xml:space="preserve"> V8</w:t>
      </w:r>
      <w:r>
        <w:rPr>
          <w:rFonts w:ascii="Arial" w:cs="Arial" w:eastAsia="Arial" w:hAnsi="Arial"/>
          <w:sz w:val="16"/>
          <w:szCs w:val="16"/>
          <w:color w:val="auto"/>
        </w:rPr>
        <w:t>, are protected by trademark law in the major markets where they are used.</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operate in a highly competitive industry and experience competition in all of our categories. This competition arises from numerous competitors of varying sizes across multiple food and beverage categories, and includes producers of private label products, as well as other branded food and beverage manufacturers. Private label products are generally sold at prices lower than prices for branded products. Competitors market and sell their products through traditional retailers and e-commerce. All of these competitors vie for trade merchandising support and consumer dollars. The number of competitors cannot be reliably estimated. The principal areas of competition are brand recognition, taste, nutritional value, price, promotion, innovation, shelf space and customer service.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relating to our cash flows from operations and working capital items, see "Management’s Discussion and Analysis of Financial Condition and Results of Operations."</w:t>
      </w:r>
    </w:p>
    <w:p>
      <w:pPr>
        <w:sectPr>
          <w:pgSz w:w="11900" w:h="16838" w:orient="portrait"/>
          <w:cols w:equalWidth="0" w:num="1">
            <w:col w:w="11420"/>
          </w:cols>
          <w:pgMar w:left="240" w:top="1233"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33"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2018, our aggregate capital expenditures were $407 million. We expect to spend approximately $400 million for capital projects in 2019. Major capital projects based on planned spend in 2019 include a U.S. warehouse optimization project, transition of production of the Toronto manufacturing facility to our U.S. thermal plants and ongoing refrigeration system replacement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last three fiscal years, our expenditures on research and development activities relating to new products and the improvement and maintenance of existing products were $110 million in 2018, $111 million in 2017, and $105 million in 2016. The decrease from 2017 to 2018 was primarily due to lower investments in long-term innovation and lower incentive compensation costs, partially offset by the impact of acquisitions, inflation and other factors. The increase from 2016 to 2017 was primarily due to inflation and other factors, and investments in long-term innovation, partially offset by increased benefits from cost savings initiatives and lower incentive compensation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manufacture and sale of consumer food products is highly regulated. In the U.S., our activities are subject to regulation by various federal government agencies, including the Food and Drug Administration, Department of Agriculture, Federal Trade Commission, Department of Labor, Department of Commerce and Environmental Protection Agency, as well as various state and local agencies. Our business is also regulated by similar agencies outside of the U.S. In addition, the current U.S. administration has implemented and is considering tariffs on certain imported commodities, including steel tariffs. In response, other countries have adopted and/or considering countervailing tariffs on imported food and agriculture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requirements for the operation and design of our facilities that meet or exceed applicable environmental rules and regulations. Of our $407 million in capital expenditures made during 2018, approximately $12 million were for compliance with environmental laws and regulations in the U.S. We further estimate that approximately $28 million of the capital expenditures anticipated during 2019 will be for compliance with U.S. environmental laws and regulations. We believe that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Demand for soup products is seasonal, with the fall and winter months usually accounting for the highest sales volume. Sales of Kelsen products are also highest in the fall and winter months due primarily to holiday gift giving, including the Chinese New Year. Demand for our other products is generally evenly distributed throughout the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29, 2018, we had approximately 23,000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information for our reportable segments and geographic areas is found in Note 6 to the Consolidated Financial Statements. For risks attendant to our foreign operations, see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primary corporate website can be found at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We make available free of charge at this website (under the "Investor Center — Financial Information — SEC Filings" caption) all of our reports (including amendments) filed or furnished pursuant to Section 13(a) or 15(d) of the Securities Exchange Act of 1934, as amended, including our annual report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adversely affect our business, financial condition and results of operations. Additional risks and uncertainties not presently known to us or that we currently deem immaterial also may impair our business operations and financial condition.</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10"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Operational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may not be successful and our business or financial results may be adversely impacted</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our vision to be a leading snacks and simple meals company, with a portfolio of best-in-class products and brands in our core North American market. This strategy entails a refocused portfolio that includes brands concentrated in slower-growing center-store categories in traditional retail grocery channels. Factors that may impact our success include our ability to:</w:t>
      </w:r>
    </w:p>
    <w:p>
      <w:pPr>
        <w:spacing w:after="0" w:line="1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capture increased market share in certain snacking and simple meals categories, while maintaining our leading market share in other categories;</w:t>
      </w:r>
    </w:p>
    <w:p>
      <w:pPr>
        <w:spacing w:after="0" w:line="221" w:lineRule="exact"/>
        <w:rPr>
          <w:rFonts w:ascii="Arial" w:cs="Arial" w:eastAsia="Arial" w:hAnsi="Arial"/>
          <w:sz w:val="16"/>
          <w:szCs w:val="16"/>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capitalize on customer or consumer trends;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and implement effective retail execution plans;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and implement effective advertising and marketing programs, including digital programs;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secure or maintain sufficient shelf space at retailers.</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not successful in addressing these factors, or if there are changes in the underlying growth rates of the categories in which we compete, our strategy may not be successful and our business or financial results may be adversely impacted.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affected by our inability to complete or realize the projected benefits of divestitures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August 30, 2018, we announced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 We expect to use the proceeds from these divestitures to reduce debt. Our ability to successfully divest these businesses and any other businesses we decide to divest may depend in part on our ability to identify suitable buyers, negotiate favorable financial and other contractual terms and obtain all necessary regulatory approvals on the terms expected. Potential risks of divestitures may also include diversion of management's attention from other business concerns, loss of key employees, suppliers and/or customers of divested businesses, the inability to separate divested businesses or business units effectively and efficiently from our existing business operations and the inability to reduce or eliminate associated overhead costs. If we are unable to complete or realize the projected benefits of planned and/or future divestitures, we may not be able to reduce our debt as planned and our business or financial results may be adversely impacted.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incurred substantial indebtedness to finance the acquisition of Snyder's-Lance</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closing of the acquisition of Snyder's-Lance and the payoff of Snyder's-Lance indebtedness, we incurred approximately $6.2 billion of indebtedness through a combination of senior notes and a senior unsecured term loan facility. This substantial level of indebtedness increased our debt service obligations. It may also have other important consequences to our business, including but not limited to:</w:t>
      </w:r>
    </w:p>
    <w:p>
      <w:pPr>
        <w:spacing w:after="0" w:line="11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exposure to fluctuations in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subjecting us to financial and other covenants, the non-compliance with which could result in an event of default;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including undertaking significant capital projects;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placing us at a competitive disadvantage as compared to our competitors, to the extent that they are not as highly leveraged;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restricting us from pursuing certain business opportunities, including other acquisitions.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regularly access the commercial paper markets for working capital needs and other general corporate purposes. If our credit ratings are further downgraded, we may have difficulty selling additional debt securities or borrowing money in the amounts and on the terms that might be available if our credit ratings were maintained. See "Management's Discussion and Analysis of Financial Condition and Results of Operations - Liquidity and Capital Resources" for information regarding our credit ratings.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Disruptions in the commercial paper market or other effects of volatile economic conditions on the credit markets may also reduce the amount of commercial paper that we can issue and raise our borrowing costs for both short- and long-term debt offerings. There can be no assurance that we will have access to the capital markets on terms we find acceptable. Limitations on our ability to access the capital markets, a reduction in our liquidity or an increase in our borrowing costs may adversely affect our business and financial results.</w:t>
      </w:r>
    </w:p>
    <w:p>
      <w:pPr>
        <w:sectPr>
          <w:pgSz w:w="11900" w:h="16838" w:orient="portrait"/>
          <w:cols w:equalWidth="0" w:num="1">
            <w:col w:w="11420"/>
          </w:cols>
          <w:pgMar w:left="240" w:top="1229"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We may not realize the anticipated benefits from our cost reduction initiatives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pursuing multi-year cost savings initiatives with targeted annualized cost savings of $945 million by the end of 2022, which includes $295 million in synergies and run-rate cost savings from our acquisition of Snyder's-Lance. These initiatives will require a substantial amount of management and operational resources. Our management team must successfully execute the administrative and operational changes necessary to achieve the anticipated benefits of these initiatives and, in some respects, our plans to achieve these cost savings continue to be in development. See "Management's Discussion and Analysis of Financial Condition and Results of Operation - Restructuring Charges and Cost Savings Initiatives" for additional information on these initiatives. These and related demands on our resources may divert the organization's attention from other business issues, have adverse effects on existing business relationships with suppliers and customers and impact employee morale. Our success is partly dependent upon properly executing, and realizing cost savings or other benefits from, these often complex initiatives. Any failure to implement our initiatives could adversely affect our business or financial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anticipated benefits of acquiring Snyder's-Lance may not be fully realized or realized within the time frame that we expect</w:t>
      </w:r>
    </w:p>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expect that the acquisition of Snyder's-Lance will result in various benefits including, among other things, cost savings, cost synergies, a strengthened market position and revenue opportunities. Achieving these anticipated benefits is subject to uncertainties, including whether we integrate in an efficient and effective manner, and general competitive factors in the marketplace. Integrating Snyder's-Lance will be a complex and time-consuming process that requires investment. We may experience unanticipated difficulties, delays or expenses related to the integration, including but not limited to:</w:t>
      </w:r>
    </w:p>
    <w:p>
      <w:pPr>
        <w:spacing w:after="0" w:line="10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diversion of management's attention from ongoing business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a larger combined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finalizing the integration of Snyder's-Lance's past acquisitions to the extent not yet completed;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perceived adverse changes in product offerings to consumers, whether or not these changes actually occur;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retention of key suppliers and customers of Snyder's-Lance;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attracting new business and operational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retaining and integrating key employees and maintaining employee morale.</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plan to combine certain operations, functions, systems and processes, which we may be unsuccessful or delayed in implementing. In addition, costs for synergies and integration may be more than anticipated, and there are many factors beyond our control that could affect the total amount or timing of these expenses. Although we expect that the elimination of duplicative costs and realization of other efficiencies related to the integration of the businesses will offset incremental costs over time, any net benefit may not be achieved in the near term or at all. The failure to effectively address any of these risks, or any other risks related to the integration of the Snyder's-Lance acquisition, may adversely affect our business and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increase prices to fully offset increases in the cost of transportation and logistics and prices of raw and packaging materials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cost of distribution has increased due to a significant rise in transportation and logistics costs, driven by excess demand, reduced availability and higher fuel costs. In addition, certain of the materials required for the manufacture of our products, including steel, have been or may be impacted by new or recently proposed tariffs.</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manufacturer of food and beverage products, the raw and packaging materials used in our business include tomato paste, grains, beef, poultry, dairy, vegetables, steel, glass, paper and resin. Many of these materials are subject to price fluctuations from a number of factors, including but not limited to changes in crop size, cattle cycles, crop disease, crop pests, product scarcity, demand for raw materials, commodity market speculation, energy costs, currency fluctuations, government-sponsored agricultural programs, import and export requirements (including tariffs), drought, water scarcity, temperature extremes, scarcity of suitable agricultural land, scarcity of organic ingredients and other factors that may be beyond our control. We may not be able to offset any price increases through productivity or price increases or through our commodity hedging activity.</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try to pass along to customers some or all cost increases through increases in the selling prices of, or decreases in the packaging sizes of, some of our products. Higher product prices or smaller packaging sizes may result in reductions in sales volume. To the extent that price increases or packaging size decreases are not sufficient to offset these increased costs, and/or if they result in significant decreases in sales volume, our business results and financial condition may be adversely affected.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1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operate in the highly competitive food and beverage industry and experience competition in all of our categories. The principal areas of competition are brand recognition, taste, nutritional value, price, promotion, innovation, shelf space and customer service. A number of our primary competitors are larger than us and have substantial financial, marketing and other resources. In addition, reduced barriers to entry and easier access to funding are creating new competition. A strong competitive response from one or more of these competitors to our marketplace efforts, or a continued shift towards private label offerings, could result in us reducing prices, increasing marketing or other expenditures, and/or losing market share.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changing customer landscape and the increased significance of some of our customers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businesses are largely concentrated in the traditional retail grocery trade, which has experienced slower growth than other retail channels, such as dollar stores, drug stores, club stores and e-commerce retailers. This trend away from traditional retail grocery is expected to continue in the future. If we are not successful in expanding sales in growing retail channels, our business or financial results may be adversely impacted. In addition, retailers with increased buying power and negotiating strength are seeking more favorable terms, including increased promotional programs funded by their suppliers. In 2018, U.S. soup sales declined primarily due to a key customer's different promotional approach for soup. These customers may also use more of their shelf space for their private label products. If we are unable to use our scale, marketing expertise, product innovation and category leadership positions to respond to these customer dynamics, our business or financial results could be adversely impacted.</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2018, our five largest customers accounted for approximately 38% of our consolidated net sales, with the largest customer, Wal-Mart Stores, Inc. and its affiliates, accounting for approximately 18% of our consolidated net sales.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impacted if consumers do not maintain their favorable perception of our brands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iconic brands with significant value. Maintaining and continually enhancing the value of these brands is critical to the success of our business. Brand value is primarily based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adversely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 to our supply chain could adversely affect our business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ability to manufacture and/or sell our products may be impaired by damage or disruption to our manufacturing, warehousing or distribution capabilities, or to the capabilities of our suppliers, contract manufacturers, logistics service providers or independent distributors. This damage or disruption could result from execution issues, as well as factors that are hard to predict or beyond our control, such as product or raw material scarcity, adverse weather conditions, natural disasters, fire, terrorism, pandemics, strikes or other events. Production of the agricultural commodities used in our business may also be adversely affected by drought, water scarcity, temperature extremes, scarcity of suitable agricultural land, scarcity of organic ingredients, crop size, cattle cycles, crop disease and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contract manufacturers, logistics service providers or independent distributors, including disputes regarding pricing or performance, may also adversely affect our ability to manufacture and/or sell our products, as well as our business or financial results.</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food products become adulterated or are mislabeled, we might need to recall those items, and we may experience product liability claims and damage to our reputation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in the past and we may, in the future, need to recall some of our products if they become adulterated or if they are mislabeled, and we may also be liable if the consumption of any of our products causes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that category.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non-U.S. operations pose additional risks to our business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2018, approximately 19% of our consolidated net sales were generated outside of the U.S. Our business or financial condition may be adversely affected due to the risks of doing business in these markets, including but not limited to the following:</w:t>
      </w:r>
    </w:p>
    <w:p>
      <w:pPr>
        <w:spacing w:after="0" w:line="143" w:lineRule="exact"/>
        <w:rPr>
          <w:sz w:val="20"/>
          <w:szCs w:val="20"/>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and import restrictions;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adverse impact of foreign tax treaties and policies;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and/or costs of complying with a wide variety of laws, treaties and regulations, including anti-corruption laws and regulations such as the U.S. Foreign Corrupt Practices Act;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and/or costs of designing and implementing an effective control environment across diverse regions and employee 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or economic instability, including the possibility of civil unrest, public corruption, armed hostilities or terrorist 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possible nationalization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enforcing remedies and protecting intellectual property in various jurisdictions;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countries outside of the U.S., including potential adverse tax consequences.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hold assets and incur liabilities, generate revenue, and pay expenses in a variety of currencies other than the U.S. dollar, primarily the Australian dollar and the Canadian dollar. Our consolidated financial statements are presented in U.S. dollars, and we must translate our assets, liabilities, sales and expenses into U.S. dollars for external reporting purposes. As a result, changes in the value of the U.S. dollar due to fluctuations in currency exchange rates or currency exchange controls may materially and adversely affect the value of these items in our consolidated financial statements, even if their value has not changed in their local currency.</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which includes Arnott’s, Kelsen and our operations in Indonesia, Malaysia, Hong Kong and Japan. If and until this operating segment is divested, we expect to continue to conduct business as usual in markets outside of the U.S.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of the carrying value of goodwill or other indefinite-lived intangible assets could adversely affect our financial results and net worth</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July 29, 2018, we had goodwill of $4.580 billion and other indefinite-lived intangible assets of $3.123 billion.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the reporting unit or indefinite-lived intangible assets exceed their fair value, the goodwill or indefinite-lived intangible assets are considered impaired and reduced to fair value. Factors that could result in an impairment include a change in revenue growth rates, operating margins, weighted average cost of capital, future economic and market conditions or assumed royalty rates. We have, in the most recently completed and prior years, experienced impairment charges. See "Significant Accounting Estimates" and Note 5 to the Consolidated Financial Statements for additional information on past impairments. We may be required in the future to record additional impairment of the carrying value of goodwill or other indefinite-lived intangible assets, which could adversely affect our financial results and net worth.</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rights are valuable, and any inability to protect them could reduce the value of our products and brands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We may be adversely impacted by increased liabilities and costs related to our defined benefit pension plans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sponsor a number of defined benefit pension plans for certain employees in the U.S. and various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or future funding requirements could have a material adverse effect on our financial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failure or security breach of our information technology systems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information technology systems are critically important to our operations. We rely on our information technology systems (some of which are outsourced to third parties) to manage our data, communications and business processes, including our marketing, sales, manufacturing, procurement, logistics, customer service, accounting and administrative functions. If we do not allocate and effectively manage the resources necessary to build, sustain and protect appropriate information technology systems, our business or financial results could be adversely impacted. Furthermore, our information technology systems may be vulnerable to attack or other security breaches (including the access to or acquisition of customer, consumer or other confidential information), service disruptions or other system failures. If we are unable to prevent or adequately respond to and resolve these breaches, disruptions or failures, our operations may be impacted, and we may suffer other adverse consequences such as reputational damage, litigation, remediation costs and/or penalties under various data privacy laws and regulations.</w:t>
      </w:r>
    </w:p>
    <w:p>
      <w:pPr>
        <w:spacing w:after="0" w:line="4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To address the risks to our information technology systems and the associated costs, we maintain an information security program that includes updating technology and security policies, cyber insurance, employee training, and monitoring and routine testing of our information technology systems. Although we have not experienced a material incident to date, there can be no assurance that these measures will prevent or limit the impact of a future incident.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and retain the highly skilled people we need to support our business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18, 2018, we announced the appointment of an Interim President and Chief Executive Officer. The search for and transition to a permanent President and Chief Executive Officer may result in disruptions to our business and uncertainty among investors, employees and others concerning our future direction and performance. Any such disruptions and uncertainty, as well as the failure to successfully identify, attract or retain a permanent President and Chief Executive Officer, could have an adverse effect on our business and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may be adversely affected by our inability to complete or realize the projected benefits of acquisitions and other strategic transactions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undertake additional acquisitions or other strategic transactions.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1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integrate acquired businesses into our existing operations in a timely and cost-efficient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loss of key employees, suppliers and/or customers of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achieve anticipated benefits, including revenues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costs of acquired businesses may be greater than expected;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inability to promptly implement an effective control environment;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inherent in entering markets or lines of business with which we have limited or no prior experience.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Acquisitions outside the U.S. may present added unique challenges and increase our exposure to risks associated with foreign operations, including foreign currency risks and risks associated with local regulatory regimes.</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0" w:right="239" w:bottom="1440" w:gutter="0" w:footer="0" w:header="0"/>
          <w:type w:val="continuous"/>
        </w:sectPr>
      </w:pPr>
    </w:p>
    <w:bookmarkStart w:id="10" w:name="page11"/>
    <w:bookmarkEnd w:id="10"/>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Conditions and Other General Risk Factors</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Actions of activist shareholders could cause us to incur substantial costs, divert management's attention and resources, and have an adverse effect on our business</w:t>
      </w:r>
    </w:p>
    <w:p>
      <w:pPr>
        <w:spacing w:after="0" w:line="11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become the target of activist shareholder activities. If these activities continue, our business could be adversely affected because responding to proxy contests and reacting to other actions by activist shareholders can be costly and time-consuming, disrupt our operations and divert the attention of management and our employees. In addition, perceived uncertainties as to our future direction, strategy or leadership created as a consequence of activist shareholder initiatives may result in the loss of potential business opportunities, harm our ability to attract new investors, customers, employees, suppliers and other strategic partners, and cause our share price to experience periods of volatility or stagnation.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 financial and credit market disruptions and other economic conditions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 and consumer demand for our products may be impacted by weak economic conditions, recession, equity market volatility or other negative economic factors in the U.S. or other nations. Similarly, disruptions in financial and/or credit markets may impact our ability to manage normal commercial relationships with our customers, suppliers and creditors. In addition, changes in tax or interest rates in the U.S. or other nations, whether due to recession, financial and credit market disruptions or other reasons, may adversely impact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the global climate or extreme weather conditions could adversely affect our business or operations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business or financial results could be adversely affected by changing global temperatures or weather patterns or by extreme or unusual weather conditions. Adverse changes in the global climate or extreme or unusual weather conditions could:</w:t>
      </w:r>
    </w:p>
    <w:p>
      <w:pPr>
        <w:spacing w:after="0" w:line="116"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unfavorably impact the cost or availability of raw or packaging materials, especially if such events have an adverse impact on agricultural productivity or on the supply of water;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 our ability, or the ability of our suppliers or contract manufacturers, to manufacture or distribute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 the retail operations of our customers;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unfavorably impact the demand for, or the consumer's ability to purchase, our products.</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addition, there is growing concern that the release of carbon dioxide and other greenhouse gases into the atmosphere may be impacting global temperatures and weather patterns and contributing to extreme or unusual weather conditions. This growing concern may result in more regional, federal, and/or global legal and regulatory requirements to reduce or mitigate the effects of greenhouse gases. Adoption of such additional regulation may result in increased compliance costs, capital expenditures and other financial obligations that could adversely affect our business and financial results.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legal and regulatory proceedings or claims</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party to a variety of legal and regulatory proceedings and claims arising out of the normal course of business.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The marketing of food products has come under increased regulatory scrutiny in recent years, and the food industry has been subject to an increasing number of proceedings and claims relating to alleged false or deceptive marketing under federal, state and foreign laws or regulations. In addition, the independent contractor distribution model, which is used by Pepperidge Farm and Snyder’s-Lance, has come under increased regulatory scrutiny. Our independent contractor distribution model has also been the subject of various lawsuits in recent years.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regulation or changes in law could adversely affect our business or financial results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federal government agencies, including but not limited to the Food and Drug Administration, the Department of Agriculture, the Federal Trade Commission, the Occupational Safety and Health Administration and the Environmental Protection Agency, as well as various state and local agencies. We are also regulated by similar agencies outside the U.S.</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Governmental and administrative bodies within the U.S. are considering a variety of tax, trade and other regulatory reforms. Trade reforms include tariffs on certain materials used in the manufacture of our products and tariffs on certain finished products.</w:t>
      </w:r>
    </w:p>
    <w:p>
      <w:pPr>
        <w:sectPr>
          <w:pgSz w:w="11900" w:h="16838" w:orient="portrait"/>
          <w:cols w:equalWidth="0" w:num="1">
            <w:col w:w="11420"/>
          </w:cols>
          <w:pgMar w:left="240" w:top="144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40" w:right="239" w:bottom="1440" w:gutter="0" w:footer="0" w:header="0"/>
          <w:type w:val="continuous"/>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Changes in legal or regulatory requirements (such as new food safety requirements and revised regulatory requirements for the labeling of nutrition facts, serving sizes and genetically modified ingredients), or evolving interpretations of existing legal or regulatory requirements, may result in increased compliance cost, capital expenditures and other financial obligations that could adversely affect our business and financial results.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executive offices are company-owned and located in Camden, New Jersey. The following table sets forth our principal manufacturing facilities and the business segment that primarily uses each of the facilities: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Manufacturing Facilities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Inside the U.S.</w:t>
            </w:r>
          </w:p>
        </w:tc>
        <w:tc>
          <w:tcPr>
            <w:tcW w:w="3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Arizona</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Massachusetts</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Pennsylvania</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Goodyear (GBS)</w:t>
            </w:r>
          </w:p>
        </w:tc>
        <w:tc>
          <w:tcPr>
            <w:tcW w:w="3040" w:type="dxa"/>
            <w:vAlign w:val="bottom"/>
          </w:tcPr>
          <w:p>
            <w:pPr>
              <w:ind w:left="380"/>
              <w:spacing w:after="0"/>
              <w:rPr>
                <w:sz w:val="20"/>
                <w:szCs w:val="20"/>
                <w:color w:val="auto"/>
              </w:rPr>
            </w:pPr>
            <w:r>
              <w:rPr>
                <w:rFonts w:ascii="Arial" w:cs="Arial" w:eastAsia="Arial" w:hAnsi="Arial"/>
                <w:sz w:val="18"/>
                <w:szCs w:val="18"/>
                <w:color w:val="auto"/>
              </w:rPr>
              <w:t>Hyannis (GBS)</w:t>
            </w:r>
          </w:p>
        </w:tc>
        <w:tc>
          <w:tcPr>
            <w:tcW w:w="3200" w:type="dxa"/>
            <w:vAlign w:val="bottom"/>
          </w:tcPr>
          <w:p>
            <w:pPr>
              <w:ind w:left="1100"/>
              <w:spacing w:after="0"/>
              <w:rPr>
                <w:sz w:val="20"/>
                <w:szCs w:val="20"/>
                <w:color w:val="auto"/>
              </w:rPr>
            </w:pPr>
            <w:r>
              <w:rPr>
                <w:rFonts w:ascii="Arial" w:cs="Arial" w:eastAsia="Arial" w:hAnsi="Arial"/>
                <w:sz w:val="18"/>
                <w:szCs w:val="18"/>
                <w:color w:val="auto"/>
              </w:rPr>
              <w:t>Denver (GBS)</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California</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Michigan</w:t>
            </w:r>
          </w:p>
        </w:tc>
        <w:tc>
          <w:tcPr>
            <w:tcW w:w="3200" w:type="dxa"/>
            <w:vAlign w:val="bottom"/>
          </w:tcPr>
          <w:p>
            <w:pPr>
              <w:ind w:left="1100"/>
              <w:spacing w:after="0"/>
              <w:rPr>
                <w:sz w:val="20"/>
                <w:szCs w:val="20"/>
                <w:color w:val="auto"/>
              </w:rPr>
            </w:pPr>
            <w:r>
              <w:rPr>
                <w:rFonts w:ascii="Arial" w:cs="Arial" w:eastAsia="Arial" w:hAnsi="Arial"/>
                <w:sz w:val="18"/>
                <w:szCs w:val="18"/>
                <w:color w:val="auto"/>
              </w:rPr>
              <w:t>Downingtown (GBS)</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Bakersfield (CF)</w:t>
            </w:r>
          </w:p>
        </w:tc>
        <w:tc>
          <w:tcPr>
            <w:tcW w:w="3040" w:type="dxa"/>
            <w:vAlign w:val="bottom"/>
          </w:tcPr>
          <w:p>
            <w:pPr>
              <w:ind w:left="380"/>
              <w:spacing w:after="0"/>
              <w:rPr>
                <w:sz w:val="20"/>
                <w:szCs w:val="20"/>
                <w:color w:val="auto"/>
              </w:rPr>
            </w:pPr>
            <w:r>
              <w:rPr>
                <w:rFonts w:ascii="Arial" w:cs="Arial" w:eastAsia="Arial" w:hAnsi="Arial"/>
                <w:sz w:val="18"/>
                <w:szCs w:val="18"/>
                <w:color w:val="auto"/>
              </w:rPr>
              <w:t>Ferndale (CF)</w:t>
            </w:r>
          </w:p>
        </w:tc>
        <w:tc>
          <w:tcPr>
            <w:tcW w:w="3200" w:type="dxa"/>
            <w:vAlign w:val="bottom"/>
          </w:tcPr>
          <w:p>
            <w:pPr>
              <w:ind w:left="1100"/>
              <w:spacing w:after="0"/>
              <w:rPr>
                <w:sz w:val="20"/>
                <w:szCs w:val="20"/>
                <w:color w:val="auto"/>
              </w:rPr>
            </w:pPr>
            <w:r>
              <w:rPr>
                <w:rFonts w:ascii="Arial" w:cs="Arial" w:eastAsia="Arial" w:hAnsi="Arial"/>
                <w:sz w:val="18"/>
                <w:szCs w:val="18"/>
                <w:color w:val="auto"/>
              </w:rPr>
              <w:t>Hanover (GBS)</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Dixon (ASMB)</w:t>
            </w:r>
          </w:p>
        </w:tc>
        <w:tc>
          <w:tcPr>
            <w:tcW w:w="3040" w:type="dxa"/>
            <w:vAlign w:val="bottom"/>
          </w:tcPr>
          <w:p>
            <w:pPr>
              <w:ind w:left="380"/>
              <w:spacing w:after="0"/>
              <w:rPr>
                <w:sz w:val="20"/>
                <w:szCs w:val="20"/>
                <w:color w:val="auto"/>
              </w:rPr>
            </w:pPr>
            <w:r>
              <w:rPr>
                <w:rFonts w:ascii="Arial" w:cs="Arial" w:eastAsia="Arial" w:hAnsi="Arial"/>
                <w:sz w:val="18"/>
                <w:szCs w:val="18"/>
                <w:color w:val="auto"/>
              </w:rPr>
              <w:t>Grand Rapids (CF)</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Texas</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Stockton (ASMB)</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New Jersey</w:t>
            </w:r>
          </w:p>
        </w:tc>
        <w:tc>
          <w:tcPr>
            <w:tcW w:w="3200" w:type="dxa"/>
            <w:vAlign w:val="bottom"/>
          </w:tcPr>
          <w:p>
            <w:pPr>
              <w:ind w:left="1100"/>
              <w:spacing w:after="0"/>
              <w:rPr>
                <w:sz w:val="20"/>
                <w:szCs w:val="20"/>
                <w:color w:val="auto"/>
              </w:rPr>
            </w:pPr>
            <w:r>
              <w:rPr>
                <w:rFonts w:ascii="Arial" w:cs="Arial" w:eastAsia="Arial" w:hAnsi="Arial"/>
                <w:sz w:val="18"/>
                <w:szCs w:val="18"/>
                <w:color w:val="auto"/>
              </w:rPr>
              <w:t>Paris (ASMB)</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Connecticut</w:t>
            </w:r>
          </w:p>
        </w:tc>
        <w:tc>
          <w:tcPr>
            <w:tcW w:w="3040" w:type="dxa"/>
            <w:vAlign w:val="bottom"/>
          </w:tcPr>
          <w:p>
            <w:pPr>
              <w:ind w:left="380"/>
              <w:spacing w:after="0"/>
              <w:rPr>
                <w:sz w:val="20"/>
                <w:szCs w:val="20"/>
                <w:color w:val="auto"/>
              </w:rPr>
            </w:pPr>
            <w:r>
              <w:rPr>
                <w:rFonts w:ascii="Arial" w:cs="Arial" w:eastAsia="Arial" w:hAnsi="Arial"/>
                <w:sz w:val="18"/>
                <w:szCs w:val="18"/>
                <w:color w:val="auto"/>
              </w:rPr>
              <w:t>East Brunswick (GBS)</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Utah</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Bloomfield (GBS)</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North Carolina</w:t>
            </w:r>
          </w:p>
        </w:tc>
        <w:tc>
          <w:tcPr>
            <w:tcW w:w="3200" w:type="dxa"/>
            <w:vAlign w:val="bottom"/>
          </w:tcPr>
          <w:p>
            <w:pPr>
              <w:ind w:left="1100"/>
              <w:spacing w:after="0"/>
              <w:rPr>
                <w:sz w:val="20"/>
                <w:szCs w:val="20"/>
                <w:color w:val="auto"/>
              </w:rPr>
            </w:pPr>
            <w:r>
              <w:rPr>
                <w:rFonts w:ascii="Arial" w:cs="Arial" w:eastAsia="Arial" w:hAnsi="Arial"/>
                <w:sz w:val="18"/>
                <w:szCs w:val="18"/>
                <w:color w:val="auto"/>
              </w:rPr>
              <w:t>Richmond (GBS)</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Florida</w:t>
            </w:r>
          </w:p>
        </w:tc>
        <w:tc>
          <w:tcPr>
            <w:tcW w:w="3040" w:type="dxa"/>
            <w:vAlign w:val="bottom"/>
          </w:tcPr>
          <w:p>
            <w:pPr>
              <w:ind w:left="380"/>
              <w:spacing w:after="0"/>
              <w:rPr>
                <w:sz w:val="20"/>
                <w:szCs w:val="20"/>
                <w:color w:val="auto"/>
              </w:rPr>
            </w:pPr>
            <w:r>
              <w:rPr>
                <w:rFonts w:ascii="Arial" w:cs="Arial" w:eastAsia="Arial" w:hAnsi="Arial"/>
                <w:sz w:val="18"/>
                <w:szCs w:val="18"/>
                <w:color w:val="auto"/>
              </w:rPr>
              <w:t>Charlotte (GBS)</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Washington</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Lakeland (GBS)</w:t>
            </w:r>
          </w:p>
        </w:tc>
        <w:tc>
          <w:tcPr>
            <w:tcW w:w="3040" w:type="dxa"/>
            <w:vAlign w:val="bottom"/>
          </w:tcPr>
          <w:p>
            <w:pPr>
              <w:ind w:left="380"/>
              <w:spacing w:after="0"/>
              <w:rPr>
                <w:sz w:val="20"/>
                <w:szCs w:val="20"/>
                <w:color w:val="auto"/>
              </w:rPr>
            </w:pPr>
            <w:r>
              <w:rPr>
                <w:rFonts w:ascii="Arial" w:cs="Arial" w:eastAsia="Arial" w:hAnsi="Arial"/>
                <w:sz w:val="18"/>
                <w:szCs w:val="18"/>
                <w:color w:val="auto"/>
              </w:rPr>
              <w:t>Maxton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Everett (CF)</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Georgia</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Ohio</w:t>
            </w:r>
          </w:p>
        </w:tc>
        <w:tc>
          <w:tcPr>
            <w:tcW w:w="3200" w:type="dxa"/>
            <w:vAlign w:val="bottom"/>
          </w:tcPr>
          <w:p>
            <w:pPr>
              <w:ind w:left="1100"/>
              <w:spacing w:after="0"/>
              <w:rPr>
                <w:sz w:val="20"/>
                <w:szCs w:val="20"/>
                <w:color w:val="auto"/>
              </w:rPr>
            </w:pPr>
            <w:r>
              <w:rPr>
                <w:rFonts w:ascii="Arial" w:cs="Arial" w:eastAsia="Arial" w:hAnsi="Arial"/>
                <w:sz w:val="18"/>
                <w:szCs w:val="18"/>
                <w:color w:val="auto"/>
              </w:rPr>
              <w:t>Prosser (CF)</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Columbus (GBS)</w:t>
            </w:r>
          </w:p>
        </w:tc>
        <w:tc>
          <w:tcPr>
            <w:tcW w:w="3040" w:type="dxa"/>
            <w:vAlign w:val="bottom"/>
          </w:tcPr>
          <w:p>
            <w:pPr>
              <w:ind w:left="380"/>
              <w:spacing w:after="0"/>
              <w:rPr>
                <w:sz w:val="20"/>
                <w:szCs w:val="20"/>
                <w:color w:val="auto"/>
              </w:rPr>
            </w:pPr>
            <w:r>
              <w:rPr>
                <w:rFonts w:ascii="Arial" w:cs="Arial" w:eastAsia="Arial" w:hAnsi="Arial"/>
                <w:sz w:val="18"/>
                <w:szCs w:val="18"/>
                <w:color w:val="auto"/>
              </w:rPr>
              <w:t>Ashland (GBS)</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Wisconsin</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Illinois</w:t>
            </w:r>
          </w:p>
        </w:tc>
        <w:tc>
          <w:tcPr>
            <w:tcW w:w="3040" w:type="dxa"/>
            <w:vAlign w:val="bottom"/>
          </w:tcPr>
          <w:p>
            <w:pPr>
              <w:ind w:left="380"/>
              <w:spacing w:after="0"/>
              <w:rPr>
                <w:sz w:val="20"/>
                <w:szCs w:val="20"/>
                <w:color w:val="auto"/>
              </w:rPr>
            </w:pPr>
            <w:r>
              <w:rPr>
                <w:rFonts w:ascii="Arial" w:cs="Arial" w:eastAsia="Arial" w:hAnsi="Arial"/>
                <w:sz w:val="18"/>
                <w:szCs w:val="18"/>
                <w:color w:val="auto"/>
              </w:rPr>
              <w:t>Napoleon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Beloit (GBS)</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Downers Grove (GBS)</w:t>
            </w:r>
          </w:p>
        </w:tc>
        <w:tc>
          <w:tcPr>
            <w:tcW w:w="3040" w:type="dxa"/>
            <w:vAlign w:val="bottom"/>
          </w:tcPr>
          <w:p>
            <w:pPr>
              <w:ind w:left="380"/>
              <w:spacing w:after="0"/>
              <w:rPr>
                <w:sz w:val="20"/>
                <w:szCs w:val="20"/>
                <w:color w:val="auto"/>
              </w:rPr>
            </w:pPr>
            <w:r>
              <w:rPr>
                <w:rFonts w:ascii="Arial" w:cs="Arial" w:eastAsia="Arial" w:hAnsi="Arial"/>
                <w:sz w:val="18"/>
                <w:szCs w:val="18"/>
                <w:color w:val="auto"/>
              </w:rPr>
              <w:t>Willard (GBS)</w:t>
            </w:r>
          </w:p>
        </w:tc>
        <w:tc>
          <w:tcPr>
            <w:tcW w:w="3200" w:type="dxa"/>
            <w:vAlign w:val="bottom"/>
          </w:tcPr>
          <w:p>
            <w:pPr>
              <w:ind w:left="1100"/>
              <w:spacing w:after="0"/>
              <w:rPr>
                <w:sz w:val="20"/>
                <w:szCs w:val="20"/>
                <w:color w:val="auto"/>
              </w:rPr>
            </w:pPr>
            <w:r>
              <w:rPr>
                <w:rFonts w:ascii="Arial" w:cs="Arial" w:eastAsia="Arial" w:hAnsi="Arial"/>
                <w:sz w:val="18"/>
                <w:szCs w:val="18"/>
                <w:color w:val="auto"/>
              </w:rPr>
              <w:t>Franklin (GBS)</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Indiana</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Oregon</w:t>
            </w:r>
          </w:p>
        </w:tc>
        <w:tc>
          <w:tcPr>
            <w:tcW w:w="3200" w:type="dxa"/>
            <w:vAlign w:val="bottom"/>
          </w:tcPr>
          <w:p>
            <w:pPr>
              <w:ind w:left="1100"/>
              <w:spacing w:after="0"/>
              <w:rPr>
                <w:sz w:val="20"/>
                <w:szCs w:val="20"/>
                <w:color w:val="auto"/>
              </w:rPr>
            </w:pPr>
            <w:r>
              <w:rPr>
                <w:rFonts w:ascii="Arial" w:cs="Arial" w:eastAsia="Arial" w:hAnsi="Arial"/>
                <w:sz w:val="18"/>
                <w:szCs w:val="18"/>
                <w:color w:val="auto"/>
              </w:rPr>
              <w:t>Milwaukee (ASMB)</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Jeffersonville (GBS)</w:t>
            </w:r>
          </w:p>
        </w:tc>
        <w:tc>
          <w:tcPr>
            <w:tcW w:w="3040" w:type="dxa"/>
            <w:vAlign w:val="bottom"/>
          </w:tcPr>
          <w:p>
            <w:pPr>
              <w:ind w:left="380"/>
              <w:spacing w:after="0"/>
              <w:rPr>
                <w:sz w:val="20"/>
                <w:szCs w:val="20"/>
                <w:color w:val="auto"/>
              </w:rPr>
            </w:pPr>
            <w:r>
              <w:rPr>
                <w:rFonts w:ascii="Arial" w:cs="Arial" w:eastAsia="Arial" w:hAnsi="Arial"/>
                <w:sz w:val="18"/>
                <w:szCs w:val="18"/>
                <w:color w:val="auto"/>
              </w:rPr>
              <w:t>Salem (GBS)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40" w:type="dxa"/>
            <w:vAlign w:val="bottom"/>
          </w:tcPr>
          <w:p>
            <w:pPr>
              <w:ind w:left="380"/>
              <w:spacing w:after="0"/>
              <w:rPr>
                <w:sz w:val="20"/>
                <w:szCs w:val="20"/>
                <w:color w:val="auto"/>
              </w:rPr>
            </w:pPr>
            <w:r>
              <w:rPr>
                <w:rFonts w:ascii="Arial" w:cs="Arial" w:eastAsia="Arial" w:hAnsi="Arial"/>
                <w:sz w:val="18"/>
                <w:szCs w:val="18"/>
                <w:color w:val="auto"/>
              </w:rPr>
              <w:t>Tualatin (ASMB)</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Outside the U.S.</w:t>
            </w: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Australia</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Denmark</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Indonesia</w:t>
            </w:r>
          </w:p>
        </w:tc>
        <w:tc>
          <w:tcPr>
            <w:tcW w:w="0" w:type="dxa"/>
            <w:vAlign w:val="bottom"/>
          </w:tcPr>
          <w:p>
            <w:pPr>
              <w:spacing w:after="0"/>
              <w:rPr>
                <w:sz w:val="1"/>
                <w:szCs w:val="1"/>
                <w:color w:val="auto"/>
              </w:rPr>
            </w:pPr>
          </w:p>
        </w:tc>
      </w:tr>
      <w:tr>
        <w:trPr>
          <w:trHeight w:val="351"/>
        </w:trPr>
        <w:tc>
          <w:tcPr>
            <w:tcW w:w="3820" w:type="dxa"/>
            <w:vAlign w:val="bottom"/>
            <w:vMerge w:val="restart"/>
          </w:tcPr>
          <w:p>
            <w:pPr>
              <w:ind w:left="200"/>
              <w:spacing w:after="0"/>
              <w:rPr>
                <w:sz w:val="20"/>
                <w:szCs w:val="20"/>
                <w:color w:val="auto"/>
              </w:rPr>
            </w:pPr>
            <w:r>
              <w:rPr>
                <w:rFonts w:ascii="Arial" w:cs="Arial" w:eastAsia="Arial" w:hAnsi="Arial"/>
                <w:sz w:val="18"/>
                <w:szCs w:val="18"/>
                <w:color w:val="auto"/>
              </w:rPr>
              <w:t>Huntingwood (GBS)</w:t>
            </w:r>
          </w:p>
        </w:tc>
        <w:tc>
          <w:tcPr>
            <w:tcW w:w="3040" w:type="dxa"/>
            <w:vAlign w:val="bottom"/>
          </w:tcPr>
          <w:p>
            <w:pPr>
              <w:ind w:left="380"/>
              <w:spacing w:after="0"/>
              <w:rPr>
                <w:sz w:val="20"/>
                <w:szCs w:val="20"/>
                <w:color w:val="auto"/>
              </w:rPr>
            </w:pPr>
            <w:r>
              <w:rPr>
                <w:rFonts w:ascii="Arial" w:cs="Arial" w:eastAsia="Arial" w:hAnsi="Arial"/>
                <w:sz w:val="18"/>
                <w:szCs w:val="18"/>
                <w:color w:val="auto"/>
              </w:rPr>
              <w:t>Nørre Snede (GBS)</w:t>
            </w:r>
          </w:p>
        </w:tc>
        <w:tc>
          <w:tcPr>
            <w:tcW w:w="3200" w:type="dxa"/>
            <w:vAlign w:val="bottom"/>
            <w:vMerge w:val="restart"/>
          </w:tcPr>
          <w:p>
            <w:pPr>
              <w:ind w:left="1100"/>
              <w:spacing w:after="0"/>
              <w:rPr>
                <w:sz w:val="20"/>
                <w:szCs w:val="20"/>
                <w:color w:val="auto"/>
              </w:rPr>
            </w:pPr>
            <w:r>
              <w:rPr>
                <w:rFonts w:ascii="Arial" w:cs="Arial" w:eastAsia="Arial" w:hAnsi="Arial"/>
                <w:sz w:val="18"/>
                <w:szCs w:val="18"/>
                <w:color w:val="auto"/>
              </w:rPr>
              <w:t>Bekasi (GBS)</w:t>
            </w: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820" w:type="dxa"/>
            <w:vAlign w:val="bottom"/>
            <w:vMerge w:val="restart"/>
          </w:tcPr>
          <w:p>
            <w:pPr>
              <w:ind w:left="200"/>
              <w:spacing w:after="0"/>
              <w:rPr>
                <w:sz w:val="20"/>
                <w:szCs w:val="20"/>
                <w:color w:val="auto"/>
              </w:rPr>
            </w:pPr>
            <w:r>
              <w:rPr>
                <w:rFonts w:ascii="Arial" w:cs="Arial" w:eastAsia="Arial" w:hAnsi="Arial"/>
                <w:sz w:val="18"/>
                <w:szCs w:val="18"/>
                <w:color w:val="auto"/>
              </w:rPr>
              <w:t>Marleston (GBS)</w:t>
            </w:r>
          </w:p>
        </w:tc>
        <w:tc>
          <w:tcPr>
            <w:tcW w:w="3040" w:type="dxa"/>
            <w:vAlign w:val="bottom"/>
          </w:tcPr>
          <w:p>
            <w:pPr>
              <w:ind w:left="380"/>
              <w:spacing w:after="0"/>
              <w:rPr>
                <w:sz w:val="20"/>
                <w:szCs w:val="20"/>
                <w:color w:val="auto"/>
              </w:rPr>
            </w:pPr>
            <w:r>
              <w:rPr>
                <w:rFonts w:ascii="Arial" w:cs="Arial" w:eastAsia="Arial" w:hAnsi="Arial"/>
                <w:sz w:val="18"/>
                <w:szCs w:val="18"/>
                <w:color w:val="auto"/>
              </w:rPr>
              <w:t>Ribe (GBS)</w:t>
            </w:r>
          </w:p>
        </w:tc>
        <w:tc>
          <w:tcPr>
            <w:tcW w:w="3200" w:type="dxa"/>
            <w:vAlign w:val="bottom"/>
            <w:vMerge w:val="restart"/>
          </w:tcPr>
          <w:p>
            <w:pPr>
              <w:ind w:left="1020"/>
              <w:spacing w:after="0"/>
              <w:rPr>
                <w:sz w:val="20"/>
                <w:szCs w:val="20"/>
                <w:color w:val="auto"/>
              </w:rPr>
            </w:pPr>
            <w:r>
              <w:rPr>
                <w:rFonts w:ascii="Arial" w:cs="Arial" w:eastAsia="Arial" w:hAnsi="Arial"/>
                <w:sz w:val="18"/>
                <w:szCs w:val="18"/>
                <w:b w:val="1"/>
                <w:bCs w:val="1"/>
                <w:i w:val="1"/>
                <w:iCs w:val="1"/>
                <w:color w:val="auto"/>
              </w:rPr>
              <w:t>Malaysia</w:t>
            </w: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Shepparton (GBS)</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England</w:t>
            </w:r>
          </w:p>
        </w:tc>
        <w:tc>
          <w:tcPr>
            <w:tcW w:w="3200" w:type="dxa"/>
            <w:vAlign w:val="bottom"/>
          </w:tcPr>
          <w:p>
            <w:pPr>
              <w:ind w:left="1100"/>
              <w:spacing w:after="0"/>
              <w:rPr>
                <w:sz w:val="20"/>
                <w:szCs w:val="20"/>
                <w:color w:val="auto"/>
              </w:rPr>
            </w:pPr>
            <w:r>
              <w:rPr>
                <w:rFonts w:ascii="Arial" w:cs="Arial" w:eastAsia="Arial" w:hAnsi="Arial"/>
                <w:sz w:val="18"/>
                <w:szCs w:val="18"/>
                <w:color w:val="auto"/>
                <w:w w:val="89"/>
              </w:rPr>
              <w:t>Selangor Darul Ehsan (GBS)</w:t>
            </w:r>
          </w:p>
        </w:tc>
        <w:tc>
          <w:tcPr>
            <w:tcW w:w="0" w:type="dxa"/>
            <w:vAlign w:val="bottom"/>
          </w:tcPr>
          <w:p>
            <w:pPr>
              <w:spacing w:after="0"/>
              <w:rPr>
                <w:sz w:val="1"/>
                <w:szCs w:val="1"/>
                <w:color w:val="auto"/>
              </w:rPr>
            </w:pPr>
          </w:p>
        </w:tc>
      </w:tr>
      <w:tr>
        <w:trPr>
          <w:trHeight w:val="351"/>
        </w:trPr>
        <w:tc>
          <w:tcPr>
            <w:tcW w:w="3820" w:type="dxa"/>
            <w:vAlign w:val="bottom"/>
            <w:vMerge w:val="restart"/>
          </w:tcPr>
          <w:p>
            <w:pPr>
              <w:ind w:left="200"/>
              <w:spacing w:after="0"/>
              <w:rPr>
                <w:sz w:val="20"/>
                <w:szCs w:val="20"/>
                <w:color w:val="auto"/>
              </w:rPr>
            </w:pPr>
            <w:r>
              <w:rPr>
                <w:rFonts w:ascii="Arial" w:cs="Arial" w:eastAsia="Arial" w:hAnsi="Arial"/>
                <w:sz w:val="18"/>
                <w:szCs w:val="18"/>
                <w:color w:val="auto"/>
              </w:rPr>
              <w:t>Virginia (GBS)</w:t>
            </w:r>
          </w:p>
        </w:tc>
        <w:tc>
          <w:tcPr>
            <w:tcW w:w="3040" w:type="dxa"/>
            <w:vAlign w:val="bottom"/>
          </w:tcPr>
          <w:p>
            <w:pPr>
              <w:ind w:left="380"/>
              <w:spacing w:after="0"/>
              <w:rPr>
                <w:sz w:val="20"/>
                <w:szCs w:val="20"/>
                <w:color w:val="auto"/>
              </w:rPr>
            </w:pPr>
            <w:r>
              <w:rPr>
                <w:rFonts w:ascii="Arial" w:cs="Arial" w:eastAsia="Arial" w:hAnsi="Arial"/>
                <w:sz w:val="18"/>
                <w:szCs w:val="18"/>
                <w:color w:val="auto"/>
              </w:rPr>
              <w:t>Norwich (GBS)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820" w:type="dxa"/>
            <w:vAlign w:val="bottom"/>
            <w:vMerge w:val="restart"/>
          </w:tcPr>
          <w:p>
            <w:pPr>
              <w:ind w:left="120"/>
              <w:spacing w:after="0"/>
              <w:rPr>
                <w:sz w:val="20"/>
                <w:szCs w:val="20"/>
                <w:color w:val="auto"/>
              </w:rPr>
            </w:pPr>
            <w:r>
              <w:rPr>
                <w:rFonts w:ascii="Arial" w:cs="Arial" w:eastAsia="Arial" w:hAnsi="Arial"/>
                <w:sz w:val="18"/>
                <w:szCs w:val="18"/>
                <w:b w:val="1"/>
                <w:bCs w:val="1"/>
                <w:i w:val="1"/>
                <w:iCs w:val="1"/>
                <w:color w:val="auto"/>
              </w:rPr>
              <w:t>Canada</w:t>
            </w:r>
          </w:p>
        </w:tc>
        <w:tc>
          <w:tcPr>
            <w:tcW w:w="3040" w:type="dxa"/>
            <w:vAlign w:val="bottom"/>
          </w:tcPr>
          <w:p>
            <w:pPr>
              <w:ind w:left="380"/>
              <w:spacing w:after="0"/>
              <w:rPr>
                <w:sz w:val="20"/>
                <w:szCs w:val="20"/>
                <w:color w:val="auto"/>
              </w:rPr>
            </w:pPr>
            <w:r>
              <w:rPr>
                <w:rFonts w:ascii="Arial" w:cs="Arial" w:eastAsia="Arial" w:hAnsi="Arial"/>
                <w:sz w:val="18"/>
                <w:szCs w:val="18"/>
                <w:color w:val="auto"/>
              </w:rPr>
              <w:t>Wednesbury (GBS)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Toronto (ASMB)</w:t>
            </w:r>
          </w:p>
        </w:tc>
        <w:tc>
          <w:tcPr>
            <w:tcW w:w="30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6"/>
                <w:szCs w:val="16"/>
                <w:color w:val="auto"/>
              </w:rPr>
              <w:t>______________________________</w:t>
            </w:r>
          </w:p>
        </w:tc>
        <w:tc>
          <w:tcPr>
            <w:tcW w:w="30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9"/>
              </w:rPr>
              <w:t>ASMB - Americas Simple Meals and Beverages</w:t>
            </w:r>
          </w:p>
        </w:tc>
        <w:tc>
          <w:tcPr>
            <w:tcW w:w="3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GBS - Global Biscuits and Snacks</w:t>
            </w:r>
          </w:p>
        </w:tc>
        <w:tc>
          <w:tcPr>
            <w:tcW w:w="3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CF - Campbell Fresh</w:t>
            </w:r>
          </w:p>
        </w:tc>
        <w:tc>
          <w:tcPr>
            <w:tcW w:w="3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the foregoing manufacturing facilities is company-owned, except the Selangor Darul Ehsan, Malaysia, and the East Brunswick, New Jersey, facilities, which are leased. We also maintain principal business unit offices in Charlotte, North Carolina; Hanover, Pennsylvania; Norwalk, Connecticut; Santa Monica, California; Tualatin, Oregon; Mexico City, Mexico; Nørre Snede, Denmark; North Strathfield, Australia; Norwich, England; and Toronto, Canada.</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that our manufacturing and processing plants are well maintained and, together with facilities operated by our contract manufacturers, are generally adequate to support the current operations of the businesses.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14"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list of our executive officers as of September 17, 2018:</w:t>
      </w:r>
    </w:p>
    <w:p>
      <w:pPr>
        <w:sectPr>
          <w:pgSz w:w="11900" w:h="16838" w:orient="portrait"/>
          <w:cols w:equalWidth="0" w:num="1">
            <w:col w:w="11420"/>
          </w:cols>
          <w:pgMar w:left="240" w:top="13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740"/>
        <w:spacing w:after="0"/>
        <w:rPr>
          <w:sz w:val="20"/>
          <w:szCs w:val="20"/>
          <w:color w:val="auto"/>
        </w:rPr>
      </w:pPr>
      <w:r>
        <w:rPr>
          <w:rFonts w:ascii="Arial" w:cs="Arial" w:eastAsia="Arial" w:hAnsi="Arial"/>
          <w:sz w:val="14"/>
          <w:szCs w:val="14"/>
          <w:b w:val="1"/>
          <w:bCs w:val="1"/>
          <w:u w:val="single" w:color="auto"/>
          <w:color w:val="auto"/>
        </w:rPr>
        <w:t>Name</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Xavier Boza</w:t>
      </w:r>
    </w:p>
    <w:p>
      <w:pPr>
        <w:spacing w:after="0" w:line="3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Adam G. Ciongoli</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Anthony P. DiSilvestro</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J. Furbee</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Keith R. McLoughlin</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Luca Mignini</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Emily Waldorf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u w:val="single" w:color="auto"/>
          <w:color w:val="auto"/>
        </w:rPr>
        <w:t>Present Title &amp;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23495</wp:posOffset>
            </wp:positionV>
            <wp:extent cx="718629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445770"/>
                    </a:xfrm>
                    <a:prstGeom prst="rect">
                      <a:avLst/>
                    </a:prstGeom>
                    <a:noFill/>
                  </pic:spPr>
                </pic:pic>
              </a:graphicData>
            </a:graphic>
          </wp:anchor>
        </w:drawing>
      </w:r>
    </w:p>
    <w:p>
      <w:pPr>
        <w:spacing w:after="0" w:line="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Senior Vice President and Chief Human Resources Officer. Vice President, Human Resources of Campbell Soup Company (2015 - 2018). Regional Vice President, Human Resources of Kellogg Company (2013 - 2015).</w:t>
      </w:r>
    </w:p>
    <w:p>
      <w:pPr>
        <w:spacing w:after="0" w:line="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Senior Vice President and General Counsel. Executive Vice President and General Counsel of Lincoln Financial Group (2012 - 2015).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-1905</wp:posOffset>
            </wp:positionV>
            <wp:extent cx="718629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ind w:right="220"/>
        <w:spacing w:after="0" w:line="277" w:lineRule="auto"/>
        <w:rPr>
          <w:sz w:val="20"/>
          <w:szCs w:val="20"/>
          <w:color w:val="auto"/>
        </w:rPr>
      </w:pPr>
      <w:r>
        <w:rPr>
          <w:rFonts w:ascii="Arial" w:cs="Arial" w:eastAsia="Arial" w:hAnsi="Arial"/>
          <w:sz w:val="18"/>
          <w:szCs w:val="18"/>
          <w:color w:val="auto"/>
        </w:rPr>
        <w:t>Senior Vice President and Chief Financial Officer. We have employed Mr. DiSilvestro in an executive or managerial capacity for at least five years.</w:t>
      </w:r>
    </w:p>
    <w:p>
      <w:pPr>
        <w:spacing w:after="0" w:line="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Senior Vice President. We have employed Mr. Furbee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-1905</wp:posOffset>
            </wp:positionV>
            <wp:extent cx="718629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ind w:right="160"/>
        <w:spacing w:after="0" w:line="298" w:lineRule="auto"/>
        <w:rPr>
          <w:sz w:val="20"/>
          <w:szCs w:val="20"/>
          <w:color w:val="auto"/>
        </w:rPr>
      </w:pPr>
      <w:r>
        <w:rPr>
          <w:rFonts w:ascii="Arial" w:cs="Arial" w:eastAsia="Arial" w:hAnsi="Arial"/>
          <w:sz w:val="17"/>
          <w:szCs w:val="17"/>
          <w:color w:val="auto"/>
        </w:rPr>
        <w:t>Interim President and Chief Executive Officer. Director of Campbell Soup Company (2016 - present). President and Chief Executive Officer of AB Electrolux (2011 - 2016).</w:t>
      </w:r>
    </w:p>
    <w:p>
      <w:pPr>
        <w:spacing w:after="0" w:line="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Senior Vice President and Chief Operating Officer. We have employed Mr. Mignini in an executive or managerial capacity for at least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-1905</wp:posOffset>
            </wp:positionV>
            <wp:extent cx="718629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295" cy="30861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Senior Vice President, Corporate Strategy. We have employed Ms. Waldorf in positions related to corporate strategy for at least five years.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Year First</w:t>
      </w:r>
    </w:p>
    <w:p>
      <w:pPr>
        <w:spacing w:after="0" w:line="3" w:lineRule="exact"/>
        <w:rPr>
          <w:sz w:val="20"/>
          <w:szCs w:val="20"/>
          <w:color w:val="auto"/>
        </w:rPr>
      </w:pPr>
    </w:p>
    <w:p>
      <w:pPr>
        <w:jc w:val="right"/>
        <w:ind w:right="280"/>
        <w:spacing w:after="0"/>
        <w:rPr>
          <w:sz w:val="20"/>
          <w:szCs w:val="20"/>
          <w:color w:val="auto"/>
        </w:rPr>
      </w:pPr>
      <w:r>
        <w:rPr>
          <w:rFonts w:ascii="Arial" w:cs="Arial" w:eastAsia="Arial" w:hAnsi="Arial"/>
          <w:sz w:val="14"/>
          <w:szCs w:val="14"/>
          <w:b w:val="1"/>
          <w:bCs w:val="1"/>
          <w:color w:val="auto"/>
        </w:rPr>
        <w:t>Appointed</w:t>
      </w:r>
    </w:p>
    <w:p>
      <w:pPr>
        <w:ind w:left="720"/>
        <w:spacing w:after="0"/>
        <w:rPr>
          <w:sz w:val="20"/>
          <w:szCs w:val="20"/>
          <w:color w:val="auto"/>
        </w:rPr>
      </w:pPr>
      <w:r>
        <w:rPr>
          <w:rFonts w:ascii="Arial" w:cs="Arial" w:eastAsia="Arial" w:hAnsi="Arial"/>
          <w:sz w:val="13"/>
          <w:szCs w:val="13"/>
          <w:b w:val="1"/>
          <w:bCs w:val="1"/>
          <w:color w:val="auto"/>
        </w:rPr>
        <w:t>Executive</w:t>
      </w:r>
    </w:p>
    <w:p>
      <w:pPr>
        <w:spacing w:after="0"/>
        <w:tabs>
          <w:tab w:leader="none" w:pos="78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u w:val="single" w:color="auto"/>
          <w:color w:val="auto"/>
        </w:rPr>
        <w:t>Officer</w:t>
      </w:r>
    </w:p>
    <w:p>
      <w:pPr>
        <w:spacing w:after="0" w:line="250"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2018</w:t>
      </w:r>
    </w:p>
    <w:p>
      <w:pPr>
        <w:spacing w:after="0" w:line="387"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2015</w:t>
      </w:r>
    </w:p>
    <w:p>
      <w:pPr>
        <w:spacing w:after="0" w:line="279"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2004</w:t>
      </w:r>
    </w:p>
    <w:p>
      <w:pPr>
        <w:spacing w:after="0" w:line="279"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2017</w:t>
      </w:r>
    </w:p>
    <w:p>
      <w:pPr>
        <w:spacing w:after="0" w:line="279"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2018</w:t>
      </w:r>
    </w:p>
    <w:p>
      <w:pPr>
        <w:spacing w:after="0" w:line="279" w:lineRule="exact"/>
        <w:rPr>
          <w:sz w:val="20"/>
          <w:szCs w:val="20"/>
          <w:color w:val="auto"/>
        </w:rPr>
      </w:pPr>
    </w:p>
    <w:p>
      <w:pPr>
        <w:ind w:left="840" w:hanging="816"/>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2013</w:t>
      </w:r>
    </w:p>
    <w:p>
      <w:pPr>
        <w:spacing w:after="0" w:line="279" w:lineRule="exact"/>
        <w:rPr>
          <w:rFonts w:ascii="Arial" w:cs="Arial" w:eastAsia="Arial" w:hAnsi="Arial"/>
          <w:sz w:val="18"/>
          <w:szCs w:val="18"/>
          <w:color w:val="auto"/>
        </w:rPr>
      </w:pPr>
    </w:p>
    <w:p>
      <w:pPr>
        <w:ind w:left="840" w:hanging="816"/>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2018</w:t>
      </w:r>
    </w:p>
    <w:p>
      <w:pPr>
        <w:spacing w:after="0" w:line="224" w:lineRule="exact"/>
        <w:rPr>
          <w:sz w:val="20"/>
          <w:szCs w:val="20"/>
          <w:color w:val="auto"/>
        </w:rPr>
      </w:pPr>
    </w:p>
    <w:p>
      <w:pPr>
        <w:sectPr>
          <w:pgSz w:w="11900" w:h="16838" w:orient="portrait"/>
          <w:cols w:equalWidth="0" w:num="3">
            <w:col w:w="1960" w:space="720"/>
            <w:col w:w="6840" w:space="280"/>
            <w:col w:w="1620"/>
          </w:cols>
          <w:pgMar w:left="240" w:top="1310" w:right="239" w:bottom="1440" w:gutter="0" w:footer="0" w:header="0"/>
          <w:type w:val="continuous"/>
        </w:sectPr>
      </w:pPr>
    </w:p>
    <w:p>
      <w:pPr>
        <w:jc w:val="both"/>
        <w:ind w:firstLine="324"/>
        <w:spacing w:after="0" w:line="264" w:lineRule="auto"/>
        <w:rPr>
          <w:sz w:val="20"/>
          <w:szCs w:val="20"/>
          <w:color w:val="auto"/>
        </w:rPr>
      </w:pPr>
      <w:r>
        <w:rPr>
          <w:rFonts w:ascii="Arial" w:cs="Arial" w:eastAsia="Arial" w:hAnsi="Arial"/>
          <w:sz w:val="18"/>
          <w:szCs w:val="18"/>
          <w:color w:val="auto"/>
        </w:rPr>
        <w:t>All of the executive officers were appointed at the November 2017 meeting of the Board of Directors, except (i) Mr. Boza was appointed at an August 2018 meeting with his appointment effective as of August 1, 2018, (ii) Mr. McLoughlin was appointed at a May 2018 meeting with his appointment effective as of May 18, 2018, and (iii) Ms. Waldorf was appointed by resolution with her appointment effective as of April 5, 2018.</w:t>
      </w:r>
    </w:p>
    <w:p>
      <w:pPr>
        <w:spacing w:after="0" w:line="12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Capital Stock, Related Shareholder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Registrant’s Capital Stock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capital stock is listed and principally traded on the New York Stock Exchange. On September 17, 2018, there were 18,414 holders of record of our capital stock. Market price and dividend information with respect to our capital stock are set forth in Note 20 to the Consolidated Financial Statements. Future dividends will be dependent upon future earnings, financial requirements and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 Shareholders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Performance Graph</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or the Exchange Act.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26, 2013, in each of our stock, the S&amp;P 500 and the S&amp;P Packaged Foods Group, and that all dividends were reinvested. The total cumulative dollar returns shown on the graph represent the value that such investments would have had on July 29, 2018.</w:t>
      </w:r>
    </w:p>
    <w:p>
      <w:pPr>
        <w:sectPr>
          <w:pgSz w:w="11900" w:h="16838" w:orient="portrait"/>
          <w:cols w:equalWidth="0" w:num="1">
            <w:col w:w="11420"/>
          </w:cols>
          <w:pgMar w:left="240" w:top="131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0" w:right="23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1255395</wp:posOffset>
            </wp:positionH>
            <wp:positionV relativeFrom="page">
              <wp:posOffset>791845</wp:posOffset>
            </wp:positionV>
            <wp:extent cx="5257165" cy="3430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25716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 w:hanging="92"/>
        <w:spacing w:after="0"/>
        <w:tabs>
          <w:tab w:leader="none" w:pos="92"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Stock appreciation plus dividend reinvestment.</w:t>
      </w:r>
    </w:p>
    <w:p>
      <w:pPr>
        <w:spacing w:after="0" w:line="207"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384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w:t>
            </w:r>
          </w:p>
        </w:tc>
        <w:tc>
          <w:tcPr>
            <w:tcW w:w="2780" w:type="dxa"/>
            <w:vAlign w:val="bottom"/>
            <w:tcBorders>
              <w:bottom w:val="single" w:sz="8" w:color="CCEEFF"/>
            </w:tcBorders>
            <w:gridSpan w:val="2"/>
            <w:shd w:val="clear" w:color="auto" w:fill="CCEEFF"/>
          </w:tcPr>
          <w:p>
            <w:pPr>
              <w:jc w:val="center"/>
              <w:ind w:left="1870"/>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780" w:type="dxa"/>
            <w:vAlign w:val="bottom"/>
            <w:gridSpan w:val="2"/>
          </w:tcPr>
          <w:p>
            <w:pPr>
              <w:jc w:val="center"/>
              <w:ind w:left="1870"/>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116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130</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137</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159</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185</w:t>
            </w:r>
          </w:p>
        </w:tc>
      </w:tr>
      <w:tr>
        <w:trPr>
          <w:trHeight w:val="27"/>
        </w:trPr>
        <w:tc>
          <w:tcPr>
            <w:tcW w:w="3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S&amp;P Packaged Foods Group</w:t>
            </w:r>
          </w:p>
        </w:tc>
        <w:tc>
          <w:tcPr>
            <w:tcW w:w="2780" w:type="dxa"/>
            <w:vAlign w:val="bottom"/>
            <w:tcBorders>
              <w:bottom w:val="single" w:sz="8" w:color="CCEEFF"/>
            </w:tcBorders>
            <w:gridSpan w:val="2"/>
            <w:shd w:val="clear" w:color="auto" w:fill="CCEEFF"/>
          </w:tcPr>
          <w:p>
            <w:pPr>
              <w:jc w:val="center"/>
              <w:ind w:left="1870"/>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136</w:t>
            </w:r>
          </w:p>
        </w:tc>
      </w:tr>
      <w:tr>
        <w:trPr>
          <w:trHeight w:val="459"/>
        </w:trPr>
        <w:tc>
          <w:tcPr>
            <w:tcW w:w="38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92"/>
          </w:cols>
          <w:pgMar w:left="248" w:top="144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6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40" w:type="dxa"/>
            <w:vAlign w:val="bottom"/>
          </w:tcPr>
          <w:p>
            <w:pPr>
              <w:jc w:val="right"/>
              <w:ind w:right="111"/>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8"/>
                <w:szCs w:val="8"/>
                <w:b w:val="1"/>
                <w:bCs w:val="1"/>
                <w:color w:val="auto"/>
              </w:rPr>
              <w:t>(1)</w:t>
            </w:r>
          </w:p>
        </w:tc>
        <w:tc>
          <w:tcPr>
            <w:tcW w:w="26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2017</w:t>
            </w:r>
            <w:r>
              <w:rPr>
                <w:rFonts w:ascii="Arial" w:cs="Arial" w:eastAsia="Arial" w:hAnsi="Arial"/>
                <w:sz w:val="8"/>
                <w:szCs w:val="8"/>
                <w:b w:val="1"/>
                <w:bCs w:val="1"/>
                <w:color w:val="auto"/>
                <w:w w:val="97"/>
              </w:rPr>
              <w:t>(2)</w:t>
            </w:r>
          </w:p>
        </w:tc>
        <w:tc>
          <w:tcPr>
            <w:tcW w:w="22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2016</w:t>
            </w:r>
            <w:r>
              <w:rPr>
                <w:rFonts w:ascii="Arial" w:cs="Arial" w:eastAsia="Arial" w:hAnsi="Arial"/>
                <w:sz w:val="8"/>
                <w:szCs w:val="8"/>
                <w:b w:val="1"/>
                <w:bCs w:val="1"/>
                <w:color w:val="auto"/>
                <w:w w:val="97"/>
              </w:rPr>
              <w:t>(3)</w:t>
            </w:r>
          </w:p>
        </w:tc>
        <w:tc>
          <w:tcPr>
            <w:tcW w:w="24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2015</w:t>
            </w:r>
            <w:r>
              <w:rPr>
                <w:rFonts w:ascii="Arial" w:cs="Arial" w:eastAsia="Arial" w:hAnsi="Arial"/>
                <w:sz w:val="8"/>
                <w:szCs w:val="8"/>
                <w:b w:val="1"/>
                <w:bCs w:val="1"/>
                <w:color w:val="auto"/>
                <w:w w:val="97"/>
              </w:rPr>
              <w:t>(4)</w:t>
            </w:r>
          </w:p>
        </w:tc>
        <w:tc>
          <w:tcPr>
            <w:tcW w:w="220" w:type="dxa"/>
            <w:vAlign w:val="bottom"/>
          </w:tcPr>
          <w:p>
            <w:pPr>
              <w:spacing w:after="0"/>
              <w:rPr>
                <w:sz w:val="14"/>
                <w:szCs w:val="14"/>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2014</w:t>
            </w:r>
            <w:r>
              <w:rPr>
                <w:rFonts w:ascii="Arial" w:cs="Arial" w:eastAsia="Arial" w:hAnsi="Arial"/>
                <w:sz w:val="8"/>
                <w:szCs w:val="8"/>
                <w:b w:val="1"/>
                <w:bCs w:val="1"/>
                <w:color w:val="auto"/>
                <w:w w:val="97"/>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65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Summary of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8,685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7,890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7,961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8,082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469</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Earnings before taxes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272</w:t>
            </w:r>
          </w:p>
        </w:tc>
        <w:tc>
          <w:tcPr>
            <w:tcW w:w="2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1,293</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261</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Earnings from discontinued operations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261</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261</w:t>
            </w:r>
          </w:p>
        </w:tc>
        <w:tc>
          <w:tcPr>
            <w:tcW w:w="2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563</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Position</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Plant assets - net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3,233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2,454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0"/>
              </w:rPr>
              <w:t>14,529</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7,726</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8,077</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9,894</w:t>
            </w:r>
          </w:p>
        </w:tc>
        <w:tc>
          <w:tcPr>
            <w:tcW w:w="2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3,536</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3,533</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4,082</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4,003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1,373</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1,645</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7"/>
              </w:rPr>
              <w:t>Earnings from continuing operations attributable to Campbell Soup Company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6560" w:type="dxa"/>
            <w:vAlign w:val="bottom"/>
            <w:gridSpan w:val="3"/>
          </w:tcPr>
          <w:p>
            <w:pPr>
              <w:ind w:left="20"/>
              <w:spacing w:after="0"/>
              <w:rPr>
                <w:sz w:val="20"/>
                <w:szCs w:val="20"/>
                <w:color w:val="auto"/>
              </w:rPr>
            </w:pPr>
            <w:r>
              <w:rPr>
                <w:rFonts w:ascii="Arial" w:cs="Arial" w:eastAsia="Arial" w:hAnsi="Arial"/>
                <w:sz w:val="18"/>
                <w:szCs w:val="18"/>
                <w:color w:val="auto"/>
                <w:w w:val="92"/>
              </w:rPr>
              <w:t>Earnings from continuing operations attributable to Campbell Soup Company - assuming</w:t>
            </w:r>
          </w:p>
        </w:tc>
        <w:tc>
          <w:tcPr>
            <w:tcW w:w="160" w:type="dxa"/>
            <w:vAlign w:val="bottom"/>
          </w:tcPr>
          <w:p>
            <w:pPr>
              <w:spacing w:after="0"/>
              <w:rPr>
                <w:sz w:val="19"/>
                <w:szCs w:val="19"/>
                <w:color w:val="auto"/>
              </w:rPr>
            </w:pPr>
          </w:p>
        </w:tc>
        <w:tc>
          <w:tcPr>
            <w:tcW w:w="6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0.86</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dilution</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earnings attributable to Campbell Soup Company - basic</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0.87</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Net earnings attributable to Campbell Soup Company - assuming dilution</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0.86</w:t>
            </w:r>
          </w:p>
        </w:tc>
        <w:tc>
          <w:tcPr>
            <w:tcW w:w="2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Statistics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301</w:t>
            </w:r>
          </w:p>
        </w:tc>
        <w:tc>
          <w:tcPr>
            <w:tcW w:w="26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302</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 per share amounts below are on a diluted basis)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Financial Accounting Standards Board (FASB) issued guidance that changes the presentation of net periodic pension cost and net periodic postretirement benefit cost. The guidance also allows only the service cost component to be eligible for capitalization when applicable (for example, as a cost of internally manufactured inventory). We adopted the guidance in the first quarter of 2018.</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2016, the FASB issued guidance that amends accounting for share-based payments, including the accounting for income taxes, forfeitures, and statutory withholding requirements, as well as classification in the statement of cash flows. We adopted the guidance in 2017.</w:t>
      </w:r>
    </w:p>
    <w:p>
      <w:pPr>
        <w:spacing w:after="0" w:line="35"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In April 2015, the FASB issued guidance that requires debt issuance costs to be presented in the balance sheet as a reduction from the carrying value of the associated debt liability, consistent with the presentation of a debt discount. We adopted the guidance in 2016 and retrospectively adjusted all prior periods.</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2015, the FASB issued guidance that requires deferred tax liabilities and assets to be classified as noncurrent in the balance sheet. We adopted the guidance in 2016 on a prospective basis and modified the presentation of deferred taxes in the Consolidated Balance Sheet as of July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2014 fiscal year consisted of 53 weeks. All other periods had 52 weeks.</w:t>
      </w:r>
    </w:p>
    <w:p>
      <w:pPr>
        <w:spacing w:after="0" w:line="90" w:lineRule="exact"/>
        <w:rPr>
          <w:sz w:val="20"/>
          <w:szCs w:val="20"/>
          <w:color w:val="auto"/>
        </w:rPr>
      </w:pPr>
    </w:p>
    <w:p>
      <w:pPr>
        <w:ind w:left="340" w:right="20" w:hanging="332"/>
        <w:spacing w:after="0" w:line="216"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2018 earnings from continuing operations attributable to Campbell Soup Company were impacted by the following: a restructuring charge, related costs and administrative and marketing and selling expenses of $136 million ($.45 per share)</w:t>
      </w:r>
    </w:p>
    <w:p>
      <w:pPr>
        <w:sectPr>
          <w:pgSz w:w="11900" w:h="16838" w:orient="portrait"/>
          <w:cols w:equalWidth="0" w:num="1">
            <w:col w:w="11420"/>
          </w:cols>
          <w:pgMar w:left="240" w:top="1310"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0" w:right="239" w:bottom="1440" w:gutter="0" w:footer="0" w:header="0"/>
          <w:type w:val="continuous"/>
        </w:sectPr>
      </w:pPr>
    </w:p>
    <w:bookmarkStart w:id="15" w:name="page16"/>
    <w:bookmarkEnd w:id="15"/>
    <w:p>
      <w:pPr>
        <w:jc w:val="both"/>
        <w:ind w:left="340"/>
        <w:spacing w:after="0" w:line="292" w:lineRule="auto"/>
        <w:rPr>
          <w:sz w:val="20"/>
          <w:szCs w:val="20"/>
          <w:color w:val="auto"/>
        </w:rPr>
      </w:pPr>
      <w:r>
        <w:rPr>
          <w:rFonts w:ascii="Arial" w:cs="Arial" w:eastAsia="Arial" w:hAnsi="Arial"/>
          <w:sz w:val="18"/>
          <w:szCs w:val="18"/>
          <w:color w:val="auto"/>
        </w:rPr>
        <w:t xml:space="preserve">associated with restructuring and cost savings initiatives; gains of $103 million ($.34 per share) associated with mark-to-market and curtailment adjustments for defined benefit pension and postretirement plans; impairment charges of $612 million ($2.03 per share) related to the Bolthouse Farms refrigerated beverages and salad dressings reporting unit, the deli reporting unit, the Bolthouse Farms carrot and carrot ingredients reporting unit and the </w:t>
      </w:r>
      <w:r>
        <w:rPr>
          <w:rFonts w:ascii="Arial" w:cs="Arial" w:eastAsia="Arial" w:hAnsi="Arial"/>
          <w:sz w:val="18"/>
          <w:szCs w:val="18"/>
          <w:i w:val="1"/>
          <w:iCs w:val="1"/>
          <w:color w:val="auto"/>
        </w:rPr>
        <w:t xml:space="preserve">Plum </w:t>
      </w:r>
      <w:r>
        <w:rPr>
          <w:rFonts w:ascii="Arial" w:cs="Arial" w:eastAsia="Arial" w:hAnsi="Arial"/>
          <w:sz w:val="18"/>
          <w:szCs w:val="18"/>
          <w:color w:val="auto"/>
        </w:rPr>
        <w:t>trademark; transaction and integration costs of $73 million ($.24 per share) associated with the acquisition of Snyder's-Lance; a net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$126 million ($.42 per share) due to the enactment of the Tax Cuts and Jobs Act that was signed into law in December 2017; and a loss of $15 million ($.05 per share) related to the settlement of a legal claim.</w:t>
      </w:r>
    </w:p>
    <w:p>
      <w:pPr>
        <w:spacing w:after="0" w:line="2" w:lineRule="exact"/>
        <w:rPr>
          <w:sz w:val="20"/>
          <w:szCs w:val="20"/>
          <w:color w:val="auto"/>
        </w:rPr>
      </w:pPr>
    </w:p>
    <w:p>
      <w:pPr>
        <w:jc w:val="both"/>
        <w:ind w:left="340" w:hanging="332"/>
        <w:spacing w:after="0" w:line="237"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2017 earnings from continuing operations attributable to Campbell Soup Company were impacted by the following: a restructuring charge, related costs and administrative expenses of $37 million ($.12 per share) associated with restructuring and cost savings initiatives; gains of $116 million ($.38 per share) associated with mark-to-market adjustments for defined benefit pension and postretirement plans; impairment charges of $180 million ($.59 per share) related to the intangible assets of the Bolthouse Farms carrot and carrot ingredients reporting unit and the Garden Fresh Gourmet reporting unit; and a tax benefit and reduction to interest expense of $56 million ($.18 per share) primarily associated with the sale of intercompany notes receivable to a financial institution.</w:t>
      </w:r>
    </w:p>
    <w:p>
      <w:pPr>
        <w:spacing w:after="0" w:line="4" w:lineRule="exact"/>
        <w:rPr>
          <w:rFonts w:ascii="Arial" w:cs="Arial" w:eastAsia="Arial" w:hAnsi="Arial"/>
          <w:sz w:val="25"/>
          <w:szCs w:val="25"/>
          <w:color w:val="auto"/>
          <w:vertAlign w:val="superscript"/>
        </w:rPr>
      </w:pPr>
    </w:p>
    <w:p>
      <w:pPr>
        <w:jc w:val="both"/>
        <w:ind w:left="340" w:hanging="332"/>
        <w:spacing w:after="0" w:line="232"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2016 earnings from continuing operations attributable to Campbell Soup Company were impacted by the following: a restructuring charge and administrative expenses of $49 million ($.16 per share) associated with restructuring and cost savings initiatives; losses of $200 million ($.64 per share) associated with mark-to-market adjustments for defined benefit pension and postretirement plans; a gain of $25 million ($.08 per share) associated with a settlement of a claim related to the Kelsen acquisition; and an impairment charge of $127 million ($.41 per share) related to the intangible assets of the Bolthouse Farms carrot and carrot ingredients reporting unit.</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2015 earnings from continuing operations attributable to Campbell Soup Company were impacted by the following: a restructuring charge and administrative expenses of $78 million ($.25 per share) associated with restructuring and cost savings initiatives and losses of $87 million ($.28 per share) associated with mark-to-market adjustments for defined benefit pension and postretirement plans.</w:t>
      </w:r>
    </w:p>
    <w:p>
      <w:pPr>
        <w:spacing w:after="0" w:line="2" w:lineRule="exact"/>
        <w:rPr>
          <w:rFonts w:ascii="Arial" w:cs="Arial" w:eastAsia="Arial" w:hAnsi="Arial"/>
          <w:sz w:val="25"/>
          <w:szCs w:val="25"/>
          <w:color w:val="auto"/>
          <w:vertAlign w:val="superscript"/>
        </w:rPr>
      </w:pPr>
    </w:p>
    <w:p>
      <w:pPr>
        <w:jc w:val="both"/>
        <w:ind w:left="340" w:hanging="332"/>
        <w:spacing w:after="0" w:line="249"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The 2014 earnings from continuing operations attributable to Campbell Soup Company were impacted by the following: a restructuring charge and related costs of $36 million ($.11 per share) associated with restructuring initiatives; losses of $19 million ($.06 per share) associated with mark-to-market adjustments for defined benefit pension and postretirement plans; a loss of $6 million ($.02 per share) on foreign exchange forward contracts used to hedge the proceeds from the sale of the European simple meals business; $7 million ($.02 per share) tax expense associated with the sale of the European simple meals business; and the estimated impact of the additional week of $25 million ($.08 per share). Earnings from discontinued operations included a gain of $72 million ($.23 per share) on the sale of the European simple meals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should be read in conjunction with the 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46" w:lineRule="exact"/>
        <w:rPr>
          <w:sz w:val="20"/>
          <w:szCs w:val="20"/>
          <w:color w:val="auto"/>
        </w:rPr>
      </w:pPr>
    </w:p>
    <w:p>
      <w:pPr>
        <w:ind w:right="1040" w:firstLine="324"/>
        <w:spacing w:after="0" w:line="371" w:lineRule="auto"/>
        <w:rPr>
          <w:sz w:val="20"/>
          <w:szCs w:val="20"/>
          <w:color w:val="auto"/>
        </w:rPr>
      </w:pPr>
      <w:r>
        <w:rPr>
          <w:rFonts w:ascii="Arial" w:cs="Arial" w:eastAsia="Arial" w:hAnsi="Arial"/>
          <w:sz w:val="18"/>
          <w:szCs w:val="18"/>
          <w:color w:val="auto"/>
        </w:rPr>
        <w:t xml:space="preserve">Unless otherwise stated, the terms "we," "us," "our" and the "company" refer to Campbell Soup Company and its consolidated subsidiaries. </w:t>
      </w:r>
      <w:r>
        <w:rPr>
          <w:rFonts w:ascii="Arial" w:cs="Arial" w:eastAsia="Arial" w:hAnsi="Arial"/>
          <w:sz w:val="18"/>
          <w:szCs w:val="18"/>
          <w:b w:val="1"/>
          <w:bCs w:val="1"/>
          <w:i w:val="1"/>
          <w:iCs w:val="1"/>
          <w:color w:val="auto"/>
        </w:rPr>
        <w:t>Executive Summary</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 On December 12, 2017, we completed the acquisition of Pacific Foods of Oregon, LLC (Pacific Foods). The purchase price was $688 million. On March 26, 2018, we completed the acquisition of Snyder’s-Lance, Inc. (Snyder's-Lance) for total consideration of $6.112 billion. For additional information on our recent acquisitions, see Note 3 to the Consolidated Financial Statements.</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Commencing in the third quarter of 2018, we formed a new U.S. snacking unit, which combines Snyder's-Lance and Pepperidge Farm, and is an operating segment. As of the third quarter of 2018, we have four operating segments based primarily on product type, and three reportable segments. The U.S. snacking operating segment is aggregated with the international biscuits and snacks operating segment to form the Global Biscuits and Snacks reportable segment. The reportable segments are: Americas Simple Meals and Beverages; Global Biscuits and Snacks; and Campbell Fresh. Through the fourth quarter of 2017, our business in Latin America was managed as part of the Americas Simple Meals and Beverages segment. Beginning in 2018, our business in Latin America is managed as part of the Global Biscuits and Snacks segment. See "Business - Reportable Segments" for a description of the products included in each segment.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Strategy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Based on a recent Board-led strategy and portfolio review, we announced our vision to be a leading snacks and simple meals company, with a portfolio of best-in-class products and brands in our core North American market that we believe will generate sustainable value for our shareholders, customers and consumers. Guided by our purpose - </w:t>
      </w:r>
      <w:r>
        <w:rPr>
          <w:rFonts w:ascii="Arial" w:cs="Arial" w:eastAsia="Arial" w:hAnsi="Arial"/>
          <w:sz w:val="18"/>
          <w:szCs w:val="18"/>
          <w:i w:val="1"/>
          <w:iCs w:val="1"/>
          <w:color w:val="auto"/>
        </w:rPr>
        <w:t>Real food that matters for life’s moments</w:t>
      </w:r>
      <w:r>
        <w:rPr>
          <w:rFonts w:ascii="Arial" w:cs="Arial" w:eastAsia="Arial" w:hAnsi="Arial"/>
          <w:sz w:val="18"/>
          <w:szCs w:val="18"/>
          <w:color w:val="auto"/>
        </w:rPr>
        <w:t>, each of our brands will be driven within a framework of two differentiated portfolio roles:</w:t>
      </w:r>
    </w:p>
    <w:p>
      <w:pPr>
        <w:spacing w:after="0" w:line="133"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Drive Profitable Growth. These brands primarily include </w:t>
      </w:r>
      <w:r>
        <w:rPr>
          <w:rFonts w:ascii="Arial" w:cs="Arial" w:eastAsia="Arial" w:hAnsi="Arial"/>
          <w:sz w:val="18"/>
          <w:szCs w:val="18"/>
          <w:i w:val="1"/>
          <w:iCs w:val="1"/>
          <w:color w:val="auto"/>
        </w:rPr>
        <w:t>Cape Cod</w:t>
      </w:r>
      <w:r>
        <w:rPr>
          <w:rFonts w:ascii="Arial" w:cs="Arial" w:eastAsia="Arial" w:hAnsi="Arial"/>
          <w:sz w:val="18"/>
          <w:szCs w:val="18"/>
          <w:color w:val="auto"/>
        </w:rPr>
        <w:t xml:space="preserve">,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w:t>
      </w:r>
      <w:r>
        <w:rPr>
          <w:rFonts w:ascii="Arial" w:cs="Arial" w:eastAsia="Arial" w:hAnsi="Arial"/>
          <w:sz w:val="18"/>
          <w:szCs w:val="18"/>
          <w:i w:val="1"/>
          <w:iCs w:val="1"/>
          <w:color w:val="auto"/>
        </w:rPr>
        <w:t>Lance</w:t>
      </w:r>
      <w:r>
        <w:rPr>
          <w:rFonts w:ascii="Arial" w:cs="Arial" w:eastAsia="Arial" w:hAnsi="Arial"/>
          <w:sz w:val="18"/>
          <w:szCs w:val="18"/>
          <w:color w:val="auto"/>
        </w:rPr>
        <w:t xml:space="preserve">, </w:t>
      </w:r>
      <w:r>
        <w:rPr>
          <w:rFonts w:ascii="Arial" w:cs="Arial" w:eastAsia="Arial" w:hAnsi="Arial"/>
          <w:sz w:val="18"/>
          <w:szCs w:val="18"/>
          <w:i w:val="1"/>
          <w:iCs w:val="1"/>
          <w:color w:val="auto"/>
        </w:rPr>
        <w:t>Late July</w:t>
      </w:r>
      <w:r>
        <w:rPr>
          <w:rFonts w:ascii="Arial" w:cs="Arial" w:eastAsia="Arial" w:hAnsi="Arial"/>
          <w:sz w:val="18"/>
          <w:szCs w:val="18"/>
          <w:color w:val="auto"/>
        </w:rPr>
        <w:t xml:space="preserve">, </w:t>
      </w:r>
      <w:r>
        <w:rPr>
          <w:rFonts w:ascii="Arial" w:cs="Arial" w:eastAsia="Arial" w:hAnsi="Arial"/>
          <w:sz w:val="18"/>
          <w:szCs w:val="18"/>
          <w:i w:val="1"/>
          <w:iCs w:val="1"/>
          <w:color w:val="auto"/>
        </w:rPr>
        <w:t>Pace</w:t>
      </w:r>
      <w:r>
        <w:rPr>
          <w:rFonts w:ascii="Arial" w:cs="Arial" w:eastAsia="Arial" w:hAnsi="Arial"/>
          <w:sz w:val="18"/>
          <w:szCs w:val="18"/>
          <w:color w:val="auto"/>
        </w:rPr>
        <w:t xml:space="preserve">, </w:t>
      </w:r>
      <w:r>
        <w:rPr>
          <w:rFonts w:ascii="Arial" w:cs="Arial" w:eastAsia="Arial" w:hAnsi="Arial"/>
          <w:sz w:val="18"/>
          <w:szCs w:val="18"/>
          <w:i w:val="1"/>
          <w:iCs w:val="1"/>
          <w:color w:val="auto"/>
        </w:rPr>
        <w:t>Pacific</w:t>
      </w:r>
      <w:r>
        <w:rPr>
          <w:rFonts w:ascii="Arial" w:cs="Arial" w:eastAsia="Arial" w:hAnsi="Arial"/>
          <w:sz w:val="18"/>
          <w:szCs w:val="18"/>
          <w:color w:val="auto"/>
        </w:rPr>
        <w:t xml:space="preserve">, </w:t>
      </w:r>
      <w:r>
        <w:rPr>
          <w:rFonts w:ascii="Arial" w:cs="Arial" w:eastAsia="Arial" w:hAnsi="Arial"/>
          <w:sz w:val="18"/>
          <w:szCs w:val="18"/>
          <w:i w:val="1"/>
          <w:iCs w:val="1"/>
          <w:color w:val="auto"/>
        </w:rPr>
        <w:t>Pepperidge Farm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Farmhouse </w:t>
      </w:r>
      <w:r>
        <w:rPr>
          <w:rFonts w:ascii="Arial" w:cs="Arial" w:eastAsia="Arial" w:hAnsi="Arial"/>
          <w:sz w:val="18"/>
          <w:szCs w:val="18"/>
          <w:color w:val="auto"/>
        </w:rPr>
        <w:t>and</w:t>
      </w:r>
      <w:r>
        <w:rPr>
          <w:rFonts w:ascii="Arial" w:cs="Arial" w:eastAsia="Arial" w:hAnsi="Arial"/>
          <w:sz w:val="18"/>
          <w:szCs w:val="18"/>
          <w:i w:val="1"/>
          <w:iCs w:val="1"/>
          <w:color w:val="auto"/>
        </w:rPr>
        <w:t xml:space="preserve"> Milano </w:t>
      </w:r>
      <w:r>
        <w:rPr>
          <w:rFonts w:ascii="Arial" w:cs="Arial" w:eastAsia="Arial" w:hAnsi="Arial"/>
          <w:sz w:val="18"/>
          <w:szCs w:val="18"/>
          <w:color w:val="auto"/>
        </w:rPr>
        <w:t>cookies,</w:t>
      </w:r>
      <w:r>
        <w:rPr>
          <w:rFonts w:ascii="Arial" w:cs="Arial" w:eastAsia="Arial" w:hAnsi="Arial"/>
          <w:sz w:val="18"/>
          <w:szCs w:val="18"/>
          <w:i w:val="1"/>
          <w:iCs w:val="1"/>
          <w:color w:val="auto"/>
        </w:rPr>
        <w:t xml:space="preserve"> Prego </w:t>
      </w:r>
      <w:r>
        <w:rPr>
          <w:rFonts w:ascii="Arial" w:cs="Arial" w:eastAsia="Arial" w:hAnsi="Arial"/>
          <w:sz w:val="18"/>
          <w:szCs w:val="18"/>
          <w:color w:val="auto"/>
        </w:rPr>
        <w:t>and</w:t>
      </w:r>
      <w:r>
        <w:rPr>
          <w:rFonts w:ascii="Arial" w:cs="Arial" w:eastAsia="Arial" w:hAnsi="Arial"/>
          <w:sz w:val="18"/>
          <w:szCs w:val="18"/>
          <w:i w:val="1"/>
          <w:iCs w:val="1"/>
          <w:color w:val="auto"/>
        </w:rPr>
        <w:t xml:space="preserve"> Snyder’s of Hanover</w:t>
      </w:r>
      <w:r>
        <w:rPr>
          <w:rFonts w:ascii="Arial" w:cs="Arial" w:eastAsia="Arial" w:hAnsi="Arial"/>
          <w:sz w:val="18"/>
          <w:szCs w:val="18"/>
          <w:color w:val="auto"/>
        </w:rPr>
        <w:t>, and will be managed to grow disproportionately relative to the categories in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compete. We believe investments in innovation and consumer engagement will enable these brands to leverage evolving consumer tastes and trends; and</w:t>
      </w:r>
    </w:p>
    <w:p>
      <w:pPr>
        <w:spacing w:after="0" w:line="132"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Maximize Margin and Cash Flow. These brands primarily include </w:t>
      </w:r>
      <w:r>
        <w:rPr>
          <w:rFonts w:ascii="Arial" w:cs="Arial" w:eastAsia="Arial" w:hAnsi="Arial"/>
          <w:sz w:val="16"/>
          <w:szCs w:val="16"/>
          <w:i w:val="1"/>
          <w:iCs w:val="1"/>
          <w:color w:val="auto"/>
        </w:rPr>
        <w:t>Campbell’s</w:t>
      </w:r>
      <w:r>
        <w:rPr>
          <w:rFonts w:ascii="Arial" w:cs="Arial" w:eastAsia="Arial" w:hAnsi="Arial"/>
          <w:sz w:val="16"/>
          <w:szCs w:val="16"/>
          <w:color w:val="auto"/>
        </w:rPr>
        <w:t xml:space="preserve"> soups, </w:t>
      </w:r>
      <w:r>
        <w:rPr>
          <w:rFonts w:ascii="Arial" w:cs="Arial" w:eastAsia="Arial" w:hAnsi="Arial"/>
          <w:sz w:val="16"/>
          <w:szCs w:val="16"/>
          <w:i w:val="1"/>
          <w:iCs w:val="1"/>
          <w:color w:val="auto"/>
        </w:rPr>
        <w:t>Pepperidge Farm</w:t>
      </w:r>
      <w:r>
        <w:rPr>
          <w:rFonts w:ascii="Arial" w:cs="Arial" w:eastAsia="Arial" w:hAnsi="Arial"/>
          <w:sz w:val="16"/>
          <w:szCs w:val="16"/>
          <w:color w:val="auto"/>
        </w:rPr>
        <w:t xml:space="preserve"> fresh bakery, </w:t>
      </w:r>
      <w:r>
        <w:rPr>
          <w:rFonts w:ascii="Arial" w:cs="Arial" w:eastAsia="Arial" w:hAnsi="Arial"/>
          <w:sz w:val="16"/>
          <w:szCs w:val="16"/>
          <w:i w:val="1"/>
          <w:iCs w:val="1"/>
          <w:color w:val="auto"/>
        </w:rPr>
        <w:t>SpaghettiOs</w:t>
      </w:r>
      <w:r>
        <w:rPr>
          <w:rFonts w:ascii="Arial" w:cs="Arial" w:eastAsia="Arial" w:hAnsi="Arial"/>
          <w:sz w:val="16"/>
          <w:szCs w:val="16"/>
          <w:color w:val="auto"/>
        </w:rPr>
        <w:t xml:space="preserve"> and </w:t>
      </w:r>
      <w:r>
        <w:rPr>
          <w:rFonts w:ascii="Arial" w:cs="Arial" w:eastAsia="Arial" w:hAnsi="Arial"/>
          <w:sz w:val="16"/>
          <w:szCs w:val="16"/>
          <w:i w:val="1"/>
          <w:iCs w:val="1"/>
          <w:color w:val="auto"/>
        </w:rPr>
        <w:t>V8</w:t>
      </w:r>
      <w:r>
        <w:rPr>
          <w:rFonts w:ascii="Arial" w:cs="Arial" w:eastAsia="Arial" w:hAnsi="Arial"/>
          <w:sz w:val="16"/>
          <w:szCs w:val="16"/>
          <w:color w:val="auto"/>
        </w:rPr>
        <w:t>, and will be managed with a disciplined focus and aligned investments to support their strong market positions and optimize operating margins and cash flow.</w:t>
      </w:r>
    </w:p>
    <w:p>
      <w:pPr>
        <w:spacing w:after="0" w:line="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support of this strategy, we will continue to focus on the integration of Snyder’s-Lance. We also announced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 The international biscuits and snacks operating segment and the Campbell Fresh operating segment combined represent approximately $2.1 billion in net sales in 2018. We expect to use the proceeds from these divestitures to reduce debt.</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a more focused portfolio, we are pursuing increased multi-year cost savings initiatives with targeted annualized cost savings of $945 million by the end of 2022, which includes $295 million in synergies and run-rate cost savings from our acquisition of Snyder's-Lance. We expect to achieve these additional savings by streamlining our organization, expanding our zero-based budgeting efforts and continuing to optimize our manufacturing network. See "Restructuring Charges and Cost Savings Initiatives" for additional information on these initiatives.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Trends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businesses are being influenced by a variety of trends that we anticipate will continue in the future, including: changing consumer preferences; a changing retail environment; and significant cost inflation.</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strategy is designed, in part, to capture growing consumer preferences for snacking and convenience. For example, consumers are changing their eating habits by increasing the type and frequency of snacks they consume. We also expect consumers to continue to seek products that they associate with health and well-being, including naturally functional and organic foods.</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Retailers continue to use their buying power and negotiating strength to seek increased promotional programs funded by their suppliers and more favorable terms. In 2018, U.S. soup sales declined primarily due to a key customer's different promotional approach for soup. We expect consolidations among retailers will continue to create large and sophisticated customers that may further this trend. At the same time, new and existing retailers continue to grow and promote store brands that compete with branded products. In addition, although e-commerce represents only a small percentage of total food sales, we anticipate it will continue to grow rapidly.</w:t>
      </w:r>
    </w:p>
    <w:p>
      <w:pPr>
        <w:spacing w:after="0" w:line="5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cost of distribution has increased due to a significant rise in transportation and logistics costs, driven by excess demand, reduced availability and higher fuel costs. In addition, certain ingredients and packaging required for the manufacture of our products, including steel, have been or may be impacted by new or recently proposed tariffs. We expect these cost pressures to continue in 2019. In connection with our transition to our new U.S. warehouse optimization model, we are also experiencing significantly higher than expected cost increases and shipment delays associated with the startup of our Findlay, Ohio distribution facility. The Findlay facility, operated by a third-party logistics service provider, serves as the Midwest hub for distribution of </w:t>
      </w:r>
      <w:r>
        <w:rPr>
          <w:rFonts w:ascii="Arial" w:cs="Arial" w:eastAsia="Arial" w:hAnsi="Arial"/>
          <w:sz w:val="16"/>
          <w:szCs w:val="16"/>
          <w:i w:val="1"/>
          <w:iCs w:val="1"/>
          <w:color w:val="auto"/>
        </w:rPr>
        <w:t>Campbell’s</w:t>
      </w:r>
      <w:r>
        <w:rPr>
          <w:rFonts w:ascii="Arial" w:cs="Arial" w:eastAsia="Arial" w:hAnsi="Arial"/>
          <w:sz w:val="16"/>
          <w:szCs w:val="16"/>
          <w:color w:val="auto"/>
        </w:rPr>
        <w:t xml:space="preserve"> soups, </w:t>
      </w:r>
      <w:r>
        <w:rPr>
          <w:rFonts w:ascii="Arial" w:cs="Arial" w:eastAsia="Arial" w:hAnsi="Arial"/>
          <w:sz w:val="16"/>
          <w:szCs w:val="16"/>
          <w:i w:val="1"/>
          <w:iCs w:val="1"/>
          <w:color w:val="auto"/>
        </w:rPr>
        <w:t>Swanson</w:t>
      </w:r>
      <w:r>
        <w:rPr>
          <w:rFonts w:ascii="Arial" w:cs="Arial" w:eastAsia="Arial" w:hAnsi="Arial"/>
          <w:sz w:val="16"/>
          <w:szCs w:val="16"/>
          <w:color w:val="auto"/>
        </w:rPr>
        <w:t xml:space="preserve"> broth, </w:t>
      </w:r>
      <w:r>
        <w:rPr>
          <w:rFonts w:ascii="Arial" w:cs="Arial" w:eastAsia="Arial" w:hAnsi="Arial"/>
          <w:sz w:val="16"/>
          <w:szCs w:val="16"/>
          <w:i w:val="1"/>
          <w:iCs w:val="1"/>
          <w:color w:val="auto"/>
        </w:rPr>
        <w:t>V8</w:t>
      </w:r>
      <w:r>
        <w:rPr>
          <w:rFonts w:ascii="Arial" w:cs="Arial" w:eastAsia="Arial" w:hAnsi="Arial"/>
          <w:sz w:val="16"/>
          <w:szCs w:val="16"/>
          <w:color w:val="auto"/>
        </w:rPr>
        <w:t xml:space="preserve"> beverages and </w:t>
      </w:r>
      <w:r>
        <w:rPr>
          <w:rFonts w:ascii="Arial" w:cs="Arial" w:eastAsia="Arial" w:hAnsi="Arial"/>
          <w:sz w:val="16"/>
          <w:szCs w:val="16"/>
          <w:i w:val="1"/>
          <w:iCs w:val="1"/>
          <w:color w:val="auto"/>
        </w:rPr>
        <w:t>Pace</w:t>
      </w:r>
      <w:r>
        <w:rPr>
          <w:rFonts w:ascii="Arial" w:cs="Arial" w:eastAsia="Arial" w:hAnsi="Arial"/>
          <w:sz w:val="16"/>
          <w:szCs w:val="16"/>
          <w:color w:val="auto"/>
        </w:rPr>
        <w:t xml:space="preserve">, </w:t>
      </w:r>
      <w:r>
        <w:rPr>
          <w:rFonts w:ascii="Arial" w:cs="Arial" w:eastAsia="Arial" w:hAnsi="Arial"/>
          <w:sz w:val="16"/>
          <w:szCs w:val="16"/>
          <w:i w:val="1"/>
          <w:iCs w:val="1"/>
          <w:color w:val="auto"/>
        </w:rPr>
        <w:t>Prego</w:t>
      </w:r>
      <w:r>
        <w:rPr>
          <w:rFonts w:ascii="Arial" w:cs="Arial" w:eastAsia="Arial" w:hAnsi="Arial"/>
          <w:sz w:val="16"/>
          <w:szCs w:val="16"/>
          <w:color w:val="auto"/>
        </w:rPr>
        <w:t xml:space="preserve"> and </w:t>
      </w:r>
      <w:r>
        <w:rPr>
          <w:rFonts w:ascii="Arial" w:cs="Arial" w:eastAsia="Arial" w:hAnsi="Arial"/>
          <w:sz w:val="16"/>
          <w:szCs w:val="16"/>
          <w:i w:val="1"/>
          <w:iCs w:val="1"/>
          <w:color w:val="auto"/>
        </w:rPr>
        <w:t>Plum</w:t>
      </w:r>
      <w:r>
        <w:rPr>
          <w:rFonts w:ascii="Arial" w:cs="Arial" w:eastAsia="Arial" w:hAnsi="Arial"/>
          <w:sz w:val="16"/>
          <w:szCs w:val="16"/>
          <w:color w:val="auto"/>
        </w:rPr>
        <w:t xml:space="preserve"> products. Additionally, in September, our Maxton, North Carolina manufacturing and distribution capabilities were negatively impacted by flooding associated with Hurricane Florence. We expect the collective impact of these cost increases, shipment delays and weather-related issues to have a negative impact on our results of operations for the first quarter ending October 28,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we adopted new accounting guidance that changes the presentation of net periodic pension cost and net periodic postretirement benefit cost. Certain amounts in the prior year were reclassified to conform to the current presentation. See Note 2 to the Consolidated Financial Statements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jc w:val="center"/>
        <w:ind w:left="5620" w:right="220" w:hanging="5288"/>
        <w:spacing w:after="0" w:line="653" w:lineRule="auto"/>
        <w:tabs>
          <w:tab w:leader="none" w:pos="6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increased 10% in 2018 to $8.685 billion, primarily due to an 11-point benefit from the acquisitions of Snyder's-Lance and Pacific Foods. 17</w:t>
      </w:r>
    </w:p>
    <w:p>
      <w:pPr>
        <w:sectPr>
          <w:pgSz w:w="11900" w:h="16838" w:orient="portrait"/>
          <w:cols w:equalWidth="0" w:num="1">
            <w:col w:w="11420"/>
          </w:cols>
          <w:pgMar w:left="240" w:top="1314" w:right="239" w:bottom="1440" w:gutter="0" w:footer="0" w:header="0"/>
        </w:sectPr>
      </w:pPr>
    </w:p>
    <w:bookmarkStart w:id="17" w:name="page18"/>
    <w:bookmarkEnd w:id="17"/>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profit, as a percent of sales, decreased to 32.4% from 37.1% a year ago. The decrease was primarily due to cost inflation and higher supply chain costs, the dilutive impact of acquisitions, partially offset by productivity improvements.</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Administrative expenses increased 19% to $654 million from $550 million a year ago. The increase was primarily due to higher expenses related to cost savings initiatives, the impact of acquisitions, including integration costs, partially offset by lower incentive compensation costs.</w:t>
      </w:r>
    </w:p>
    <w:p>
      <w:pPr>
        <w:spacing w:after="0" w:line="92"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Other expenses / (income) increased to expense of $619 million in 2018 from income of $9 million in 2017. The current year included non-cash impairment charges of $737 million on the intangible assets of Campbell Fresh and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transaction costs of $53 million related to the Snyder's-Lance acquisition, expense of $22 million related to a settlement of a legal claim, and gains of $136 million on pension and postretirement benefit mark-to-market and curtailment adjustments. The prior year included non-cash impairment charges of $212 million on the intangible assets of the Bolthouse Farms carrot and carrot ingredients reporting unit and the Garden Fresh Gourmet reporting unit and gains of $178 million on pension and postretirement benefit mark-to-market adjustments. For additional information on the impairment charges, see "Significant Accounting Estimates."</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Interest expense increased to $201 million from $112 million primarily due to higher levels of debt associated with funding the acquisitions.</w:t>
      </w:r>
    </w:p>
    <w:p>
      <w:pPr>
        <w:spacing w:after="0" w:line="182"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 tax rate was 4.0% in 2018, compared to 31.4% in 2017. The current year included a $126 million net tax benefit related to the remeasurement of deferred tax assets and liabilities and a transition tax on unremitted foreign earnings as a result of the enactment of the Tax Cuts and Jobs Act of 2017 (the Act). See Note 11 to the Consolidated Financial Statements for additional information. In 2017, the effective rate reflected a tax benefit of $52 million primarily related to the sale of intercompany notes receivable to a financial institution, which resulted in the recognition of foreign exchange losses on the notes for tax purposes. After adjusting for these items, the remaining decrease in the effective tax rate was primarily due to the ongoing lower U.S. federal tax rate as a result of the Act.</w:t>
      </w:r>
    </w:p>
    <w:p>
      <w:pPr>
        <w:spacing w:after="0" w:line="13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were $.86 in 2018, compared to $2.89 a year ago. The current and prior year included expenses of $2.01 and $.15 per share, respectively, from items impacting comparability as discussed below.</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flows from operations were $1.305 billion in 2018, compared to $1.291 billion in 2017. The increase was primarily due to lower working capital requirements, partially offset by lower cash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- 2018 Compared with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2018, we recognized gains of $136 million in Other expenses / (income) ($103 million after tax, or $.34 per share) associated with mark-to-market and curtailment adjustments for defined benefit pension and postretirement plans. In 2017, we recognized gains of $178 million in Other expenses / (income) ($116 million after tax, or $.38 per share) associated with mark-to-market adjustments for defined benefit pension and postretirement plans;</w:t>
      </w:r>
    </w:p>
    <w:p>
      <w:pPr>
        <w:spacing w:after="0" w:line="92"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2015, we implemented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January 2018, as part of the expanded initiatives, we authorized additional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2018, we recorded a pre-tax restructuring charge of $49 million and implementation costs and other related costs of $88 million in Administrative expenses, $45 million in Cost of products sold, and $3 million in Marketing and selling expenses (aggregate impact of $136 million after tax, or $.45 per share) related to these initiatives. In 2017, we recorded a pre-tax restructuring charge of $18 million and implementation costs and other related costs of $36 million in Administrative expenses and $4 million in Cost of products sold (aggregate impact of $37 million after tax, or $.12 per share) related to these initiatives. See Note 7 to the Consolidated Financial Statements and "Restructuring Charges and Cost Savings Initiatives" for additional information;</w:t>
      </w:r>
    </w:p>
    <w:p>
      <w:pPr>
        <w:spacing w:after="0" w:line="138"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second quarter of 2018, we announced our intent to acquire Snyder's-Lance and on March 26, 2018, the acquisition closed. In 2018, we incurred $120 million of transaction and integration costs, of which $13 million was recorded in Restructuring charges, $12 million in Administrative expenses, $53 million in Other expenses / (income), and $42 million in Cost of products sold associated with an acquisition date fair value adjustment for inventory. We also recorded a gain in Interest expense of $18 million on treasury rate lock contracts used to hedge the planned financing of the acquisition. The aggregate impact was $102 million, $73 million after tax, or $.24 per share;</w:t>
      </w:r>
    </w:p>
    <w:p>
      <w:pPr>
        <w:spacing w:after="0" w:line="11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In the fourth quarter of 2018, we performed an impairment assessment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In 2018, sales and operating performance were well below expectations due in part to competitive pressure and reduced margins. In the fourth quarter of 2018, as part of a strategic review initiated by a new leadership team and based on recent performance, we lowered</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4" w:right="239" w:bottom="1440" w:gutter="0" w:footer="0" w:header="0"/>
          <w:type w:val="continuous"/>
        </w:sectPr>
      </w:pPr>
    </w:p>
    <w:bookmarkStart w:id="18" w:name="page19"/>
    <w:bookmarkEnd w:id="18"/>
    <w:p>
      <w:pPr>
        <w:jc w:val="both"/>
        <w:ind w:left="328"/>
        <w:spacing w:after="0" w:line="324" w:lineRule="auto"/>
        <w:rPr>
          <w:sz w:val="20"/>
          <w:szCs w:val="20"/>
          <w:color w:val="auto"/>
        </w:rPr>
      </w:pPr>
      <w:r>
        <w:rPr>
          <w:rFonts w:ascii="Arial" w:cs="Arial" w:eastAsia="Arial" w:hAnsi="Arial"/>
          <w:sz w:val="18"/>
          <w:szCs w:val="18"/>
          <w:color w:val="auto"/>
        </w:rPr>
        <w:t>our long-term outlook for future sales. We recorded a non-cash impairment charge of $54 million ($41 million after tax, or $.14 per share) in Other expenses / (income).</w:t>
      </w:r>
    </w:p>
    <w:p>
      <w:pPr>
        <w:spacing w:after="0" w:line="89" w:lineRule="exact"/>
        <w:rPr>
          <w:sz w:val="20"/>
          <w:szCs w:val="20"/>
          <w:color w:val="auto"/>
        </w:rPr>
      </w:pPr>
    </w:p>
    <w:p>
      <w:pPr>
        <w:jc w:val="both"/>
        <w:ind w:left="328"/>
        <w:spacing w:after="0" w:line="270" w:lineRule="auto"/>
        <w:rPr>
          <w:sz w:val="20"/>
          <w:szCs w:val="20"/>
          <w:color w:val="auto"/>
        </w:rPr>
      </w:pPr>
      <w:r>
        <w:rPr>
          <w:rFonts w:ascii="Arial" w:cs="Arial" w:eastAsia="Arial" w:hAnsi="Arial"/>
          <w:sz w:val="17"/>
          <w:szCs w:val="17"/>
          <w:color w:val="auto"/>
        </w:rPr>
        <w:t>In the third quarter of 2018, we performed interim impairment assessments within Campbell Fresh on the deli reporting unit, which includes Garden Fresh Gourmet and the U.S. refrigerated soup business, and the Bolthouse Farms refrigerated beverages and salad dressings reporting unit. Within the deli unit, we revised our long-term outlook due to the anticipated loss of refrigerated soup business with certain private label customers, as well as the recent performance of the business. In addition, the operating performance of the Bolthouse Farms refrigerated beverages and salad dressings reporting unit was below expectations. We revised our long-term outlook for future earnings and cash flows for each of these reporting units. We recorded a non-cash impairment charge of $11 million on the tangible assets and $94 million on the intangible assets ($80 million after tax, or $.27 per share) of the deli reporting unit, and a non-cash impairment charge of $514 million ($417 million after tax, or $1.39 per share) related to the intangible assets of the Bolthouse Farms refrigerated beverages and salad dressings reporting unit. The aggregate impact of the impairment charges was $619 million, of which $11 million was recorded in Cost of products sold and $608 million in Other expenses / (income), ($497 million after tax, or $1.65 per share).</w:t>
      </w:r>
    </w:p>
    <w:p>
      <w:pPr>
        <w:spacing w:after="0" w:line="124" w:lineRule="exact"/>
        <w:rPr>
          <w:sz w:val="20"/>
          <w:szCs w:val="20"/>
          <w:color w:val="auto"/>
        </w:rPr>
      </w:pPr>
    </w:p>
    <w:p>
      <w:pPr>
        <w:jc w:val="both"/>
        <w:ind w:left="328"/>
        <w:spacing w:after="0" w:line="286" w:lineRule="auto"/>
        <w:rPr>
          <w:sz w:val="20"/>
          <w:szCs w:val="20"/>
          <w:color w:val="auto"/>
        </w:rPr>
      </w:pPr>
      <w:r>
        <w:rPr>
          <w:rFonts w:ascii="Arial" w:cs="Arial" w:eastAsia="Arial" w:hAnsi="Arial"/>
          <w:sz w:val="17"/>
          <w:szCs w:val="17"/>
          <w:color w:val="auto"/>
        </w:rPr>
        <w:t>In the second quarter of 2018, we performed an interim impairment assessment on the intangible assets of the Bolthouse Farms carrot and carrot ingredients reporting unit as operating performance was below expectations. We revised our outlook for future earnings and cash flows and recorded a non-cash impairment charge of $75 million in Other expenses / (income) ($74 million after tax, or $.25 per share).</w:t>
      </w:r>
    </w:p>
    <w:p>
      <w:pPr>
        <w:spacing w:after="0" w:line="111" w:lineRule="exact"/>
        <w:rPr>
          <w:sz w:val="20"/>
          <w:szCs w:val="20"/>
          <w:color w:val="auto"/>
        </w:rPr>
      </w:pPr>
    </w:p>
    <w:p>
      <w:pPr>
        <w:jc w:val="both"/>
        <w:ind w:left="328"/>
        <w:spacing w:after="0" w:line="277" w:lineRule="auto"/>
        <w:rPr>
          <w:sz w:val="20"/>
          <w:szCs w:val="20"/>
          <w:color w:val="auto"/>
        </w:rPr>
      </w:pPr>
      <w:r>
        <w:rPr>
          <w:rFonts w:ascii="Arial" w:cs="Arial" w:eastAsia="Arial" w:hAnsi="Arial"/>
          <w:sz w:val="18"/>
          <w:szCs w:val="18"/>
          <w:color w:val="auto"/>
        </w:rPr>
        <w:t>In 2018, the total non-cash impairment charges recorded were $748 million, of which $11 million was recorded in Cost of products sold and $737 million in Other expenses / (income), ($612 million after tax, or $2.03 per share).</w:t>
      </w:r>
    </w:p>
    <w:p>
      <w:pPr>
        <w:spacing w:after="0" w:line="116" w:lineRule="exact"/>
        <w:rPr>
          <w:sz w:val="20"/>
          <w:szCs w:val="20"/>
          <w:color w:val="auto"/>
        </w:rPr>
      </w:pPr>
    </w:p>
    <w:p>
      <w:pPr>
        <w:jc w:val="both"/>
        <w:ind w:left="328"/>
        <w:spacing w:after="0" w:line="291" w:lineRule="auto"/>
        <w:rPr>
          <w:sz w:val="20"/>
          <w:szCs w:val="20"/>
          <w:color w:val="auto"/>
        </w:rPr>
      </w:pPr>
      <w:r>
        <w:rPr>
          <w:rFonts w:ascii="Arial" w:cs="Arial" w:eastAsia="Arial" w:hAnsi="Arial"/>
          <w:sz w:val="16"/>
          <w:szCs w:val="16"/>
          <w:color w:val="auto"/>
        </w:rPr>
        <w:t>In the second quarter of 2017, we performed an interim impairment assessment on the intangible assets of the Bolthouse Farms carrot and carrot ingredients reporting unit and the Garden Fresh Gourmet reporting unit as operating performance was well below expectations and a new leadership team of the Campbell Fresh division initiated a strategic review which led to a revised outlook for future sales, earnings, and cash flow. We recorded a non-cash impairment charge of $147 million ($139 million after tax, or $.45 per share) related to intangible assets of the Bolthouse Farms carrot and carrot ingredients reporting unit and a non-cash impairment charge of $65 million ($41 million after tax, or $.13 per share) related to the intangible assets of the Garden Fresh Gourmet reporting unit (aggregate pre-tax impact of $212 million, $180 million after tax, or $.59 per share). The charges were included in Other expenses / (income). See Note 5 to the Consolidated Financial Statements for additional information;</w:t>
      </w:r>
    </w:p>
    <w:p>
      <w:pPr>
        <w:spacing w:after="0" w:line="113" w:lineRule="exact"/>
        <w:rPr>
          <w:sz w:val="20"/>
          <w:szCs w:val="20"/>
          <w:color w:val="auto"/>
        </w:rPr>
      </w:pPr>
    </w:p>
    <w:p>
      <w:pPr>
        <w:ind w:left="328" w:hanging="328"/>
        <w:spacing w:after="0" w:line="27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2018, we recorded expense of $22 million in Other expenses / (income) ($15 million after tax, or $.05 per share) from a settlement of a legal claim;</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2018, we reflected the impact on taxes of the enactment of the Act that was signed into law in December 2017. We recorded a tax benefit of $179 million due to the remeasurement of deferred tax assets and liabilities, and a tax charge of $53 million related to a transition tax on unremitted foreign earnings. The net impact was a tax benefit of $126 million ($.42 per share). See Note 11 to the Consolidated Financial Statements and "Taxes on Earnings" for additional information; and</w:t>
      </w:r>
    </w:p>
    <w:p>
      <w:pPr>
        <w:spacing w:after="0" w:line="132"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2017, we recorded a tax benefit of $52 million in Taxes on earnings primarily related to the sale of intercompany notes receivable to a financial institution, which resulted in the recognition of foreign exchange losses on the notes for tax purposes. In addition, we recorded a $6 million reduction to interest expense ($4 million after tax) related to premiums and fees received on the sale of the notes. The aggregate impact was $56 million after tax, or $.18 per share. See Note 11 to the Consolidated Financial Statements for additional information.</w:t>
      </w:r>
    </w:p>
    <w:p>
      <w:pPr>
        <w:spacing w:after="0" w:line="28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8"/>
          </w:cols>
          <w:pgMar w:left="572" w:top="1341" w:right="23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3"/>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887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and curtailment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notes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earnings attributable to Campbell Soup Company were $261 million ($0.86 per share) in 2018, compared to $887 million ($2.89 per share) in 2017. After adjusting for items impacting comparability, earnings decreased primarily due to declines on the base business reflecting a lower gross profit performance, and the dilutive impact of acquisitions, partially offset by a lower effective tax rate. Earnings per share benefited from a reduction in the weighted average diluted shares outstanding, reflecting share repurchases. We suspended our share repurchases as of the second quarter of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- 2017 Compared with 2016</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2017 items that impacted comparability of Net earnings discussed above, the following items impacted the comparability of earnings and earnings per share:</w:t>
      </w:r>
    </w:p>
    <w:p>
      <w:pPr>
        <w:spacing w:after="0" w:line="116"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2016, we recognized losses of $313 million in Other expenses / (income) ($200 million after tax, or $.64 per share) associated with mark-to-market adjustments for defined benefit pension and postretirement plans;</w:t>
      </w:r>
    </w:p>
    <w:p>
      <w:pPr>
        <w:spacing w:after="0" w:line="116"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2016, we recorded a pre-tax restructuring charge of $35 million and implementation costs and other related costs of $47 million in Administrative expenses related to the 2015 initiatives. In 2016, we also recorded a reduction to pre-tax restructuring charges of $4 million related to the 2014 initiatives. The aggregate after-tax impact in 2016 of restructuring charges, implementation costs and other related costs was $49 million, or $.16 per share. See Note 7 to the Consolidated Financial Statements and "Restructuring Charges and Cost Savings Initiatives" for additional information;</w:t>
      </w:r>
    </w:p>
    <w:p>
      <w:pPr>
        <w:spacing w:after="0" w:line="100"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fourth quarter of 2016, as part of the annual review of intangible assets, we recorded a non-cash impairment charge of $141 million ($127 million after tax, or $.41 per share) related to the intangible assets of the Bolthouse Farms carrot and carrot ingredients reporting unit. The charges are included in Other expenses / (income);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2016, we recorded a gain of $25 million ($.08 per share) in Other expenses / (income) from a settlement of a claim related to the Kelsen acquisition. The claim was for a warranty breach and has no meaningful ongoing impact on Kelsen.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Sale of notes</w:t>
            </w: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were $887 million ($2.89 per share) in 2017, compared to $563 million ($1.81 per share) in 2016. After adjusting for items impacting comparability, earnings increased primarily due to an improved gross profit performance and lower</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administrative expenses, partially offset by lower sales. Earnings per share benefited from a reduction in the weighted average diluted shares outstanding, primarily due to share repurchases under our strategic share repurchase program.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center"/>
              <w:ind w:left="213"/>
              <w:spacing w:after="0"/>
              <w:rPr>
                <w:sz w:val="20"/>
                <w:szCs w:val="20"/>
                <w:color w:val="auto"/>
              </w:rPr>
            </w:pPr>
            <w:r>
              <w:rPr>
                <w:rFonts w:ascii="Arial" w:cs="Arial" w:eastAsia="Arial" w:hAnsi="Arial"/>
                <w:sz w:val="14"/>
                <w:szCs w:val="14"/>
                <w:b w:val="1"/>
                <w:bCs w:val="1"/>
                <w:color w:val="auto"/>
                <w:w w:val="94"/>
              </w:rPr>
              <w:t>2018/2017</w:t>
            </w:r>
            <w:r>
              <w:rPr>
                <w:rFonts w:ascii="Arial" w:cs="Arial" w:eastAsia="Arial" w:hAnsi="Arial"/>
                <w:sz w:val="8"/>
                <w:szCs w:val="8"/>
                <w:b w:val="1"/>
                <w:bCs w:val="1"/>
                <w:color w:val="auto"/>
                <w:w w:val="94"/>
              </w:rPr>
              <w:t>(1)</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2017/2016</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213"/>
              <w:spacing w:after="0"/>
              <w:rPr>
                <w:sz w:val="20"/>
                <w:szCs w:val="20"/>
                <w:color w:val="auto"/>
              </w:rPr>
            </w:pPr>
            <w:r>
              <w:rPr>
                <w:rFonts w:ascii="Arial" w:cs="Arial" w:eastAsia="Arial" w:hAnsi="Arial"/>
                <w:sz w:val="18"/>
                <w:szCs w:val="18"/>
                <w:color w:val="auto"/>
                <w:w w:val="94"/>
              </w:rPr>
              <w:t>(1)%</w:t>
            </w:r>
          </w:p>
        </w:tc>
        <w:tc>
          <w:tcPr>
            <w:tcW w:w="17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21"/>
                <w:szCs w:val="21"/>
                <w:color w:val="auto"/>
              </w:rPr>
            </w:pPr>
          </w:p>
        </w:tc>
        <w:tc>
          <w:tcPr>
            <w:tcW w:w="1060" w:type="dxa"/>
            <w:vAlign w:val="bottom"/>
          </w:tcPr>
          <w:p>
            <w:pPr>
              <w:jc w:val="center"/>
              <w:ind w:left="193"/>
              <w:spacing w:after="0"/>
              <w:rPr>
                <w:sz w:val="20"/>
                <w:szCs w:val="20"/>
                <w:color w:val="auto"/>
              </w:rPr>
            </w:pPr>
            <w:r>
              <w:rPr>
                <w:rFonts w:ascii="Arial" w:cs="Arial" w:eastAsia="Arial" w:hAnsi="Arial"/>
                <w:sz w:val="18"/>
                <w:szCs w:val="18"/>
                <w:color w:val="auto"/>
                <w:w w:val="89"/>
              </w:rPr>
              <w:t>31</w:t>
            </w:r>
          </w:p>
        </w:tc>
        <w:tc>
          <w:tcPr>
            <w:tcW w:w="1760" w:type="dxa"/>
            <w:vAlign w:val="bottom"/>
            <w:gridSpan w:val="3"/>
          </w:tcPr>
          <w:p>
            <w:pPr>
              <w:jc w:val="center"/>
              <w:ind w:left="314"/>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ind w:left="54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8,685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7,961</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4"/>
              </w:rPr>
              <w:t>10%</w:t>
            </w:r>
          </w:p>
        </w:tc>
        <w:tc>
          <w:tcPr>
            <w:tcW w:w="17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364"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2018 versus 2017</w:t>
            </w:r>
          </w:p>
        </w:tc>
        <w:tc>
          <w:tcPr>
            <w:tcW w:w="336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Americas Simple Meals</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Global Biscuits and</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3360" w:type="dxa"/>
            <w:vAlign w:val="bottom"/>
          </w:tcPr>
          <w:p>
            <w:pPr>
              <w:spacing w:after="0"/>
              <w:rPr>
                <w:sz w:val="11"/>
                <w:szCs w:val="11"/>
                <w:color w:val="auto"/>
              </w:rPr>
            </w:pP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and Beverages</w:t>
            </w:r>
          </w:p>
        </w:tc>
        <w:tc>
          <w:tcPr>
            <w:tcW w:w="17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Snacks</w:t>
            </w:r>
            <w:r>
              <w:rPr>
                <w:rFonts w:ascii="Arial" w:cs="Arial" w:eastAsia="Arial" w:hAnsi="Arial"/>
                <w:sz w:val="8"/>
                <w:szCs w:val="8"/>
                <w:b w:val="1"/>
                <w:bCs w:val="1"/>
                <w:color w:val="auto"/>
                <w:w w:val="91"/>
              </w:rPr>
              <w:t>(2)</w:t>
            </w:r>
          </w:p>
        </w:tc>
        <w:tc>
          <w:tcPr>
            <w:tcW w:w="1700" w:type="dxa"/>
            <w:vAlign w:val="bottom"/>
            <w:gridSpan w:val="2"/>
          </w:tcPr>
          <w:p>
            <w:pPr>
              <w:ind w:left="240"/>
              <w:spacing w:after="0" w:line="125" w:lineRule="exact"/>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(2)</w:t>
            </w:r>
          </w:p>
        </w:tc>
        <w:tc>
          <w:tcPr>
            <w:tcW w:w="1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Price and Sales Allowances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(Increased)/Decreased Promotional Spending</w:t>
            </w:r>
            <w:r>
              <w:rPr>
                <w:rFonts w:ascii="Arial" w:cs="Arial" w:eastAsia="Arial" w:hAnsi="Arial"/>
                <w:sz w:val="25"/>
                <w:szCs w:val="25"/>
                <w:color w:val="auto"/>
                <w:vertAlign w:val="superscript"/>
              </w:rPr>
              <w:t>(1)</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Currency</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31%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2017 versus 2016</w:t>
            </w:r>
          </w:p>
        </w:tc>
        <w:tc>
          <w:tcPr>
            <w:tcW w:w="336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Americas Simple Meals</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Global Biscuits and</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3360" w:type="dxa"/>
            <w:vAlign w:val="bottom"/>
          </w:tcPr>
          <w:p>
            <w:pPr>
              <w:spacing w:after="0"/>
              <w:rPr>
                <w:sz w:val="11"/>
                <w:szCs w:val="11"/>
                <w:color w:val="auto"/>
              </w:rPr>
            </w:pP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and Beverages</w:t>
            </w:r>
            <w:r>
              <w:rPr>
                <w:rFonts w:ascii="Arial" w:cs="Arial" w:eastAsia="Arial" w:hAnsi="Arial"/>
                <w:sz w:val="8"/>
                <w:szCs w:val="8"/>
                <w:b w:val="1"/>
                <w:bCs w:val="1"/>
                <w:color w:val="auto"/>
                <w:w w:val="91"/>
              </w:rPr>
              <w:t>(2)</w:t>
            </w:r>
          </w:p>
        </w:tc>
        <w:tc>
          <w:tcPr>
            <w:tcW w:w="17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Snacks</w:t>
            </w:r>
            <w:r>
              <w:rPr>
                <w:rFonts w:ascii="Arial" w:cs="Arial" w:eastAsia="Arial" w:hAnsi="Arial"/>
                <w:sz w:val="8"/>
                <w:szCs w:val="8"/>
                <w:b w:val="1"/>
                <w:bCs w:val="1"/>
                <w:color w:val="auto"/>
                <w:w w:val="91"/>
              </w:rPr>
              <w:t>(2)</w:t>
            </w:r>
          </w:p>
        </w:tc>
        <w:tc>
          <w:tcPr>
            <w:tcW w:w="1700" w:type="dxa"/>
            <w:vAlign w:val="bottom"/>
            <w:gridSpan w:val="2"/>
          </w:tcPr>
          <w:p>
            <w:pPr>
              <w:ind w:left="240"/>
              <w:spacing w:after="0" w:line="125" w:lineRule="exact"/>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(2)</w:t>
            </w:r>
          </w:p>
        </w:tc>
        <w:tc>
          <w:tcPr>
            <w:tcW w:w="15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(Increased)/Decreased Promotional Spending</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3"/>
                <w:szCs w:val="2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gridSpan w:val="3"/>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2018, Americas Simple Meals and Beverages sales decreased 1% primarily due to declines in U.S. soup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partially offset by the benefit of the acquisition of Pacific Foods, and an increase in the retail business in Canada driven by the favorable impact of currency translation. Excluding Pacific Foods, sales of U.S. soup declined 8%, driven by declines in condensed soups, ready-to-serve soups and broth. The decline in U.S. soup was primarily due to a key customer’s different promotional approach for soup in 2018.</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2017, Americas Simple Meals and Beverages sales decreased 1% primarily due to declines in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and soup, partly offset by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w:t>
      </w:r>
      <w:r>
        <w:rPr>
          <w:rFonts w:ascii="Arial" w:cs="Arial" w:eastAsia="Arial" w:hAnsi="Arial"/>
          <w:sz w:val="18"/>
          <w:szCs w:val="18"/>
          <w:i w:val="1"/>
          <w:iCs w:val="1"/>
          <w:color w:val="auto"/>
        </w:rPr>
        <w:t>SpaghettiOs</w:t>
      </w:r>
      <w:r>
        <w:rPr>
          <w:rFonts w:ascii="Arial" w:cs="Arial" w:eastAsia="Arial" w:hAnsi="Arial"/>
          <w:sz w:val="18"/>
          <w:szCs w:val="18"/>
          <w:color w:val="auto"/>
        </w:rPr>
        <w:t xml:space="preserve"> pasta. U.S. soup sales decreased 1% due to declines in condensed soups and broth, partly offset by gains in ready-to-serve soups. Gains in ready-to-serve soups were primarily driven by </w:t>
      </w:r>
      <w:r>
        <w:rPr>
          <w:rFonts w:ascii="Arial" w:cs="Arial" w:eastAsia="Arial" w:hAnsi="Arial"/>
          <w:sz w:val="18"/>
          <w:szCs w:val="18"/>
          <w:i w:val="1"/>
          <w:iCs w:val="1"/>
          <w:color w:val="auto"/>
        </w:rPr>
        <w:t>Chunky</w:t>
      </w:r>
      <w:r>
        <w:rPr>
          <w:rFonts w:ascii="Arial" w:cs="Arial" w:eastAsia="Arial" w:hAnsi="Arial"/>
          <w:sz w:val="18"/>
          <w:szCs w:val="18"/>
          <w:color w:val="auto"/>
        </w:rPr>
        <w:t xml:space="preserve"> soups due to improved execution, including merchandising and dedicated advertising, as well as new items, and the launch of </w:t>
      </w:r>
      <w:r>
        <w:rPr>
          <w:rFonts w:ascii="Arial" w:cs="Arial" w:eastAsia="Arial" w:hAnsi="Arial"/>
          <w:sz w:val="18"/>
          <w:szCs w:val="18"/>
          <w:i w:val="1"/>
          <w:iCs w:val="1"/>
          <w:color w:val="auto"/>
        </w:rPr>
        <w:t>Well Yes!</w:t>
      </w:r>
      <w:r>
        <w:rPr>
          <w:rFonts w:ascii="Arial" w:cs="Arial" w:eastAsia="Arial" w:hAnsi="Arial"/>
          <w:sz w:val="18"/>
          <w:szCs w:val="18"/>
          <w:color w:val="auto"/>
        </w:rPr>
        <w:t xml:space="preserve"> soups. Promotional spending had a negative impact of 1% on sales, with increases on broth, in Canada and on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We increased promotional spending on broth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to remain competitive, and in Canada to hold certain promoted prices following list price increases.</w:t>
      </w:r>
    </w:p>
    <w:p>
      <w:pPr>
        <w:sectPr>
          <w:pgSz w:w="11900" w:h="16838" w:orient="portrait"/>
          <w:cols w:equalWidth="0" w:num="1">
            <w:col w:w="11420"/>
          </w:cols>
          <w:pgMar w:left="240" w:top="1314"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4" w:right="239" w:bottom="1440" w:gutter="0" w:footer="0" w:header="0"/>
          <w:type w:val="continuous"/>
        </w:sectPr>
      </w:pPr>
    </w:p>
    <w:bookmarkStart w:id="21" w:name="page22"/>
    <w:bookmarkEnd w:id="21"/>
    <w:p>
      <w:pPr>
        <w:jc w:val="both"/>
        <w:ind w:firstLine="324"/>
        <w:spacing w:after="0" w:line="286" w:lineRule="auto"/>
        <w:rPr>
          <w:sz w:val="20"/>
          <w:szCs w:val="20"/>
          <w:color w:val="auto"/>
        </w:rPr>
      </w:pPr>
      <w:r>
        <w:rPr>
          <w:rFonts w:ascii="Arial" w:cs="Arial" w:eastAsia="Arial" w:hAnsi="Arial"/>
          <w:sz w:val="17"/>
          <w:szCs w:val="17"/>
          <w:color w:val="auto"/>
        </w:rPr>
        <w:t xml:space="preserve">In 2018, Global Biscuits and Snacks sales increased 31% primarily due to the 29-point benefit of the acquisition of Snyder’s-Lance. Excluding Snyder’s-Lance and the favorable impact of currency translation, sales increased primarily due to gains in Pepperidge Farm, reflecting growth in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in cookies, as well as gains of Kelsen cookies in China, partially offset by declines in Arnott’s biscuits, primarily in Indonesia.</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2017, Global Biscuits and Snacks sales increased 1% reflecting a 1% favorable impact from currency translation. Excluding the favorable impact of currency translation, segment sales were comparable to the prior year as gains in Pepperidge Farm were offset by declines in Kelsen, mostly in the U.S., and in Arnott's in Indonesia. Pepperidge Farm sales increased due to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in cookies, benefiting from new items, partly offset by declines in fresh bakery and frozen products.</w:t>
      </w:r>
    </w:p>
    <w:p>
      <w:pPr>
        <w:spacing w:after="0" w:line="14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color w:val="auto"/>
        </w:rPr>
        <w:t xml:space="preserve">In 2018, Campbell Fresh sales were comparable to the prior year as gains in carrot ingredients and Garden Fresh Gourmet were offset by declines in </w:t>
      </w:r>
      <w:r>
        <w:rPr>
          <w:rFonts w:ascii="Arial" w:cs="Arial" w:eastAsia="Arial" w:hAnsi="Arial"/>
          <w:sz w:val="18"/>
          <w:szCs w:val="18"/>
          <w:i w:val="1"/>
          <w:iCs w:val="1"/>
          <w:color w:val="auto"/>
        </w:rPr>
        <w:t xml:space="preserve">Bolthouse Farms </w:t>
      </w:r>
      <w:r>
        <w:rPr>
          <w:rFonts w:ascii="Arial" w:cs="Arial" w:eastAsia="Arial" w:hAnsi="Arial"/>
          <w:sz w:val="18"/>
          <w:szCs w:val="18"/>
          <w:color w:val="auto"/>
        </w:rPr>
        <w:t>refrigerated beverages</w:t>
      </w:r>
      <w:r>
        <w:rPr>
          <w:rFonts w:ascii="Arial" w:cs="Arial" w:eastAsia="Arial" w:hAnsi="Arial"/>
          <w:sz w:val="19"/>
          <w:szCs w:val="19"/>
          <w:color w:val="auto"/>
        </w:rPr>
        <w:t>.</w:t>
      </w:r>
    </w:p>
    <w:p>
      <w:pPr>
        <w:spacing w:after="0" w:line="1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2017, Campbell Fresh sales decreased 5% primarily due to lower sales of refrigerated beverages and carrots, partly offset by gains in refrigerated soup. The decrease in refrigerated beverages reflects the adverse impact of supply constraints related to enhanced quality processes following the voluntary recall of </w:t>
      </w:r>
      <w:r>
        <w:rPr>
          <w:rFonts w:ascii="Arial" w:cs="Arial" w:eastAsia="Arial" w:hAnsi="Arial"/>
          <w:sz w:val="17"/>
          <w:szCs w:val="17"/>
          <w:i w:val="1"/>
          <w:iCs w:val="1"/>
          <w:color w:val="auto"/>
        </w:rPr>
        <w:t xml:space="preserve">Bolthouse Farms Protein PLUS </w:t>
      </w:r>
      <w:r>
        <w:rPr>
          <w:rFonts w:ascii="Arial" w:cs="Arial" w:eastAsia="Arial" w:hAnsi="Arial"/>
          <w:sz w:val="17"/>
          <w:szCs w:val="17"/>
          <w:color w:val="auto"/>
        </w:rPr>
        <w:t>drinks in June 2016. The carrot sales performance reflects the market share impact of quality and execution issues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experienced in 2016, as well as the adverse impact of weather conditions in the second quarter of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$109 million in 2018 from 2017 and decreased by $3 million in 2017 from 2016. As a percent of sales, gross profit was 32.4% in 2018, 37.1% in 2017 and 36.8% in 2016.</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4.7 percentage-point decrease in gross profit percentage in 2018 and 0.3 percentage-point increase in gross profit percentage in 2017 were due to the following factors: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6"/>
              </w:rPr>
              <w:t>Margin Impact</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center"/>
              <w:ind w:right="332"/>
              <w:spacing w:after="0"/>
              <w:rPr>
                <w:sz w:val="20"/>
                <w:szCs w:val="20"/>
                <w:color w:val="auto"/>
              </w:rPr>
            </w:pPr>
            <w:r>
              <w:rPr>
                <w:rFonts w:ascii="Arial" w:cs="Arial" w:eastAsia="Arial" w:hAnsi="Arial"/>
                <w:sz w:val="18"/>
                <w:szCs w:val="18"/>
                <w:color w:val="auto"/>
                <w:w w:val="91"/>
              </w:rPr>
              <w:t>(1.0)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780" w:type="dxa"/>
            <w:vAlign w:val="bottom"/>
          </w:tcPr>
          <w:p>
            <w:pPr>
              <w:ind w:left="20"/>
              <w:spacing w:after="0" w:line="270" w:lineRule="exact"/>
              <w:rPr>
                <w:sz w:val="20"/>
                <w:szCs w:val="20"/>
                <w:color w:val="auto"/>
              </w:rPr>
            </w:pPr>
            <w:r>
              <w:rPr>
                <w:rFonts w:ascii="Arial" w:cs="Arial" w:eastAsia="Arial" w:hAnsi="Arial"/>
                <w:sz w:val="18"/>
                <w:szCs w:val="18"/>
                <w:color w:val="auto"/>
              </w:rPr>
              <w:t>Impact of acquisitions</w:t>
            </w:r>
            <w:r>
              <w:rPr>
                <w:rFonts w:ascii="Arial" w:cs="Arial" w:eastAsia="Arial" w:hAnsi="Arial"/>
                <w:sz w:val="25"/>
                <w:szCs w:val="25"/>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(1.8)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center"/>
              <w:ind w:right="3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Restructuring-related costs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right="3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Mix</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center"/>
              <w:ind w:right="332"/>
              <w:spacing w:after="0"/>
              <w:rPr>
                <w:sz w:val="20"/>
                <w:szCs w:val="20"/>
                <w:color w:val="auto"/>
              </w:rPr>
            </w:pPr>
            <w:r>
              <w:rPr>
                <w:rFonts w:ascii="Arial" w:cs="Arial" w:eastAsia="Arial" w:hAnsi="Arial"/>
                <w:sz w:val="18"/>
                <w:szCs w:val="18"/>
                <w:color w:val="auto"/>
                <w:w w:val="91"/>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level of promotional spending</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right="332"/>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Impairment charge on plant assets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7"/>
              </w:rPr>
              <w:t>(0.2)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center"/>
              <w:ind w:right="3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right="332"/>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780" w:type="dxa"/>
            <w:vAlign w:val="bottom"/>
          </w:tcPr>
          <w:p>
            <w:pPr>
              <w:ind w:left="20"/>
              <w:spacing w:after="0"/>
              <w:rPr>
                <w:sz w:val="20"/>
                <w:szCs w:val="20"/>
                <w:color w:val="auto"/>
              </w:rPr>
            </w:pPr>
            <w:r>
              <w:rPr>
                <w:rFonts w:ascii="Arial" w:cs="Arial" w:eastAsia="Arial" w:hAnsi="Arial"/>
                <w:sz w:val="18"/>
                <w:szCs w:val="18"/>
                <w:color w:val="auto"/>
              </w:rPr>
              <w:t>Productivity improvements</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5"/>
              </w:rPr>
              <w:t>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center"/>
              <w:ind w:right="332"/>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right="332"/>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800" w:type="dxa"/>
            <w:vAlign w:val="bottom"/>
            <w:gridSpan w:val="2"/>
            <w:vMerge w:val="restart"/>
          </w:tcPr>
          <w:p>
            <w:pPr>
              <w:jc w:val="right"/>
              <w:ind w:right="5290"/>
              <w:spacing w:after="0"/>
              <w:rPr>
                <w:sz w:val="20"/>
                <w:szCs w:val="20"/>
                <w:color w:val="auto"/>
              </w:rPr>
            </w:pPr>
            <w:r>
              <w:rPr>
                <w:rFonts w:ascii="Arial" w:cs="Arial" w:eastAsia="Arial" w:hAnsi="Arial"/>
                <w:sz w:val="16"/>
                <w:szCs w:val="16"/>
                <w:color w:val="auto"/>
                <w:w w:val="90"/>
              </w:rPr>
              <w:t>__________________________________________</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gridSpan w:val="2"/>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line="245"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2018 includes a positive margin impact of 0.9 from cost savings initiatives, which was more than offset by cost inflation and other factors, including higher transportation and logistics costs and higher costs in Campbell Fresh. 2017 includes a positive margin impact of 1 from cost savings initiatives.</w:t>
      </w:r>
    </w:p>
    <w:p>
      <w:pPr>
        <w:ind w:left="340" w:hanging="332"/>
        <w:spacing w:after="0" w:line="180"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2018 includes a negative margin impact of 0.5 from a Snyder's-Lance acquisition date fair value adjustment for 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Marketing and selling expenses as a percent of sales were 10.4% in 2018, 10.8% in 2017 and 10.7% in 2016. Marketing and selling expenses increased 5% in 2018 from 2017. The increase was primarily due to the impact of acquisitions (approximately 9 percentage points) and investments in e-commerce (approximately 1 percentage point), partially offset by increased benefits from cost savings initiatives (approximately 2 percentage points); lower marketing overhead expenses (approximately 1 percentage point); lower advertising and consumer promotion expenses (approximately 1 percentage point) and lower incentive compensation costs (approximately 1 percentage point).</w:t>
      </w:r>
    </w:p>
    <w:p>
      <w:pPr>
        <w:spacing w:after="0" w:line="1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Marketing and selling expenses were comparable in 2017 and 2016 as increased benefits from cost savings initiatives (approximately 2 percentage points); and lower incentive compensation costs (approximately 1 percentage point) were offset by higher selling expenses (approximately 1 percentage point) and inflation (approximately 1 percentage point).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7.5% in 2018, 7.0% in 2017 and 7.2% in 2016. Administrative expenses increased 19% in 2018 from 2017. The increase was primarily due to higher costs related to cost savings initiatives (approximately 9 percentage points); the impact of acquisitions (approximately 7 percentage points); acquisition integration costs (approximately 2 percentage points); consulting costs incurred in connection with the strategic review (approximately 1 percentage point);</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investments in long-term innovation (approximately 1 percentage point); the impact of currency translation (approximately 1 percentage point) and inflation and other factors (approximately 4 percentage points), partially offset by lower incentive compensation (approximately 5 percentage points) and increased benefits from cost savings initiatives (approximately 1 percentage point).</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decreased 4% in 2017 from 2016. The decrease was primarily due to increased benefits from cost savings initiatives (approximately 3 percentage points); lower incentive compensation costs (approximately 3 percentage points); and lower costs related to cost savings initiatives (approximately 2 percentage points), partially offset by inflation (approximately 2 percentage points) and investments in long-term innovation (approximately 1 percentage point).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expenses decreased $1 million, or 1%, in 2018 from 2017. The decrease was primarily due to lower investments in long-term innovation (approximately 3 percentage points); and lower incentive compensation costs (approximately 2 percentage points), partially offset by the impact of acquisitions (approximately 3 percentage points) and inflation and other factors (approximately 1 percentage point).</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expenses increased $6 million, or 6%, in 2017 from 2016. The increase was primarily due to inflation and other factors (approximately 8 percentage points) and investments in long-term innovation (approximately 1 percentage point), partially offset by increased benefits from cost savings initiatives (approximately 2 percentage points) and lower incentive compensation costs (approximately 2 percentage points).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in 2018 included the following:</w:t>
      </w:r>
    </w:p>
    <w:p>
      <w:pPr>
        <w:spacing w:after="0" w:line="171" w:lineRule="exact"/>
        <w:rPr>
          <w:sz w:val="20"/>
          <w:szCs w:val="20"/>
          <w:color w:val="auto"/>
        </w:rPr>
      </w:pPr>
    </w:p>
    <w:p>
      <w:pPr>
        <w:ind w:left="660" w:hanging="16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non-cash impairment charges of $737 million related to the intangible assets of the Bolthouse Farms refrigerated beverages and salad dressings reporting unit, the deli reporting unit, the Bolthouse Farms carrot and carrots ingredients reporting unit and the </w:t>
      </w:r>
      <w:r>
        <w:rPr>
          <w:rFonts w:ascii="Arial" w:cs="Arial" w:eastAsia="Arial" w:hAnsi="Arial"/>
          <w:sz w:val="17"/>
          <w:szCs w:val="17"/>
          <w:i w:val="1"/>
          <w:iCs w:val="1"/>
          <w:color w:val="auto"/>
        </w:rPr>
        <w:t>Plum</w:t>
      </w:r>
      <w:r>
        <w:rPr>
          <w:rFonts w:ascii="Arial" w:cs="Arial" w:eastAsia="Arial" w:hAnsi="Arial"/>
          <w:sz w:val="17"/>
          <w:szCs w:val="17"/>
          <w:color w:val="auto"/>
        </w:rPr>
        <w:t xml:space="preserve"> trademark;</w:t>
      </w:r>
    </w:p>
    <w:p>
      <w:pPr>
        <w:spacing w:after="0" w:line="92" w:lineRule="exact"/>
        <w:rPr>
          <w:rFonts w:ascii="Arial" w:cs="Arial" w:eastAsia="Arial" w:hAnsi="Arial"/>
          <w:sz w:val="17"/>
          <w:szCs w:val="17"/>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$53 million of transaction costs associated with the acquisition of Snyder's-Lance;</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$34 million of amortization of intangible assets;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$22 million of expense related to the settlement of a legal claim; and</w:t>
      </w:r>
    </w:p>
    <w:p>
      <w:pPr>
        <w:spacing w:after="0" w:line="171"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$231 million of net periodic benefit income, including gains of $136 million on pension and postretirement benefit mark-to-market and curtailment adjustments.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in 2017 included the following:</w:t>
      </w:r>
    </w:p>
    <w:p>
      <w:pPr>
        <w:spacing w:after="0" w:line="171" w:lineRule="exact"/>
        <w:rPr>
          <w:sz w:val="20"/>
          <w:szCs w:val="20"/>
          <w:color w:val="auto"/>
        </w:rPr>
      </w:pPr>
    </w:p>
    <w:p>
      <w:pPr>
        <w:ind w:left="660" w:hanging="16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non-cash impairment charges of $212 million on the intangible assets of the Bolthouse Farms carrot and carrot ingredients reporting unit and the Garden Fresh Gourmet reporting unit;</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$19 million of amortization of intangible assets; and</w:t>
      </w:r>
    </w:p>
    <w:p>
      <w:pPr>
        <w:spacing w:after="0" w:line="171" w:lineRule="exact"/>
        <w:rPr>
          <w:rFonts w:ascii="Arial" w:cs="Arial" w:eastAsia="Arial" w:hAnsi="Arial"/>
          <w:sz w:val="18"/>
          <w:szCs w:val="18"/>
          <w:color w:val="auto"/>
        </w:rPr>
      </w:pPr>
    </w:p>
    <w:p>
      <w:pPr>
        <w:ind w:left="340" w:right="380" w:firstLine="154"/>
        <w:spacing w:after="0" w:line="438" w:lineRule="auto"/>
        <w:tabs>
          <w:tab w:leader="none" w:pos="664" w:val="left"/>
        </w:tabs>
        <w:numPr>
          <w:ilvl w:val="0"/>
          <w:numId w:val="23"/>
        </w:numPr>
        <w:rPr>
          <w:rFonts w:ascii="Arial" w:cs="Arial" w:eastAsia="Arial" w:hAnsi="Arial"/>
          <w:sz w:val="18"/>
          <w:szCs w:val="18"/>
          <w:color w:val="auto"/>
        </w:rPr>
      </w:pPr>
      <w:r>
        <w:rPr>
          <w:rFonts w:ascii="Arial" w:cs="Arial" w:eastAsia="Arial" w:hAnsi="Arial"/>
          <w:sz w:val="18"/>
          <w:szCs w:val="18"/>
          <w:color w:val="auto"/>
        </w:rPr>
        <w:t>$247 million of net periodic benefit income, including gains of $178 million on pension and postretirement benefit mark-to-market adjustments. Other expenses in 2016 included the following:</w:t>
      </w:r>
    </w:p>
    <w:p>
      <w:pPr>
        <w:ind w:left="660" w:hanging="16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periodic benefit expense of $274 million, including losses of $313 million on pension and postretirement benefit mark-to-market adjustments;</w:t>
      </w:r>
    </w:p>
    <w:p>
      <w:pPr>
        <w:spacing w:after="0" w:line="194" w:lineRule="exact"/>
        <w:rPr>
          <w:rFonts w:ascii="Arial" w:cs="Arial" w:eastAsia="Arial" w:hAnsi="Arial"/>
          <w:sz w:val="16"/>
          <w:szCs w:val="16"/>
          <w:color w:val="auto"/>
        </w:rPr>
      </w:pPr>
    </w:p>
    <w:p>
      <w:pPr>
        <w:ind w:left="660" w:hanging="166"/>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non-cash impairment charge of $141 million on the intangible assets of the Bolthouse Farms carrot and carrot ingredients reporting unit;</w:t>
      </w:r>
    </w:p>
    <w:p>
      <w:pPr>
        <w:spacing w:after="0" w:line="182" w:lineRule="exact"/>
        <w:rPr>
          <w:rFonts w:ascii="Arial" w:cs="Arial" w:eastAsia="Arial" w:hAnsi="Arial"/>
          <w:sz w:val="17"/>
          <w:szCs w:val="17"/>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$20 million of amortization of intangible assets;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$25 million gain from a settlement of a claim related to the Kelsen acquisition.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on the impairment charges, see "Significant Accounting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5% in 2018 from 2017 and increased 1% in 2017 from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14"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 Change</w:t>
            </w:r>
            <w:r>
              <w:rPr>
                <w:rFonts w:ascii="Arial" w:cs="Arial" w:eastAsia="Arial" w:hAnsi="Arial"/>
                <w:sz w:val="8"/>
                <w:szCs w:val="8"/>
                <w:b w:val="1"/>
                <w:bCs w:val="1"/>
                <w:color w:val="auto"/>
              </w:rPr>
              <w:t>(2)</w:t>
            </w:r>
          </w:p>
        </w:tc>
      </w:tr>
      <w:tr>
        <w:trPr>
          <w:trHeight w:val="264"/>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2018/2017</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2017/2016</w:t>
            </w: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Simple Meals and Beverages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1,060</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Global Biscuits and Snacks</w:t>
            </w:r>
          </w:p>
        </w:tc>
        <w:tc>
          <w:tcPr>
            <w:tcW w:w="3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431</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17</w:t>
            </w:r>
          </w:p>
        </w:tc>
        <w:tc>
          <w:tcPr>
            <w:tcW w:w="120" w:type="dxa"/>
            <w:vAlign w:val="bottom"/>
          </w:tcPr>
          <w:p>
            <w:pPr>
              <w:spacing w:after="0"/>
              <w:rPr>
                <w:sz w:val="21"/>
                <w:szCs w:val="21"/>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7</w:t>
            </w:r>
          </w:p>
        </w:tc>
      </w:tr>
      <w:tr>
        <w:trPr>
          <w:trHeight w:val="27"/>
        </w:trPr>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Fresh</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9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n/m</w:t>
            </w:r>
          </w:p>
        </w:tc>
      </w:tr>
      <w:tr>
        <w:trPr>
          <w:trHeight w:val="237"/>
        </w:trPr>
        <w:tc>
          <w:tcPr>
            <w:tcW w:w="5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57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spacing w:after="0"/>
              <w:rPr>
                <w:sz w:val="23"/>
                <w:szCs w:val="23"/>
                <w:color w:val="auto"/>
              </w:rPr>
            </w:pPr>
          </w:p>
        </w:tc>
      </w:tr>
      <w:tr>
        <w:trPr>
          <w:trHeight w:val="269"/>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interest and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ind w:left="340" w:hanging="332"/>
        <w:spacing w:after="0" w:line="183"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earnings from Americas Simple Meals and Beverages decreased 12% in 2018 versus 2017. The decrease was primarily due to a lower gross profit percentage and lower sales volume, partly offset by lower marketing and selling expenses. Gross profit performance was impacted by cost inflation, including higher transportation and logistics costs, and the dilutive impact from the acquisition of Pacific Foods.</w:t>
      </w:r>
    </w:p>
    <w:p>
      <w:pPr>
        <w:spacing w:after="0" w:line="1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earnings from Americas Simple Meals and Beverages increased 5% in 2017 versus 2016. The increase was primarily due to a higher gross profit percentage, benefiting from productivity improvements, and lower administrative expenses, partly offset by volume declines.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Operating earnings from Global Biscuits and Snacks increased 17% in 2018 versus 2017. The increase was primarily due to the benefit of the acquisition of Snyder’s-Lance, higher organic sales volume and lower marketing and selling expenses, partly offset by a lower gross profit percentage. Gross profit performance was impacted by higher levels of cost inflation, particularly on butter, higher transportation and logistics costs and costs associated with the voluntary product recall of flavor-blasted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in July 2018.</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Global Biscuits and Snacks increased 7% in 2017 versus 2016. The increase was primarily due to lower administrative expenses, lower marketing and selling expenses and higher sales voume.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Campbell Fresh decreased from a loss of $9 million in 2017 to a loss of $43 million in 2018. The decrease was primarily due to a lower gross profit percentage, reflecting higher supply chain costs including lower manufacturing efficiencies and cost inflation, as well as higher carrot costs attributable to the adverse impact of weather conditions on crop yields.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Campbell Fresh decreased from $60 million in 2016 to a loss of $9 million in 2017. The decrease was primarily due to lower volume and unfavorable mix; higher carrot costs, which were partly associated with the adverse impact on crop yields of heavy rains in December and January of fiscal 2017, as well as excess organic carrots; the cost impact of both lower beverage operating efficiencies and enhanced quality processes; and higher administrative expenses.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in 2018 included the following:</w:t>
      </w:r>
    </w:p>
    <w:p>
      <w:pPr>
        <w:spacing w:after="0" w:line="171" w:lineRule="exact"/>
        <w:rPr>
          <w:sz w:val="20"/>
          <w:szCs w:val="20"/>
          <w:color w:val="auto"/>
        </w:rPr>
      </w:pPr>
    </w:p>
    <w:p>
      <w:pPr>
        <w:ind w:left="660" w:hanging="166"/>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non-cash impairment charges of $748 million related to the assets of the Bolthouse Farms refrigerated beverages and salad dressings reporting unit, the deli reporting unit, the Bolthouse Farms carrot and carrots ingredients reporting unit and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and integration costs of $107 million associated with the acquisition of Snyder's-Lance;</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$136 million related to the cost savings initiatives;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$22 million of expense related to the settlement of a legal claim;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$136 million of gains on pension and postretirement benefit mark-to-market and curtailment adjustments.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Corporate in 2017 included non-cash impairment charges of $212 million on the intangible assets of the Bolthouse Farms carrot and carrot ingredients reporting unit and the Garden Fresh Gourmet reporting unit, costs of $40 million related to cost savings initiatives and a $178 million gain associated with pension and postretirement benefit mark-to-market adjustments. Excluding these amounts, the remaining decrease in costs was primarily due to higher pension and postretirement benefit income in 2018, and lower incentive compensation costs, partially offset by higher administrative expenses and losses on open commodity contracts in the current year.</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Corporate in 2016 included a $313 million loss associated with pension and postretirement benefit mark-to-market adjustments, a non-cash impairment charge of $141 million on the intangible assets of the Bolthouse Farms carrot and carrot ingredients reporting</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unit, costs of $47 million related to cost savings initiatives, and a $25 million gain from a settlement of a claim related to the Kelsen acquisition. The remaining decrease in 2017 was primarily due to lower postretirement benefit costs as a result of amortization of prior service credit, partially offset by investments in long-term innovation.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to $201 million in 2018 from $112 million in 2017. The increase in interest expense was due to higher levels of debt associated with funding the acquisitions and higher average interest rates on the debt portfolio, partially offset by a gain of $18 million on treasury rate lock contracts used to hedge the planned financing of the Snyder's-Lance acquisition.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decreased to $112 million in 2017 from $115 million in 2016. In 2017, we recorded a $6 million reduction to interest expense related to premiums and fees received from the sale of intercompany notes receivable to a financial institution. Excluding the premium and fees, interest expense increased reflecting higher average interest rates on the debt portfolio, partially offset by lower average levels of debt.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4.0% in 2018, 31.4% in 2017 and 33.7% in 2016.</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22, 2017, the Act was enacted into law and made significant changes to corporate taxation. As a result, the following items are reflected in 2018:</w:t>
      </w:r>
    </w:p>
    <w:p>
      <w:pPr>
        <w:spacing w:after="0" w:line="8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corporate rate reduction as of January 1, 2018, resulted in a blended U.S. statutory tax rate of approximately 27%;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resulted in a tax benefit of $179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a transition tax on unremitted foreign earnings resulted in a tax charge of $53 million.</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amounts recorded represent provisional amounts based on our best estimates and current interpretation of the provisions of the Act and may change as additional guidance is issued. See Note 11 to the Consolidated Financial Statements for additional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expense decreased from $406 million in 2017 to $11 million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2018 and 2017:</w:t>
      </w:r>
    </w:p>
    <w:p>
      <w:pPr>
        <w:spacing w:after="0" w:line="171" w:lineRule="exact"/>
        <w:rPr>
          <w:sz w:val="20"/>
          <w:szCs w:val="20"/>
          <w:color w:val="auto"/>
        </w:rPr>
      </w:pPr>
    </w:p>
    <w:p>
      <w:pPr>
        <w:ind w:left="660" w:hanging="166"/>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2018, we recognized tax expense of $33 million on $136 million of pension and postretirement benefit mark-to-market and curtailment gains. In 2017, we recognized a tax expense of $62 million on $178 million of pension and postretirement benefit mark-to-market gains;</w:t>
      </w:r>
    </w:p>
    <w:p>
      <w:pPr>
        <w:spacing w:after="0" w:line="92" w:lineRule="exact"/>
        <w:rPr>
          <w:rFonts w:ascii="Arial" w:cs="Arial" w:eastAsia="Arial" w:hAnsi="Arial"/>
          <w:sz w:val="17"/>
          <w:szCs w:val="17"/>
          <w:color w:val="auto"/>
        </w:rPr>
      </w:pPr>
    </w:p>
    <w:p>
      <w:pPr>
        <w:ind w:left="660" w:hanging="16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recognized a $49 million tax benefit on $185 million of restructuring charges, implementation costs and other related costs. In 2017, we recognized a $21 million tax benefit on $58 million of restructuring charges, implementation costs and other related costs;</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recognized a $29 million tax benefit on $102 million of transaction and integration costs associated with the acquisition of Snyder's-Lance;</w:t>
      </w:r>
    </w:p>
    <w:p>
      <w:pPr>
        <w:spacing w:after="0" w:line="116" w:lineRule="exact"/>
        <w:rPr>
          <w:rFonts w:ascii="Arial" w:cs="Arial" w:eastAsia="Arial" w:hAnsi="Arial"/>
          <w:sz w:val="18"/>
          <w:szCs w:val="18"/>
          <w:color w:val="auto"/>
        </w:rPr>
      </w:pPr>
    </w:p>
    <w:p>
      <w:pPr>
        <w:jc w:val="both"/>
        <w:ind w:left="660" w:hanging="166"/>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In 2018, we recognized a $136 million tax benefit on the $748 million impairment charges on the assets of the deli reporting unit, the Bolthouse Farms refrigerated beverages and salad dressings reporting unit, the Bolthouse Farms carrot and carrot ingredients reporting unit and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In 2017, we recognized a $32 million tax benefit on the $212 million impairment charges on the intangible assets of the Bolthouse Farms carrot and carrot ingredients reporting unit and the Garden Fresh Gourmet reporting unit;</w:t>
      </w:r>
    </w:p>
    <w:p>
      <w:pPr>
        <w:spacing w:after="0" w:line="132" w:lineRule="exact"/>
        <w:rPr>
          <w:rFonts w:ascii="Arial" w:cs="Arial" w:eastAsia="Arial" w:hAnsi="Arial"/>
          <w:sz w:val="18"/>
          <w:szCs w:val="18"/>
          <w:color w:val="auto"/>
        </w:rPr>
      </w:pPr>
    </w:p>
    <w:p>
      <w:pPr>
        <w:ind w:left="660" w:hanging="16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recognized a $7 million tax benefit on the $22 million of expense related to the settlement of a legal claim;</w:t>
      </w:r>
    </w:p>
    <w:p>
      <w:pPr>
        <w:spacing w:after="0" w:line="171"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2018, we recognized a net tax benefit of $126 million related to the enactment of the Act on the remeasurement of deferred tax assets and liabilities and transition tax on unremitted foreign earnings described above; and</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2017, we recognized a tax benefit of $52 million primarily related to the sale of intercompany notes receivable to a financial institution, which resulted in the recognition of foreign exchange losses on the notes for tax purposes.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adjusting for the items above, the remaining decrease in the effective tax rate was primarily due to the ongoing benefit of the lower U.S. federal tax rate as a result of the Act.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tax rate in 2016:</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2016, we recognized a tax benefit of $113 million on $313 million of pension and postretirement benefit mark-to-market losses;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2016, we recognized a $14 million tax benefit on the $141 million impairment charge on the intangible assets associated with the Bolthouse Farms carrot and carrot ingredients reporting unit;</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4" w:right="239" w:bottom="1440" w:gutter="0" w:footer="0" w:header="0"/>
          <w:type w:val="continuous"/>
        </w:sectPr>
      </w:pPr>
    </w:p>
    <w:bookmarkStart w:id="25" w:name="page26"/>
    <w:bookmarkEnd w:id="25"/>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2016, we recognized a $29 million tax benefit on $78 million of restructuring charges, implementation costs and other related costs;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2016, the $25 million gain from a settlement of a claim related to the Kelsen acquisition was not subject to tax.</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2017 the effective rate was favorably impacted by the recognition of $6 million of excess tax benefits in connection with the adoption of new accounting guidance on stock-based compensation in the first quarter of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 We extended the time horizon for the initiatives to 2022. Cost estimates for these expanded initiatives, as well as timing for certain activities, are continuing to be developed.</w:t>
      </w:r>
    </w:p>
    <w:p>
      <w:pPr>
        <w:spacing w:after="0" w:line="2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and charges recorded in Administrative expenses, Cost of products sold, and Marketing and selling expenses related to the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18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3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6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after-tax impact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3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 share impact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36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60" w:type="dxa"/>
            <w:vAlign w:val="bottom"/>
            <w:vMerge w:val="restart"/>
          </w:tcPr>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w w:val="91"/>
              </w:rPr>
              <w:t>Recognized as of July 29,</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2018</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$570 million to $605 million. This estimate will be updated as costs for the expanded initiatives are developed.</w:t>
      </w:r>
    </w:p>
    <w:p>
      <w:pPr>
        <w:spacing w:after="0" w:line="116"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$195 million in severance pay and benefits; approximately $95 million in asset impairment and accelerated depreciation; and approximately $280 million to $315 million in implementation costs and other related costs.We expect these pre-tax costs to be associated with our segments as follows: Americas Simple Meals and Beverages - approximately 45%; Global Biscuits and Snacks - approximately 30%; Campbell Fresh - approximately 3%; and Corporate - approximately 22%.</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 the aggregate $570 million to $605 million of pre-tax costs identified to date, we expect approximately $465 million to $500 million will be cash expenditures. In addition, we expect to invest approximately $250 million in capital expenditures through 2020 primarily related to the U.S. warehouse optimization project, transition of production of the Toronto manufacturing facility to our U.S. thermal plants, insourcing of manufacturing for certain simple meal products and optimization of information technology infrastructure and applications, of which we invested approximately $114 million as of July 29, 2018.</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14" w:right="239" w:bottom="1440" w:gutter="0" w:footer="0" w:header="0"/>
          <w:type w:val="continuous"/>
        </w:sectPr>
      </w:pPr>
    </w:p>
    <w:bookmarkStart w:id="26" w:name="page27"/>
    <w:bookmarkEnd w:id="26"/>
    <w:p>
      <w:pPr>
        <w:jc w:val="both"/>
        <w:ind w:firstLine="324"/>
        <w:spacing w:after="0" w:line="277" w:lineRule="auto"/>
        <w:rPr>
          <w:sz w:val="20"/>
          <w:szCs w:val="20"/>
          <w:color w:val="auto"/>
        </w:rPr>
      </w:pPr>
      <w:r>
        <w:rPr>
          <w:rFonts w:ascii="Arial" w:cs="Arial" w:eastAsia="Arial" w:hAnsi="Arial"/>
          <w:sz w:val="18"/>
          <w:szCs w:val="18"/>
          <w:color w:val="auto"/>
        </w:rPr>
        <w:t>We expect to incur the costs for the actions that have been identified to date through 2020 and to fund the costs through cash flows from operations and short-term borrowings.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the initiatives for actions that have been identified to date to generate pre-tax savings of $470 million in 2019, and once all phases are implemented, to generate annual ongoing savings of approximately $650 million by the end of 2022. The annual pre-tax savings generated by the initiatives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w:t>
            </w:r>
          </w:p>
        </w:tc>
      </w:tr>
      <w:tr>
        <w:trPr>
          <w:trHeight w:val="27"/>
        </w:trPr>
        <w:tc>
          <w:tcPr>
            <w:tcW w:w="7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Snyder's-Lance Cost Transformation Program and Integration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developing the detailed plans to implement the Snyder's-Lance cost transformation program and to achieve the cost synergies and therefore we cannot reasonably estimate the total expected pre-tax costs and timing of when we expect to incur those costs, as well as the expected future cash expenditures. We expect the pre-tax costs to be associated primarily with Global Biscuits and Snacks.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we recorded a restructuring charge of $13 million and incurred $12 million in Administrative expenses related to the integration of Snyder's-Lance.</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expect the Snyder's-Lance cost transformation program and integration to generate pre-tax annual savings of $105 million in 2019, and once all phases are implemented, to generate annual ongoing savings of approximately $295 million beginning in 2022. In 2018, pre-tax savings were $35 million.</w:t>
      </w:r>
    </w:p>
    <w:p>
      <w:pPr>
        <w:spacing w:after="0" w:line="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Segment operating results do not include restructuring charges, nor implementation and integration costs because we evaluate segment performance excluding such charges. The pre-tax costs of $25 million incurred in 2018 were associated with the Global Biscuits and Snacks segment.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annual pre-tax savings of $455 million in 2018 for both programs and expect once all phases of these programs are implemented, to generate annual ongoing savings of approximately $945 million by the end of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2016, we recorded a reduction to restructuring charges of $4 million ($3 million after tax, or $.01 per share) related to the 2014 initiatives. As of July 31, 2016, we incurred substantially all of the costs related to the 2014 initiatives.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14" w:right="239" w:bottom="1440" w:gutter="0" w:footer="0" w:header="0"/>
        </w:sectPr>
      </w:pPr>
    </w:p>
    <w:bookmarkStart w:id="27" w:name="page28"/>
    <w:bookmarkEnd w:id="27"/>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Recognized as of August 2, 2015.</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$1.305 billion in 2018, compared to $1.291 billion in 2017. The increase in 2018 was primarily due to lower working capital requirements, partially offset by lower cash earnings.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generated cash flows from operations of $1.291 billion in 2017, compared to $1.491 billion in 2016. The decline in 2017 was primarily due to lapping significant reductions in working capital in 2016, as well as lower cash earnings and lower receipts from hedging activities in 2017.</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$1.298 billion as of July 29, 2018, and $495 million as of July 30, 2017. Debt maturing within one year was $1.896 billion as of July 29, 2018, and $1.037 billion as of July 30, 2017.</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Capital expenditures were $407 million in 2018, $338 million in 2017 and $341 million in 2016. Capital expenditures are expected to total approximately $400 million in 2019. Capital expenditures in 2018 included a U.S. warehouse optimization project (approximately $50 million); transition of production of the Toronto manufacturing facility to our U.S. thermal plants (approximately $23 million); insourcing manufacturing for certain simple meal products (approximately $18 million); replacement of a Pepperidge Farm refrigeration system (approximately $9 million); and an Australian multi-pack biscuit capacity expansion project (approximately $2 million). Capital expenditures in 2017 included projects to expand: Australian multi-pack biscuit capacity (approximately $15 million); beverage and salad dressing capacity at Bolthouse Farms (approximately $8 million); and capacity at Garden Fresh (approximately $3 million); as well as the continued enhancement of our corporate headquarters (approximately $11 million); replacement of a Pepperidge Farm refrigeration system (approximately $12 million); and a U.S. warehouse optimization project (approximately $10 million). Capital expenditures in 2016 included projects to expand: beverage and salad dressing capacity at Bolthouse Farms (approximately $22 million); biscuit capacity in Indonesia (approximately $11 million); warehouse capacity in North America (approximately $11 million); cracker capacity at Pepperidge Farm (approximately $9 million); and capacity in Malaysia (approximately $6 million); as well as the continued enhancement of our corporate headquarters (approximately $15 million) and the ongoing initiative to simplify the soup-making process in North America (approximately $5 million).</w:t>
      </w:r>
    </w:p>
    <w:p>
      <w:pPr>
        <w:spacing w:after="0" w:line="1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12, 2017, we completed the acquisition of Pacific Foods. The purchase price was $688 million and was funded through the issuance of commercial paper.</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26, 2018, we completed the acquisition of Snyder’s-Lance. Total consideration was $6.112 billion, which included the payoff of approximately $1.1 billion of Snyder's-Lance indebtedness. We borrowed $900 million under a single draw 3-year senior unsecured term loan facility on March 26, 2018, and issued $5.3 billion senior notes on March 16, 2018, to finance the acquisition. The interest rate on the senior unsecured term loan facility resets in one, two, three, or six-month periods dependent upon our election. Interest on the senior unsecured term loan facility is due upon the earlier of an interest reset or quarterly and the first interest payment is due in June 2018. The senior unsecured term loan facility may be prepaid at par at any time. The senior unsecured term loan facility contains customary covenants and events of default for credit facilities of this type.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$5.3 billion senior notes were issued in various tenors in both fixed and floating rate formats. We issued 2 and 3-year floating rate senior notes in the amount of $500 million and $400 million, respectively. We issued 3, 5, 7, 10, and 30-year fixed rate senior notes in the amount of $650 million, $1.2 billion, $850 million, $1 billion, and $700 million, respectively. Interest on the 2-year floating rate senior notes is due quarterly on March 16, June 16, September 16, and December 16, commencing on</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14" w:right="239" w:bottom="1440" w:gutter="0" w:footer="0" w:header="0"/>
          <w:type w:val="continuous"/>
        </w:sectPr>
      </w:pPr>
    </w:p>
    <w:bookmarkStart w:id="28" w:name="page29"/>
    <w:bookmarkEnd w:id="28"/>
    <w:p>
      <w:pPr>
        <w:jc w:val="both"/>
        <w:spacing w:after="0" w:line="255" w:lineRule="auto"/>
        <w:rPr>
          <w:sz w:val="20"/>
          <w:szCs w:val="20"/>
          <w:color w:val="auto"/>
        </w:rPr>
      </w:pPr>
      <w:r>
        <w:rPr>
          <w:rFonts w:ascii="Arial" w:cs="Arial" w:eastAsia="Arial" w:hAnsi="Arial"/>
          <w:sz w:val="18"/>
          <w:szCs w:val="18"/>
          <w:color w:val="auto"/>
        </w:rPr>
        <w:t>June 16, 2018. Interest on the 3-year floating rate senior notes is due quarterly on March 15, June 15, September 15, and December 15, commencing on June 15, 2018. Interest on the fixed rate senior notes is due semi-annually on March 15 and September 15, commencing on September 15, 2018. The fixed rate senior notes may be redeemed, in whole or in part, at our option at any time at the applicable redemption price. If change of control triggering events occur, we will be required to offer to purchase the senior notes at a purchase price equal to 101% of the principal amount plus accrued and unpaid interest, if any, to the purchase date. The senior notes were issued under a shelf registration statement that we filed with the Securities and Exchange Commission in July 2017. We registered an indeterminate amount of debt securities. Under the registration statement, we may issue debt securities from time to time, depending on market conditions.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June 2017, we sold intercompany notes to a financial institution, including an AUD $280 million, or $224 million, note with an interest rate of 4.88% that matures on September 18, 2018, and an AUD $190 million, or $152 million, note with an interest rate of 6.98% that matures on March 29, 2021, but is payable upon demand. Interest on both notes is due semi-annually on January 23 and July 23. The net proceeds were used for general corporate purposes. On September 18, 2018, we repaid a portion of both Australian notes and refinanced the remainder with a new AUD $400 million, or $296 million, single-draw syndicated facility that matures on September 11, 2019. The interest rate on the new facility is floating based on an Australian dollar rate for the applicable interest period plus a margin. The interest period resets in one, two, three or six-month periods, based on our election. The facility contains customary covenants and events of default for credit facilities of this type.</w:t>
      </w:r>
    </w:p>
    <w:p>
      <w:pPr>
        <w:spacing w:after="0" w:line="1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Dividend payments were $426 million in 2018, $420 million in 2017 and $390 million in 2016. Annual dividends declared were $1.40 per share in 2018 and 2017, and $1.248 per share in 2016. The 2018 fourth quarter dividend was $.35 per share.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repurchased approximately 2 million shares at a cost of $86 million in 2018, approximately 8 million shares at a cost of $437 million in 2017, and approximately 3 million shares at a cost of $143 million in 2016. As a result of the acquisition of Snyder's-Lance, we suspended our share repurchases as of the second quarter of 2018. See Note 16 to the Consolidated Financial Statements for additional information.</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July 29, 2018, we had $1.896 billion of short-term borrowings due within one year, of which $1.14 billion was comprised of commercial paper borrowings, $348 million of Australian notes and $300 million of 4.5% notes. On September 18, 2018, we repaid a portion of the Australian notes and refinanced the remainder with a new AUD $400 million single-draw syndicated facility that matures on September 18, 2019. As of July 29, 2018, we issued $59 million of standby letters of credit. We have a committed revolving credit facility totaling $1.85 billion that matures in December 2021. This U.S. facility remained unused at July 29, 2018, except for $1 million of standby letters of credit that we issued under it. The U.S. facility supports our commercial paper programs and other general corporate purposes. As of July 29, 2018, the total commitment under a Canadian committed revolving credit facility was CAD $125 million, or $96 million, and we had borrowings of CAD $117 million, or $90 million, at a rate of 3.17% under this facility. The Canadian facility supports general corporate purposes. We expect to continue to access the commercial paper markets, bank credit lines and utilize cash flows from operations to support our short-term liquidity requirements.</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credit ratings were recently downgraded by Standard &amp; Poor's and reaffirmed with a negative outlook by Moody's Investors Service, Inc. If our credit ratings are further downgraded, we may have difficulty selling additional debt securities or borrowing money in the amounts and on the terms that might be available if our credit ratings were maintained.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summarizes our obligations and commitments to make future payments under certain contractual obligations as of July 29, 2018. For additional information on debt, see Note 12 to the Consolidated Financial Statements. Operating leases are primarily entered into for warehouse and office facilities and certain equipment. Purchase commitments represent purchase orders and long-term purchase arrangements related to the procurement of ingredients, supplies, machinery, equipment and services. These commitments are not expected to have a material impact on liquidity. Other long-term liabilities primarily represent payments related to deferred compensation obligations. For additional information on other long-term liabilities, see Note 19 to the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Contractual Payments Due by Fiscal Year</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2020-2021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2022-2023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9,958</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1,901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3,151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1,652</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Derivative payments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Other long-term payments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cash obligations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jc w:val="right"/>
              <w:ind w:right="1652"/>
              <w:spacing w:after="0"/>
              <w:rPr>
                <w:sz w:val="20"/>
                <w:szCs w:val="20"/>
                <w:color w:val="auto"/>
              </w:rPr>
            </w:pPr>
            <w:r>
              <w:rPr>
                <w:rFonts w:ascii="Arial" w:cs="Arial" w:eastAsia="Arial" w:hAnsi="Arial"/>
                <w:sz w:val="18"/>
                <w:szCs w:val="18"/>
                <w:color w:val="auto"/>
                <w:w w:val="89"/>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 w:hanging="332"/>
        <w:spacing w:after="0" w:line="216"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Excludes unamortized net discount/premium on debt issuances and debt issuance costs. For additional information on debt obligations, see Note 12 to the Consolidated Financial Statements.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Interest payments for short- and long-term borrowings are based on principal amounts and coupons or contractual rates at fiscal year end.</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Represents payments of foreign exchange forward contracts and commodity contracts.</w:t>
      </w:r>
    </w:p>
    <w:p>
      <w:pPr>
        <w:spacing w:after="0" w:line="2"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Represents other long-term liabilities, excluding unrecognized tax benefits, postretirement benefits and payments related to pension plans. For additional information on pension and postretirement benefits, see Note 10 to the Consolidated Financial Statements. For additional information on unrecognized tax benefits, see Note 11 to the Consolidated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Other Commitments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guarantee approximately 2,000 bank loans made to Pepperidge Farm independent contractor distributors by third-party financial institutions for the purchase of distribution routes. The maximum potential amount of the future payments under existing guarantees we could be required to make is $210 million. Our guarantees are indirectly secured by the distribution routes. We do not expect that we will be required to make material guarantee payments as a result of defaults on the bank loans guaranteed.</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the acquisition of Snyder's-Lance, we guarantee approximately 2,400 bank loans made to independent business owners by third-party financial institutions for the purchase of distribution routes. The outstanding aggregate balance on these loans was $187 million as of July 29, 2018. Our guarantees are indirectly secured by the distribution routes. We do not expect that we will be required to make material guarantee payments as a result of defaults on the bank loans guaranteed.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18 to the Consolidated Financial Statements for information on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impact of inflation on our cost of products sold. We use a number of strategies to mitigate the effects of cost inflation including increasing prices, commodity hedging and pursuing cost productivity initiatives such as global procurement strategies and capital investments that improve the efficiency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principal market risks to which we are exposed are changes in foreign currency exchange rates, interest rates and commodity prices. In addition, we are exposed to equity price changes related to certain deferred compensation obligations. We manage our exposure to changes in interest rates by optimizing the use of variable-rate and fixed-rate debt and by utilizing interest rate swaps in order to maintain our variable-to-total debt ratio within targeted guidelines. International operations, which accounted for 19% of 2018 net sales, are concentrated principally in Australia and Canada. We manage our foreign currency exposures by borrowing in various foreign currencies and utilizing cross-currency swaps and foreign exchange forward contracts. We enter into cross-currency swaps and foreign exchange forward contracts for periods consistent with related underlying exposures, and the contracts do not constitute positions independent of those exposures. We do not enter into derivative contracts for speculative purposes and do not use leveraged instruments.</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soybean oil, wheat, diesel fuel, aluminum, natural gas, soybean meal, corn, cocoa, butter, and cheese, which impact the cost of raw materials.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below summarizes our market risks associated with debt obligations and other significant financial instruments as of July 29, 2018. Fair values included herein have been determined based on quoted market prices or pricing models using current market rates. The information presented below should be read in conjunction with Notes 12, 13 and 15 to the Consolidated Financial Statements.</w:t>
      </w:r>
    </w:p>
    <w:p>
      <w:pPr>
        <w:sectPr>
          <w:pgSz w:w="11900" w:h="16838" w:orient="portrait"/>
          <w:cols w:equalWidth="0" w:num="1">
            <w:col w:w="11420"/>
          </w:cols>
          <w:pgMar w:left="240" w:top="1386"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86" w:right="239" w:bottom="1440" w:gutter="0" w:footer="0" w:header="0"/>
          <w:type w:val="continuous"/>
        </w:sectPr>
      </w:pPr>
    </w:p>
    <w:bookmarkStart w:id="30" w:name="page31"/>
    <w:bookmarkEnd w:id="30"/>
    <w:p>
      <w:pPr>
        <w:ind w:firstLine="324"/>
        <w:spacing w:after="0" w:line="277" w:lineRule="auto"/>
        <w:rPr>
          <w:sz w:val="20"/>
          <w:szCs w:val="20"/>
          <w:color w:val="auto"/>
        </w:rPr>
      </w:pPr>
      <w:r>
        <w:rPr>
          <w:rFonts w:ascii="Arial" w:cs="Arial" w:eastAsia="Arial" w:hAnsi="Arial"/>
          <w:sz w:val="18"/>
          <w:szCs w:val="18"/>
          <w:color w:val="auto"/>
        </w:rPr>
        <w:t>The following table presents principal cash flows and related interest rates by fiscal year of maturity for debt obligations. Interest rates disclosed on variable-rate debt represent the weighted-average rates at July 29, 2018.</w:t>
      </w:r>
    </w:p>
    <w:p>
      <w:pPr>
        <w:spacing w:after="0" w:line="247"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Expected Fiscal Year of Maturity</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right"/>
              <w:ind w:right="16"/>
              <w:spacing w:after="0" w:line="133"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65"/>
        </w:trPr>
        <w:tc>
          <w:tcPr>
            <w:tcW w:w="2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5"/>
                <w:szCs w:val="5"/>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5"/>
                <w:szCs w:val="5"/>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189"/>
        </w:trPr>
        <w:tc>
          <w:tcPr>
            <w:tcW w:w="294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5"/>
                <w:szCs w:val="15"/>
                <w:b w:val="1"/>
                <w:bCs w:val="1"/>
                <w:color w:val="auto"/>
              </w:rPr>
              <w:t>Debt</w:t>
            </w:r>
            <w:r>
              <w:rPr>
                <w:rFonts w:ascii="Arial" w:cs="Arial" w:eastAsia="Arial" w:hAnsi="Arial"/>
                <w:sz w:val="21"/>
                <w:szCs w:val="21"/>
                <w:b w:val="1"/>
                <w:bCs w:val="1"/>
                <w:color w:val="auto"/>
                <w:vertAlign w:val="superscript"/>
              </w:rPr>
              <w:t>(1)</w:t>
            </w: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5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9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Fixed rate</w:t>
            </w:r>
            <w:r>
              <w:rPr>
                <w:rFonts w:ascii="Arial" w:cs="Arial" w:eastAsia="Arial" w:hAnsi="Arial"/>
                <w:sz w:val="25"/>
                <w:szCs w:val="25"/>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6,906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4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Variable rate</w:t>
            </w:r>
            <w:r>
              <w:rPr>
                <w:rFonts w:ascii="Arial" w:cs="Arial" w:eastAsia="Arial" w:hAnsi="Arial"/>
                <w:sz w:val="25"/>
                <w:szCs w:val="25"/>
                <w:color w:val="auto"/>
                <w:vertAlign w:val="superscript"/>
              </w:rPr>
              <w:t>(3)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3,052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w:t>
      </w:r>
    </w:p>
    <w:p>
      <w:pPr>
        <w:ind w:left="340" w:hanging="332"/>
        <w:spacing w:after="0" w:line="233"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Expected maturities exclude unamortized net discount/premium on debt issuances and debt issuance costs.</w:t>
      </w:r>
    </w:p>
    <w:p>
      <w:pPr>
        <w:spacing w:after="0" w:line="1"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Represents $6.552 billion of USD borrowings and $348 million equivalent of AUD borrowings and $7 million equivalent of borrowings in other currencies.</w:t>
      </w:r>
    </w:p>
    <w:p>
      <w:pPr>
        <w:spacing w:after="0" w:line="1" w:lineRule="exact"/>
        <w:rPr>
          <w:rFonts w:ascii="Arial" w:cs="Arial" w:eastAsia="Arial" w:hAnsi="Arial"/>
          <w:sz w:val="25"/>
          <w:szCs w:val="25"/>
          <w:color w:val="auto"/>
          <w:vertAlign w:val="superscript"/>
        </w:rPr>
      </w:pPr>
    </w:p>
    <w:p>
      <w:pPr>
        <w:ind w:left="340" w:hanging="332"/>
        <w:spacing w:after="0" w:line="205" w:lineRule="auto"/>
        <w:tabs>
          <w:tab w:leader="none" w:pos="34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Represents $2.941 billion of USD borrowings, $90 million equivalent of CAD borrowings and $20 million equivalent of borrowings in other currencies.</w:t>
      </w:r>
    </w:p>
    <w:p>
      <w:pPr>
        <w:spacing w:after="0" w:line="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July 30, 2017, fixed-rate debt of approximately $2.534 billion with an average interest rate of 4.37% and variable-rate debt of approximately $1.014 billion with an average interest rate of 1.44% were outstanding. As of July 30, 2017, forward starting interest rate swaps with a notional amount of $300 million were outstanding. The average rate to be received on these swaps was 2.27%, and the average rate to be paid was estimated to be 3.09% over the remaining life of the swaps. For the swaps, variable rates are the weighted-average forward rates for the term of each contract.</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exposed to foreign exchange risk as a result of transactions in currencies other than the functional currency of certain subsidiaries, including subsidiary debt. We utilize foreign exchange forward purchase and sale contracts to hedge these exposures. The following table summarizes the foreign exchange forward contracts outstanding and the related weighted-average contract exchange rates as of July 29,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c>
          <w:tcPr>
            <w:tcW w:w="0" w:type="dxa"/>
            <w:vAlign w:val="bottom"/>
          </w:tcPr>
          <w:p>
            <w:pPr>
              <w:spacing w:after="0"/>
              <w:rPr>
                <w:sz w:val="1"/>
                <w:szCs w:val="1"/>
                <w:color w:val="auto"/>
              </w:rPr>
            </w:pPr>
          </w:p>
        </w:tc>
      </w:tr>
      <w:tr>
        <w:trPr>
          <w:trHeight w:val="149"/>
        </w:trPr>
        <w:tc>
          <w:tcPr>
            <w:tcW w:w="8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w w:val="90"/>
              </w:rPr>
              <w:t>Foreign Exchange Forward Contracts</w:t>
            </w: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(currency paid/ currency</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20" w:type="dxa"/>
            <w:vAlign w:val="bottom"/>
            <w:tcBorders>
              <w:bottom w:val="single" w:sz="8" w:color="auto"/>
            </w:tcBorders>
            <w:vMerge w:val="continue"/>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ind w:left="120"/>
              <w:spacing w:after="0" w:line="125" w:lineRule="exact"/>
              <w:rPr>
                <w:sz w:val="20"/>
                <w:szCs w:val="20"/>
                <w:color w:val="auto"/>
              </w:rPr>
            </w:pPr>
            <w:r>
              <w:rPr>
                <w:rFonts w:ascii="Arial" w:cs="Arial" w:eastAsia="Arial" w:hAnsi="Arial"/>
                <w:sz w:val="14"/>
                <w:szCs w:val="14"/>
                <w:b w:val="1"/>
                <w:bCs w:val="1"/>
                <w:color w:val="auto"/>
              </w:rPr>
              <w:t>Notional Value</w:t>
            </w:r>
          </w:p>
        </w:tc>
        <w:tc>
          <w:tcPr>
            <w:tcW w:w="1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received)</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920" w:type="dxa"/>
            <w:vAlign w:val="bottom"/>
            <w:tcBorders>
              <w:bottom w:val="single" w:sz="8" w:color="CCEEFF"/>
            </w:tcBorders>
          </w:tcPr>
          <w:p>
            <w:pPr>
              <w:spacing w:after="0"/>
              <w:rPr>
                <w:sz w:val="4"/>
                <w:szCs w:val="4"/>
                <w:color w:val="auto"/>
              </w:rPr>
            </w:pPr>
          </w:p>
        </w:tc>
        <w:tc>
          <w:tcPr>
            <w:tcW w:w="5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Receive USD/Pay CAD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Receive AUD/Pay NZD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Receive DKK/Pay USD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0.1649</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an additional number of smaller contracts to purchase or sell various other currencies with a notional value of $14 million as of July 29, 2018. The aggregate fair value of all contracts was a gain of $2 million as of July 29, 2018. The total notional value of foreign exchange forward contracts outstanding was $420 million, and the aggregate fair value was a loss of $18 million as of July 30, 2017.</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commodity futures, options and swap contracts to reduce the volatility of price fluctuations for commodities. As of July 29, 2018, the notional value of these contracts was $118 million, and the aggregate fair value of these contracts was a gain of $1 million. As of July 30, 2017, the notional value of these contracts was $90 million, and the aggregate fair value of these contracts was a gain of $5 million.</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 notional value of the contract that is linked to the total return on our capital stock was $8 million at July 29, 2018, and $9 million at July 30, 2017. The average forward interest rate applicable to this contract, which expires in April 2019, was 2.97% at July 29, 2018. The notional value of the contract that is linked to the return on the Standard &amp; Poor's 500 Index was $23 million at July 29, 2018, and $26 million at July 30, 2017. The average forward interest rate applicable to this contract, which expires in March 2019, was 2.97% at July 29, 2018. The notional value of the contract that is linked to the total return of the iShares MSCI EAFE Index was $10 million at July 29, 2018, and $8 million at July 30, 2017. The average forward interest rate applicable to this contract, which expires in March 2019, was 2.60% at July 29, 2018. As of July 29, 2018 and July 30, 2017, the fair value of these contracts was a gain of $1 million.</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14" w:right="239" w:bottom="1440" w:gutter="0" w:footer="0" w:header="0"/>
        </w:sectPr>
      </w:pPr>
    </w:p>
    <w:bookmarkStart w:id="31" w:name="page32"/>
    <w:bookmarkEnd w:id="31"/>
    <w:p>
      <w:pPr>
        <w:jc w:val="both"/>
        <w:ind w:firstLine="324"/>
        <w:spacing w:after="0" w:line="264" w:lineRule="auto"/>
        <w:rPr>
          <w:sz w:val="20"/>
          <w:szCs w:val="20"/>
          <w:color w:val="auto"/>
        </w:rPr>
      </w:pPr>
      <w:r>
        <w:rPr>
          <w:rFonts w:ascii="Arial" w:cs="Arial" w:eastAsia="Arial" w:hAnsi="Arial"/>
          <w:sz w:val="18"/>
          <w:szCs w:val="18"/>
          <w:color w:val="auto"/>
        </w:rPr>
        <w:t>Our utilization of financial instruments in managing market risk exposures described above is consistent with the prior year. Changes in the portfolio of financial instruments are a function of the results of operations, debt repayment and debt issuances, market effects on debt and foreign currency, and our acquisition and divestiture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Trade and consumer promotion programs — </w:t>
      </w:r>
      <w:r>
        <w:rPr>
          <w:rFonts w:ascii="Arial" w:cs="Arial" w:eastAsia="Arial" w:hAnsi="Arial"/>
          <w:sz w:val="17"/>
          <w:szCs w:val="17"/>
          <w:color w:val="auto"/>
        </w:rPr>
        <w:t>We offer various sales incentive programs to customers and consumers, such as feature price discounts, in-store display incentives, cooperative advertising programs, new product introduction fees, and coupons. The mix between promotion programs, which are classified as reductions in revenue,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 Estimates are made based on historical experience and other factors. Typically, programs that are offered have a very short duration. Historically, the difference between actual experience compared to estimated redemptions and performance has not been significant to the quarterly or annual financial statements. However, actual expenses may differ if the level of redemption rates and performance were to vary from estimates.</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long-lived assets — </w:t>
      </w:r>
      <w:r>
        <w:rPr>
          <w:rFonts w:ascii="Arial" w:cs="Arial" w:eastAsia="Arial" w:hAnsi="Arial"/>
          <w:sz w:val="18"/>
          <w:szCs w:val="18"/>
          <w:color w:val="auto"/>
        </w:rPr>
        <w:t>Fixed assets and amortizable intangible assets are reviewed for impairment as events or changes in circumstances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the carrying value of the asset may not be recoverable. Undiscounted cash flow analyses are used to determine if impairment exists. If impairment is determined to exist, the loss is calculated based on estimated fair value.</w:t>
      </w:r>
    </w:p>
    <w:p>
      <w:pPr>
        <w:spacing w:after="0" w:line="1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In January 2017, the FASB issued revised guidance that simplifies the test for goodwill impairment, effective for fiscal years beginning after December 15, 2019, with early adoption permitted. We elected to early adopt the guidance in the fourth quarter of 2017.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carrying value exceeds fair value, an impairment charge will be recorded to reduce the asset to fair value.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2016 Assessments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fourth quarter of 2016, as part of our annual review of intangible assets, we recognized an impairment charge of $106 million on goodwill and $35 million on a trademark within the Bolthouse Farms carrot and carrot ingredients reporting unit, which is included in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2017 Assessments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2017, sales and operating profit performance for Bolthouse Farms carrot and carrot ingredients were well below our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14" w:right="239" w:bottom="1440" w:gutter="0" w:footer="0" w:header="0"/>
          <w:type w:val="continuous"/>
        </w:sectPr>
      </w:pPr>
    </w:p>
    <w:bookmarkStart w:id="32" w:name="page33"/>
    <w:bookmarkEnd w:id="32"/>
    <w:p>
      <w:pPr>
        <w:jc w:val="both"/>
        <w:spacing w:after="0" w:line="254" w:lineRule="auto"/>
        <w:rPr>
          <w:sz w:val="20"/>
          <w:szCs w:val="20"/>
          <w:color w:val="auto"/>
        </w:rPr>
      </w:pPr>
      <w:r>
        <w:rPr>
          <w:rFonts w:ascii="Arial" w:cs="Arial" w:eastAsia="Arial" w:hAnsi="Arial"/>
          <w:sz w:val="18"/>
          <w:szCs w:val="18"/>
          <w:color w:val="auto"/>
        </w:rPr>
        <w:t>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the business performance and the strategic review, we lowered our sales outlook for future fiscal years.We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impairment assessment in the second quarter, which resulted in a $127 million impairment charge on goodwill and $20 million on a trademark in the reporting unit.</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acquired Garden Fresh Gourmet on June 29, 2015. During 2017, sales and operating profit performance for Garden Fresh Gourmet,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impairment assessment in the second quarter, which resulted in a $64 million impairment charge on goodwill and $1 million on a trademark in the reporting unit.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2018 Assessments</w:t>
      </w:r>
    </w:p>
    <w:p>
      <w:pPr>
        <w:spacing w:after="0" w:line="9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second quarter of 2018, we performed an interim impairment assessment on the intangible assets of the Bolthouse Farms carrot and carrot ingredients reporting unit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this performance, we reduced our outlook for future operating margins and discounted cash flows, which resulted in a $75 million impairment charge, representing a write-down of the remaining goodwill in the reporting unit. The fair value of the trademark exceeded the carrying value, which was $48 million.</w:t>
      </w:r>
    </w:p>
    <w:p>
      <w:pPr>
        <w:spacing w:after="0" w:line="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third quarter of 2018, we performed an interim impairment assessment on the intangible assets of the deli reporting unit, which includes Garden Fresh Gourmet and the U.S. refrigerated soup business within Campbell Fresh. During the third quarter of 2018, certain of our private label refrigerated soup customers, which represent a majority of the business, informed us of their intention to in-source production beginning in 2019, and the sales and operating profit outlook of the Garden Fresh Gourmet business was reduced. Due to the anticipated loss of refrigerated soup business with these customers, as well as the recent performance of the Garden Fresh Gourmet business, we revised the long-term outlook for future sales, operating margins and discounted cash flows for this reporting unit, which resulted in an $81 million impairment charge on goodwill, representing a write-down of the remaining goodwill in the reporting unit, $13 million on a trademark, and $11 million on plant assets in the reporting unit.</w:t>
      </w:r>
    </w:p>
    <w:p>
      <w:pPr>
        <w:spacing w:after="0" w:line="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performed an interim impairment assessment on the intangible assets of the Bolthouse Farms refrigerated beverages and salad dressings reporting unit within the Campbell Fresh segment as the operating performance in the third quarter was below expectations. We assessed sales performance of refrigerated beverages and key drivers impacting gross profit for the unit. We revised our long-term outlook for future earnings and discounted cash flows to reflect reduced sales expectations to modest growth and decreased our gross profit outlook to reflect the inflation and manufacturing efficiency pressures that remain with the unit. This revised outlook resulted in a $384 million impairment charge on goodwill, representing a write-down of the remaining goodwill in the reporting unit, and $130 million on a trademark in the reporting unit.</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fourth quarter of 2018, as part of our annual review of intangible assets, we recognized an impairment charge of $54 million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In 2018, sales and operating performance were well below expectations due in part to competitive pressure and reduced margins. In the fourth quarter of 2018, as part of a strategic review initiated by a new leadership team and based on recent performance, we lowered our long-term outlook for future sales.</w:t>
      </w:r>
    </w:p>
    <w:p>
      <w:pPr>
        <w:spacing w:after="0" w:line="13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of July 29, 2018, the carrying value of goodwill was $4.58 billion. Holding all other assumptions used in the 2018 fair value measurement constant, a 1% increase in the weighted-average cost of capital assumption would not reduce fair value of any of the reporting units below carrying value and would not result any impairment charges.</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As of July 29, 2018, the carrying value of indefinite-lived trademarks was $3.123 billion, of which $48 million related to the Bolthouse Farms carrot and carrot ingredients reporting unit, $150 million related to the Bolthouse Farms refrigerated beverages and salad dressings reporting unit, $23 million related to the </w:t>
      </w:r>
      <w:r>
        <w:rPr>
          <w:rFonts w:ascii="Arial" w:cs="Arial" w:eastAsia="Arial" w:hAnsi="Arial"/>
          <w:sz w:val="16"/>
          <w:szCs w:val="16"/>
          <w:i w:val="1"/>
          <w:iCs w:val="1"/>
          <w:color w:val="auto"/>
        </w:rPr>
        <w:t>Garden Fresh Gourmet</w:t>
      </w:r>
      <w:r>
        <w:rPr>
          <w:rFonts w:ascii="Arial" w:cs="Arial" w:eastAsia="Arial" w:hAnsi="Arial"/>
          <w:sz w:val="16"/>
          <w:szCs w:val="16"/>
          <w:color w:val="auto"/>
        </w:rPr>
        <w:t xml:space="preserve"> trademark, and $61 million related to the </w:t>
      </w:r>
      <w:r>
        <w:rPr>
          <w:rFonts w:ascii="Arial" w:cs="Arial" w:eastAsia="Arial" w:hAnsi="Arial"/>
          <w:sz w:val="16"/>
          <w:szCs w:val="16"/>
          <w:i w:val="1"/>
          <w:iCs w:val="1"/>
          <w:color w:val="auto"/>
        </w:rPr>
        <w:t>Plum</w:t>
      </w:r>
      <w:r>
        <w:rPr>
          <w:rFonts w:ascii="Arial" w:cs="Arial" w:eastAsia="Arial" w:hAnsi="Arial"/>
          <w:sz w:val="16"/>
          <w:szCs w:val="16"/>
          <w:color w:val="auto"/>
        </w:rPr>
        <w:t xml:space="preserve"> trademark. Holding all other assumptions used in the 2018 fair value measurement constant, changes in the assumptions below would reduce fair value of these trademarks and result in impairment charges of approximately: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4" w:right="239" w:bottom="1440" w:gutter="0" w:footer="0" w:header="0"/>
        </w:sectPr>
      </w:pPr>
    </w:p>
    <w:bookmarkStart w:id="33" w:name="page34"/>
    <w:bookmarkEnd w:id="33"/>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Bolthouse Farms</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Bolthouse Farms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Refrigerated</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Garden Fresh</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Carrot and Carrot</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Beverages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Plum</w:t>
            </w:r>
          </w:p>
        </w:tc>
        <w:tc>
          <w:tcPr>
            <w:tcW w:w="0" w:type="dxa"/>
            <w:vAlign w:val="bottom"/>
          </w:tcPr>
          <w:p>
            <w:pPr>
              <w:spacing w:after="0"/>
              <w:rPr>
                <w:sz w:val="1"/>
                <w:szCs w:val="1"/>
                <w:color w:val="auto"/>
              </w:rPr>
            </w:pPr>
          </w:p>
        </w:tc>
      </w:tr>
      <w:tr>
        <w:trPr>
          <w:trHeight w:val="186"/>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Ingredients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Salad Dressings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Gourmet</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08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60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080" w:type="dxa"/>
            <w:vAlign w:val="bottom"/>
          </w:tcPr>
          <w:p>
            <w:pPr>
              <w:ind w:left="40"/>
              <w:spacing w:after="0"/>
              <w:rPr>
                <w:sz w:val="20"/>
                <w:szCs w:val="20"/>
                <w:color w:val="auto"/>
              </w:rPr>
            </w:pPr>
            <w:r>
              <w:rPr>
                <w:rFonts w:ascii="Arial" w:cs="Arial" w:eastAsia="Arial" w:hAnsi="Arial"/>
                <w:sz w:val="18"/>
                <w:szCs w:val="18"/>
                <w:color w:val="auto"/>
              </w:rPr>
              <w:t>1% reduction in revenue growth</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carrying value of the </w:t>
      </w:r>
      <w:r>
        <w:rPr>
          <w:rFonts w:ascii="Arial" w:cs="Arial" w:eastAsia="Arial" w:hAnsi="Arial"/>
          <w:sz w:val="18"/>
          <w:szCs w:val="18"/>
          <w:i w:val="1"/>
          <w:iCs w:val="1"/>
          <w:color w:val="auto"/>
        </w:rPr>
        <w:t>Pace</w:t>
      </w:r>
      <w:r>
        <w:rPr>
          <w:rFonts w:ascii="Arial" w:cs="Arial" w:eastAsia="Arial" w:hAnsi="Arial"/>
          <w:sz w:val="18"/>
          <w:szCs w:val="18"/>
          <w:color w:val="auto"/>
        </w:rPr>
        <w:t xml:space="preserve"> trademark was $292 million as of July 29, 2018, and the estimated fair value exceeded the carrying value by less than 10%. Holding all other assumptions used in the 2018 fair value measurement of the </w:t>
      </w:r>
      <w:r>
        <w:rPr>
          <w:rFonts w:ascii="Arial" w:cs="Arial" w:eastAsia="Arial" w:hAnsi="Arial"/>
          <w:sz w:val="18"/>
          <w:szCs w:val="18"/>
          <w:i w:val="1"/>
          <w:iCs w:val="1"/>
          <w:color w:val="auto"/>
        </w:rPr>
        <w:t>Pace</w:t>
      </w:r>
      <w:r>
        <w:rPr>
          <w:rFonts w:ascii="Arial" w:cs="Arial" w:eastAsia="Arial" w:hAnsi="Arial"/>
          <w:sz w:val="18"/>
          <w:szCs w:val="18"/>
          <w:color w:val="auto"/>
        </w:rPr>
        <w:t xml:space="preserve"> trademark constant, a 1% increase in the weighted-average cost of capital assumption would result in an impairment charge of approximately $30 million, and a 1% reduction in the revenue growth assumption would result in an impairment charge of approximately $10 million.</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carrying value of trademarks of $280 million associated with the Pacific Foods acquisition and $2.131 billion associated with the Snyder's-Lance acquisition represents fair value. Holding all other assumptions used in the acquisition valuation measurement constant, changes in the assumptions below would reduce fair value of the these trademarks and result in impairment charges of approximately:</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Pacific Foods</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Various Snyder's-</w:t>
            </w:r>
          </w:p>
        </w:tc>
        <w:tc>
          <w:tcPr>
            <w:tcW w:w="0" w:type="dxa"/>
            <w:vAlign w:val="bottom"/>
          </w:tcPr>
          <w:p>
            <w:pPr>
              <w:spacing w:after="0"/>
              <w:rPr>
                <w:sz w:val="1"/>
                <w:szCs w:val="1"/>
                <w:color w:val="auto"/>
              </w:rPr>
            </w:pPr>
          </w:p>
        </w:tc>
      </w:tr>
      <w:tr>
        <w:trPr>
          <w:trHeight w:val="186"/>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b w:val="1"/>
                <w:bCs w:val="1"/>
                <w:color w:val="auto"/>
              </w:rPr>
              <w:t>Lance</w:t>
            </w:r>
          </w:p>
        </w:tc>
        <w:tc>
          <w:tcPr>
            <w:tcW w:w="0" w:type="dxa"/>
            <w:vAlign w:val="bottom"/>
          </w:tcPr>
          <w:p>
            <w:pPr>
              <w:spacing w:after="0"/>
              <w:rPr>
                <w:sz w:val="1"/>
                <w:szCs w:val="1"/>
                <w:color w:val="auto"/>
              </w:rPr>
            </w:pPr>
          </w:p>
        </w:tc>
      </w:tr>
      <w:tr>
        <w:trPr>
          <w:trHeight w:val="87"/>
        </w:trPr>
        <w:tc>
          <w:tcPr>
            <w:tcW w:w="8800" w:type="dxa"/>
            <w:vAlign w:val="bottom"/>
            <w:tcBorders>
              <w:bottom w:val="single" w:sz="8" w:color="CCEEFF"/>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08"/>
        </w:trPr>
        <w:tc>
          <w:tcPr>
            <w:tcW w:w="8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800" w:type="dxa"/>
            <w:vAlign w:val="bottom"/>
          </w:tcPr>
          <w:p>
            <w:pPr>
              <w:ind w:left="40"/>
              <w:spacing w:after="0"/>
              <w:rPr>
                <w:sz w:val="20"/>
                <w:szCs w:val="20"/>
                <w:color w:val="auto"/>
              </w:rPr>
            </w:pPr>
            <w:r>
              <w:rPr>
                <w:rFonts w:ascii="Arial" w:cs="Arial" w:eastAsia="Arial" w:hAnsi="Arial"/>
                <w:sz w:val="18"/>
                <w:szCs w:val="18"/>
                <w:color w:val="auto"/>
              </w:rPr>
              <w:t>1% reduction in revenue growth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For the remaining balance of our other trademarks, holding all other assumptions used in the 2018 fair value measurement constant, neither a 1% increase in the weighted-average cost of capital assumption nor a 1% reduction in the revenue growth assumption would result in any material impairment.</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 We will continue to monitor the valuation of our long-lived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5 to the Consolidated Financial Statements for additional information on goodwill and intangible assets.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Pension and postretirement benefits — </w:t>
      </w:r>
      <w:r>
        <w:rPr>
          <w:rFonts w:ascii="Arial" w:cs="Arial" w:eastAsia="Arial" w:hAnsi="Arial"/>
          <w:sz w:val="18"/>
          <w:szCs w:val="18"/>
          <w:color w:val="auto"/>
        </w:rPr>
        <w:t>We provide certain pension and postretirement benefits to employees and retirees. Determining the cost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w:t>
      </w:r>
    </w:p>
    <w:p>
      <w:pPr>
        <w:spacing w:after="0" w:line="14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7"/>
          <w:szCs w:val="17"/>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Beginning in 2018, we changed the method we used to estimate the service and interest cost components of the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made this change to provide a more precise measurement of service cost and interest cost by improving the correlation between projected benefit cash flows and the corresponding spot yield curve rates. This change did not affect the measurement of our benefit obligations. We accounted for this change prospectively in 2018 as a change in accounting estimate</w:t>
      </w:r>
      <w:r>
        <w:rPr>
          <w:rFonts w:ascii="Arial" w:cs="Arial" w:eastAsia="Arial" w:hAnsi="Arial"/>
          <w:sz w:val="18"/>
          <w:szCs w:val="18"/>
          <w:color w:val="auto"/>
        </w:rPr>
        <w:t>.</w:t>
      </w:r>
      <w:r>
        <w:rPr>
          <w:rFonts w:ascii="Arial" w:cs="Arial" w:eastAsia="Arial" w:hAnsi="Arial"/>
          <w:sz w:val="17"/>
          <w:szCs w:val="17"/>
          <w:color w:val="auto"/>
        </w:rPr>
        <w:t xml:space="preserve"> As a result of this change, net periodic benefit income increased by approximately $17 million in 2018, compared to what the net periodic benefit income would have been under the previous method.</w:t>
      </w:r>
    </w:p>
    <w:p>
      <w:pPr>
        <w:spacing w:after="0" w:line="11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ectPr>
          <w:pgSz w:w="11900" w:h="16838" w:orient="portrait"/>
          <w:cols w:equalWidth="0" w:num="1">
            <w:col w:w="11420"/>
          </w:cols>
          <w:pgMar w:left="240" w:top="1440"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440" w:right="239" w:bottom="1440" w:gutter="0" w:footer="0" w:header="0"/>
          <w:type w:val="continuous"/>
        </w:sectPr>
      </w:pPr>
    </w:p>
    <w:bookmarkStart w:id="34" w:name="page35"/>
    <w:bookmarkEnd w:id="34"/>
    <w:p>
      <w:pPr>
        <w:ind w:left="340"/>
        <w:spacing w:after="0"/>
        <w:rPr>
          <w:sz w:val="20"/>
          <w:szCs w:val="20"/>
          <w:color w:val="auto"/>
        </w:rPr>
      </w:pPr>
      <w:r>
        <w:rPr>
          <w:rFonts w:ascii="Arial" w:cs="Arial" w:eastAsia="Arial" w:hAnsi="Arial"/>
          <w:sz w:val="18"/>
          <w:szCs w:val="18"/>
          <w:color w:val="auto"/>
        </w:rPr>
        <w:t>Net periodic pension and postretirement expense (income) was $(185) million in 2018, $(258) million in 2017 and $317 million in 2016.</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weighted-average assumptions as of the end of the year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02"/>
        </w:trPr>
        <w:tc>
          <w:tcPr>
            <w:tcW w:w="8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Pension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Discount rate for benefit obligations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4.15%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3.74%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3.39%</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7.09%</w:t>
            </w: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Postretirement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3.20%</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Initial health care trend rate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6.75%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7.25%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7.25%</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8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Ultimate health care trend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Estimated sensitivities to annual net periodic pension cost are as follows: a 50-basis-point decline in the discount rate would decrease expense by approximately $6 million and would result in an immediate loss recognition of approximately $122 million. A 50-basis-point reduction in the estimated return on assets assumption would increase expense by approximately $10 million. A one-percentage-point increase in assumed health care costs would have no impact on postretirement service and interest cost and would not result in an immediate loss.</w:t>
      </w:r>
    </w:p>
    <w:p>
      <w:pPr>
        <w:spacing w:after="0" w:line="133"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No contributions were made to U.S. pension plans in 2018, 2017 and 2016. Contributions to non-U.S. plans were $5 million in 2018 and 2017, and $2 million in 2016. We do not expect to contribute to the U.S. pension plans in 2019. Contributions to non-U.S. plans are expected to be approximately $4 million in 2019.</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10 to the Consolidated Financial Statements for additional information on pension and postretirement benefits.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effective tax rate reflects statutory tax rates, tax planning opportunities available in the various jurisdictions in which we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22, 2017, the Act was enacted into law and made significant changes to corporate taxation, including reducing the corporate tax rate from 35% to 21% effective January 1, 2018, and transitioning to a territorial system for taxation on foreign earnings along with the imposition of a transition tax in 2018 on the deemed repatriation of unremitted foreign earnings.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Notes 1 and 11 to the Consolidated Financial Statements for further discussion on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FACTORS THAT MAY AFFECT FUTURE RESULTS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"plan," "vision"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12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ability to execute on and realize the expected benefits from the actions we intend to take as a result of our recent strategy and portfolio review;</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differentiate our products and protect our category leading positions, especially in soup;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complete and to realize the projected benefits of planned divestitures and other business portfolio changes;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14" w:right="239" w:bottom="1440" w:gutter="0" w:footer="0" w:header="0"/>
          <w:type w:val="continuous"/>
        </w:sectPr>
      </w:pPr>
    </w:p>
    <w:bookmarkStart w:id="35" w:name="page36"/>
    <w:bookmarkEnd w:id="35"/>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the projected benefits, including cost synergies, from the recent acquisitions of Snyder's-Lance and Pacific Foods;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efficiency and/or restructuring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campaigns commenced by activist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non-U.S. operations, including trade restrictions, public corruption and compliance with foreign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 entitled "Management’s Discussion and Analysis of Financial Condition and Results of Operations — Market Risk Sensitivity" is incorporated herein by reference.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1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8,685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7,961</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7,001</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286</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309</w:t>
            </w:r>
          </w:p>
        </w:tc>
      </w:tr>
      <w:tr>
        <w:trPr>
          <w:trHeight w:val="67"/>
        </w:trPr>
        <w:tc>
          <w:tcPr>
            <w:tcW w:w="7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w:t>
            </w:r>
          </w:p>
        </w:tc>
      </w:tr>
      <w:tr>
        <w:trPr>
          <w:trHeight w:val="67"/>
        </w:trPr>
        <w:tc>
          <w:tcPr>
            <w:tcW w:w="7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1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adjustments</w:t>
            </w: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3"/>
              </w:rPr>
              <w:t>Unrealized gains (losses) arising during</w:t>
            </w:r>
          </w:p>
        </w:tc>
        <w:tc>
          <w:tcPr>
            <w:tcW w:w="140" w:type="dxa"/>
            <w:vAlign w:val="bottom"/>
          </w:tcPr>
          <w:p>
            <w:pPr>
              <w:spacing w:after="0"/>
              <w:rPr>
                <w:sz w:val="19"/>
                <w:szCs w:val="19"/>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Reclassification adjustment for (gains)</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included in net earnings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benefits: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Prior service credit arising during the</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9"/>
              </w:rPr>
              <w:t>Reclassification of prior service credit</w:t>
            </w:r>
          </w:p>
        </w:tc>
        <w:tc>
          <w:tcPr>
            <w:tcW w:w="1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included in net earnings</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938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w w:val="95"/>
              </w:rPr>
              <w:t>attributable to Campbell Soup Company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196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July 29,</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30,</w:t>
            </w:r>
          </w:p>
        </w:tc>
      </w:tr>
      <w:tr>
        <w:trPr>
          <w:trHeight w:val="192"/>
        </w:trPr>
        <w:tc>
          <w:tcPr>
            <w:tcW w:w="7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785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1,199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902</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86</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2,296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1,900</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3,233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4,580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2,115</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4,196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 ($77 as of 2018 and $51 as of 2017 attributable to variable interest entity)</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14,529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7,726</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1,896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893</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666</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676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3,594</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7,998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995</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13,156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6,081</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2,224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2,385</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(118)</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1,364</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1,373</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14,529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7,726</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7420" w:type="dxa"/>
            <w:vAlign w:val="bottom"/>
          </w:tcPr>
          <w:p>
            <w:pPr>
              <w:ind w:left="5620"/>
              <w:spacing w:after="0"/>
              <w:rPr>
                <w:sz w:val="20"/>
                <w:szCs w:val="20"/>
                <w:color w:val="auto"/>
              </w:rPr>
            </w:pPr>
            <w:r>
              <w:rPr>
                <w:rFonts w:ascii="Arial" w:cs="Arial" w:eastAsia="Arial" w:hAnsi="Arial"/>
                <w:sz w:val="18"/>
                <w:szCs w:val="18"/>
                <w:color w:val="auto"/>
              </w:rPr>
              <w:t>39</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261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563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Impairment charges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inventory fair value adjustment from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Pension and postretirement benefit expense (income)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24"/>
        </w:trPr>
        <w:tc>
          <w:tcPr>
            <w:tcW w:w="7780" w:type="dxa"/>
            <w:vAlign w:val="bottom"/>
          </w:tcPr>
          <w:p>
            <w:pPr>
              <w:ind w:left="180"/>
              <w:spacing w:after="0"/>
              <w:rPr>
                <w:sz w:val="20"/>
                <w:szCs w:val="20"/>
                <w:color w:val="auto"/>
              </w:rPr>
            </w:pPr>
            <w:r>
              <w:rPr>
                <w:rFonts w:ascii="Arial" w:cs="Arial" w:eastAsia="Arial" w:hAnsi="Arial"/>
                <w:sz w:val="16"/>
                <w:szCs w:val="16"/>
                <w:color w:val="auto"/>
              </w:rPr>
              <w:t>Changes in working capital, net of acquisitions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receipts from hedging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1,491</w:t>
            </w:r>
          </w:p>
        </w:tc>
      </w:tr>
      <w:tr>
        <w:trPr>
          <w:trHeight w:val="21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plant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Sales of plant assets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route businesses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Sales of route businesses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Businesses acquired,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1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Short-term repayments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(9,944)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(8,923)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Long-term repayments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Treasury stock issuances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Repurchase of noncontrolling interest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debt issuance costs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778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5,807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(1,099)</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1"/>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(93)</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31"/>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226</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8"/>
        </w:trPr>
        <w:tc>
          <w:tcPr>
            <w:tcW w:w="7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364"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August 2,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interest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563</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($1.248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issued under</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0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887</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($1.40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(437)</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issued under</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30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30,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2,385</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 acquired</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3"/>
              </w:rPr>
              <w:t>Repurchase of noncontrolling interest</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(47)</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261</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($1.40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(422)</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July 29, 2018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1,373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rFonts w:ascii="Arial" w:cs="Arial" w:eastAsia="Arial" w:hAnsi="Arial"/>
          <w:sz w:val="18"/>
          <w:szCs w:val="18"/>
          <w:b w:val="1"/>
          <w:bCs w:val="1"/>
          <w:color w:val="auto"/>
        </w:rPr>
      </w:pPr>
    </w:p>
    <w:p>
      <w:pPr>
        <w:ind w:left="34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In this Report, unless otherwise stated, the terms "we," "us," "our" and the "company" refer to Campbell Soup Company and its consolidated subsidiaries. We are a manufacturer and marketer of high-quality, branded food and beverage products.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consolidated financial statements include our accounts and entities in which we maintain a controlling financial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 variable interest entity (VIE) for which we are the primary beneficiary. Intercompany transactions are eliminated in consolidation. Certain amounts in prior-year financial statements were reclassified to conform to the current-year presentation. See Note 2 for additional information. Our fiscal year ends on the Sunday nearest July 31. There were 52 weeks in 2018, 2017, and 2016.</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Generally accepted accounting principles require management to make estimates and assumptions that affect assets,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expenses. Actual results could differ from those estimates.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Revenues are recognized when the earnings process is complete. This occurs when products are shipped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agreements, title and risk of loss transfer to customers, collection is probable and pricing is fixed or determinable. Revenues are recognized net of provisions for returns, discounts and allowances. Certain sales promotion expenses, such as feature price discounts, in-store display incentives, cooperative advertising programs, new product introduction fees and coupon redemption costs, are classified as a reduction of sales. The recognition of costs for promotion programs involves the use of judgment related to performance and redemption estimates. Estimates are made based on historical experience and other factors. Costs are recognized either upon sale or when the incentive is offered, based on the program. Revenues are presented on a net basis for arrangements under which suppliers perform certain additional services. In 2019, we will adopt revised accounting guidance on the recognition of revenue. See Note 2 for additional information.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All highly liquid debt instruments purchased with a maturity of three months or less are classified as cash equivalents.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All inventories are valued at the lower of average cost or net realizable value.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recorded at historical cost and are depreciated over estimated useful lives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 Goodwill and intangible assets deemed to have indefinite lives are not amortized but rather are tested at least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or when circumstances indicate that the carrying amount of the asset may not be recoverable. Goodwill is tested for impairment at the reporting unit level. A reporting unit is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In January 2017, the Financial Accounting Standards Board (FASB) issued revised guidance that simplifies the test for goodwill impairment, effective for fiscal years beginning after December 15, 2019, with early adoption permitted.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carrying value exceeds fair value, an impairment charge will be recorded to reduce the asset to fair value.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for information on intangible assets and impairment charges.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use derivative financial instruments primarily for purposes of hedging exposures to fluctuations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interest rates, commodities and equity-linked employee benefit obligations. We enter into these derivative contracts for periods consistent with the related underlying exposures, and the contracts do not constitute</w:t>
      </w:r>
    </w:p>
    <w:p>
      <w:pPr>
        <w:sectPr>
          <w:pgSz w:w="11900" w:h="16838" w:orient="portrait"/>
          <w:cols w:equalWidth="0" w:num="1">
            <w:col w:w="11420"/>
          </w:cols>
          <w:pgMar w:left="240" w:top="122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9" w:right="239" w:bottom="1440" w:gutter="0" w:footer="0" w:header="0"/>
          <w:type w:val="continuous"/>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positions independent of those exposures. We do not enter into derivative contracts for speculative purposes and do not use leveraged instruments. Our derivative programs include strategies that qualify and strategies that do not qualify for hedge accounting 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derivatives are recognized on the balance sheet at fair value. For derivatives that qualify for hedge accounting, on the date the derivative contract is entered into, we designate the derivative as a hedge of the fair value of a recognized asset or liability or a firm commitment (fair-value hedge), a hedge of a forecasted transaction or of the variability of cash flows to be received or paid related to a recognized asset or liability (cash-flow hedge), or a hedge of a net investment in a foreign operation. Some derivatives may also be considered natural hedging instruments (changes in fair value act as economic offsets to changes in fair value of the underlying hedged item) and are not designated for hedge accounting.</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Changes in the fair value of a fair-value hedge, along with the gain or loss on the underlying hedged asset or liability (including losses or gains on firm commitments), are recorded in current-period earnings. The effective portion of gains and losses on cash-flow hedges are recorded in other comprehensive income (loss), until earnings are affected by the variability of cash flows. If the hedge is no longer effective, all changes in the fair value of the derivative are included in earnings each period until the instrument matures. If a derivative is used as a hedge of a net investment in a foreign operation, its changes in fair value, to the extent effective as a hedge, are recorded in other comprehensive income (loss). Any ineffective portion of designated hedges is recognized in current-period earnings. Changes in the fair value of derivatives that are not designated for hedge accounting are recognized in current-period earnings.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from derivative contracts are included in Net cash provided by operating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Production Costs </w:t>
      </w:r>
      <w:r>
        <w:rPr>
          <w:rFonts w:ascii="Arial" w:cs="Arial" w:eastAsia="Arial" w:hAnsi="Arial"/>
          <w:sz w:val="18"/>
          <w:szCs w:val="18"/>
          <w:color w:val="auto"/>
        </w:rPr>
        <w:t>— Advertising production costs are expensed in the period that the advertisement first takes place or when a decision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not to use an advertisement.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 The costs of research and development are expensed as incurred. Costs include expenditures for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innovation, and improvements to existing products and processes. Costs primarily consist of salaries, wages, consulting, and depreciation and maintenance of research facilities and equipment.</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and liabilities are recognized for the future impact of differences between the financial statement carrying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115" w:lineRule="exact"/>
        <w:rPr>
          <w:sz w:val="20"/>
          <w:szCs w:val="20"/>
          <w:color w:val="auto"/>
        </w:rPr>
      </w:pPr>
    </w:p>
    <w:p>
      <w:pPr>
        <w:ind w:left="340" w:right="8300" w:hanging="332"/>
        <w:spacing w:after="0" w:line="466" w:lineRule="auto"/>
        <w:tabs>
          <w:tab w:leader="none" w:pos="34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Recently Adopted</w:t>
      </w:r>
    </w:p>
    <w:p>
      <w:pPr>
        <w:spacing w:after="0" w:line="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guidance to clarify the accounting for fees paid by a customer in a cloud computing arrangement. The guidance is effective for fiscal years beginning after December 15, 2015, and interim periods within those years. Early adoption is permitted. The new guidance should be applied either prospectively to all arrangements entered into or materially modified after the effective date or retrospectively. In 2017, we prospectively adopted the guidance. The adoption did not have a material impact on our consolidated financial statements.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March 2016, the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adopted the guidance in 2017. We elected to continue to estimate forfeitures expected to occur. In addition, we elected to adopt retrospectively the amendment to present excess tax benefits on share-based compensation as an operating activity, which resulted in a reclassification of $7 from Net cash used in financing activities to Net cash provided by operating activities in the Consolidated Statement of Cash Flows for 2016. We also adopted retrospectively the amendment to present cash payments to tax authorities in connection with shares withheld to meet statutory tax withholding requirements as a financing activity. As a result, there was a reclassification of $21 from Net cash provided by operating activities to Net cash used in financing activities in the Consolidated Statement of Cash Flows for 2016.</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guidance that simplifies the test for goodwill impairment. Under the revised guidance, if a reporting unit’s carrying amount exceeds its fair value, an entity will record an impairment charge to reduce the reporting unit to fair value. The impairment charge will be limited to the amount of goodwill allocated to that reporting unit. The revised guidance eliminates the current requirement to determine the fair value of individual assets and liabilities of a reporting unit to measure the goodwill impairment. The guidance is effective for fiscal years beginning after December 15, 2019, and interim periods within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14"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those years. Early adoption is permitted. We elected to early adopt the guidance in the fourth quarter 2017. The adoption did not have an impact on our consolidated financial statements.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2017, the FASB issued guidance that changes the presentation of net periodic pension cost and net periodic postretirement benefit cost. Under the revised guidance, the service cost component of benefit cost is classified in the same line item or items as other compensation costs arising from services rendered by the pertinent employees during the period. The other components of net benefit cost (such as interest expense, return on assets, amortization of prior service credit, actuarial gains and losses, settlements and curtailments) are required to be presented in the income statement separately from the service cost component. The guidance also allows only the service cost component to be eligible for capitalization when applicable (for example, as a cost of internally manufactured inventory). The guidance should be applied retrospectively for the presentation of the service cost component and the other components of benefit cost in the income statement, and applied prospectively on and after the effective date for the capitalization of the service cost component. The guidance is effective for fiscal years beginning after December 15, 2017, and interim periods within those years. Early adoption is permitted. We elected to early adopt the guidance in the first quarter of 2018. The retrospective impact of presenting net periodic benefit cost in accordance with the new guidance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Increase / (decrease) in expense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250"/>
        </w:trPr>
        <w:tc>
          <w:tcPr>
            <w:tcW w:w="9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9040" w:type="dxa"/>
            <w:vAlign w:val="bottom"/>
            <w:gridSpan w:val="2"/>
          </w:tcPr>
          <w:p>
            <w:pPr>
              <w:ind w:left="180"/>
              <w:spacing w:after="0"/>
              <w:rPr>
                <w:sz w:val="20"/>
                <w:szCs w:val="20"/>
                <w:color w:val="auto"/>
              </w:rPr>
            </w:pPr>
            <w:r>
              <w:rPr>
                <w:rFonts w:ascii="Arial" w:cs="Arial" w:eastAsia="Arial" w:hAnsi="Arial"/>
                <w:sz w:val="18"/>
                <w:szCs w:val="18"/>
                <w:color w:val="auto"/>
              </w:rPr>
              <w:t>Marketing and selling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904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9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r>
      <w:tr>
        <w:trPr>
          <w:trHeight w:val="27"/>
        </w:trPr>
        <w:tc>
          <w:tcPr>
            <w:tcW w:w="8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May 2014, the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completed the review of our arrangements with customers across our businesses, including our practices of offering rebates, refunds, discounts and other price allowances, and trade and consumer promotion programs. As we evaluated our methods of estimating the amount and timing of these various forms of variable consideration, we determined we will accelerate the expense recognition of certain trade and consumer promotion programs under the new guidance. Based on our assessment, the impact is not expected to be material on an annual basis, but will impact quarterly results. We will use the modified retrospective method when we adopt the new guidance in 2019, and the cumulative-effect adjustment is not expected to be material.</w:t>
      </w:r>
    </w:p>
    <w:p>
      <w:pPr>
        <w:spacing w:after="0" w:line="1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We do not expect that the adoption will have an impact on our consolidated financial statements.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In July 2018, the FASB issued an adoption approach that allows entities to apply the new guidance at the adoption date and recognize a cumulative-effect adjustment to the opening balance of retained earnings in the period of adoption without restating prior periods. We are currently compiling an inventory of our lease arrangements in order to determine the impact that the new guidance will have on our consolidated financial statements.</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do not expect that the adoption will have an impact on our consolidated financial statements.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14" w:right="239" w:bottom="1440" w:gutter="0" w:footer="0" w:header="0"/>
        </w:sectPr>
      </w:pPr>
    </w:p>
    <w:bookmarkStart w:id="44" w:name="page45"/>
    <w:bookmarkEnd w:id="44"/>
    <w:p>
      <w:pPr>
        <w:jc w:val="both"/>
        <w:ind w:firstLine="324"/>
        <w:spacing w:after="0" w:line="273" w:lineRule="auto"/>
        <w:rPr>
          <w:sz w:val="20"/>
          <w:szCs w:val="20"/>
          <w:color w:val="auto"/>
        </w:rPr>
      </w:pPr>
      <w:r>
        <w:rPr>
          <w:rFonts w:ascii="Arial" w:cs="Arial" w:eastAsia="Arial" w:hAnsi="Arial"/>
          <w:sz w:val="17"/>
          <w:szCs w:val="17"/>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We do not expect that the adoption will have an impact on our consolidated financial statements.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Beginning in 2019, we will prospectively apply the guidance to applicable transactions.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2018, the FASB issued guidance that provides entities an option to reclassify the tax effects of the Tax Cuts and Jobs Act of 2017 on items within accumulated other comprehensive income to retained earnings. The guidance is effective for fiscal years beginning after December 15, 2018, and interim periods within those years. Entities are able to early adopt the guidance in any interim or annual period for which financial statements have not yet been issued and apply it either in the period of adoption or retrospectively to each period in which the tax effects of the Tax Cuts and Jobs Act of 2017 related to items in accumulated other comprehensive income are recognized. New disclosures are required regardless of whether an entity elects to reclassify the tax effects. We are currently evaluating the impact that the new guidance will have on our consolidated financial statements.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12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March 26, 2018, we completed the acquisition of Snyder's-Lance, Inc. (Snyder's-Lance) for $50.00 per share. Total consideration was $6,112, which included the payoff of approximately $1,100 of Snyder's-Lance indebtedness. The acquisition was financed through a single draw 3-year senior unsecured term loan facility and the issuance of senior notes. See Note 12 for additional information. Snyder's-Lance is a snack food company that manufactures, distributes, markets and sells snack food products in North America and Europe. Its primary brands include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and </w:t>
      </w:r>
      <w:r>
        <w:rPr>
          <w:rFonts w:ascii="Arial" w:cs="Arial" w:eastAsia="Arial" w:hAnsi="Arial"/>
          <w:sz w:val="17"/>
          <w:szCs w:val="17"/>
          <w:i w:val="1"/>
          <w:iCs w:val="1"/>
          <w:color w:val="auto"/>
        </w:rPr>
        <w:t>Lance</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Kettle</w:t>
      </w:r>
      <w:r>
        <w:rPr>
          <w:rFonts w:ascii="Arial" w:cs="Arial" w:eastAsia="Arial" w:hAnsi="Arial"/>
          <w:sz w:val="17"/>
          <w:szCs w:val="17"/>
          <w:color w:val="auto"/>
        </w:rPr>
        <w:t xml:space="preserve"> </w:t>
      </w:r>
      <w:r>
        <w:rPr>
          <w:rFonts w:ascii="Arial" w:cs="Arial" w:eastAsia="Arial" w:hAnsi="Arial"/>
          <w:sz w:val="17"/>
          <w:szCs w:val="17"/>
          <w:i w:val="1"/>
          <w:iCs w:val="1"/>
          <w:color w:val="auto"/>
        </w:rPr>
        <w:t>Brand</w:t>
      </w:r>
      <w:r>
        <w:rPr>
          <w:rFonts w:ascii="Arial" w:cs="Arial" w:eastAsia="Arial" w:hAnsi="Arial"/>
          <w:sz w:val="17"/>
          <w:szCs w:val="17"/>
          <w:color w:val="auto"/>
        </w:rPr>
        <w:t>,</w:t>
      </w:r>
      <w:r>
        <w:rPr>
          <w:rFonts w:ascii="Arial" w:cs="Arial" w:eastAsia="Arial" w:hAnsi="Arial"/>
          <w:sz w:val="17"/>
          <w:szCs w:val="17"/>
          <w:i w:val="1"/>
          <w:iCs w:val="1"/>
          <w:color w:val="auto"/>
        </w:rPr>
        <w:t xml:space="preserve"> KETTLE, Cape Cod</w:t>
      </w:r>
      <w:r>
        <w:rPr>
          <w:rFonts w:ascii="Arial" w:cs="Arial" w:eastAsia="Arial" w:hAnsi="Arial"/>
          <w:sz w:val="17"/>
          <w:szCs w:val="17"/>
          <w:color w:val="auto"/>
        </w:rPr>
        <w:t>,</w:t>
      </w:r>
      <w:r>
        <w:rPr>
          <w:rFonts w:ascii="Arial" w:cs="Arial" w:eastAsia="Arial" w:hAnsi="Arial"/>
          <w:sz w:val="17"/>
          <w:szCs w:val="17"/>
          <w:i w:val="1"/>
          <w:iCs w:val="1"/>
          <w:color w:val="auto"/>
        </w:rPr>
        <w:t xml:space="preserve"> Snack Factory Pretzel Crisps</w:t>
      </w:r>
      <w:r>
        <w:rPr>
          <w:rFonts w:ascii="Arial" w:cs="Arial" w:eastAsia="Arial" w:hAnsi="Arial"/>
          <w:sz w:val="17"/>
          <w:szCs w:val="17"/>
          <w:color w:val="auto"/>
        </w:rPr>
        <w:t>,</w:t>
      </w:r>
      <w:r>
        <w:rPr>
          <w:rFonts w:ascii="Arial" w:cs="Arial" w:eastAsia="Arial" w:hAnsi="Arial"/>
          <w:sz w:val="17"/>
          <w:szCs w:val="17"/>
          <w:i w:val="1"/>
          <w:iCs w:val="1"/>
          <w:color w:val="auto"/>
        </w:rPr>
        <w:t xml:space="preserve"> Pop Secret, Emerald </w:t>
      </w:r>
      <w:r>
        <w:rPr>
          <w:rFonts w:ascii="Arial" w:cs="Arial" w:eastAsia="Arial" w:hAnsi="Arial"/>
          <w:sz w:val="17"/>
          <w:szCs w:val="17"/>
          <w:color w:val="auto"/>
        </w:rPr>
        <w:t>and</w:t>
      </w:r>
      <w:r>
        <w:rPr>
          <w:rFonts w:ascii="Arial" w:cs="Arial" w:eastAsia="Arial" w:hAnsi="Arial"/>
          <w:sz w:val="17"/>
          <w:szCs w:val="17"/>
          <w:i w:val="1"/>
          <w:iCs w:val="1"/>
          <w:color w:val="auto"/>
        </w:rPr>
        <w:t xml:space="preserve"> Late July</w:t>
      </w:r>
      <w:r>
        <w:rPr>
          <w:rFonts w:ascii="Arial" w:cs="Arial" w:eastAsia="Arial" w:hAnsi="Arial"/>
          <w:sz w:val="17"/>
          <w:szCs w:val="17"/>
          <w:color w:val="auto"/>
        </w:rPr>
        <w:t>.</w:t>
      </w:r>
    </w:p>
    <w:p>
      <w:pPr>
        <w:spacing w:after="0" w:line="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$2,866 of goodwill. The goodwill is not deductible for tax purposes. The goodwill was primarily attributable to future growth opportunities, anticipated synergies, and intangible assets that did not qualify for separate recognition. The goodwill is included in the Global Biscuits and Snacks segment.</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12, 2017, we completed the acquisition of Pacific Foods of Oregon, LLC (Pacific Foods). The purchase price was $688. Pacific Foods produces broth, soups, non-dairy beverages and other simple meals. The excess of the purchase price over the estimated fair values of identifiable net assets was recorded as $202 of goodwill. The goodwill is deductible for tax purposes. The goodwill was primarily attributable to future growth opportunities, anticipated synergies, and intangible assets that did not qualify for separate recognition. The goodwill is included in the Americas Simple Meals and Beverages segment.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14"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The acquired assets and assumed liabilities include the following:</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Snyder's-Lance</w:t>
            </w:r>
          </w:p>
        </w:tc>
        <w:tc>
          <w:tcPr>
            <w:tcW w:w="260" w:type="dxa"/>
            <w:vAlign w:val="bottom"/>
          </w:tcPr>
          <w:p>
            <w:pPr>
              <w:spacing w:after="0"/>
              <w:rPr>
                <w:sz w:val="16"/>
                <w:szCs w:val="16"/>
                <w:color w:val="auto"/>
              </w:rPr>
            </w:pPr>
          </w:p>
        </w:tc>
        <w:tc>
          <w:tcPr>
            <w:tcW w:w="1340" w:type="dxa"/>
            <w:vAlign w:val="bottom"/>
          </w:tcPr>
          <w:p>
            <w:pPr>
              <w:jc w:val="right"/>
              <w:ind w:right="311"/>
              <w:spacing w:after="0"/>
              <w:rPr>
                <w:sz w:val="20"/>
                <w:szCs w:val="20"/>
                <w:color w:val="auto"/>
              </w:rPr>
            </w:pPr>
            <w:r>
              <w:rPr>
                <w:rFonts w:ascii="Arial" w:cs="Arial" w:eastAsia="Arial" w:hAnsi="Arial"/>
                <w:sz w:val="14"/>
                <w:szCs w:val="14"/>
                <w:b w:val="1"/>
                <w:bCs w:val="1"/>
                <w:color w:val="auto"/>
              </w:rPr>
              <w:t>Pacific Foods</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202</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688</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purchase price allocation of Snyder's-Lance is preliminary and is subject to the finalization of certain items, including tax balances, which will be completed within the allowable measurement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identifiable intangible assets of Snyder's-Lance consist of:</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9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Value</w:t>
            </w: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Non-amortizable</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2,131</w:t>
            </w:r>
          </w:p>
        </w:tc>
      </w:tr>
      <w:tr>
        <w:trPr>
          <w:trHeight w:val="243"/>
        </w:trPr>
        <w:tc>
          <w:tcPr>
            <w:tcW w:w="5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Amortizable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rPr>
              <w:t>15 to  22</w:t>
            </w:r>
          </w:p>
        </w:tc>
        <w:tc>
          <w:tcPr>
            <w:tcW w:w="3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808</w:t>
            </w:r>
          </w:p>
        </w:tc>
      </w:tr>
      <w:tr>
        <w:trPr>
          <w:trHeight w:val="27"/>
        </w:trPr>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Amortizable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57"/>
        </w:trPr>
        <w:tc>
          <w:tcPr>
            <w:tcW w:w="5920" w:type="dxa"/>
            <w:vAlign w:val="bottom"/>
          </w:tcPr>
          <w:p>
            <w:pPr>
              <w:ind w:left="40"/>
              <w:spacing w:after="0"/>
              <w:rPr>
                <w:sz w:val="20"/>
                <w:szCs w:val="20"/>
                <w:color w:val="auto"/>
              </w:rPr>
            </w:pPr>
            <w:r>
              <w:rPr>
                <w:rFonts w:ascii="Arial" w:cs="Arial" w:eastAsia="Arial" w:hAnsi="Arial"/>
                <w:sz w:val="18"/>
                <w:szCs w:val="18"/>
                <w:color w:val="auto"/>
              </w:rPr>
              <w:t>Total identifiable intangible assets</w:t>
            </w: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2,947</w:t>
            </w:r>
          </w:p>
        </w:tc>
      </w:tr>
      <w:tr>
        <w:trPr>
          <w:trHeight w:val="20"/>
        </w:trPr>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identifiable intangible assets of Pacific Foods consist of $280 in non-amortizable trademarks, and $86 in customer relationships to be amortized over 20 years.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we recognized transaction costs and integration costs of $102, associated with the Snyder's-Lance acquisition. Approximately $53 represented transactions costs, including bridge financing costs and outside advisory costs, and were recorded in Other expenses / (income). Integration costs included the following:</w:t>
      </w:r>
    </w:p>
    <w:p>
      <w:pPr>
        <w:spacing w:after="0" w:line="127"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amortization of the acquisition date fair value adjustment to inventories of $42 that was recorded in Cost of products sold;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$13 of Restructuring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$12 of Administrative expenses;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$18 gain in Interest expense on treasury rate lock contracts used to hedge the planned financing of the acquisition.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acquisition of Snyder's-Lance contributed $772 to Net sales from March 26, 2018, through July 29, 2018. The contribution to Net earnings was a loss of $84 from March 26, 2018, through July 29, 2018, including the effect of the transaction and integration costs, and interest expense on the debt to finance the acquisition.</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acquisition of Pacific Foods contributed $123 to Net sales from December 12, 2017, through July 29, 2018. The contribution to Net earnings was a loss of $13 from December 12, 2017, through July 29, 2018.</w:t>
      </w:r>
    </w:p>
    <w:p>
      <w:pPr>
        <w:sectPr>
          <w:pgSz w:w="11900" w:h="16838" w:orient="portrait"/>
          <w:cols w:equalWidth="0" w:num="1">
            <w:col w:w="11420"/>
          </w:cols>
          <w:pgMar w:left="240" w:top="13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14" w:right="239" w:bottom="1440" w:gutter="0" w:footer="0" w:header="0"/>
          <w:type w:val="continuous"/>
        </w:sectPr>
      </w:pPr>
    </w:p>
    <w:bookmarkStart w:id="46" w:name="page47"/>
    <w:bookmarkEnd w:id="46"/>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Snyder's-Lance and Pacific Foods acquisitions had occurred on August 1,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10,324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371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773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attributable to Campbell Soup Company - 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earnings per share attributable to Campbell Soup Company - assuming dilution</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2.52</w:t>
            </w: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Snyder's-Lance and Pacific Foods acquisitions been completed on August 1, 2016, nor are they indicative of future combined results. The pro forma results for 2017 include pre-tax transaction costs of $53, pre-tax amortization of the acquisition date fair value adjustment to inventories of $42, and a pre-tax gain of $18 on treasury rate lock contracts. Therefore, the pro forma results for 2018 exclude these items, as they are reflected in 2017.</w:t>
      </w:r>
    </w:p>
    <w:p>
      <w:pPr>
        <w:spacing w:after="0" w:line="13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2,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29,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8"/>
          <w:szCs w:val="18"/>
          <w:color w:val="auto"/>
        </w:rPr>
        <w:t>Included a tax expense of $6 as of July 29, 2018, July 30, 2017, July 31, 2016, and August 2, 2015.</w:t>
      </w:r>
    </w:p>
    <w:p>
      <w:pPr>
        <w:ind w:left="340" w:hanging="332"/>
        <w:spacing w:after="0" w:line="203"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8"/>
          <w:szCs w:val="18"/>
          <w:color w:val="auto"/>
        </w:rPr>
        <w:t>Included a tax benefit of $4 as of July 29, 2018, $12 as of July 30, 2017, $23 as of July 31, 2016, and $5 as of August 2, 2015.</w:t>
      </w:r>
    </w:p>
    <w:p>
      <w:pPr>
        <w:ind w:left="340" w:right="1820" w:hanging="332"/>
        <w:spacing w:after="0" w:line="321" w:lineRule="auto"/>
        <w:tabs>
          <w:tab w:leader="none" w:pos="340" w:val="left"/>
        </w:tabs>
        <w:numPr>
          <w:ilvl w:val="0"/>
          <w:numId w:val="39"/>
        </w:numPr>
        <w:rPr>
          <w:rFonts w:ascii="Arial" w:cs="Arial" w:eastAsia="Arial" w:hAnsi="Arial"/>
          <w:sz w:val="13"/>
          <w:szCs w:val="13"/>
          <w:color w:val="auto"/>
        </w:rPr>
      </w:pPr>
      <w:r>
        <w:rPr>
          <w:rFonts w:ascii="Arial" w:cs="Arial" w:eastAsia="Arial" w:hAnsi="Arial"/>
          <w:sz w:val="18"/>
          <w:szCs w:val="18"/>
          <w:color w:val="auto"/>
        </w:rPr>
        <w:t>Included a tax expense of $25 as of July 29, 2018, $30 as of July 30, 2017, $35 as of July 31, 2016, and $1 as of August 2, 2015. Amounts related to noncontrolling interests were not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14" w:right="23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28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ind w:left="180"/>
              <w:spacing w:after="0"/>
              <w:rPr>
                <w:sz w:val="20"/>
                <w:szCs w:val="20"/>
                <w:color w:val="auto"/>
              </w:rPr>
            </w:pPr>
            <w:r>
              <w:rPr>
                <w:rFonts w:ascii="Arial" w:cs="Arial" w:eastAsia="Arial" w:hAnsi="Arial"/>
                <w:sz w:val="14"/>
                <w:szCs w:val="14"/>
                <w:b w:val="1"/>
                <w:bCs w:val="1"/>
                <w:color w:val="auto"/>
                <w:w w:val="98"/>
              </w:rPr>
              <w:t>Location of (Gain) Loss Recognized in</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(11)</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(1)</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31, 2016</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balance at July 30, 2017</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3,068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Impairment charges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balance at July 29, 2018</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978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3,602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3687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jc w:val="both"/>
        <w:ind w:left="340" w:hanging="332"/>
        <w:spacing w:after="0" w:line="226"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The balance of goodwill is reflected net of accumulated impairment charges of $837 as of July 29, 2018, $297 as of July 30, 2017 and $106 as of July 31, 2016, respectively, related to the Bolthouse Farms carrot and carrot ingredients reporting unit, the deli reporting unit, and the Bolthouse Farms refrigerated beverages and salad dressings reporting unit.</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2018, we acquired Snyder's-Lance for $6,112. Goodwill related to the acquisition was $2,866. In addition, we acquired Pacific Foods in December 2017 for $688 and goodwill related to the acquisition was $202. See Note 3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Assessments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the fourth quarter of 2016, as part of our annual review of intangible assets, an impairment charge of $106 was recorded on goodwill for the Bolthouse Farms carrot and carrot ingredients reporting unit within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Assessments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second quarter of 2017, sales and operating profit performance for the Bolthouse Farms carrot and carrot ingredients reporting unit were well below our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14" w:right="239" w:bottom="1440" w:gutter="0" w:footer="0" w:header="0"/>
          <w:type w:val="continuous"/>
        </w:sectPr>
      </w:pPr>
    </w:p>
    <w:bookmarkStart w:id="48" w:name="page49"/>
    <w:bookmarkEnd w:id="48"/>
    <w:p>
      <w:pPr>
        <w:jc w:val="both"/>
        <w:spacing w:after="0" w:line="270" w:lineRule="auto"/>
        <w:rPr>
          <w:sz w:val="20"/>
          <w:szCs w:val="20"/>
          <w:color w:val="auto"/>
        </w:rPr>
      </w:pPr>
      <w:r>
        <w:rPr>
          <w:rFonts w:ascii="Arial" w:cs="Arial" w:eastAsia="Arial" w:hAnsi="Arial"/>
          <w:sz w:val="18"/>
          <w:szCs w:val="18"/>
          <w:color w:val="auto"/>
        </w:rPr>
        <w:t>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the business performance and the strategic review, we lowered our sales outlook for future fiscal years. 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goodwill impairment assessment in the second quarter, which resulted in a $127 impairment charge to reduce the carrying amount to $75.</w:t>
      </w:r>
    </w:p>
    <w:p>
      <w:pPr>
        <w:spacing w:after="0" w:line="4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acquired Garden Fresh Gourmet on June 29, 2015. During 2017, sales and operating profit performance for Garden Fresh Gourmet,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goodwill impairment assessment on this reporting unit in the second quarter, which resulted in a $64 impairment charge to reduce the carrying amount to $52.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Assessments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2018, we performed an interim impairment assessment on the intangible assets of the Bolthouse Farms carrot and carrot ingredients reporting unit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this performance, we reduced our outlook for future operating margins and discounted cash flows, which resulted in a $75 impairment charge, representing a write-down of the remaining goodwill in the reporting unit.</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third quarter of 2018, we performed an interim impairment assessment on the intangible assets of the deli reporting unit, which includes Garden Fresh Gourmet and the U.S. refrigerated soup business, within Campbell Fresh. During the third quarter of 2018, certain of our private label refrigerated soup customers, which represent a majority of the business, informed us of their intention to in-source production beginning in 2019, and the sales and operating profit outlook of the Garden Fresh Gourmet business was reduced. Due to the anticipated loss of refrigerated soup business with these customers, as well as the recent performance of the Garden Fresh Gourmet business, we revised the long-term outlook for future sales, operating margins and discounted cash flows for this reporting unit, which resulted in an $81 impairment charge, representing a write-down of the remaining goodwill in the reporting unit.</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we performed an interim impairment assessment on the intangible assets of the Bolthouse Farms refrigerated beverages and salad dressings reporting unit within Campbell Fresh as the operating performance in the third quarter was below expectations. We assessed sales performance of refrigerated beverages and key drivers impacting gross profit for the unit. We revised our long-term outlook for future earnings and discounted cash flows to reflect reduced sales expectations to modest growth and decreased our gross profit outlook to reflect the inflation and manufacturing efficiency pressures that remain with the unit. This revised outlook resulted in a $384 impairment charge, representing a write-down of the remaining goodwill in the reporting unit.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2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1,116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223</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w:t>
            </w: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4,196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1,118</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Snyder's of Hanover, Lance, Kettle Brand, Pace, Pacific Foods, Snack Factory,</w:t>
      </w:r>
      <w:r>
        <w:rPr>
          <w:rFonts w:ascii="Arial" w:cs="Arial" w:eastAsia="Arial" w:hAnsi="Arial"/>
          <w:sz w:val="18"/>
          <w:szCs w:val="18"/>
          <w:color w:val="auto"/>
        </w:rPr>
        <w:t xml:space="preserve"> </w:t>
      </w:r>
      <w:r>
        <w:rPr>
          <w:rFonts w:ascii="Arial" w:cs="Arial" w:eastAsia="Arial" w:hAnsi="Arial"/>
          <w:sz w:val="18"/>
          <w:szCs w:val="18"/>
          <w:i w:val="1"/>
          <w:iCs w:val="1"/>
          <w:color w:val="auto"/>
        </w:rPr>
        <w:t>Cape Cod, Bolthouse Farms</w:t>
      </w:r>
      <w:r>
        <w:rPr>
          <w:rFonts w:ascii="Arial" w:cs="Arial" w:eastAsia="Arial" w:hAnsi="Arial"/>
          <w:sz w:val="18"/>
          <w:szCs w:val="18"/>
          <w:color w:val="auto"/>
        </w:rPr>
        <w:t>,</w:t>
      </w:r>
      <w:r>
        <w:rPr>
          <w:rFonts w:ascii="Arial" w:cs="Arial" w:eastAsia="Arial" w:hAnsi="Arial"/>
          <w:sz w:val="18"/>
          <w:szCs w:val="18"/>
          <w:i w:val="1"/>
          <w:iCs w:val="1"/>
          <w:color w:val="auto"/>
        </w:rPr>
        <w:t xml:space="preserve"> Plum, Kjeldsens, </w:t>
      </w:r>
      <w:r>
        <w:rPr>
          <w:rFonts w:ascii="Arial" w:cs="Arial" w:eastAsia="Arial" w:hAnsi="Arial"/>
          <w:sz w:val="18"/>
          <w:szCs w:val="18"/>
          <w:color w:val="auto"/>
        </w:rPr>
        <w:t>and</w:t>
      </w:r>
      <w:r>
        <w:rPr>
          <w:rFonts w:ascii="Arial" w:cs="Arial" w:eastAsia="Arial" w:hAnsi="Arial"/>
          <w:sz w:val="18"/>
          <w:szCs w:val="18"/>
          <w:i w:val="1"/>
          <w:iCs w:val="1"/>
          <w:color w:val="auto"/>
        </w:rPr>
        <w:t xml:space="preserve"> Garden Fresh Gourmet</w:t>
      </w:r>
      <w:r>
        <w:rPr>
          <w:rFonts w:ascii="Arial" w:cs="Arial" w:eastAsia="Arial" w:hAnsi="Arial"/>
          <w:sz w:val="18"/>
          <w:szCs w:val="18"/>
          <w:color w:val="auto"/>
        </w:rPr>
        <w:t>. Other amortizable intangible assets consist of recipes, non-compete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patents and distributor relationships.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was $34 for 2018, $19 for 2017 and $20 for 2016. Amortization expense for the next 5 years is estimated to be $65 in 2019, $60 in 2020, and $59 in 2021 through 2023. Asset useful lives range from 2 to 22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factors previously described, we recognized impairment charges on the Bolthouse Farms carrot and carrot ingredients reporting unit trademark as follows: $35 in 2016 and $20 in 2017. The carrying value of the trademark was $48 as of July 29, 2018.</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second quarter of 2017, due to the factors previously described, we performed an interim impairment assessment on the trademark in the Garden Fresh Gourmet reporting unit, which resulted in a $1 impairment charge.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the third quarter of 2018, due to the factors described above, we performed an interim impairment assessment on the trademarks in the deli reporting unit and the Bolthouse Farms refrigerated beverages and salad dressings reporting unit. We recorded impairment charges of $13 related to the </w:t>
      </w:r>
      <w:r>
        <w:rPr>
          <w:rFonts w:ascii="Arial" w:cs="Arial" w:eastAsia="Arial" w:hAnsi="Arial"/>
          <w:sz w:val="18"/>
          <w:szCs w:val="18"/>
          <w:i w:val="1"/>
          <w:iCs w:val="1"/>
          <w:color w:val="auto"/>
        </w:rPr>
        <w:t>Garden Fresh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Gourmet </w:t>
      </w:r>
      <w:r>
        <w:rPr>
          <w:rFonts w:ascii="Arial" w:cs="Arial" w:eastAsia="Arial" w:hAnsi="Arial"/>
          <w:sz w:val="18"/>
          <w:szCs w:val="18"/>
          <w:color w:val="auto"/>
        </w:rPr>
        <w:t>trademark within the deli reporting unit and $130 related to the</w:t>
      </w:r>
      <w:r>
        <w:rPr>
          <w:rFonts w:ascii="Arial" w:cs="Arial" w:eastAsia="Arial" w:hAnsi="Arial"/>
          <w:sz w:val="18"/>
          <w:szCs w:val="18"/>
          <w:i w:val="1"/>
          <w:iCs w:val="1"/>
          <w:color w:val="auto"/>
        </w:rPr>
        <w:t xml:space="preserve"> Bolthouse Farms </w:t>
      </w:r>
      <w:r>
        <w:rPr>
          <w:rFonts w:ascii="Arial" w:cs="Arial" w:eastAsia="Arial" w:hAnsi="Arial"/>
          <w:sz w:val="18"/>
          <w:szCs w:val="18"/>
          <w:color w:val="auto"/>
        </w:rPr>
        <w:t>refrigerated beverages and salad dressings trademark. This reduced</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value of the trademarks to $23 in the deli reporting unit and to $150 in the Bolthouse Farms refrigerated beverages and salad dressings reporting unit.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fourth quarter of 2018, as part of our annual review of intangible assets, we recognized an impairment charge of $54 on the </w:t>
      </w:r>
      <w:r>
        <w:rPr>
          <w:rFonts w:ascii="Arial" w:cs="Arial" w:eastAsia="Arial" w:hAnsi="Arial"/>
          <w:sz w:val="18"/>
          <w:szCs w:val="18"/>
          <w:i w:val="1"/>
          <w:iCs w:val="1"/>
          <w:color w:val="auto"/>
        </w:rPr>
        <w:t>Plum</w:t>
      </w:r>
      <w:r>
        <w:rPr>
          <w:rFonts w:ascii="Arial" w:cs="Arial" w:eastAsia="Arial" w:hAnsi="Arial"/>
          <w:sz w:val="18"/>
          <w:szCs w:val="18"/>
          <w:color w:val="auto"/>
        </w:rPr>
        <w:t xml:space="preserve"> trademark, which reduced the carrying value to $61. In 2018, sales and operating performance were well below expectations due in part to competitive pressure and reduced margins. In the fourth quarter, as part of a strategic review initiated by a new leadership team and based on recent performance, we lowered our long-term outlook for future sales.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Commencing in the third quarter of 2018 with the acquisition of Snyder's-Lance, we formed a new U.S. snacking unit, which combines Snyder's-Lance and Pepperidge Farm, and is an operating segment. As of the third quarter of 2018, we have four operating segments based primarily on product type, and three reportable segments. The U.S. snacking operating segment is aggregated with the international biscuits and snacks operating segment to form the Global Biscuits and Snacks reportable segment. The operating segments are aggregated based on similar economic characteristics, products, production processes, types or classes of customers, distribution methods, and regulatory environment. Our reportable segments are as follows:</w:t>
      </w:r>
    </w:p>
    <w:p>
      <w:pPr>
        <w:spacing w:after="0" w:line="104" w:lineRule="exact"/>
        <w:rPr>
          <w:sz w:val="20"/>
          <w:szCs w:val="20"/>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businesses in the U.S. and Canada.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gravies, pasta, beans and dinner sauces;</w:t>
      </w:r>
      <w:r>
        <w:rPr>
          <w:rFonts w:ascii="Arial" w:cs="Arial" w:eastAsia="Arial" w:hAnsi="Arial"/>
          <w:sz w:val="18"/>
          <w:szCs w:val="18"/>
          <w:i w:val="1"/>
          <w:iCs w:val="1"/>
          <w:color w:val="auto"/>
        </w:rPr>
        <w:t xml:space="preserve"> Swanson </w:t>
      </w:r>
      <w:r>
        <w:rPr>
          <w:rFonts w:ascii="Arial" w:cs="Arial" w:eastAsia="Arial" w:hAnsi="Arial"/>
          <w:sz w:val="18"/>
          <w:szCs w:val="18"/>
          <w:color w:val="auto"/>
        </w:rPr>
        <w:t>canned poultry;</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14" w:right="239" w:bottom="1440" w:gutter="0" w:footer="0" w:header="0"/>
          <w:type w:val="continuous"/>
        </w:sectPr>
      </w:pPr>
    </w:p>
    <w:bookmarkStart w:id="50" w:name="page51"/>
    <w:bookmarkEnd w:id="50"/>
    <w:p>
      <w:pPr>
        <w:ind w:left="660"/>
        <w:spacing w:after="0" w:line="324" w:lineRule="auto"/>
        <w:rPr>
          <w:sz w:val="20"/>
          <w:szCs w:val="20"/>
          <w:color w:val="auto"/>
        </w:rPr>
      </w:pPr>
      <w:r>
        <w:rPr>
          <w:rFonts w:ascii="Arial" w:cs="Arial" w:eastAsia="Arial" w:hAnsi="Arial"/>
          <w:sz w:val="18"/>
          <w:szCs w:val="18"/>
          <w:i w:val="1"/>
          <w:iCs w:val="1"/>
          <w:color w:val="auto"/>
        </w:rPr>
        <w:t xml:space="preserve">Plum </w:t>
      </w:r>
      <w:r>
        <w:rPr>
          <w:rFonts w:ascii="Arial" w:cs="Arial" w:eastAsia="Arial" w:hAnsi="Arial"/>
          <w:sz w:val="18"/>
          <w:szCs w:val="18"/>
          <w:color w:val="auto"/>
        </w:rPr>
        <w:t>food and snacks;</w:t>
      </w:r>
      <w:r>
        <w:rPr>
          <w:rFonts w:ascii="Arial" w:cs="Arial" w:eastAsia="Arial" w:hAnsi="Arial"/>
          <w:sz w:val="18"/>
          <w:szCs w:val="18"/>
          <w:i w:val="1"/>
          <w:iCs w:val="1"/>
          <w:color w:val="auto"/>
        </w:rPr>
        <w:t xml:space="preserve"> V8 </w:t>
      </w:r>
      <w:r>
        <w:rPr>
          <w:rFonts w:ascii="Arial" w:cs="Arial" w:eastAsia="Arial" w:hAnsi="Arial"/>
          <w:sz w:val="18"/>
          <w:szCs w:val="18"/>
          <w:color w:val="auto"/>
        </w:rPr>
        <w:t>juices and beverages;</w:t>
      </w:r>
      <w:r>
        <w:rPr>
          <w:rFonts w:ascii="Arial" w:cs="Arial" w:eastAsia="Arial" w:hAnsi="Arial"/>
          <w:sz w:val="18"/>
          <w:szCs w:val="18"/>
          <w:i w:val="1"/>
          <w:iCs w:val="1"/>
          <w:color w:val="auto"/>
        </w:rPr>
        <w:t xml:space="preserve"> Campbell’s </w:t>
      </w:r>
      <w:r>
        <w:rPr>
          <w:rFonts w:ascii="Arial" w:cs="Arial" w:eastAsia="Arial" w:hAnsi="Arial"/>
          <w:sz w:val="18"/>
          <w:szCs w:val="18"/>
          <w:color w:val="auto"/>
        </w:rPr>
        <w:t>tomato juice; and as of December 12, 2017,</w:t>
      </w:r>
      <w:r>
        <w:rPr>
          <w:rFonts w:ascii="Arial" w:cs="Arial" w:eastAsia="Arial" w:hAnsi="Arial"/>
          <w:sz w:val="18"/>
          <w:szCs w:val="18"/>
          <w:i w:val="1"/>
          <w:iCs w:val="1"/>
          <w:color w:val="auto"/>
        </w:rPr>
        <w:t xml:space="preserve"> Pacific </w:t>
      </w:r>
      <w:r>
        <w:rPr>
          <w:rFonts w:ascii="Arial" w:cs="Arial" w:eastAsia="Arial" w:hAnsi="Arial"/>
          <w:sz w:val="18"/>
          <w:szCs w:val="18"/>
          <w:color w:val="auto"/>
        </w:rPr>
        <w:t>broth, soups, non-dairy beverages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simple meals;</w:t>
      </w:r>
    </w:p>
    <w:p>
      <w:pPr>
        <w:spacing w:after="0" w:line="89" w:lineRule="exact"/>
        <w:rPr>
          <w:sz w:val="20"/>
          <w:szCs w:val="20"/>
          <w:color w:val="auto"/>
        </w:rPr>
      </w:pPr>
    </w:p>
    <w:p>
      <w:pPr>
        <w:jc w:val="both"/>
        <w:ind w:left="660" w:hanging="328"/>
        <w:spacing w:after="0" w:line="25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Global Biscuits and Snacks segment represents an aggregation of the following operating segments: U.S. snacks operating segment, which includes Pepperidge Farm cookies, crackers, bakery and frozen products in U.S. retail, and Snyder’s-Lance pretzels, sandwich crackers, potato chips, tortilla chips and other snacking products in the U.S. and Europe; and the international biscuits and snacks operating segment, which includes Arnott’s biscuits in Australia and Asia Pacific, Kelsen cookies globally, the simple meals and shelf-stable beverages business in Australia and Asia Pacific, and beginning in 2018, the business in Latin America; and</w:t>
      </w:r>
    </w:p>
    <w:p>
      <w:pPr>
        <w:spacing w:after="0" w:line="13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2018, the business in Latin America was managed as part of the Americas Simple Meals and Beverages segment. Segment results have been adjusted retrospectively to reflect this change.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segment. The international biscuits and snacks operating segment and the Campbell Fresh segment combined represent approximately $2,100 in net sales in 2018.</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Therefore, only geographic segment asset information is provided.</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largest customer, Wal-Mart Stores, Inc. and its affiliates, accounted for approximately 18% of consolidated net sales in 2018, and 20% of consolidated net sales in 2017 and 2016. All of our reportable segments sold products to Wal-Mart Stores, Inc. or its affiliates.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320" w:type="dxa"/>
            <w:vAlign w:val="bottom"/>
            <w:tcBorders>
              <w:top w:val="single" w:sz="8" w:color="BFE4FF"/>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2780" w:type="dxa"/>
            <w:vAlign w:val="bottom"/>
            <w:tcBorders>
              <w:top w:val="single" w:sz="8" w:color="BFE4FF"/>
              <w:bottom w:val="single" w:sz="8" w:color="BFE4FF"/>
            </w:tcBorders>
            <w:shd w:val="clear" w:color="auto" w:fill="BFE4FF"/>
          </w:tcPr>
          <w:p>
            <w:pPr>
              <w:spacing w:after="0"/>
              <w:rPr>
                <w:sz w:val="21"/>
                <w:szCs w:val="21"/>
                <w:color w:val="auto"/>
              </w:rPr>
            </w:pPr>
          </w:p>
        </w:tc>
        <w:tc>
          <w:tcPr>
            <w:tcW w:w="840" w:type="dxa"/>
            <w:vAlign w:val="bottom"/>
            <w:tcBorders>
              <w:top w:val="single" w:sz="8" w:color="auto"/>
              <w:bottom w:val="single" w:sz="8" w:color="BFE4FF"/>
            </w:tcBorders>
            <w:shd w:val="clear" w:color="auto" w:fill="BFE4FF"/>
          </w:tcPr>
          <w:p>
            <w:pPr>
              <w:spacing w:after="0"/>
              <w:rPr>
                <w:sz w:val="21"/>
                <w:szCs w:val="21"/>
                <w:color w:val="auto"/>
              </w:rPr>
            </w:pPr>
          </w:p>
        </w:tc>
        <w:tc>
          <w:tcPr>
            <w:tcW w:w="540" w:type="dxa"/>
            <w:vAlign w:val="bottom"/>
            <w:tcBorders>
              <w:top w:val="single" w:sz="8" w:color="auto"/>
              <w:bottom w:val="single" w:sz="8" w:color="BFE4FF"/>
            </w:tcBorders>
            <w:shd w:val="clear" w:color="auto" w:fill="BFE4FF"/>
          </w:tcPr>
          <w:p>
            <w:pPr>
              <w:spacing w:after="0"/>
              <w:rPr>
                <w:sz w:val="21"/>
                <w:szCs w:val="21"/>
                <w:color w:val="auto"/>
              </w:rPr>
            </w:pP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840" w:type="dxa"/>
            <w:vAlign w:val="bottom"/>
            <w:tcBorders>
              <w:top w:val="single" w:sz="8" w:color="auto"/>
              <w:bottom w:val="single" w:sz="8" w:color="BFE4FF"/>
            </w:tcBorders>
            <w:shd w:val="clear" w:color="auto" w:fill="BFE4FF"/>
          </w:tcPr>
          <w:p>
            <w:pPr>
              <w:spacing w:after="0"/>
              <w:rPr>
                <w:sz w:val="21"/>
                <w:szCs w:val="21"/>
                <w:color w:val="auto"/>
              </w:rPr>
            </w:pPr>
          </w:p>
        </w:tc>
        <w:tc>
          <w:tcPr>
            <w:tcW w:w="520" w:type="dxa"/>
            <w:vAlign w:val="bottom"/>
            <w:tcBorders>
              <w:top w:val="single" w:sz="8" w:color="auto"/>
              <w:bottom w:val="single" w:sz="8" w:color="BFE4FF"/>
            </w:tcBorders>
            <w:shd w:val="clear" w:color="auto" w:fill="BFE4FF"/>
          </w:tcPr>
          <w:p>
            <w:pPr>
              <w:spacing w:after="0"/>
              <w:rPr>
                <w:sz w:val="21"/>
                <w:szCs w:val="21"/>
                <w:color w:val="auto"/>
              </w:rPr>
            </w:pP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320" w:type="dxa"/>
            <w:vAlign w:val="bottom"/>
            <w:tcBorders>
              <w:top w:val="single" w:sz="8" w:color="auto"/>
              <w:bottom w:val="single" w:sz="8" w:color="BFE4FF"/>
            </w:tcBorders>
            <w:shd w:val="clear" w:color="auto" w:fill="BFE4FF"/>
          </w:tcPr>
          <w:p>
            <w:pPr>
              <w:spacing w:after="0"/>
              <w:rPr>
                <w:sz w:val="21"/>
                <w:szCs w:val="21"/>
                <w:color w:val="auto"/>
              </w:rPr>
            </w:pPr>
          </w:p>
        </w:tc>
        <w:tc>
          <w:tcPr>
            <w:tcW w:w="1040" w:type="dxa"/>
            <w:vAlign w:val="bottom"/>
            <w:tcBorders>
              <w:top w:val="single" w:sz="8" w:color="auto"/>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36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4,213</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4,256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Global Biscuits and Snacks</w:t>
            </w:r>
          </w:p>
        </w:tc>
        <w:tc>
          <w:tcPr>
            <w:tcW w:w="278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3,499</w:t>
            </w:r>
          </w:p>
        </w:tc>
        <w:tc>
          <w:tcPr>
            <w:tcW w:w="1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88"/>
              </w:rPr>
              <w:t>2,667</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970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Corporate</w:t>
            </w:r>
          </w:p>
        </w:tc>
        <w:tc>
          <w:tcPr>
            <w:tcW w:w="278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spacing w:after="0"/>
              <w:rPr>
                <w:sz w:val="23"/>
                <w:szCs w:val="23"/>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spacing w:after="0"/>
              <w:rPr>
                <w:sz w:val="23"/>
                <w:szCs w:val="23"/>
                <w:color w:val="auto"/>
              </w:rPr>
            </w:pPr>
          </w:p>
        </w:tc>
        <w:tc>
          <w:tcPr>
            <w:tcW w:w="64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8,685</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7,890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320" w:type="dxa"/>
            <w:vAlign w:val="bottom"/>
          </w:tcPr>
          <w:p>
            <w:pPr>
              <w:spacing w:after="0"/>
              <w:rPr>
                <w:sz w:val="24"/>
                <w:szCs w:val="24"/>
                <w:color w:val="auto"/>
              </w:rPr>
            </w:pPr>
          </w:p>
        </w:tc>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36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982</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1,111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7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78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9"/>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1216"/>
              <w:spacing w:after="0"/>
              <w:rPr>
                <w:sz w:val="20"/>
                <w:szCs w:val="20"/>
                <w:color w:val="auto"/>
              </w:rPr>
            </w:pPr>
            <w:r>
              <w:rPr>
                <w:rFonts w:ascii="Arial" w:cs="Arial" w:eastAsia="Arial" w:hAnsi="Arial"/>
                <w:sz w:val="18"/>
                <w:szCs w:val="18"/>
                <w:color w:val="auto"/>
              </w:rPr>
              <w:t>51</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41" w:right="239" w:bottom="1440" w:gutter="0" w:footer="0" w:header="0"/>
        </w:sectPr>
      </w:pPr>
    </w:p>
    <w:bookmarkStart w:id="51" w:name="page52"/>
    <w:bookmarkEnd w:id="51"/>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20"/>
                <w:szCs w:val="20"/>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92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9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0"/>
                <w:szCs w:val="20"/>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51"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Represents unallocated items. Pension and postretirement benefit mark-to-market adjustments and curtailments are included in Corporate. There were gains of $136 and $178 in 2018 and 2017, respectively, and losses of $313 in 2016. Costs related to the cost savings initiatives were $136, $40 and $47 in 2018, 2017 and 2016, respectively. Transaction and integration costs associated with the acquisition of Snyder's-Lance were $107 in 2018. Intangible asset impairment charges were $737, $212 and $141 in 2018, 2017 and 2016, respectively. See Note 5 for information on the intangible asset impairment charges. Plant asset impairment charges were $11 in 2018. A charge of $22 related to the settlement of a legal claim was included in 2018, and a gain of $25 from a settlement of a claim related to the Kelsen acquisition was included in 2016.</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Represents primarily corporate offices.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BFE4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BFE4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Soup</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2,615</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2,673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2,690</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Snacks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3,344</w:t>
            </w:r>
          </w:p>
        </w:tc>
        <w:tc>
          <w:tcPr>
            <w:tcW w:w="1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88"/>
              </w:rPr>
              <w:t>2,511</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2,479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1,699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1,702</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Beverages</w:t>
            </w:r>
          </w:p>
        </w:tc>
        <w:tc>
          <w:tcPr>
            <w:tcW w:w="840" w:type="dxa"/>
            <w:vAlign w:val="bottom"/>
            <w:tcBorders>
              <w:bottom w:val="single" w:sz="8" w:color="BFE4FF"/>
            </w:tcBorders>
            <w:shd w:val="clear" w:color="auto" w:fill="BFE4FF"/>
          </w:tcPr>
          <w:p>
            <w:pPr>
              <w:spacing w:after="0"/>
              <w:rPr>
                <w:sz w:val="21"/>
                <w:szCs w:val="21"/>
                <w:color w:val="auto"/>
              </w:rPr>
            </w:pP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1,024</w:t>
            </w:r>
          </w:p>
        </w:tc>
        <w:tc>
          <w:tcPr>
            <w:tcW w:w="10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spacing w:after="0"/>
              <w:rPr>
                <w:sz w:val="21"/>
                <w:szCs w:val="21"/>
                <w:color w:val="auto"/>
              </w:rPr>
            </w:pP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88"/>
              </w:rPr>
              <w:t>1,008</w:t>
            </w:r>
          </w:p>
        </w:tc>
        <w:tc>
          <w:tcPr>
            <w:tcW w:w="12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1,090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BFE4FF"/>
            </w:tcBorders>
            <w:shd w:val="clear" w:color="auto" w:fill="BFE4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b w:val="1"/>
                <w:bCs w:val="1"/>
                <w:color w:val="auto"/>
                <w:w w:val="88"/>
              </w:rPr>
              <w:t>8,685</w:t>
            </w:r>
          </w:p>
        </w:tc>
        <w:tc>
          <w:tcPr>
            <w:tcW w:w="10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88"/>
              </w:rPr>
              <w:t>7,890</w:t>
            </w:r>
          </w:p>
        </w:tc>
        <w:tc>
          <w:tcPr>
            <w:tcW w:w="120" w:type="dxa"/>
            <w:vAlign w:val="bottom"/>
            <w:tcBorders>
              <w:bottom w:val="single" w:sz="8" w:color="BFE4FF"/>
            </w:tcBorders>
            <w:shd w:val="clear" w:color="auto" w:fill="BFE4FF"/>
          </w:tcPr>
          <w:p>
            <w:pPr>
              <w:spacing w:after="0"/>
              <w:rPr>
                <w:sz w:val="22"/>
                <w:szCs w:val="22"/>
                <w:color w:val="auto"/>
              </w:rPr>
            </w:pPr>
          </w:p>
        </w:tc>
        <w:tc>
          <w:tcPr>
            <w:tcW w:w="320" w:type="dxa"/>
            <w:vAlign w:val="bottom"/>
            <w:tcBorders>
              <w:bottom w:val="single" w:sz="8" w:color="BFE4FF"/>
            </w:tcBorders>
            <w:shd w:val="clear" w:color="auto" w:fill="BFE4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BFE4FF"/>
            </w:tcBorders>
            <w:shd w:val="clear" w:color="auto" w:fill="BFE4FF"/>
          </w:tcPr>
          <w:p>
            <w:pPr>
              <w:jc w:val="right"/>
              <w:ind w:right="13"/>
              <w:spacing w:after="0"/>
              <w:rPr>
                <w:sz w:val="20"/>
                <w:szCs w:val="20"/>
                <w:color w:val="auto"/>
              </w:rPr>
            </w:pPr>
            <w:r>
              <w:rPr>
                <w:rFonts w:ascii="Arial" w:cs="Arial" w:eastAsia="Arial" w:hAnsi="Arial"/>
                <w:sz w:val="18"/>
                <w:szCs w:val="18"/>
                <w:color w:val="auto"/>
              </w:rPr>
              <w:t>7,961</w:t>
            </w:r>
          </w:p>
        </w:tc>
      </w:tr>
      <w:tr>
        <w:trPr>
          <w:trHeight w:val="20"/>
        </w:trPr>
        <w:tc>
          <w:tcPr>
            <w:tcW w:w="7100" w:type="dxa"/>
            <w:vAlign w:val="bottom"/>
            <w:tcBorders>
              <w:top w:val="single" w:sz="8" w:color="BFE4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Soup includes various soup, broths and stock products. Snacks include cookies, pretzels, crackers, biscuits, popcorn, nuts, potato chips, tortilla chips and other salty snacks and baked products. Other simple meals include sauces, carrot products, refrigerated salad dressings, refrigerated salsa, hummus, dips and Plum foods and snacks.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Area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operations in different geographic areas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4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4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7,032</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6,357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6,437</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36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3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1,031</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8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8,685</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7,890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bottom w:val="single" w:sz="8" w:color="CCEEFF"/>
            </w:tcBorders>
            <w:vMerge w:val="restart"/>
          </w:tcPr>
          <w:p>
            <w:pPr>
              <w:jc w:val="right"/>
              <w:ind w:right="1214"/>
              <w:spacing w:after="0"/>
              <w:rPr>
                <w:sz w:val="20"/>
                <w:szCs w:val="20"/>
                <w:color w:val="auto"/>
              </w:rPr>
            </w:pPr>
            <w:r>
              <w:rPr>
                <w:rFonts w:ascii="Arial" w:cs="Arial" w:eastAsia="Arial" w:hAnsi="Arial"/>
                <w:sz w:val="18"/>
                <w:szCs w:val="18"/>
                <w:color w:val="auto"/>
              </w:rPr>
              <w:t>52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52" w:name="page53"/>
    <w:bookmarkEnd w:id="52"/>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2,778</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1,967</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198</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3,233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2,454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 We extended the time horizon for the initiatives to 2022. Cost estimates for these expanded initiatives, as well as timing for certain activities, are continuing to be developed.</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and charges recorded in Administrative expenses, Cost of products sold, and Marketing and selling expenses related to the initiatives is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2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ind w:left="280"/>
              <w:spacing w:after="0"/>
              <w:rPr>
                <w:sz w:val="20"/>
                <w:szCs w:val="20"/>
                <w:color w:val="auto"/>
              </w:rPr>
            </w:pPr>
            <w:r>
              <w:rPr>
                <w:rFonts w:ascii="Arial" w:cs="Arial" w:eastAsia="Arial" w:hAnsi="Arial"/>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July 29, 2018</w:t>
            </w: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$570 to $605 and we expect to incur the remaining costs through 2020. This estimate will be updated as costs for the expanded initiatives are developed.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$195 in severance pay and benefits; approximately $95 in asset impairment and accelerated depreciation; and approximately $280 to $315 in implementation costs and other related costs.We expect these pre-tax costs to be associated with our segments as follows: Americas Simple Meals and Beverages - approximately 45%; Global Biscuits and Snacks - approximately 30%; Campbell Fresh - approximately 3%; and Corporate - approximately 22%.</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aggregate $570 to $605 of pre-tax costs identified to date, we expect approximately $465 to $500 will be cash expenditures. In addition, we expect to invest approximately $250 in capital expenditures through 2020 primarily related to the U.S. warehouse optimization project, transition of production of the Toronto manufacturing facility to our U.S. thermal plants, insourcing of manufacturing for certain simple meal products and optimization of information technology infrastructure and applications, of which we invested approximately $114 as of July 29, 2018.</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40"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initiatives at July 29, 2018,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Severance Pay</w:t>
            </w:r>
          </w:p>
        </w:tc>
        <w:tc>
          <w:tcPr>
            <w:tcW w:w="140" w:type="dxa"/>
            <w:vAlign w:val="bottom"/>
          </w:tcPr>
          <w:p>
            <w:pPr>
              <w:spacing w:after="0"/>
              <w:rPr>
                <w:sz w:val="14"/>
                <w:szCs w:val="14"/>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Non-Cash</w:t>
            </w: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Implementation</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Asset</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Other Non-</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Impairment/Accelerated</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Cash Exit</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2"/>
              </w:rPr>
              <w:t>and Benefits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8"/>
                <w:szCs w:val="8"/>
                <w:b w:val="1"/>
                <w:bCs w:val="1"/>
                <w:color w:val="auto"/>
              </w:rPr>
              <w:t>(5)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(6)</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(7)</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Accrued balance at August 3,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60"/>
              <w:spacing w:after="0"/>
              <w:rPr>
                <w:sz w:val="20"/>
                <w:szCs w:val="20"/>
                <w:color w:val="auto"/>
              </w:rPr>
            </w:pPr>
            <w:r>
              <w:rPr>
                <w:rFonts w:ascii="Arial" w:cs="Arial" w:eastAsia="Arial" w:hAnsi="Arial"/>
                <w:sz w:val="18"/>
                <w:szCs w:val="18"/>
                <w:color w:val="auto"/>
              </w:rPr>
              <w:t>2015 charges</w:t>
            </w:r>
          </w:p>
        </w:tc>
        <w:tc>
          <w:tcPr>
            <w:tcW w:w="1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2015 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adjustment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balance at August 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0"/>
              <w:spacing w:after="0" w:line="257" w:lineRule="exact"/>
              <w:rPr>
                <w:sz w:val="20"/>
                <w:szCs w:val="20"/>
                <w:color w:val="auto"/>
              </w:rPr>
            </w:pPr>
            <w:r>
              <w:rPr>
                <w:rFonts w:ascii="Arial" w:cs="Arial" w:eastAsia="Arial" w:hAnsi="Arial"/>
                <w:sz w:val="18"/>
                <w:szCs w:val="18"/>
                <w:color w:val="auto"/>
              </w:rPr>
              <w:t>2015</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60"/>
              <w:spacing w:after="0"/>
              <w:rPr>
                <w:sz w:val="20"/>
                <w:szCs w:val="20"/>
                <w:color w:val="auto"/>
              </w:rPr>
            </w:pPr>
            <w:r>
              <w:rPr>
                <w:rFonts w:ascii="Arial" w:cs="Arial" w:eastAsia="Arial" w:hAnsi="Arial"/>
                <w:sz w:val="18"/>
                <w:szCs w:val="18"/>
                <w:color w:val="auto"/>
              </w:rPr>
              <w:t>2016 charges</w:t>
            </w:r>
          </w:p>
        </w:tc>
        <w:tc>
          <w:tcPr>
            <w:tcW w:w="1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2016 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80" w:type="dxa"/>
            <w:vAlign w:val="bottom"/>
          </w:tcPr>
          <w:p>
            <w:pPr>
              <w:ind w:left="20"/>
              <w:spacing w:after="0" w:line="264" w:lineRule="exact"/>
              <w:rPr>
                <w:sz w:val="20"/>
                <w:szCs w:val="20"/>
                <w:color w:val="auto"/>
              </w:rPr>
            </w:pPr>
            <w:r>
              <w:rPr>
                <w:rFonts w:ascii="Arial" w:cs="Arial" w:eastAsia="Arial" w:hAnsi="Arial"/>
                <w:sz w:val="18"/>
                <w:szCs w:val="18"/>
                <w:color w:val="auto"/>
                <w:w w:val="95"/>
              </w:rPr>
              <w:t>Accrued balance at July 31, 2016</w:t>
            </w:r>
            <w:r>
              <w:rPr>
                <w:rFonts w:ascii="Arial" w:cs="Arial" w:eastAsia="Arial" w:hAnsi="Arial"/>
                <w:sz w:val="25"/>
                <w:szCs w:val="25"/>
                <w:color w:val="auto"/>
                <w:w w:val="95"/>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charges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2780" w:type="dxa"/>
            <w:vAlign w:val="bottom"/>
          </w:tcPr>
          <w:p>
            <w:pPr>
              <w:ind w:left="260"/>
              <w:spacing w:after="0"/>
              <w:rPr>
                <w:sz w:val="20"/>
                <w:szCs w:val="20"/>
                <w:color w:val="auto"/>
              </w:rPr>
            </w:pPr>
            <w:r>
              <w:rPr>
                <w:rFonts w:ascii="Arial" w:cs="Arial" w:eastAsia="Arial" w:hAnsi="Arial"/>
                <w:sz w:val="18"/>
                <w:szCs w:val="18"/>
                <w:color w:val="auto"/>
              </w:rPr>
              <w:t>2017 cash payments</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w w:val="95"/>
              </w:rPr>
              <w:t>Accrued balance at July 30, 2017</w:t>
            </w:r>
            <w:r>
              <w:rPr>
                <w:rFonts w:ascii="Arial" w:cs="Arial" w:eastAsia="Arial" w:hAnsi="Arial"/>
                <w:sz w:val="25"/>
                <w:szCs w:val="25"/>
                <w:color w:val="auto"/>
                <w:w w:val="95"/>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780" w:type="dxa"/>
            <w:vAlign w:val="bottom"/>
          </w:tcPr>
          <w:p>
            <w:pPr>
              <w:ind w:left="240"/>
              <w:spacing w:after="0"/>
              <w:rPr>
                <w:sz w:val="20"/>
                <w:szCs w:val="20"/>
                <w:color w:val="auto"/>
              </w:rPr>
            </w:pPr>
            <w:r>
              <w:rPr>
                <w:rFonts w:ascii="Arial" w:cs="Arial" w:eastAsia="Arial" w:hAnsi="Arial"/>
                <w:sz w:val="18"/>
                <w:szCs w:val="18"/>
                <w:b w:val="1"/>
                <w:bCs w:val="1"/>
                <w:color w:val="auto"/>
              </w:rPr>
              <w:t>2018 charges</w:t>
            </w:r>
          </w:p>
        </w:tc>
        <w:tc>
          <w:tcPr>
            <w:tcW w:w="1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b w:val="1"/>
                <w:bCs w:val="1"/>
                <w:color w:val="auto"/>
              </w:rPr>
              <w:t>104</w:t>
            </w:r>
          </w:p>
        </w:tc>
        <w:tc>
          <w:tcPr>
            <w:tcW w:w="120" w:type="dxa"/>
            <w:vAlign w:val="bottom"/>
          </w:tcPr>
          <w:p>
            <w:pPr>
              <w:spacing w:after="0"/>
              <w:rPr>
                <w:sz w:val="21"/>
                <w:szCs w:val="21"/>
                <w:color w:val="auto"/>
              </w:rPr>
            </w:pPr>
          </w:p>
        </w:tc>
        <w:tc>
          <w:tcPr>
            <w:tcW w:w="1540" w:type="dxa"/>
            <w:vAlign w:val="bottom"/>
          </w:tcPr>
          <w:p>
            <w:pPr>
              <w:ind w:left="122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880" w:type="dxa"/>
            <w:vAlign w:val="bottom"/>
          </w:tcPr>
          <w:p>
            <w:pPr>
              <w:jc w:val="right"/>
              <w:ind w:right="38"/>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185</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2018 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Foreign currency translation</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260"/>
              <w:spacing w:after="0"/>
              <w:rPr>
                <w:sz w:val="20"/>
                <w:szCs w:val="20"/>
                <w:color w:val="auto"/>
              </w:rPr>
            </w:pPr>
            <w:r>
              <w:rPr>
                <w:rFonts w:ascii="Arial" w:cs="Arial" w:eastAsia="Arial" w:hAnsi="Arial"/>
                <w:sz w:val="18"/>
                <w:szCs w:val="18"/>
                <w:b w:val="1"/>
                <w:bCs w:val="1"/>
                <w:color w:val="auto"/>
              </w:rPr>
              <w:t>adjustment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Accrued balance at July 29,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line="247"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(4)</w:t>
            </w: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w:t>
      </w:r>
    </w:p>
    <w:p>
      <w:pPr>
        <w:ind w:left="340" w:hanging="332"/>
        <w:spacing w:after="0" w:line="233"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$45 of severance pay and benefits recorded in Other liabilities in the Consolidated Balance Sheet.</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Includes $17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Includes $2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Includes $23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Represents postretirement and pension curtailment costs and pension special termination benefits. See Note 10 for additional information.</w:t>
      </w:r>
    </w:p>
    <w:p>
      <w:pPr>
        <w:spacing w:after="0" w:line="2" w:lineRule="exact"/>
        <w:rPr>
          <w:rFonts w:ascii="Arial" w:cs="Arial" w:eastAsia="Arial" w:hAnsi="Arial"/>
          <w:sz w:val="24"/>
          <w:szCs w:val="24"/>
          <w:color w:val="auto"/>
          <w:vertAlign w:val="superscript"/>
        </w:rPr>
      </w:pPr>
    </w:p>
    <w:p>
      <w:pPr>
        <w:ind w:left="340" w:hanging="332"/>
        <w:spacing w:after="0" w:line="219"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Includes other costs recognized as incurred that are not reflected in the restructuring reserve in the Consolidated Balance Sheet. The costs are included in Administrative expenses, Cost of products sold, and Marketing and selling expenses in the Consolidated Statements of Earnings.</w:t>
      </w:r>
    </w:p>
    <w:p>
      <w:pPr>
        <w:ind w:left="340" w:hanging="332"/>
        <w:spacing w:after="0" w:line="180"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0"/>
        </w:trPr>
        <w:tc>
          <w:tcPr>
            <w:tcW w:w="8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Snyder's-Lance Cost Transformation Program and Integration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14" w:right="239" w:bottom="1440" w:gutter="0" w:footer="0" w:header="0"/>
        </w:sectPr>
      </w:pPr>
    </w:p>
    <w:bookmarkStart w:id="54" w:name="page55"/>
    <w:bookmarkEnd w:id="54"/>
    <w:p>
      <w:pPr>
        <w:jc w:val="both"/>
        <w:ind w:firstLine="324"/>
        <w:spacing w:after="0" w:line="264" w:lineRule="auto"/>
        <w:rPr>
          <w:sz w:val="20"/>
          <w:szCs w:val="20"/>
          <w:color w:val="auto"/>
        </w:rPr>
      </w:pPr>
      <w:r>
        <w:rPr>
          <w:rFonts w:ascii="Arial" w:cs="Arial" w:eastAsia="Arial" w:hAnsi="Arial"/>
          <w:sz w:val="18"/>
          <w:szCs w:val="18"/>
          <w:color w:val="auto"/>
        </w:rPr>
        <w:t>We are developing the detailed plans to implement the Snyder's-Lance cost transformation program and to achieve the cost synergies and therefore we cannot reasonably estimate the total expected pre-tax costs and timing of when we expect to incur those costs, as well as the expected future cash expenditures. We expect the pre-tax costs to be associated primarily with Global Biscuits and Snacks.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2018, we recorded a restructuring charge of $13 and incurred $12 in Administrative expenses related to the integration of Snyder's-Lance.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Snyder's-Lance integration at July 29,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Severance Pay</w:t>
            </w:r>
          </w:p>
        </w:tc>
        <w:tc>
          <w:tcPr>
            <w:tcW w:w="10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Implementation and</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Total Charges</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7"/>
              </w:rPr>
              <w:t>and Benefits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Integration Costs</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2018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43"/>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2018 cash payments</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at July 29, 2018</w:t>
            </w:r>
            <w:r>
              <w:rPr>
                <w:rFonts w:ascii="Arial" w:cs="Arial" w:eastAsia="Arial" w:hAnsi="Arial"/>
                <w:sz w:val="18"/>
                <w:szCs w:val="18"/>
                <w:b w:val="1"/>
                <w:bCs w:val="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jc w:val="right"/>
              <w:ind w:right="3930"/>
              <w:spacing w:after="0"/>
              <w:rPr>
                <w:sz w:val="20"/>
                <w:szCs w:val="20"/>
                <w:color w:val="auto"/>
              </w:rPr>
            </w:pPr>
            <w:r>
              <w:rPr>
                <w:rFonts w:ascii="Arial" w:cs="Arial" w:eastAsia="Arial" w:hAnsi="Arial"/>
                <w:sz w:val="18"/>
                <w:szCs w:val="18"/>
                <w:color w:val="auto"/>
                <w:w w:val="89"/>
              </w:rPr>
              <w:t>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40" w:hanging="332"/>
        <w:spacing w:after="0" w:line="216"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Includes $1 of severance pay and benefits recorded in Other liabilities in the Consolidated Balance Sheet.</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Segment operating results do not include restructuring charges, nor implementation and integration costs because we evaluate segment performance excluding such charges. The pre-tax costs of $25 incurred in 2018 were associated with the Global Biscuits and Snacks segment.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w:t>
      </w:r>
    </w:p>
    <w:p>
      <w:pPr>
        <w:spacing w:after="0" w:line="3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2016, we recorded a reduction to restructuring charges of $4 related to the 2014 initiatives. As of July 31, 2016, we incurred substantially all of the costs related to the 2014 initiatives. A summary of the pre-tax costs associated with the 2014 initiatives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Recognized as of August 2, 2015.</w:t>
      </w:r>
    </w:p>
    <w:p>
      <w:pPr>
        <w:spacing w:after="0" w:line="83"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5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2018 excludes approximately 1 million stock options that would have been antidilutive. The earnings per share calculation for 2017 and 2016 excludes less than 1 million stock options that would have been antidilutive.</w:t>
      </w:r>
    </w:p>
    <w:p>
      <w:pPr>
        <w:spacing w:after="0" w:line="11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 and a 70% controlling interest in a Malaysian food products manufacturing company. We also own a 99.8% interest in Acre Venture Partners, L.P. (Acre), a limited partnership formed to make venture capital investments in innovative new companies in food and food-related industries. See Note 14 for additional information.</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March 26, 2018, we acquired Snyder's-Lance, including an 80% interest in one of its subsidiaries. In April 2018, we purchased the remaining 20% interest for $47.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14" w:right="239" w:bottom="1440" w:gutter="0" w:footer="0" w:header="0"/>
        </w:sectPr>
      </w:pPr>
    </w:p>
    <w:bookmarkStart w:id="55" w:name="page56"/>
    <w:bookmarkEnd w:id="55"/>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Benefits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Pension Benefits — </w:t>
      </w:r>
      <w:r>
        <w:rPr>
          <w:rFonts w:ascii="Arial" w:cs="Arial" w:eastAsia="Arial" w:hAnsi="Arial"/>
          <w:sz w:val="16"/>
          <w:szCs w:val="16"/>
          <w:color w:val="auto"/>
        </w:rPr>
        <w:t>We sponsor a number of noncontributory defined benefit pension plans to provide retirement benefits to all eligible U.S. and non-U.S. employees. The benefits provided under these plans are based primarily on years of service and compensation levels. Benefits are paid from funds previously provided to trustees and insurance companies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through the year 2014 for certain active employees participating in the plans under the old formula prior to the amendments. Employees will receive the benefit from either the new or old formula, whichever is higher. Benefits become vested upon the completion of three years of service. Effective as of January 1, 2011, our U.S. pension plans were amended so that employees hired or rehired on or after that date and who are not covered by collective bargaining agreements will not be eligible to participate in the plans.</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Postretirement Benefits — </w:t>
      </w:r>
      <w:r>
        <w:rPr>
          <w:rFonts w:ascii="Arial" w:cs="Arial" w:eastAsia="Arial" w:hAnsi="Arial"/>
          <w:sz w:val="17"/>
          <w:szCs w:val="17"/>
          <w:color w:val="auto"/>
        </w:rPr>
        <w:t>We provide postretirement benefits, including health care and life insurance, to substantially all retired U.S.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their dependents. We established retiree medical account benefits for eligible U.S. retirees. The accounts were intended to provide reimbursement for eligible health care expenses on a tax-favored basis. Effective as of January 1, 2011, the retirement medical program was amended to eliminate the retiree medical account benefit for employees not covered by collective bargaining agreements. To preserve the benefit for employees close to retirement age, the retiree medical account will be available to employees who were at least age 50 with at least 10 years of service as of December 31, 2010, and who satisfy the other eligibility requirements for the retiree medical program. In July 2016, the retirement medical program was amended and effective as of January 1, 2017, we no longer sponsor our own medical coverage for certain Medicare-eligible retirees. In July 2017, the retirement medical program was once again amended and beginning on January 1, 2018, we no longer sponsor our own medical coverage for certain Medicare-eligible retirees covered by one of our collective bargaining agreements. In July 2018, the retirement medical program was once again amended and beginning on January 1, 2019, we no longer sponsor our own medical coverage for certain Medicare-eligible retirees covered by one of our collective bargaining agreements. Instead, in connection with these amendments, we offer these Medicare-eligible retirees access to health care coverage through a private exchange and offer a health reimbursement account to subsidize benefits for a select group of such retirees.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fiscal year end as the measurement date for the benefit plans.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Recognized net actuarial (gain) loss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9"/>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302</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Curtailment gains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special termination benefits of $2 related to the planned closure of the manufacturing facility in Toronto, Ontario, and were included in Restructuring charges. See Note 7 for additional information.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components of net periodic benefit expense (income) other than the service cost component are included in Other expenses / (income) in the Consolidated Statements of Earnings. Beginning in 2018, under the revised FASB guidance adopted in the first quarter, only the service cost component of net periodic benefit expense (income) is eligible for capitalization.</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Beginning in 2018, we changed the method we use to estimate the service and interest cost components of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made this change to provide a more precise measurement of service cost and interest cost by improving the correlation between projected benefit cash flows and the corresponding spot yield curve rates. This change will not affect the measurement of our benefit obligations. We accounted for this change prospectively in 2018 as a</w:t>
      </w:r>
    </w:p>
    <w:p>
      <w:pPr>
        <w:sectPr>
          <w:pgSz w:w="11900" w:h="16838" w:orient="portrait"/>
          <w:cols w:equalWidth="0" w:num="1">
            <w:col w:w="11420"/>
          </w:cols>
          <w:pgMar w:left="240" w:top="1314" w:right="2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314" w:right="239" w:bottom="1440" w:gutter="0" w:footer="0" w:header="0"/>
          <w:type w:val="continuous"/>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change in accounting estimate. As a result of this change, net periodic benefit income increased by approximately $17 in 2018, compared to what the net periodic benefit income would have been under the previous method.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Postretirement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7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Recognized net actuarial (gain) loss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
        </w:trPr>
        <w:tc>
          <w:tcPr>
            <w:tcW w:w="7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prior service credit that will be amortized from Accumulated other comprehensive loss into net periodic postretirement expense during 2019 is $29. The prior service credit is primarily related to the amendments in July 2016, July 2017, and July 2018.</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 in benefit obligation: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Pension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w w:val="95"/>
              </w:rPr>
              <w:t>Postretirement</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at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Actuarial gain</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Medicare subsidies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Foreign currency adjustment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Change in the fair value of pension plan assets: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1233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1314" w:right="239"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beginning of year</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Foreign currency adjustment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end of year</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Net amounts recognized in the Consolidated Balance Sheets: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2,183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2,111</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208</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2,154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2,183</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7"/>
        </w:trPr>
        <w:tc>
          <w:tcPr>
            <w:tcW w:w="1000" w:type="dxa"/>
            <w:vAlign w:val="bottom"/>
          </w:tcPr>
          <w:p>
            <w:pPr>
              <w:spacing w:after="0"/>
              <w:rPr>
                <w:sz w:val="24"/>
                <w:szCs w:val="24"/>
                <w:color w:val="auto"/>
              </w:rPr>
            </w:pPr>
          </w:p>
        </w:tc>
        <w:tc>
          <w:tcPr>
            <w:tcW w:w="226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Pension</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900" w:type="dxa"/>
            <w:vAlign w:val="bottom"/>
          </w:tcPr>
          <w:p>
            <w:pPr>
              <w:spacing w:after="0"/>
              <w:rPr>
                <w:sz w:val="24"/>
                <w:szCs w:val="24"/>
                <w:color w:val="auto"/>
              </w:rPr>
            </w:pPr>
          </w:p>
        </w:tc>
      </w:tr>
      <w:tr>
        <w:trPr>
          <w:trHeight w:val="258"/>
        </w:trPr>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182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-1337945</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-995045</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00" w:space="720"/>
            <w:col w:w="5800"/>
          </w:cols>
          <w:pgMar w:left="240" w:top="1314" w:right="239" w:bottom="1440" w:gutter="0" w:footer="0" w:header="0"/>
          <w:type w:val="continuous"/>
        </w:sectPr>
      </w:pPr>
    </w:p>
    <w:tbl>
      <w:tblPr>
        <w:tblLayout w:type="fixed"/>
        <w:tblInd w:w="40" w:type="dxa"/>
        <w:tblCellMar>
          <w:top w:w="0" w:type="dxa"/>
          <w:left w:w="0" w:type="dxa"/>
          <w:bottom w:w="0" w:type="dxa"/>
          <w:right w:w="0" w:type="dxa"/>
        </w:tblCellMar>
      </w:tblPr>
      <w:tr>
        <w:trPr>
          <w:trHeight w:val="256"/>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r>
      <w:tr>
        <w:trPr>
          <w:trHeight w:val="257"/>
        </w:trPr>
        <w:tc>
          <w:tcPr>
            <w:tcW w:w="5580" w:type="dxa"/>
            <w:vAlign w:val="bottom"/>
          </w:tcPr>
          <w:p>
            <w:pPr>
              <w:ind w:left="20"/>
              <w:spacing w:after="0"/>
              <w:rPr>
                <w:sz w:val="20"/>
                <w:szCs w:val="20"/>
                <w:color w:val="auto"/>
              </w:rPr>
            </w:pPr>
            <w:r>
              <w:rPr>
                <w:rFonts w:ascii="Arial" w:cs="Arial" w:eastAsia="Arial" w:hAnsi="Arial"/>
                <w:sz w:val="18"/>
                <w:szCs w:val="18"/>
                <w:color w:val="auto"/>
              </w:rPr>
              <w:t>Net amounts recognized</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r>
      <w:tr>
        <w:trPr>
          <w:trHeight w:val="20"/>
        </w:trPr>
        <w:tc>
          <w:tcPr>
            <w:tcW w:w="5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314" w:right="2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5620" w:type="dxa"/>
            <w:vAlign w:val="bottom"/>
          </w:tcPr>
          <w:p>
            <w:pPr>
              <w:ind w:left="40"/>
              <w:spacing w:after="0"/>
              <w:rPr>
                <w:sz w:val="20"/>
                <w:szCs w:val="20"/>
                <w:color w:val="auto"/>
              </w:rPr>
            </w:pPr>
            <w:r>
              <w:rPr>
                <w:rFonts w:ascii="Arial" w:cs="Arial" w:eastAsia="Arial" w:hAnsi="Arial"/>
                <w:sz w:val="18"/>
                <w:szCs w:val="18"/>
                <w:color w:val="auto"/>
                <w:w w:val="96"/>
              </w:rPr>
              <w:t>Amounts recognized in accumulated other comprehensive income (loss)</w:t>
            </w:r>
          </w:p>
        </w:tc>
        <w:tc>
          <w:tcPr>
            <w:tcW w:w="980" w:type="dxa"/>
            <w:vAlign w:val="bottom"/>
          </w:tcPr>
          <w:p>
            <w:pPr>
              <w:spacing w:after="0"/>
              <w:rPr>
                <w:sz w:val="18"/>
                <w:szCs w:val="18"/>
                <w:color w:val="auto"/>
              </w:rPr>
            </w:pPr>
          </w:p>
        </w:tc>
        <w:tc>
          <w:tcPr>
            <w:tcW w:w="8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Pension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620" w:type="dxa"/>
            <w:vAlign w:val="bottom"/>
            <w:vMerge w:val="restart"/>
          </w:tcPr>
          <w:p>
            <w:pPr>
              <w:ind w:left="200"/>
              <w:spacing w:after="0"/>
              <w:rPr>
                <w:sz w:val="20"/>
                <w:szCs w:val="20"/>
                <w:color w:val="auto"/>
              </w:rPr>
            </w:pPr>
            <w:r>
              <w:rPr>
                <w:rFonts w:ascii="Arial" w:cs="Arial" w:eastAsia="Arial" w:hAnsi="Arial"/>
                <w:sz w:val="18"/>
                <w:szCs w:val="18"/>
                <w:color w:val="auto"/>
              </w:rPr>
              <w:t>consist of:</w:t>
            </w:r>
          </w:p>
        </w:tc>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620" w:type="dxa"/>
            <w:vAlign w:val="bottom"/>
            <w:vMerge w:val="continue"/>
          </w:tcPr>
          <w:p>
            <w:pPr>
              <w:spacing w:after="0"/>
              <w:rPr>
                <w:sz w:val="14"/>
                <w:szCs w:val="14"/>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89"/>
        </w:trPr>
        <w:tc>
          <w:tcPr>
            <w:tcW w:w="562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Prior service (cost) credit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2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amounts recognized in accumulated other comprehensive income (loss) associated with postretirement benefits was due to the plan amendments in July 2017 and July 2018, net of amortization.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for pension plans with accumulated benefit obligations in excess of plan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900" w:type="dxa"/>
            <w:vAlign w:val="bottom"/>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2,232</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1,995</w:t>
            </w:r>
          </w:p>
        </w:tc>
      </w:tr>
      <w:tr>
        <w:trPr>
          <w:trHeight w:val="27"/>
        </w:trPr>
        <w:tc>
          <w:tcPr>
            <w:tcW w:w="8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accumulated benefit obligation for all pension plans was $2,227 at July 29, 2018, and $2,399 at July 30, 2017.</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7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Pension</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Postretirement</w:t>
            </w: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color w:val="auto"/>
                <w:w w:val="93"/>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b w:val="1"/>
                <w:bCs w:val="1"/>
                <w:color w:val="auto"/>
                <w:w w:val="93"/>
              </w:rPr>
              <w:t>4.06%</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3.45%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3.21%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color w:val="auto"/>
                <w:w w:val="93"/>
              </w:rPr>
              <w:t>3.24%</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b w:val="1"/>
                <w:bCs w:val="1"/>
                <w:color w:val="auto"/>
                <w:w w:val="93"/>
              </w:rPr>
              <w:t>3.25%</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3.25%</w:t>
            </w:r>
          </w:p>
        </w:tc>
      </w:tr>
      <w:tr>
        <w:trPr>
          <w:trHeight w:val="324"/>
        </w:trPr>
        <w:tc>
          <w:tcPr>
            <w:tcW w:w="7360" w:type="dxa"/>
            <w:vAlign w:val="bottom"/>
            <w:gridSpan w:val="4"/>
          </w:tcPr>
          <w:p>
            <w:pPr>
              <w:ind w:left="140"/>
              <w:spacing w:after="0"/>
              <w:rPr>
                <w:sz w:val="20"/>
                <w:szCs w:val="20"/>
                <w:color w:val="auto"/>
              </w:rPr>
            </w:pPr>
            <w:r>
              <w:rPr>
                <w:rFonts w:ascii="Arial" w:cs="Arial" w:eastAsia="Arial" w:hAnsi="Arial"/>
                <w:sz w:val="18"/>
                <w:szCs w:val="18"/>
                <w:b w:val="1"/>
                <w:bCs w:val="1"/>
                <w:i w:val="1"/>
                <w:iCs w:val="1"/>
                <w:color w:val="auto"/>
                <w:w w:val="87"/>
              </w:rPr>
              <w:t>Weighted-average assumptions used to determine net periodic benefit cost for the years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5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1"/>
              </w:rPr>
              <w:t>Pension</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93"/>
              </w:rPr>
              <w:t>3.39%</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4.19%</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b w:val="1"/>
                <w:bCs w:val="1"/>
                <w:color w:val="auto"/>
                <w:w w:val="93"/>
              </w:rPr>
              <w:t>6.84%</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color w:val="auto"/>
                <w:w w:val="93"/>
              </w:rPr>
              <w:t>7.09%</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7.35%</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3.24%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3"/>
              </w:rPr>
              <w:t>3.25%</w:t>
            </w:r>
          </w:p>
        </w:tc>
        <w:tc>
          <w:tcPr>
            <w:tcW w:w="1880" w:type="dxa"/>
            <w:vAlign w:val="bottom"/>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3.29%</w:t>
            </w:r>
          </w:p>
        </w:tc>
      </w:tr>
      <w:tr>
        <w:trPr>
          <w:trHeight w:val="27"/>
        </w:trPr>
        <w:tc>
          <w:tcPr>
            <w:tcW w:w="5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to determine net periodic postretirement expense was 3.45% in 2018, 3.20% in 2017, and 4.00% in 2016.</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Assumed health care cost trend rates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7.25%</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r>
      <w:tr>
        <w:trPr>
          <w:trHeight w:val="27"/>
        </w:trPr>
        <w:tc>
          <w:tcPr>
            <w:tcW w:w="8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one-percentage-point increase or decrease in assumed health care costs would not significantly impact 2018 reported service and interest cost nor the 2018 accumulated benefit obligation.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Pension Plan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ectPr>
          <w:pgSz w:w="11900" w:h="16838" w:orient="portrait"/>
          <w:cols w:equalWidth="0" w:num="1">
            <w:col w:w="11420"/>
          </w:cols>
          <w:pgMar w:left="240" w:top="1395"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395" w:right="239" w:bottom="1440" w:gutter="0" w:footer="0" w:header="0"/>
          <w:type w:val="continuous"/>
        </w:sectPr>
      </w:pPr>
    </w:p>
    <w:bookmarkStart w:id="58" w:name="page59"/>
    <w:bookmarkEnd w:id="58"/>
    <w:p>
      <w:pPr>
        <w:jc w:val="both"/>
        <w:ind w:firstLine="324"/>
        <w:spacing w:after="0" w:line="277" w:lineRule="auto"/>
        <w:rPr>
          <w:sz w:val="20"/>
          <w:szCs w:val="20"/>
          <w:color w:val="auto"/>
        </w:rPr>
      </w:pPr>
      <w:r>
        <w:rPr>
          <w:rFonts w:ascii="Arial" w:cs="Arial" w:eastAsia="Arial" w:hAnsi="Arial"/>
          <w:sz w:val="18"/>
          <w:szCs w:val="18"/>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year-end pension plan weighted-average asset allocations by category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Strategic Target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46%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other</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Pension plan assets are categorized based on the following fair value hierarchy:</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14"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The following table presents our pension plan assets by asset category at July 29, 2018, and July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center"/>
              <w:ind w:left="472"/>
              <w:spacing w:after="0"/>
              <w:rPr>
                <w:sz w:val="20"/>
                <w:szCs w:val="20"/>
                <w:color w:val="auto"/>
              </w:rPr>
            </w:pPr>
            <w:r>
              <w:rPr>
                <w:rFonts w:ascii="Arial" w:cs="Arial" w:eastAsia="Arial" w:hAnsi="Arial"/>
                <w:sz w:val="14"/>
                <w:szCs w:val="14"/>
                <w:b w:val="1"/>
                <w:bCs w:val="1"/>
                <w:color w:val="auto"/>
                <w:w w:val="93"/>
              </w:rPr>
              <w:t>Fair Value Measurements at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center"/>
              <w:ind w:left="512"/>
              <w:spacing w:after="0"/>
              <w:rPr>
                <w:sz w:val="20"/>
                <w:szCs w:val="20"/>
                <w:color w:val="auto"/>
              </w:rPr>
            </w:pPr>
            <w:r>
              <w:rPr>
                <w:rFonts w:ascii="Arial" w:cs="Arial" w:eastAsia="Arial" w:hAnsi="Arial"/>
                <w:sz w:val="14"/>
                <w:szCs w:val="14"/>
                <w:b w:val="1"/>
                <w:bCs w:val="1"/>
                <w:color w:val="auto"/>
                <w:w w:val="93"/>
              </w:rPr>
              <w:t>Fair Value Measurements at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July 29, 2018 Using</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July 30, 2017 Using</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5"/>
              </w:rPr>
              <w:t>Fair Value Hierarchy</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5"/>
              </w:rPr>
              <w:t>Fair Value Hierarchy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52"/>
              <w:spacing w:after="0" w:line="13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71"/>
              <w:spacing w:after="0" w:line="13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July 29, 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July 30, 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597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Government and agency</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bonds: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9"/>
              </w:rPr>
              <w:t>Mortgage and asset backed</w:t>
            </w:r>
          </w:p>
        </w:tc>
        <w:tc>
          <w:tcPr>
            <w:tcW w:w="120" w:type="dxa"/>
            <w:vAlign w:val="bottom"/>
          </w:tcPr>
          <w:p>
            <w:pPr>
              <w:spacing w:after="0"/>
              <w:rPr>
                <w:sz w:val="19"/>
                <w:szCs w:val="19"/>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1,537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547</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Investments measured at net</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asset value: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Commingled funds: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4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Blended</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Hedge funds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0"/>
              </w:rPr>
              <w:t>Total investments measured at</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631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net asset value:</w:t>
            </w: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items to reconcile to fair</w:t>
            </w:r>
          </w:p>
        </w:tc>
        <w:tc>
          <w:tcPr>
            <w:tcW w:w="1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value of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9"/>
              </w:rPr>
              <w:t>Total pension plan assets at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2,154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340"/>
              <w:spacing w:after="0"/>
              <w:rPr>
                <w:sz w:val="20"/>
                <w:szCs w:val="20"/>
                <w:color w:val="auto"/>
              </w:rPr>
            </w:pPr>
            <w:r>
              <w:rPr>
                <w:rFonts w:ascii="Arial" w:cs="Arial" w:eastAsia="Arial" w:hAnsi="Arial"/>
                <w:sz w:val="18"/>
                <w:szCs w:val="18"/>
                <w:color w:val="auto"/>
              </w:rPr>
              <w:t>fair value</w:t>
            </w:r>
          </w:p>
        </w:tc>
        <w:tc>
          <w:tcPr>
            <w:tcW w:w="1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Investments include cash and cash equivalents, and various short-term debt instruments and short-term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Equities — </w:t>
      </w:r>
      <w:r>
        <w:rPr>
          <w:rFonts w:ascii="Arial" w:cs="Arial" w:eastAsia="Arial" w:hAnsi="Arial"/>
          <w:sz w:val="18"/>
          <w:szCs w:val="18"/>
          <w:color w:val="auto"/>
        </w:rPr>
        <w:t>Common stocks and preferred stocks are classified as Level 1 and are valued using quoted market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Government and agency bonds — </w:t>
      </w:r>
      <w:r>
        <w:rPr>
          <w:rFonts w:ascii="Arial" w:cs="Arial" w:eastAsia="Arial" w:hAnsi="Arial"/>
          <w:sz w:val="18"/>
          <w:szCs w:val="18"/>
          <w:color w:val="auto"/>
        </w:rPr>
        <w:t>These investments are generally valued based on bid quotations and recent trade data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314" w:right="239" w:bottom="1440" w:gutter="0" w:footer="0" w:header="0"/>
          <w:type w:val="continuous"/>
        </w:sectPr>
      </w:pPr>
    </w:p>
    <w:bookmarkStart w:id="60" w:name="page61"/>
    <w:bookmarkEnd w:id="60"/>
    <w:p>
      <w:pPr>
        <w:ind w:left="340"/>
        <w:spacing w:after="0"/>
        <w:rPr>
          <w:sz w:val="20"/>
          <w:szCs w:val="20"/>
          <w:color w:val="auto"/>
        </w:rPr>
      </w:pPr>
      <w:r>
        <w:rPr>
          <w:rFonts w:ascii="Arial" w:cs="Arial" w:eastAsia="Arial" w:hAnsi="Arial"/>
          <w:sz w:val="17"/>
          <w:szCs w:val="17"/>
          <w:i w:val="1"/>
          <w:iCs w:val="1"/>
          <w:color w:val="auto"/>
        </w:rPr>
        <w:t xml:space="preserve">Municipal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Mortgage and asset backed securities — </w:t>
      </w:r>
      <w:r>
        <w:rPr>
          <w:rFonts w:ascii="Arial" w:cs="Arial" w:eastAsia="Arial" w:hAnsi="Arial"/>
          <w:sz w:val="16"/>
          <w:szCs w:val="16"/>
          <w:color w:val="auto"/>
        </w:rPr>
        <w:t>These investments are valued based on prices obtained from third party pricing sources. The prices from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pricing sources may be based on bid quotes from dealers and recent trade data. Mortgage backed securities are traded in the over-the-counter market.</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Real estate — </w:t>
      </w:r>
      <w:r>
        <w:rPr>
          <w:rFonts w:ascii="Arial" w:cs="Arial" w:eastAsia="Arial" w:hAnsi="Arial"/>
          <w:sz w:val="18"/>
          <w:szCs w:val="18"/>
          <w:color w:val="auto"/>
        </w:rPr>
        <w:t>Real estate investments consist of real estate investment trusts, property funds and limited partnerships. Real estate investment trusts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Hedge funds — </w:t>
      </w:r>
      <w:r>
        <w:rPr>
          <w:rFonts w:ascii="Arial" w:cs="Arial" w:eastAsia="Arial" w:hAnsi="Arial"/>
          <w:sz w:val="17"/>
          <w:szCs w:val="17"/>
          <w:color w:val="auto"/>
        </w:rPr>
        <w:t>Hedge fund investments include hedge funds valued based upon a net asset value derived from the fair value of underlying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Derivatives — </w:t>
      </w:r>
      <w:r>
        <w:rPr>
          <w:rFonts w:ascii="Arial" w:cs="Arial" w:eastAsia="Arial" w:hAnsi="Arial"/>
          <w:sz w:val="17"/>
          <w:szCs w:val="17"/>
          <w:color w:val="auto"/>
        </w:rPr>
        <w:t>Derivative financial instruments include forward currency contracts, futures contracts, options contracts, interest rate swaps and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swaps. Derivative financial instruments are classified as Level 2 and are valued based on observable market transactions or prices.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Commingled funds — </w:t>
      </w:r>
      <w:r>
        <w:rPr>
          <w:rFonts w:ascii="Arial" w:cs="Arial" w:eastAsia="Arial" w:hAnsi="Arial"/>
          <w:sz w:val="18"/>
          <w:szCs w:val="18"/>
          <w:color w:val="auto"/>
        </w:rPr>
        <w:t>Investments in commingled funds are not traded in active markets. Blended commingled funds are invested in both equities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 income securities. Commingled funds are valued based on the net asset values of such funds and are included as a reconciling item to the fair value table.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items to reconcile to fair value of plan assets included amounts due for securities sold, amounts payable for securities purchased, and other payables.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fair value of Level 3 investments for the years ended July 29, 2018, and July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Hedge Funds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30, 2017</w:t>
            </w:r>
          </w:p>
        </w:tc>
        <w:tc>
          <w:tcPr>
            <w:tcW w:w="3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Actual return on plan assets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Transfers out of Level 3</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at July 29, 2018</w:t>
            </w:r>
          </w:p>
        </w:tc>
        <w:tc>
          <w:tcPr>
            <w:tcW w:w="32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90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Real Estate</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Hedge Funds</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31, 2016</w:t>
            </w:r>
          </w:p>
        </w:tc>
        <w:tc>
          <w:tcPr>
            <w:tcW w:w="3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Sales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30, 2017</w:t>
            </w:r>
          </w:p>
        </w:tc>
        <w:tc>
          <w:tcPr>
            <w:tcW w:w="3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9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61" w:name="page62"/>
    <w:bookmarkEnd w:id="61"/>
    <w:p>
      <w:pPr>
        <w:ind w:right="20" w:firstLine="324"/>
        <w:spacing w:after="0" w:line="277" w:lineRule="auto"/>
        <w:rPr>
          <w:sz w:val="20"/>
          <w:szCs w:val="20"/>
          <w:color w:val="auto"/>
        </w:rPr>
      </w:pPr>
      <w:r>
        <w:rPr>
          <w:rFonts w:ascii="Arial" w:cs="Arial" w:eastAsia="Arial" w:hAnsi="Arial"/>
          <w:sz w:val="18"/>
          <w:szCs w:val="18"/>
          <w:color w:val="auto"/>
        </w:rPr>
        <w:t>The following tables present additional information about the pension plan assets valued using net asset value as a practical expedient within the fair value hierarchy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Frequency</w:t>
            </w:r>
          </w:p>
        </w:tc>
        <w:tc>
          <w:tcPr>
            <w:tcW w:w="120" w:type="dxa"/>
            <w:vAlign w:val="bottom"/>
            <w:vMerge w:val="restart"/>
          </w:tcPr>
          <w:p>
            <w:pPr>
              <w:spacing w:after="0"/>
              <w:rPr>
                <w:sz w:val="12"/>
                <w:szCs w:val="12"/>
                <w:color w:val="auto"/>
              </w:rPr>
            </w:pPr>
          </w:p>
        </w:tc>
        <w:tc>
          <w:tcPr>
            <w:tcW w:w="1680" w:type="dxa"/>
            <w:vAlign w:val="bottom"/>
            <w:gridSpan w:val="3"/>
          </w:tcPr>
          <w:p>
            <w:pPr>
              <w:jc w:val="center"/>
              <w:spacing w:after="0" w:line="139" w:lineRule="exact"/>
              <w:rPr>
                <w:sz w:val="20"/>
                <w:szCs w:val="20"/>
                <w:color w:val="auto"/>
              </w:rPr>
            </w:pPr>
            <w:r>
              <w:rPr>
                <w:rFonts w:ascii="Arial" w:cs="Arial" w:eastAsia="Arial" w:hAnsi="Arial"/>
                <w:sz w:val="14"/>
                <w:szCs w:val="14"/>
                <w:b w:val="1"/>
                <w:bCs w:val="1"/>
                <w:color w:val="auto"/>
                <w:w w:val="92"/>
              </w:rPr>
              <w:t>Redemption Notice Period</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center"/>
              <w:ind w:right="350"/>
              <w:spacing w:after="0"/>
              <w:rPr>
                <w:sz w:val="20"/>
                <w:szCs w:val="20"/>
                <w:color w:val="auto"/>
              </w:rPr>
            </w:pPr>
            <w:r>
              <w:rPr>
                <w:rFonts w:ascii="Arial" w:cs="Arial" w:eastAsia="Arial" w:hAnsi="Arial"/>
                <w:sz w:val="18"/>
                <w:szCs w:val="18"/>
                <w:color w:val="auto"/>
                <w:w w:val="93"/>
              </w:rPr>
              <w:t>1 Day</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Daily, Monthly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60 Days</w:t>
            </w:r>
          </w:p>
        </w:tc>
        <w:tc>
          <w:tcPr>
            <w:tcW w:w="0" w:type="dxa"/>
            <w:vAlign w:val="bottom"/>
          </w:tcPr>
          <w:p>
            <w:pPr>
              <w:spacing w:after="0"/>
              <w:rPr>
                <w:sz w:val="1"/>
                <w:szCs w:val="1"/>
                <w:color w:val="auto"/>
              </w:rPr>
            </w:pP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440" w:type="dxa"/>
            <w:vAlign w:val="bottom"/>
          </w:tcPr>
          <w:p>
            <w:pPr>
              <w:spacing w:after="0"/>
              <w:rPr>
                <w:sz w:val="21"/>
                <w:szCs w:val="21"/>
                <w:color w:val="auto"/>
              </w:rPr>
            </w:pPr>
          </w:p>
        </w:tc>
        <w:tc>
          <w:tcPr>
            <w:tcW w:w="1240" w:type="dxa"/>
            <w:vAlign w:val="bottom"/>
            <w:gridSpan w:val="2"/>
          </w:tcPr>
          <w:p>
            <w:pPr>
              <w:jc w:val="center"/>
              <w:ind w:right="350"/>
              <w:spacing w:after="0"/>
              <w:rPr>
                <w:sz w:val="20"/>
                <w:szCs w:val="20"/>
                <w:color w:val="auto"/>
              </w:rPr>
            </w:pPr>
            <w:r>
              <w:rPr>
                <w:rFonts w:ascii="Arial" w:cs="Arial" w:eastAsia="Arial" w:hAnsi="Arial"/>
                <w:sz w:val="18"/>
                <w:szCs w:val="18"/>
                <w:color w:val="auto"/>
                <w:w w:val="93"/>
              </w:rPr>
              <w:t>1 Day</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Blended</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Primarily Daily</w:t>
            </w:r>
          </w:p>
        </w:tc>
        <w:tc>
          <w:tcPr>
            <w:tcW w:w="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w:t>
            </w:r>
          </w:p>
        </w:tc>
        <w:tc>
          <w:tcPr>
            <w:tcW w:w="9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 Days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Real estate funds</w:t>
            </w:r>
          </w:p>
        </w:tc>
        <w:tc>
          <w:tcPr>
            <w:tcW w:w="1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Quarterly</w:t>
            </w: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ind w:left="100"/>
              <w:spacing w:after="0"/>
              <w:rPr>
                <w:sz w:val="20"/>
                <w:szCs w:val="20"/>
                <w:color w:val="auto"/>
              </w:rPr>
            </w:pPr>
            <w:r>
              <w:rPr>
                <w:rFonts w:ascii="Arial" w:cs="Arial" w:eastAsia="Arial" w:hAnsi="Arial"/>
                <w:sz w:val="18"/>
                <w:szCs w:val="18"/>
                <w:color w:val="auto"/>
              </w:rPr>
              <w:t>to</w:t>
            </w:r>
          </w:p>
        </w:tc>
        <w:tc>
          <w:tcPr>
            <w:tcW w:w="940" w:type="dxa"/>
            <w:vAlign w:val="bottom"/>
          </w:tcPr>
          <w:p>
            <w:pPr>
              <w:ind w:left="60"/>
              <w:spacing w:after="0"/>
              <w:rPr>
                <w:sz w:val="20"/>
                <w:szCs w:val="20"/>
                <w:color w:val="auto"/>
              </w:rPr>
            </w:pPr>
            <w:r>
              <w:rPr>
                <w:rFonts w:ascii="Arial" w:cs="Arial" w:eastAsia="Arial" w:hAnsi="Arial"/>
                <w:sz w:val="18"/>
                <w:szCs w:val="18"/>
                <w:color w:val="auto"/>
              </w:rPr>
              <w:t>90 Days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Hedge funds</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Monthly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w:t>
            </w:r>
          </w:p>
        </w:tc>
        <w:tc>
          <w:tcPr>
            <w:tcW w:w="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30 Days</w:t>
            </w: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80" w:right="5300" w:hanging="372"/>
        <w:spacing w:after="0" w:line="216" w:lineRule="auto"/>
        <w:tabs>
          <w:tab w:leader="none" w:pos="326"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Includes a fund valued at $2 in 2017 which was substantially liquidated in 2018. There were no unfunded commitments in 2018 or 2017.</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contributions are expected to be made to U.S. pension plans in 2019. We expect contributions to non-U.S. pension plans to be approximately $4 in 2019.</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future benefit payments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6"/>
                <w:szCs w:val="16"/>
                <w:color w:val="auto"/>
              </w:rPr>
            </w:pPr>
          </w:p>
        </w:tc>
        <w:tc>
          <w:tcPr>
            <w:tcW w:w="116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Postretirement</w:t>
            </w:r>
          </w:p>
        </w:tc>
      </w:tr>
      <w:tr>
        <w:trPr>
          <w:trHeight w:val="250"/>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2024-2028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97</w:t>
            </w:r>
          </w:p>
        </w:tc>
      </w:tr>
      <w:tr>
        <w:trPr>
          <w:trHeight w:val="324"/>
        </w:trPr>
        <w:tc>
          <w:tcPr>
            <w:tcW w:w="8260" w:type="dxa"/>
            <w:vAlign w:val="bottom"/>
          </w:tcPr>
          <w:p>
            <w:pPr>
              <w:ind w:left="340"/>
              <w:spacing w:after="0"/>
              <w:rPr>
                <w:sz w:val="20"/>
                <w:szCs w:val="20"/>
                <w:color w:val="auto"/>
              </w:rPr>
            </w:pPr>
            <w:r>
              <w:rPr>
                <w:rFonts w:ascii="Arial" w:cs="Arial" w:eastAsia="Arial" w:hAnsi="Arial"/>
                <w:sz w:val="18"/>
                <w:szCs w:val="18"/>
                <w:color w:val="auto"/>
              </w:rPr>
              <w:t>The estimated future benefit payments include payments from funded and unfunded plans.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Defined Contribution Plans — </w:t>
      </w:r>
      <w:r>
        <w:rPr>
          <w:rFonts w:ascii="Arial" w:cs="Arial" w:eastAsia="Arial" w:hAnsi="Arial"/>
          <w:sz w:val="18"/>
          <w:szCs w:val="18"/>
          <w:color w:val="auto"/>
        </w:rPr>
        <w:t>All Snyder’s-Lance U.S. employees are eligible to participate in a 401(k) Retirement Plan that provides participants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matching contributions equal to 100% of the first 4% of qualified wages and 50% of the next 1% of qualified wages. For substantially all U.S. employees except Snyder's-Lance employees, effective January 1, 2011, we provide a matching contribution of 100% of employee contributions up to 4% of compensation for employees who are not covered by collective bargaining agreements. Employees hired or rehired on or after January 1, 2011, who will not be eligible to participate in the defined benefit plans and who are not covered by collective bargaining agreements receive a contribution equal to 3% of compensation regardless of their participation in the 401(k) Retirement Plan. Amounts charged to Costs and expenses were $45 in 2018, $34 in 2017 and $33 in 2016.</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14" w:right="239" w:bottom="1440" w:gutter="0" w:footer="0" w:header="0"/>
        </w:sectPr>
      </w:pPr>
    </w:p>
    <w:bookmarkStart w:id="62" w:name="page63"/>
    <w:bookmarkEnd w:id="62"/>
    <w:p>
      <w:pPr>
        <w:ind w:left="340" w:hanging="332"/>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Taxes on Earnings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on earnings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Currently payable: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144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0"/>
        </w:trPr>
        <w:tc>
          <w:tcPr>
            <w:tcW w:w="40" w:type="dxa"/>
            <w:vAlign w:val="bottom"/>
            <w:tcBorders>
              <w:bottom w:val="single" w:sz="8" w:color="CCEEFF"/>
            </w:tcBorders>
          </w:tcPr>
          <w:p>
            <w:pPr>
              <w:spacing w:after="0"/>
              <w:rPr>
                <w:sz w:val="24"/>
                <w:szCs w:val="24"/>
                <w:color w:val="auto"/>
              </w:rPr>
            </w:pPr>
          </w:p>
        </w:tc>
        <w:tc>
          <w:tcPr>
            <w:tcW w:w="7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4"/>
                <w:szCs w:val="24"/>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21"/>
                <w:szCs w:val="21"/>
                <w:color w:val="auto"/>
              </w:rPr>
            </w:pPr>
          </w:p>
        </w:tc>
      </w:tr>
      <w:tr>
        <w:trPr>
          <w:trHeight w:val="27"/>
        </w:trPr>
        <w:tc>
          <w:tcPr>
            <w:tcW w:w="7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reconciliation of the effective income tax rate to the U.S. federal statutory income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1480" w:type="dxa"/>
            <w:vAlign w:val="bottom"/>
          </w:tcPr>
          <w:p>
            <w:pPr>
              <w:jc w:val="right"/>
              <w:ind w:right="171"/>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of international items</w:t>
            </w:r>
          </w:p>
        </w:tc>
        <w:tc>
          <w:tcPr>
            <w:tcW w:w="14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Settlement of tax contingencies</w:t>
            </w:r>
          </w:p>
        </w:tc>
        <w:tc>
          <w:tcPr>
            <w:tcW w:w="1480" w:type="dxa"/>
            <w:vAlign w:val="bottom"/>
          </w:tcPr>
          <w:p>
            <w:pPr>
              <w:jc w:val="right"/>
              <w:ind w:right="111"/>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manufacturing deduction</w:t>
            </w:r>
          </w:p>
        </w:tc>
        <w:tc>
          <w:tcPr>
            <w:tcW w:w="14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480" w:type="dxa"/>
            <w:vAlign w:val="bottom"/>
          </w:tcPr>
          <w:p>
            <w:pPr>
              <w:jc w:val="right"/>
              <w:ind w:right="171"/>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1"/>
                <w:szCs w:val="21"/>
                <w:color w:val="auto"/>
              </w:rPr>
            </w:pPr>
          </w:p>
        </w:tc>
        <w:tc>
          <w:tcPr>
            <w:tcW w:w="146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Tax Reform - impact on U.S. deferred tax assets and liabilities</w:t>
            </w:r>
            <w:r>
              <w:rPr>
                <w:rFonts w:ascii="Arial" w:cs="Arial" w:eastAsia="Arial" w:hAnsi="Arial"/>
                <w:sz w:val="25"/>
                <w:szCs w:val="25"/>
                <w:color w:val="auto"/>
                <w:vertAlign w:val="superscript"/>
              </w:rPr>
              <w:t>(1)</w:t>
            </w:r>
          </w:p>
        </w:tc>
        <w:tc>
          <w:tcPr>
            <w:tcW w:w="1480" w:type="dxa"/>
            <w:vAlign w:val="bottom"/>
          </w:tcPr>
          <w:p>
            <w:pPr>
              <w:jc w:val="right"/>
              <w:ind w:right="111"/>
              <w:spacing w:after="0"/>
              <w:rPr>
                <w:sz w:val="20"/>
                <w:szCs w:val="20"/>
                <w:color w:val="auto"/>
              </w:rPr>
            </w:pPr>
            <w:r>
              <w:rPr>
                <w:rFonts w:ascii="Arial" w:cs="Arial" w:eastAsia="Arial" w:hAnsi="Arial"/>
                <w:sz w:val="18"/>
                <w:szCs w:val="18"/>
                <w:b w:val="1"/>
                <w:bCs w:val="1"/>
                <w:color w:val="auto"/>
              </w:rPr>
              <w:t>(66.3)</w:t>
            </w:r>
          </w:p>
        </w:tc>
        <w:tc>
          <w:tcPr>
            <w:tcW w:w="100" w:type="dxa"/>
            <w:vAlign w:val="bottom"/>
          </w:tcPr>
          <w:p>
            <w:pPr>
              <w:spacing w:after="0"/>
              <w:rPr>
                <w:sz w:val="23"/>
                <w:szCs w:val="23"/>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Reform - transition tax</w:t>
            </w:r>
            <w:r>
              <w:rPr>
                <w:rFonts w:ascii="Arial" w:cs="Arial" w:eastAsia="Arial" w:hAnsi="Arial"/>
                <w:sz w:val="25"/>
                <w:szCs w:val="25"/>
                <w:color w:val="auto"/>
                <w:vertAlign w:val="superscript"/>
              </w:rPr>
              <w:t>(1)</w:t>
            </w:r>
          </w:p>
        </w:tc>
        <w:tc>
          <w:tcPr>
            <w:tcW w:w="1480" w:type="dxa"/>
            <w:vAlign w:val="bottom"/>
            <w:shd w:val="clear" w:color="auto" w:fill="CCEEFF"/>
          </w:tcPr>
          <w:p>
            <w:pPr>
              <w:jc w:val="right"/>
              <w:ind w:right="171"/>
              <w:spacing w:after="0"/>
              <w:rPr>
                <w:sz w:val="20"/>
                <w:szCs w:val="20"/>
                <w:color w:val="auto"/>
              </w:rPr>
            </w:pPr>
            <w:r>
              <w:rPr>
                <w:rFonts w:ascii="Arial" w:cs="Arial" w:eastAsia="Arial" w:hAnsi="Arial"/>
                <w:sz w:val="18"/>
                <w:szCs w:val="18"/>
                <w:b w:val="1"/>
                <w:bCs w:val="1"/>
                <w:color w:val="auto"/>
              </w:rPr>
              <w:t>19.6</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Effect of higher U.S. federal statutory tax rate</w:t>
            </w:r>
            <w:r>
              <w:rPr>
                <w:rFonts w:ascii="Arial" w:cs="Arial" w:eastAsia="Arial" w:hAnsi="Arial"/>
                <w:sz w:val="25"/>
                <w:szCs w:val="25"/>
                <w:color w:val="auto"/>
                <w:vertAlign w:val="superscript"/>
              </w:rPr>
              <w:t>(1)</w:t>
            </w:r>
          </w:p>
        </w:tc>
        <w:tc>
          <w:tcPr>
            <w:tcW w:w="1480" w:type="dxa"/>
            <w:vAlign w:val="bottom"/>
          </w:tcPr>
          <w:p>
            <w:pPr>
              <w:jc w:val="right"/>
              <w:ind w:right="171"/>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23"/>
                <w:szCs w:val="23"/>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Foreign exchange losses</w:t>
            </w:r>
            <w:r>
              <w:rPr>
                <w:rFonts w:ascii="Arial" w:cs="Arial" w:eastAsia="Arial" w:hAnsi="Arial"/>
                <w:sz w:val="25"/>
                <w:szCs w:val="25"/>
                <w:color w:val="auto"/>
                <w:vertAlign w:val="superscript"/>
              </w:rPr>
              <w:t>(2)</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ind w:right="171"/>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31.4 %</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hanging="332"/>
        <w:spacing w:after="0" w:line="216"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The Tax Cuts and Jobs Act of 2017 (the Act) was enacted into law on December 22, 2017, and made significant changes to corporate taxation. Changes under the Act include:</w:t>
      </w:r>
    </w:p>
    <w:p>
      <w:pPr>
        <w:spacing w:after="0" w:line="41" w:lineRule="exact"/>
        <w:rPr>
          <w:rFonts w:ascii="Arial" w:cs="Arial" w:eastAsia="Arial" w:hAnsi="Arial"/>
          <w:sz w:val="25"/>
          <w:szCs w:val="25"/>
          <w:color w:val="auto"/>
          <w:vertAlign w:val="superscript"/>
        </w:rPr>
      </w:pPr>
    </w:p>
    <w:p>
      <w:pPr>
        <w:jc w:val="both"/>
        <w:ind w:left="660" w:hanging="328"/>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Reducing the federal corporate tax rate from 35% to 21% effective January 1, 2018. A blended rate will apply for fiscal 2018 non-calendar year end companies for the fiscal periods that include the effective date of the rate change. The impact of this is shown as "Effect of higher U.S. federal statutory tax rate";</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Repealing the exception for deductibility of performance-based compensation to covered employees, which impacts us beginning in 2019, along with expanding the number of covered employees;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Transitioning to a territorial system for taxation on foreign earnings along with the imposition of a transition tax in 2018 on the deemed repatriation of unremitted foreign earnings;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Immediate expensing of machinery and equipment placed into service after September 27, 2017;</w:t>
      </w:r>
    </w:p>
    <w:p>
      <w:pPr>
        <w:sectPr>
          <w:pgSz w:w="11900" w:h="16838" w:orient="portrait"/>
          <w:cols w:equalWidth="0" w:num="1">
            <w:col w:w="11420"/>
          </w:cols>
          <w:pgMar w:left="240" w:top="131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310" w:right="239" w:bottom="1440" w:gutter="0" w:footer="0" w:header="0"/>
          <w:type w:val="continuous"/>
        </w:sectPr>
      </w:pPr>
    </w:p>
    <w:bookmarkStart w:id="63" w:name="page64"/>
    <w:bookmarkEnd w:id="63"/>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Eliminating the deduction for domestic manufacturing activities, which impacts us beginning in 2019;</w:t>
      </w:r>
    </w:p>
    <w:p>
      <w:pPr>
        <w:spacing w:after="0" w:line="117"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Changes to the taxation of multinational companies, including a new minimum tax on Global Intangible Low-Taxed Income, a new Base Erosion Anti-Abuse Tax, and a new U.S. corporate deduction for Foreign-Derived Intangible Income, all of which are effective for us beginning in 2019; and</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Limiting the deductibility of interest expense to 30% of adjusted taxable income, which is effective for us beginning in 2019.</w:t>
      </w:r>
    </w:p>
    <w:p>
      <w:pPr>
        <w:spacing w:after="0" w:line="117" w:lineRule="exact"/>
        <w:rPr>
          <w:rFonts w:ascii="Arial" w:cs="Arial" w:eastAsia="Arial" w:hAnsi="Arial"/>
          <w:sz w:val="18"/>
          <w:szCs w:val="18"/>
          <w:color w:val="auto"/>
        </w:rPr>
      </w:pPr>
    </w:p>
    <w:p>
      <w:pPr>
        <w:ind w:left="340" w:right="20" w:hanging="332"/>
        <w:spacing w:after="0" w:line="216"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The 2017 rate was favorably impacted by a $52 benefit primarily related to the sale of intercompany notes receivable to a financial institution, which resulted in the recognition of foreign exchange losses.</w:t>
      </w:r>
    </w:p>
    <w:p>
      <w:pPr>
        <w:spacing w:after="0" w:line="149"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6"/>
          <w:szCs w:val="16"/>
          <w:color w:val="auto"/>
        </w:rPr>
        <w:t>The U.S. Securities and Exchange Commission recently released Staff Accounting Bulletin (SAB) 118, which allows for a measurement period while a</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company obtains, prepares, and analyzes the information necessary to finalize its accounting for the effects of the Act. As a result of the Act, we recognized a benefit of $179 on the remeasurement of deferred tax assets and liabilities and expense of $53 on the transition tax on unremitted foreign earnings. Based on SAB 118, the amounts recorded represent provisional amounts based on our best estimates and current interpretation of the provisions of the Act and may change as estimates are revised or additional guidance is issued.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tax liabilities and assets are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521</w:t>
            </w:r>
          </w:p>
        </w:tc>
      </w:tr>
      <w:tr>
        <w:trPr>
          <w:trHeight w:val="27"/>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1,245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896</w:t>
            </w:r>
          </w:p>
        </w:tc>
      </w:tr>
      <w:tr>
        <w:trPr>
          <w:trHeight w:val="27"/>
        </w:trPr>
        <w:tc>
          <w:tcPr>
            <w:tcW w:w="8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and compensation</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Pension benefits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98</w:t>
            </w:r>
          </w:p>
        </w:tc>
      </w:tr>
      <w:tr>
        <w:trPr>
          <w:trHeight w:val="27"/>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loss carryforwards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Capital loss carryforwards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92</w:t>
            </w:r>
          </w:p>
        </w:tc>
      </w:tr>
      <w:tr>
        <w:trPr>
          <w:trHeight w:val="27"/>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Gross deferred tax assets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562</w:t>
            </w:r>
          </w:p>
        </w:tc>
      </w:tr>
      <w:tr>
        <w:trPr>
          <w:trHeight w:val="27"/>
        </w:trPr>
        <w:tc>
          <w:tcPr>
            <w:tcW w:w="8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Deferred tax assets, net of valuation allowance</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442</w:t>
            </w:r>
          </w:p>
        </w:tc>
      </w:tr>
      <w:tr>
        <w:trPr>
          <w:trHeight w:val="27"/>
        </w:trPr>
        <w:tc>
          <w:tcPr>
            <w:tcW w:w="8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July 29, 2018, our U.S. and non-U.S. subsidiaries had tax loss carryforwards of approximately $671. Of these carryforwards, $634 expire between 2019 and 2037, and $37 may be carried forward indefinitely. At July 29, 2018, deferred tax asset valuation allowances have been established to offset $213 of these tax loss carryforwards. Additionally, at July 29, 2018, our U.S. and non-U.S. subsidiaries had capital loss carryforwards of approximately $318, of which $300 were offset by valuation allowances.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net change in the deferred tax asset valuation allowance in 2018 was an increase of $13. The increase was primarily due to the acquisition of Snyder's-Lance and the impact of currency. The net change in the deferred tax asset valuation allowance in 2017 was an increase of $2. The increase was primarily due to the impact of currency and the recognition of additional valuation allowances on tax loss carryforwards, partially offset by the expiration of tax losses. The net change in the deferred tax asset valuation allowance in 2016 was a decrease of $4. The decrease was primarily due to the expiration of tax losses, partially offset by the recognition of additional valuation allowance on tax loss carryforwards.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July 29, 2018, other deferred tax assets included $23 of state tax credit carryforwards related to various states that expire between 2021 and 2031. As of July 29, 2018, deferred tax asset valuation allowances have been established to offset $15 of the state credit carryforwards. The increase in state tax credit carryforwards was primarily due to the acquisition of Snyder's-Lance and settlement of tax audits. As of July 30, 2017, other deferred tax assets included $1 of state tax credit carryforwards related to various states that expire between 2021 and 2029. No valuation allowances have been established related to these deferred tax assets.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29, 2018, we had approximately $956 of undistributed earnings of subsidiaries. Of this amount, $897 was subject to U.S. tax under the transition tax on foreign earnings discussed above. Consistent with prior years, these unremitted earnings and the investment in our foreign subsidiaries are deemed to be permanently reinvested and no additional tax has been provided. It is not practical to estimate the tax liability that might be incurred if such earnings were remitted to the U.S.</w:t>
      </w:r>
    </w:p>
    <w:p>
      <w:pPr>
        <w:sectPr>
          <w:pgSz w:w="11900" w:h="16838" w:orient="portrait"/>
          <w:cols w:equalWidth="0" w:num="1">
            <w:col w:w="11420"/>
          </w:cols>
          <w:pgMar w:left="240" w:top="1287"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87" w:right="239" w:bottom="1440" w:gutter="0" w:footer="0" w:header="0"/>
          <w:type w:val="continuous"/>
        </w:sectPr>
      </w:pPr>
    </w:p>
    <w:bookmarkStart w:id="64" w:name="page65"/>
    <w:bookmarkEnd w:id="64"/>
    <w:p>
      <w:pPr>
        <w:ind w:left="340"/>
        <w:spacing w:after="0"/>
        <w:rPr>
          <w:sz w:val="20"/>
          <w:szCs w:val="20"/>
          <w:color w:val="auto"/>
        </w:rPr>
      </w:pPr>
      <w:r>
        <w:rPr>
          <w:rFonts w:ascii="Arial" w:cs="Arial" w:eastAsia="Arial" w:hAnsi="Arial"/>
          <w:sz w:val="18"/>
          <w:szCs w:val="18"/>
          <w:color w:val="auto"/>
        </w:rPr>
        <w:t>A reconciliation of the activity related to unrecognized tax benefits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prior-year tax positions</w:t>
            </w:r>
          </w:p>
        </w:tc>
        <w:tc>
          <w:tcPr>
            <w:tcW w:w="92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w:t>
            </w:r>
          </w:p>
        </w:tc>
      </w:tr>
      <w:tr>
        <w:trPr>
          <w:trHeight w:val="27"/>
        </w:trPr>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Decreases related to prior-year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current-year tax positions</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7"/>
        </w:trPr>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 due to acquisitions</w:t>
            </w:r>
          </w:p>
        </w:tc>
        <w:tc>
          <w:tcPr>
            <w:tcW w:w="9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amount of unrecognized tax benefits that, if recognized, would impact the annual effective tax rate was $26 as of July 29, 2018, $43 as of July 30, 2017, and $42 as of July 31, 2016. The total amount of unrecognized tax benefits can change due to audit settlements, tax examination activities, statute expirations and the recognition and measurement criteria under accounting for uncertainty in income taxes. We reasonably expect reductions in the liability for unrecognized tax benefits of approximately $7 within the next 12 months due to settlement of state tax examinations. Approximately $5 of unrecognized tax benefits, including interest and penalties, were reported in Accounts receivable in the Consolidated Balance Sheets as of July 30, 2017.</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accounting policy with respect to interest and penalties attributable to income taxes is to reflect any expense or benefit as a component of our income tax provision. The total amount of interest and penalties recognized in the Consolidated Statements of Earnings was insignificant in 2018, $4 in 2017 and $3 in 2016. The total amount of interest and penalties recognized in the Consolidated Balance Sheets in Other liabilities was $5 as of July 29, 2018, and July 30, 2017.</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business internationally and, as a result, file income tax returns in the U.S. federal jurisdiction and various state and non-U.S. jurisdictions. In the normal course of business, we are subject to examination by taxing authorities throughout the world, including such major jurisdictions as the U.S., Australia, Canada and Denmark. The 2018 tax year is currently under audit by the Internal Revenue Service. In addition, several state income tax examinations are in progress for the years 1999 to 2017.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limited exceptions, we have been audited for income tax purposes in Australia through 2010, Denmark through 2013, and in Canada through 2014.</w:t>
      </w:r>
    </w:p>
    <w:p>
      <w:pPr>
        <w:spacing w:after="0" w:line="190" w:lineRule="exact"/>
        <w:rPr>
          <w:sz w:val="20"/>
          <w:szCs w:val="20"/>
          <w:color w:val="auto"/>
        </w:rPr>
      </w:pPr>
    </w:p>
    <w:p>
      <w:pPr>
        <w:jc w:val="both"/>
        <w:ind w:left="340" w:right="7640" w:hanging="332"/>
        <w:spacing w:after="0" w:line="534" w:lineRule="auto"/>
        <w:tabs>
          <w:tab w:leader="none" w:pos="34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Australian notes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348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portion of Canadian credit facility</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Variable-rate bank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short-term borrowings</w:t>
            </w:r>
          </w:p>
        </w:tc>
        <w:tc>
          <w:tcPr>
            <w:tcW w:w="1020" w:type="dxa"/>
            <w:vAlign w:val="bottom"/>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1,896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29, 2018, the weighted-average interest rate of commercial paper, which consisted of U.S. borrowings, was 2.54%. As of July 30, 2017, the weighted-average interest rate of commercial paper, which consisted of U.S. borrowings, was 1.31%.</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29, 2018, we had $1,896 of short-term borrowings due within one year, of which $1,140 was comprised of commercial paper borrowings. As of July 29, 2018, we issued $59 of standby letters of credit. We have a committed revolving credit facility totaling $1,850 that matures in December 2021. This U.S. facility remained unused at July 29, 2018, except for $1 of standby letters of credit that we issued under it. The U.S. facility supports our commercial paper programs and other general corporate purposes.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we sold an intercompany note to a financial institution of AUD $190, or $152 with an interest rate of 6.98% that matures on March 29, 2021, but is payable upon demand. In June 2017, we sold an intercompany note to a financial institution of AUD $280, or $224, with an interest rate of 4.88% that matures on September 18, 2018. Interest on the notes is due semi-annually on January 23 and July 23. The net proceeds were used for general corporate purposes.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14" w:right="239" w:bottom="1440" w:gutter="0" w:footer="0" w:header="0"/>
          <w:type w:val="continuous"/>
        </w:sectPr>
      </w:pPr>
    </w:p>
    <w:bookmarkStart w:id="65" w:name="page66"/>
    <w:bookmarkEnd w:id="65"/>
    <w:p>
      <w:pPr>
        <w:jc w:val="both"/>
        <w:ind w:firstLine="324"/>
        <w:spacing w:after="0" w:line="264" w:lineRule="auto"/>
        <w:rPr>
          <w:sz w:val="20"/>
          <w:szCs w:val="20"/>
          <w:color w:val="auto"/>
        </w:rPr>
      </w:pPr>
      <w:r>
        <w:rPr>
          <w:rFonts w:ascii="Arial" w:cs="Arial" w:eastAsia="Arial" w:hAnsi="Arial"/>
          <w:sz w:val="18"/>
          <w:szCs w:val="18"/>
          <w:color w:val="auto"/>
        </w:rPr>
        <w:t>In July 2016, we entered into a Canadian committed revolving credit facility that matures in July 2019. As of July 29, 2018, the total commitment under the Canadian facility was CAD $125, or $96, and we had borrowings of CAD $117, or $90, at a rate of 3.17% under this facility. The Canadian facility supports general corporate purposes.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of</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Maturity</w:t>
            </w:r>
          </w:p>
        </w:tc>
        <w:tc>
          <w:tcPr>
            <w:tcW w:w="20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Canadian credit facility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Australian note</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Senior Term Loan</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900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850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2028</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2048</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597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83" w:lineRule="exact"/>
        <w:rPr>
          <w:sz w:val="20"/>
          <w:szCs w:val="20"/>
          <w:color w:val="auto"/>
        </w:rPr>
      </w:pPr>
    </w:p>
    <w:p>
      <w:pPr>
        <w:jc w:val="both"/>
        <w:ind w:left="60" w:firstLine="324"/>
        <w:spacing w:after="0" w:line="284" w:lineRule="auto"/>
        <w:rPr>
          <w:sz w:val="20"/>
          <w:szCs w:val="20"/>
          <w:color w:val="auto"/>
        </w:rPr>
      </w:pPr>
      <w:r>
        <w:rPr>
          <w:rFonts w:ascii="Arial" w:cs="Arial" w:eastAsia="Arial" w:hAnsi="Arial"/>
          <w:sz w:val="16"/>
          <w:szCs w:val="16"/>
          <w:color w:val="auto"/>
        </w:rPr>
        <w:t>We issued $5,300 senior notes on March 16, 2018, and borrowed $900 under a single draw 3-year senior unsecured term loan facility on March 26, 2018 to finance the acquisition of Snyder's-Lance. The interest rate on the $900 senior unsecured term loan facility resets in one, two, three, or six-month periods dependent upon our election. Interest on the senior unsecured term loan facility is due upon the earlier of an interest reset or quarterly and the first interest payment is due in June 2018. The senior unsecured term loan facility may be prepaid at par at any time. The senior unsecured term loan facility contains a financial covenant based on our maximum leverage ratio. Pursuant to this covenant, if our credit rating is less than BBB+ from Standard &amp; Poor's and Baa1 from Moody's Investors Service, Inc and the amount borrowed under the facility is in excess of $500, we must maintain a leverage ratio below (i) for the last day of each quarter ending on or prior to April 30, 2020, 5.75:1.00, and (ii) thereafter, 5.25:1.00. Our leverage ratio is calculated based on the ratio of consolidated net debt to consolidated adjusted EBITDA, each as defined in the credit agreement for the senior unsecured term loan facility. The maximum leverage ratio covenant is incorporated into our U.S. and Canadian facilities for so long as that covenant is in effect under the senior unsecured term loan facility. In addition, the senior unsecured term loan facility contains other customary covenants and events of default for credit facilities of this type. Interest on the 2-year floating rate senior notes is due quarterly on March 16, June 16, September 16, and December 16, commencing on June 16, 2018. Interest on the 3-year floating rate senior notes is due quarterly on March 15, June 15, September 15, and December 15, commencing on June 15, 2018. Interest on the fixed rate senior notes is due semi-annually on March 15 and September 15, commencing on September 15, 2018. The fixed rate senior notes may be redeemed, in whole or in part, at our option at any time at the applicable redemption price. If change of control triggering events occur, we will be required to offer to purchase the senior notes at a purchase price equal to 101% of the principal amount plus accrued and unpaid interest, if any, to the purchase date.</w:t>
      </w:r>
    </w:p>
    <w:p>
      <w:pPr>
        <w:spacing w:after="0" w:line="12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Principal amounts of long-term debt mature as follows: $500 in 2020; $2,651 in 2021; $1 in 2022; $1,651 in 2023; and a total of $3,254 in period beyond 2023.</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1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13.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July 29, 2018, or July 30, 2017.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2018, our largest customer accounted for approximately 18%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38% of our consolidated net sales in 2018.</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$104 at July 29, 2018, and $84 at July 30, 2017.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$140 and $336 at July 29, 2018, and July 30, 2017, respectively. There were no cross-currency swap contracts outstanding as of July 29, 2018 or July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At July 30, 2017, we had forward starting interest rate swaps accounted for as cash flow hedges with a notional amount of $300, which related to the debt issuance in 2018. We settled forward starting interest rate swaps with a notional of $300 in October 2017 at a loss of $22. We settled forward starting interest rate swaps with a notional of $300 in March 2018 at a gain of $15. The $7 net loss on these instruments was recorded in other comprehensive income (loss) and will be recognized as additional interest expense over the 10-year life of the debt issued in March 2018. We entered into treasury rate lock contracts with a notional value of $2,400 in 2018. The contacts were settled in March 2018 at a gain of $18, which was recognized in Interest expense in our Consolidated Statements of Earnings. These contracts, which were undesignated, hedged the planned financing of the acquisition of Snyder's-Lance. There were no forward starting interest rate swaps outstanding as of July 29, 2018.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1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soybean oil, wheat, diesel fuel, aluminum, natural gas, soybean meal, corn, cocoa,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July 29, 2018, or July 30, 2017. The notional amount of commodity contracts not designated as accounting hedges was $118 at July 29, 2018, and $90 at July 30, 2017.</w:t>
      </w:r>
    </w:p>
    <w:p>
      <w:pPr>
        <w:spacing w:after="0" w:line="1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$33 as of July 29, 2018, and $35 as of July 30, 2017. The fair value was not material as of July 29, 2018, and July 30, 2017. Unrealized gains (losses) and settlements are included in Cost of products sold in our Consolidated Statements of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July 29, 2018, and July 30, 2017, were $41 and $43,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14" w:right="239" w:bottom="1440" w:gutter="0" w:footer="0" w:header="0"/>
        </w:sectPr>
      </w:pPr>
    </w:p>
    <w:bookmarkStart w:id="68" w:name="page69"/>
    <w:bookmarkEnd w:id="68"/>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July 29, 2018, and July 30,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5500" w:type="dxa"/>
            <w:vAlign w:val="bottom"/>
          </w:tcPr>
          <w:p>
            <w:pPr>
              <w:spacing w:after="0"/>
              <w:rPr>
                <w:sz w:val="24"/>
                <w:szCs w:val="24"/>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41"/>
        </w:trPr>
        <w:tc>
          <w:tcPr>
            <w:tcW w:w="550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July 29, 2018, and July 30, 2017,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At July 29, 2018, and July 30, 2017, a cash margin account balance of $2 and $1, respectively, was included in Other current assets in the Consolidated Balance Sheets.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14" w:right="239" w:bottom="1440" w:gutter="0" w:footer="0" w:header="0"/>
        </w:sectPr>
      </w:pPr>
    </w:p>
    <w:bookmarkStart w:id="69" w:name="page70"/>
    <w:bookmarkEnd w:id="69"/>
    <w:p>
      <w:pPr>
        <w:ind w:left="340"/>
        <w:spacing w:after="0"/>
        <w:rPr>
          <w:sz w:val="20"/>
          <w:szCs w:val="20"/>
          <w:color w:val="auto"/>
        </w:rPr>
      </w:pPr>
      <w:r>
        <w:rPr>
          <w:rFonts w:ascii="Arial" w:cs="Arial" w:eastAsia="Arial" w:hAnsi="Arial"/>
          <w:sz w:val="16"/>
          <w:szCs w:val="16"/>
          <w:color w:val="auto"/>
        </w:rPr>
        <w:t>The following tables show the effect of our derivative instruments designated as cash-flow hedges for the years ended July 29, 2018, July 30,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31, 2016 in other comprehensive income (loss) (OCI) and the Consolidated Statements of Earnings:</w:t>
      </w:r>
    </w:p>
    <w:p>
      <w:pPr>
        <w:spacing w:after="0" w:line="229"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Total Cash-Flow Hedge</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13335</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8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480" w:type="dxa"/>
            <w:vAlign w:val="bottom"/>
          </w:tcPr>
          <w:p>
            <w:pPr>
              <w:jc w:val="center"/>
              <w:ind w:right="2472"/>
              <w:spacing w:after="0"/>
              <w:rPr>
                <w:sz w:val="20"/>
                <w:szCs w:val="20"/>
                <w:color w:val="auto"/>
              </w:rPr>
            </w:pPr>
            <w:r>
              <w:rPr>
                <w:rFonts w:ascii="Arial" w:cs="Arial" w:eastAsia="Arial" w:hAnsi="Arial"/>
                <w:sz w:val="18"/>
                <w:szCs w:val="18"/>
                <w:color w:val="auto"/>
                <w:w w:val="89"/>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shd w:val="clear" w:color="auto" w:fill="CCEEFF"/>
          </w:tcPr>
          <w:p>
            <w:pPr>
              <w:spacing w:after="0"/>
              <w:rPr>
                <w:sz w:val="21"/>
                <w:szCs w:val="21"/>
                <w:color w:val="auto"/>
              </w:rPr>
            </w:pPr>
          </w:p>
        </w:tc>
        <w:tc>
          <w:tcPr>
            <w:tcW w:w="2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5480" w:type="dxa"/>
            <w:vAlign w:val="bottom"/>
            <w:tcBorders>
              <w:top w:val="single" w:sz="8" w:color="CCEEFF"/>
            </w:tcBorders>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0" w:type="dxa"/>
            <w:vAlign w:val="bottom"/>
            <w:tcBorders>
              <w:top w:val="single" w:sz="8" w:color="CCEEFF"/>
            </w:tcBorders>
          </w:tcPr>
          <w:p>
            <w:pPr>
              <w:spacing w:after="0"/>
              <w:rPr>
                <w:sz w:val="21"/>
                <w:szCs w:val="21"/>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Cost of products sold</w:t>
            </w:r>
          </w:p>
        </w:tc>
        <w:tc>
          <w:tcPr>
            <w:tcW w:w="1220" w:type="dxa"/>
            <w:vAlign w:val="bottom"/>
            <w:tcBorders>
              <w:top w:val="single" w:sz="8" w:color="CCEEFF"/>
            </w:tcBorders>
            <w:gridSpan w:val="2"/>
          </w:tcPr>
          <w:p>
            <w:pPr>
              <w:spacing w:after="0"/>
              <w:rPr>
                <w:sz w:val="21"/>
                <w:szCs w:val="21"/>
                <w:color w:val="auto"/>
              </w:rPr>
            </w:pPr>
          </w:p>
        </w:tc>
        <w:tc>
          <w:tcPr>
            <w:tcW w:w="7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480" w:type="dxa"/>
            <w:vAlign w:val="bottom"/>
          </w:tcPr>
          <w:p>
            <w:pPr>
              <w:jc w:val="center"/>
              <w:ind w:right="2472"/>
              <w:spacing w:after="0"/>
              <w:rPr>
                <w:sz w:val="20"/>
                <w:szCs w:val="20"/>
                <w:color w:val="auto"/>
              </w:rPr>
            </w:pPr>
            <w:r>
              <w:rPr>
                <w:rFonts w:ascii="Arial" w:cs="Arial" w:eastAsia="Arial" w:hAnsi="Arial"/>
                <w:sz w:val="18"/>
                <w:szCs w:val="18"/>
                <w:color w:val="auto"/>
                <w:w w:val="89"/>
              </w:rPr>
              <w:t>Forward starting interest rate swaps</w:t>
            </w:r>
          </w:p>
        </w:tc>
        <w:tc>
          <w:tcPr>
            <w:tcW w:w="2860" w:type="dxa"/>
            <w:vAlign w:val="bottom"/>
            <w:gridSpan w:val="4"/>
          </w:tcPr>
          <w:p>
            <w:pPr>
              <w:ind w:left="20"/>
              <w:spacing w:after="0"/>
              <w:rPr>
                <w:sz w:val="20"/>
                <w:szCs w:val="20"/>
                <w:color w:val="auto"/>
              </w:rPr>
            </w:pPr>
            <w:r>
              <w:rPr>
                <w:rFonts w:ascii="Arial" w:cs="Arial" w:eastAsia="Arial" w:hAnsi="Arial"/>
                <w:sz w:val="18"/>
                <w:szCs w:val="18"/>
                <w:color w:val="auto"/>
              </w:rPr>
              <w:t>Interest expense</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w:t>
            </w:r>
          </w:p>
        </w:tc>
      </w:tr>
      <w:tr>
        <w:trPr>
          <w:trHeight w:val="27"/>
        </w:trPr>
        <w:tc>
          <w:tcPr>
            <w:tcW w:w="5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jc w:val="center"/>
              <w:ind w:right="2412"/>
              <w:spacing w:after="0"/>
              <w:rPr>
                <w:sz w:val="20"/>
                <w:szCs w:val="20"/>
                <w:color w:val="auto"/>
              </w:rPr>
            </w:pPr>
            <w:r>
              <w:rPr>
                <w:rFonts w:ascii="Arial" w:cs="Arial" w:eastAsia="Arial" w:hAnsi="Arial"/>
                <w:sz w:val="18"/>
                <w:szCs w:val="18"/>
                <w:color w:val="auto"/>
                <w:w w:val="91"/>
              </w:rPr>
              <w:t>OCI derivative gain (loss) at end of year</w:t>
            </w:r>
          </w:p>
        </w:tc>
        <w:tc>
          <w:tcPr>
            <w:tcW w:w="28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$1.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7"/>
          </w:tcPr>
          <w:p>
            <w:pPr>
              <w:jc w:val="center"/>
              <w:ind w:right="92"/>
              <w:spacing w:after="0"/>
              <w:rPr>
                <w:sz w:val="20"/>
                <w:szCs w:val="20"/>
                <w:color w:val="auto"/>
              </w:rPr>
            </w:pPr>
            <w:r>
              <w:rPr>
                <w:rFonts w:ascii="Arial" w:cs="Arial" w:eastAsia="Arial" w:hAnsi="Arial"/>
                <w:sz w:val="14"/>
                <w:szCs w:val="14"/>
                <w:b w:val="1"/>
                <w:bCs w:val="1"/>
                <w:color w:val="auto"/>
                <w:w w:val="92"/>
              </w:rPr>
              <w:t>Amount of (Gain) Loss Recognized in Earnings on</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2"/>
                <w:szCs w:val="12"/>
                <w:color w:val="auto"/>
              </w:rPr>
            </w:pPr>
          </w:p>
        </w:tc>
        <w:tc>
          <w:tcPr>
            <w:tcW w:w="3320" w:type="dxa"/>
            <w:vAlign w:val="bottom"/>
            <w:gridSpan w:val="2"/>
          </w:tcPr>
          <w:p>
            <w:pPr>
              <w:ind w:left="880"/>
              <w:spacing w:after="0" w:line="139" w:lineRule="exact"/>
              <w:rPr>
                <w:sz w:val="20"/>
                <w:szCs w:val="20"/>
                <w:color w:val="auto"/>
              </w:rPr>
            </w:pPr>
            <w:r>
              <w:rPr>
                <w:rFonts w:ascii="Arial" w:cs="Arial" w:eastAsia="Arial" w:hAnsi="Arial"/>
                <w:sz w:val="14"/>
                <w:szCs w:val="14"/>
                <w:b w:val="1"/>
                <w:bCs w:val="1"/>
                <w:color w:val="auto"/>
              </w:rPr>
              <w:t>Location of (Gain) Loss</w:t>
            </w:r>
          </w:p>
        </w:tc>
        <w:tc>
          <w:tcPr>
            <w:tcW w:w="20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Treasury rate lock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July 29, 2018, we funded $81 of the capital commitment. On August 29, 2018, we provided notice of termination of the investment period and have no obligation to make any further capital contributions to Acre for new investments, but are required to pay obligations made prior to the notice of termination, the management fee and permitted partnership expenses.</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$77 and $51 as of July 29, 2018, and July 30, 2017,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July 29, 2018, or July 30, 2017.</w:t>
      </w:r>
    </w:p>
    <w:p>
      <w:pPr>
        <w:spacing w:after="0" w:line="11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314" w:right="239" w:bottom="1440" w:gutter="0" w:footer="0" w:header="0"/>
          <w:type w:val="continuous"/>
        </w:sectPr>
      </w:pPr>
    </w:p>
    <w:bookmarkStart w:id="70" w:name="page71"/>
    <w:bookmarkEnd w:id="70"/>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July 29, 2018, and July 30, 2017,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29, 2018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tcPr>
          <w:p>
            <w:pPr>
              <w:spacing w:after="0"/>
              <w:rPr>
                <w:sz w:val="19"/>
                <w:szCs w:val="19"/>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3"/>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93</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w:t>
            </w: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vMerge w:val="restart"/>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4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29, 2018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(6)</w:t>
            </w:r>
          </w:p>
        </w:tc>
        <w:tc>
          <w:tcPr>
            <w:tcW w:w="18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(4)</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114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111</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8890</wp:posOffset>
            </wp:positionV>
            <wp:extent cx="63030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61"/>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ectPr>
          <w:pgSz w:w="11900" w:h="16838" w:orient="portrait"/>
          <w:cols w:equalWidth="0" w:num="1">
            <w:col w:w="11420"/>
          </w:cols>
          <w:pgMar w:left="240" w:top="1314" w:right="239" w:bottom="1081"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314" w:right="239" w:bottom="1081" w:gutter="0" w:footer="0" w:header="0"/>
          <w:type w:val="continuous"/>
        </w:sectPr>
      </w:pPr>
    </w:p>
    <w:bookmarkStart w:id="71" w:name="page72"/>
    <w:bookmarkEnd w:id="71"/>
    <w:p>
      <w:pPr>
        <w:jc w:val="both"/>
        <w:ind w:left="340" w:hanging="332"/>
        <w:spacing w:after="0" w:line="261" w:lineRule="auto"/>
        <w:tabs>
          <w:tab w:leader="none" w:pos="340"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See Note 14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in 2018 or 2017.</w:t>
      </w:r>
    </w:p>
    <w:p>
      <w:pPr>
        <w:spacing w:after="0" w:line="3"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62"/>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83"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The following table summarizes the changes in fair value of Level 3 investments for the years ended July 29, 2018, and July 30, 2017: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beginning of year</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Gains</w:t>
            </w:r>
          </w:p>
        </w:tc>
        <w:tc>
          <w:tcPr>
            <w:tcW w:w="9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w:t>
            </w:r>
          </w:p>
        </w:tc>
      </w:tr>
      <w:tr>
        <w:trPr>
          <w:trHeight w:val="27"/>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9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Fair value at end of year</w:t>
            </w:r>
          </w:p>
        </w:tc>
        <w:tc>
          <w:tcPr>
            <w:tcW w:w="92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w:t>
            </w:r>
          </w:p>
        </w:tc>
      </w:tr>
      <w:tr>
        <w:trPr>
          <w:trHeight w:val="27"/>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recognized impairment charges on goodwill, trademarks and plant assets in connection with interim and annual assessments of intangible assets. See also Note 5 for additional information on the impairment charges.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fourth quarter of 2017, we recognized $12 of charges, primarily asset impairment, on plant assets associated with the 2015 restructuring initiatives described in Note 7. The carrying value was reduced to estimated fair value based on expected proceeds. The carrying value was not material.</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Fair value was determined based on unobservable Level 3 inputs. The fair value of plant assets was determined based on cash flows associated with the asset group that include significant management assumptions, including expected proceeds. The fair value of trademarks was determined based on discounted cash flow analyses that include significant management assumptions such as revenue growth rates, weighted average cost of capital and assumed royalty rates. The fair value of goodwill was determined based on discounted cash flow analyses that include significant management assumptions such as revenue growth rates, operating margins, weighted average cost of capital, and future economic and market conditions.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fair value measurements: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w w:val="97"/>
              </w:rPr>
              <w:t>Impairment Charges</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July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Plant Assets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7"/>
              </w:rPr>
              <w:t>Trademark</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Goodwill</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8"/>
              </w:rPr>
              <w:t>Plant Assets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7"/>
              </w:rPr>
              <w:t>Trademark</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Goodwill</w:t>
            </w: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Plum</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Deli</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w w:val="89"/>
              </w:rPr>
              <w:t>Bolthouse Farms refrigerated beverages and salad dressings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January 28, 2018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Bolthouse Farms carrot and carrot ingredients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4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January 29, 2017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Bolthouse Farms carrot and carrot ingredients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Garden Fresh Gourmet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July 31, 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Bolthouse Farms carrot and carrot ingredients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r>
      <w:tr>
        <w:trPr>
          <w:trHeight w:val="459"/>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233" w:right="239" w:bottom="1440" w:gutter="0" w:footer="0" w:header="0"/>
        </w:sectPr>
      </w:pPr>
    </w:p>
    <w:bookmarkStart w:id="72" w:name="page73"/>
    <w:bookmarkEnd w:id="72"/>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$14 at July 29, 2018, and $8 at July 30, 2017,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$8,347 at July 29, 2018, and $2,582 at July 30, 2017. The carrying value was $8,595 at July 29, 2018, and $2,499 at July 30, 2017.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we repurchased 2 million shares at a cost of $86. Of this amount, $75 was used to repurchase shares pursuant to our March 2017 publicly announced share repurchase program. Approximately $1,296 remained available under the March 2017 program as of July 29, 2018. In 2017, we repurchased 8 million shares at a cost of $437, and in 2016, we repurchased 3 million shares at a cost of $143.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2003, shareholders approved the 2003 Long-Term Incentive Plan, which authorized the issuance of an aggregate of 31.2 million shares to satisfy awards of stock options, stock appreciation rights, unrestricted stock, restricted stock/units (including performance restricted stock) and performance units. In 2005, shareholders approved the 2005 Long-Term Incentive Plan, which authorized the issuance of an additional 6 million shares to satisfy the same types of awards.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w:t>
      </w:r>
    </w:p>
    <w:p>
      <w:pPr>
        <w:spacing w:after="0" w:line="3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 recipient of TSR performance restricted stock/units may earn a total award ranging from 0% to 200% of the initial grant. Awards of EPS performance restricted stock/units will be earned based upon our achievement of annual earnings per share goals. During the three-year vesting period, a recipient of EPS performance restricted stock/units may earn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Annual stock option grants were granted in 2018, 2017, and 2016, and were not part of the long-term incentive compensation program for 2015. Stock options are granted on a selective basis under the Long-Term Incentive Plans. The term of a stock option granted under these plans may not exceed ten years from the date of grant. Options granted in 2018, 2017, and 2016 under these plans vest ratably over a three-year period. The option price may not be less than the fair market value of a share of common stock on the date of the grant.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14" w:right="239" w:bottom="1440" w:gutter="0" w:footer="0" w:header="0"/>
        </w:sectPr>
      </w:pPr>
    </w:p>
    <w:bookmarkStart w:id="73" w:name="page74"/>
    <w:bookmarkEnd w:id="73"/>
    <w:p>
      <w:pPr>
        <w:jc w:val="both"/>
        <w:ind w:firstLine="324"/>
        <w:spacing w:after="0" w:line="277" w:lineRule="auto"/>
        <w:rPr>
          <w:sz w:val="20"/>
          <w:szCs w:val="20"/>
          <w:color w:val="auto"/>
        </w:rPr>
      </w:pPr>
      <w:r>
        <w:rPr>
          <w:rFonts w:ascii="Arial" w:cs="Arial" w:eastAsia="Arial" w:hAnsi="Arial"/>
          <w:sz w:val="18"/>
          <w:szCs w:val="18"/>
          <w:color w:val="auto"/>
        </w:rPr>
        <w:t>In 2018, we issued stock options, time-lapse restricted stock units, unrestricted stock, EPS performance restricted stock units and TSR performance restricted stock units. We did not issue strategic performance restricted stock units or special performance restricted units in 2018.</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the Consolidated Statements of Earnings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820" w:type="dxa"/>
            <w:vAlign w:val="bottom"/>
          </w:tcPr>
          <w:p>
            <w:pPr>
              <w:jc w:val="right"/>
              <w:ind w:right="44"/>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05"/>
        </w:trPr>
        <w:tc>
          <w:tcPr>
            <w:tcW w:w="6420" w:type="dxa"/>
            <w:vAlign w:val="bottom"/>
            <w:gridSpan w:val="3"/>
          </w:tcPr>
          <w:p>
            <w:pPr>
              <w:ind w:left="340"/>
              <w:spacing w:after="0"/>
              <w:rPr>
                <w:sz w:val="20"/>
                <w:szCs w:val="20"/>
                <w:color w:val="auto"/>
              </w:rPr>
            </w:pPr>
            <w:r>
              <w:rPr>
                <w:rFonts w:ascii="Arial" w:cs="Arial" w:eastAsia="Arial" w:hAnsi="Arial"/>
                <w:sz w:val="18"/>
                <w:szCs w:val="18"/>
                <w:color w:val="auto"/>
              </w:rPr>
              <w:t>The following table summarizes stock option activity as of July 29, 2018:</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260" w:type="dxa"/>
            <w:vAlign w:val="bottom"/>
            <w:gridSpan w:val="4"/>
          </w:tcPr>
          <w:p>
            <w:pPr>
              <w:jc w:val="center"/>
              <w:ind w:left="264"/>
              <w:spacing w:after="0"/>
              <w:rPr>
                <w:sz w:val="20"/>
                <w:szCs w:val="20"/>
                <w:color w:val="auto"/>
              </w:rPr>
            </w:pPr>
            <w:r>
              <w:rPr>
                <w:rFonts w:ascii="Arial" w:cs="Arial" w:eastAsia="Arial" w:hAnsi="Arial"/>
                <w:sz w:val="14"/>
                <w:szCs w:val="14"/>
                <w:b w:val="1"/>
                <w:bCs w:val="1"/>
                <w:color w:val="auto"/>
                <w:w w:val="94"/>
              </w:rPr>
              <w:t>Weighted-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260" w:type="dxa"/>
            <w:vAlign w:val="bottom"/>
            <w:gridSpan w:val="4"/>
          </w:tcPr>
          <w:p>
            <w:pPr>
              <w:jc w:val="center"/>
              <w:ind w:left="284"/>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left="264"/>
              <w:spacing w:after="0" w:line="149" w:lineRule="exact"/>
              <w:rPr>
                <w:sz w:val="20"/>
                <w:szCs w:val="20"/>
                <w:color w:val="auto"/>
              </w:rPr>
            </w:pPr>
            <w:r>
              <w:rPr>
                <w:rFonts w:ascii="Arial" w:cs="Arial" w:eastAsia="Arial" w:hAnsi="Arial"/>
                <w:sz w:val="14"/>
                <w:szCs w:val="14"/>
                <w:b w:val="1"/>
                <w:bCs w:val="1"/>
                <w:color w:val="auto"/>
                <w:w w:val="94"/>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left="264"/>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Intrinsic</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584"/>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jc w:val="center"/>
              <w:ind w:left="264"/>
              <w:spacing w:after="0" w:line="153" w:lineRule="exact"/>
              <w:rPr>
                <w:sz w:val="20"/>
                <w:szCs w:val="20"/>
                <w:color w:val="auto"/>
              </w:rPr>
            </w:pPr>
            <w:r>
              <w:rPr>
                <w:rFonts w:ascii="Arial" w:cs="Arial" w:eastAsia="Arial" w:hAnsi="Arial"/>
                <w:sz w:val="14"/>
                <w:szCs w:val="14"/>
                <w:b w:val="1"/>
                <w:bCs w:val="1"/>
                <w:color w:val="auto"/>
                <w:w w:val="96"/>
              </w:rPr>
              <w:t>(In years)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30, 2017</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4"/>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84"/>
              </w:rPr>
              <w:t>47.19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84"/>
              </w:rPr>
              <w:t>50.05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29,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4"/>
              </w:rPr>
              <w:t>50.36</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w w:val="95"/>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July 29, 2018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84"/>
              </w:rPr>
              <w:t>51.40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w w:val="95"/>
              </w:rPr>
              <w:t>7.5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2017 was not material. During 2016, the total intrinsic value of options exercised was $2.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2018 and 2017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18.35%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6 years</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6 years</w:t>
            </w:r>
          </w:p>
        </w:tc>
        <w:tc>
          <w:tcPr>
            <w:tcW w:w="900" w:type="dxa"/>
            <w:vAlign w:val="bottom"/>
          </w:tcPr>
          <w:p>
            <w:pPr>
              <w:ind w:left="200"/>
              <w:spacing w:after="0"/>
              <w:rPr>
                <w:sz w:val="20"/>
                <w:szCs w:val="20"/>
                <w:color w:val="auto"/>
              </w:rPr>
            </w:pPr>
            <w:r>
              <w:rPr>
                <w:rFonts w:ascii="Arial" w:cs="Arial" w:eastAsia="Arial" w:hAnsi="Arial"/>
                <w:sz w:val="18"/>
                <w:szCs w:val="18"/>
                <w:color w:val="auto"/>
              </w:rPr>
              <w:t>6 years</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$6.67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$6.86</w:t>
            </w:r>
          </w:p>
        </w:tc>
      </w:tr>
      <w:tr>
        <w:trPr>
          <w:trHeight w:val="27"/>
        </w:trPr>
        <w:tc>
          <w:tcPr>
            <w:tcW w:w="8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July 29, 2018, total remaining unearned compensation related to nonvested stock options was $1, which will be amortized over the weighted-average remaining service period of 1.3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time-lapse restricted stock units and EPS performance restricted stock units as of July 29,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314" w:right="239" w:bottom="1440" w:gutter="0" w:footer="0" w:header="0"/>
          <w:type w:val="continuous"/>
        </w:sectPr>
      </w:pPr>
    </w:p>
    <w:bookmarkStart w:id="74" w:name="page75"/>
    <w:bookmarkEnd w:id="74"/>
    <w:p>
      <w:pPr>
        <w:jc w:val="both"/>
        <w:ind w:firstLine="324"/>
        <w:spacing w:after="0" w:line="270"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142 thousand EPS performance target grants outstanding at July 29, 2018, with a weighted-average grant-date fair value of $49.60. The actual number of EPS performance restricted stock units and strategic performance restricted stock units that vest will depend on actual performance achieved. We estimate expense based on the number of awards expected to vest. In the first quarter of 2017, recipients of strategic performance restricted stock units earned 35% of the initial grants based on actual performance achieved during a three-year period ended July 31, 2016. There were no strategic performance restricted stock units outstanding at July 29, 2018.</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29, 2018, total remaining unearned compensation related to nonvested time-lapse restricted stock units and EPS performance restricted stock units was $37, which will be amortized over the weighted-average remaining service period of 1.7 years. The fair value of restricted stock units vested during 2018, 2017 and 2016 was $30, $55 and $44, respectively. The weighted-average grant-date fair value of the restricted stock units granted during 2017 and 2016 was $54.79 and $50.44,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July 29,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0.92%</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17.25%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3 years</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recognize compensation expense on a straight-line basis over the service period. As of July 29, 2018, total remaining unearned compensation related to TSR performance restricted stock units was $23, which will be amortized over the weighted-average remaining service period of 1.8 years.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In the first quarter of 2017, recipients of TSR performance restricted stock units earned 75% of the initial grants based upon our TSR ranking in a performance peer group during a three-year period ended July 29, 2016. In the first quarter of 2016, recipients of TSR performance restricted stock units earned 100% of the initial grants based upon our TSR ranking in a performance peer group during a three-year period ended July 31, 2015. The fair value of TSR performance restricted stock units vested during 2018, 2017, and 2016 was $38, $14, and $22, respectively. The grant-date fair value of the TSR performance restricted stock units granted during 2017 and 2016 was $39.53 and $62.44, respectively. In the first quarter of 2019, recipients of TSR performance restricted stock units will receive a 0% payout based upon our TSR ranking in a performance peer group during a three-year period ended July 27, 2018.</w:t>
      </w:r>
    </w:p>
    <w:p>
      <w:pPr>
        <w:spacing w:after="0" w:line="1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excess tax deficiencies of $3 in 2018, and the excess tax benefits of $6 in 2017 and $7 in 2016, on the exercise of stock options and vested restricted stock were presented as cash flows from operating activities. Cash received from the exercise of</w:t>
      </w:r>
    </w:p>
    <w:p>
      <w:pPr>
        <w:sectPr>
          <w:pgSz w:w="11900" w:h="16838" w:orient="portrait"/>
          <w:cols w:equalWidth="0" w:num="1">
            <w:col w:w="11420"/>
          </w:cols>
          <w:pgMar w:left="240" w:top="131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314"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color w:val="auto"/>
        </w:rPr>
        <w:t>stock options was $2 for 2017 and 2016, and are reflected in cash flows from financing activities in the Consolidated Statements of Cash Flows.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Litigation Matters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July 29, 2018.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 In the third quarter of 2018, we recorded expense of $22 from a settlement of a claim.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certain operating lease commitments, primarily related to warehouse and office facilities, and certain equipment. Rent expense under operating lease commitments was $74 in 2018, $53 in 2017 and $45 in 2016. Future minimum annual rental payments under these operating leases as of July 29, 2018, are as follows:</w:t>
      </w:r>
    </w:p>
    <w:p>
      <w:pPr>
        <w:spacing w:after="0" w:line="116" w:lineRule="exact"/>
        <w:rPr>
          <w:sz w:val="20"/>
          <w:szCs w:val="20"/>
          <w:color w:val="auto"/>
        </w:rPr>
      </w:pPr>
    </w:p>
    <w:tbl>
      <w:tblPr>
        <w:tblLayout w:type="fixed"/>
        <w:tblInd w:w="3360" w:type="dxa"/>
        <w:tblCellMar>
          <w:top w:w="0" w:type="dxa"/>
          <w:left w:w="0" w:type="dxa"/>
          <w:bottom w:w="0" w:type="dxa"/>
          <w:right w:w="0" w:type="dxa"/>
        </w:tblCellMar>
      </w:tblPr>
      <w:tr>
        <w:trPr>
          <w:trHeight w:val="161"/>
        </w:trPr>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2019</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2022</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Thereafter</w:t>
            </w:r>
          </w:p>
        </w:tc>
      </w:tr>
      <w:tr>
        <w:trPr>
          <w:trHeight w:val="20"/>
        </w:trPr>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64"/>
        </w:trPr>
        <w:tc>
          <w:tcPr>
            <w:tcW w:w="280" w:type="dxa"/>
            <w:vAlign w:val="bottom"/>
          </w:tcPr>
          <w:p>
            <w:pPr>
              <w:jc w:val="right"/>
              <w:spacing w:after="0"/>
              <w:rPr>
                <w:sz w:val="20"/>
                <w:szCs w:val="20"/>
                <w:color w:val="auto"/>
              </w:rPr>
            </w:pPr>
            <w:r>
              <w:rPr>
                <w:rFonts w:ascii="Arial" w:cs="Arial" w:eastAsia="Arial" w:hAnsi="Arial"/>
                <w:sz w:val="18"/>
                <w:szCs w:val="18"/>
                <w:color w:val="auto"/>
                <w:w w:val="86"/>
              </w:rPr>
              <w:t>$75</w:t>
            </w:r>
          </w:p>
        </w:tc>
        <w:tc>
          <w:tcPr>
            <w:tcW w:w="5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$61</w:t>
            </w:r>
          </w:p>
        </w:tc>
        <w:tc>
          <w:tcPr>
            <w:tcW w:w="28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2"/>
                <w:szCs w:val="22"/>
                <w:color w:val="auto"/>
              </w:rPr>
            </w:pPr>
          </w:p>
        </w:tc>
        <w:tc>
          <w:tcPr>
            <w:tcW w:w="660" w:type="dxa"/>
            <w:vAlign w:val="bottom"/>
          </w:tcPr>
          <w:p>
            <w:pPr>
              <w:jc w:val="right"/>
              <w:ind w:right="59"/>
              <w:spacing w:after="0"/>
              <w:rPr>
                <w:sz w:val="20"/>
                <w:szCs w:val="20"/>
                <w:color w:val="auto"/>
              </w:rPr>
            </w:pPr>
            <w:r>
              <w:rPr>
                <w:rFonts w:ascii="Arial" w:cs="Arial" w:eastAsia="Arial" w:hAnsi="Arial"/>
                <w:sz w:val="18"/>
                <w:szCs w:val="18"/>
                <w:color w:val="auto"/>
              </w:rPr>
              <w:t>$109</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guarantee approximately 2,000 bank loans made to Pepperidge Farm independent contractor distributors by third-party financial institutions for the purchase of distribution routes. The maximum potential amount of future payments under existing guarantees we could be required to make is $210. Our guarantees are indirectly secured by the distribution routes. We do not expect that we will be required to make material guarantee payments as a result of defaults on the bank loans guaranteed. The amounts recognized as of July 29, 2018, and July 30, 2017, were not material.</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 the acquisition of Snyder's-Lance, we guarantee approximately 2,400 bank loans made to independent business owners by third-party financial institutions for the purchase of distribution routes. The outstanding aggregate balance on these loans was $187 as of July 29, 2018. Our guarantees are indirectly secured by the distribution routes. We do not expect that we will be required to make material guarantee payments as a result of defaults on the bank loans guaranteed.</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July 29, 2018, and July 30, 2017.</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4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19.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4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Customer accounts receivable</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734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Fair value of derivatives</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00" w:type="dxa"/>
            <w:vAlign w:val="bottom"/>
            <w:shd w:val="clear" w:color="auto" w:fill="CCEEFF"/>
          </w:tcPr>
          <w:p>
            <w:pPr>
              <w:spacing w:after="0"/>
              <w:rPr>
                <w:sz w:val="24"/>
                <w:szCs w:val="24"/>
                <w:color w:val="auto"/>
              </w:rPr>
            </w:pPr>
          </w:p>
        </w:tc>
        <w:tc>
          <w:tcPr>
            <w:tcW w:w="38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Plant assets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1,870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Projects in progress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Accumulated depreciation</w:t>
            </w:r>
            <w:r>
              <w:rPr>
                <w:rFonts w:ascii="Arial" w:cs="Arial" w:eastAsia="Arial" w:hAnsi="Arial"/>
                <w:sz w:val="25"/>
                <w:szCs w:val="25"/>
                <w:color w:val="auto"/>
                <w:vertAlign w:val="superscript"/>
              </w:rPr>
              <w:t>(1)</w:t>
            </w:r>
          </w:p>
        </w:tc>
        <w:tc>
          <w:tcPr>
            <w:tcW w:w="38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(3,721)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Pensions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vMerge w:val="restart"/>
          </w:tcPr>
          <w:p>
            <w:pPr>
              <w:jc w:val="right"/>
              <w:ind w:right="2232"/>
              <w:spacing w:after="0"/>
              <w:rPr>
                <w:sz w:val="20"/>
                <w:szCs w:val="20"/>
                <w:color w:val="auto"/>
              </w:rPr>
            </w:pPr>
            <w:r>
              <w:rPr>
                <w:rFonts w:ascii="Arial" w:cs="Arial" w:eastAsia="Arial" w:hAnsi="Arial"/>
                <w:sz w:val="18"/>
                <w:szCs w:val="18"/>
                <w:color w:val="auto"/>
              </w:rPr>
              <w:t>77</w:t>
            </w: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9" w:right="239" w:bottom="1440" w:gutter="0" w:footer="0" w:header="0"/>
        </w:sectPr>
      </w:pPr>
    </w:p>
    <w:bookmarkStart w:id="77" w:name="page78"/>
    <w:bookmarkEnd w:id="77"/>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241</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trade and consumer promotion programs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37"/>
        </w:trPr>
        <w:tc>
          <w:tcPr>
            <w:tcW w:w="8120" w:type="dxa"/>
            <w:vAlign w:val="bottom"/>
          </w:tcPr>
          <w:p>
            <w:pPr>
              <w:spacing w:after="0"/>
              <w:rPr>
                <w:sz w:val="20"/>
                <w:szCs w:val="20"/>
                <w:color w:val="auto"/>
              </w:rPr>
            </w:pP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561</w:t>
            </w:r>
          </w:p>
        </w:tc>
      </w:tr>
      <w:tr>
        <w:trPr>
          <w:trHeight w:val="67"/>
        </w:trPr>
        <w:tc>
          <w:tcPr>
            <w:tcW w:w="8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8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benefits</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Transition tax on unremitted foreign earnings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37"/>
        </w:trPr>
        <w:tc>
          <w:tcPr>
            <w:tcW w:w="8120" w:type="dxa"/>
            <w:vAlign w:val="bottom"/>
          </w:tcPr>
          <w:p>
            <w:pPr>
              <w:spacing w:after="0"/>
              <w:rPr>
                <w:sz w:val="20"/>
                <w:szCs w:val="20"/>
                <w:color w:val="auto"/>
              </w:rPr>
            </w:pP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149" w:lineRule="exact"/>
        <w:rPr>
          <w:sz w:val="20"/>
          <w:szCs w:val="20"/>
          <w:color w:val="auto"/>
        </w:rPr>
      </w:pPr>
    </w:p>
    <w:p>
      <w:pPr>
        <w:ind w:left="340" w:hanging="332"/>
        <w:spacing w:after="0" w:line="216" w:lineRule="auto"/>
        <w:tabs>
          <w:tab w:leader="none" w:pos="34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color w:val="auto"/>
        </w:rPr>
        <w:t>Depreciation expense was $360 in 2018, $299 in 2017 and $288 in 2016. Buildings are depreciated over periods ranging from 7 to 45 years. Machinery and equipment are depreciated over periods generally ranging from 2 to 20 years.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tcPr>
          <w:p>
            <w:pPr>
              <w:jc w:val="right"/>
              <w:ind w:right="593"/>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(1)</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periodic benefit expense (income) other than the service cost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0"/>
              </w:rPr>
              <w:t>(231)</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0"/>
              </w:rPr>
              <w:t>(247)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(gains) / losses</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5"/>
                <w:szCs w:val="25"/>
                <w:color w:val="auto"/>
                <w:vertAlign w:val="superscript"/>
              </w:rPr>
              <w:t>(2)</w:t>
            </w:r>
          </w:p>
        </w:tc>
        <w:tc>
          <w:tcPr>
            <w:tcW w:w="800" w:type="dxa"/>
            <w:vAlign w:val="bottom"/>
          </w:tcPr>
          <w:p>
            <w:pPr>
              <w:spacing w:after="0"/>
              <w:rPr>
                <w:sz w:val="23"/>
                <w:szCs w:val="23"/>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Legal settlements</w:t>
            </w:r>
            <w:r>
              <w:rPr>
                <w:rFonts w:ascii="Arial" w:cs="Arial" w:eastAsia="Arial" w:hAnsi="Arial"/>
                <w:sz w:val="25"/>
                <w:szCs w:val="25"/>
                <w:color w:val="auto"/>
                <w:vertAlign w:val="superscript"/>
              </w:rPr>
              <w:t>(3)</w:t>
            </w:r>
          </w:p>
        </w:tc>
        <w:tc>
          <w:tcPr>
            <w:tcW w:w="8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Advertising and consumer promotion expense</w:t>
            </w:r>
            <w:r>
              <w:rPr>
                <w:rFonts w:ascii="Arial" w:cs="Arial" w:eastAsia="Arial" w:hAnsi="Arial"/>
                <w:sz w:val="25"/>
                <w:szCs w:val="25"/>
                <w:color w:val="auto"/>
                <w:vertAlign w:val="superscript"/>
              </w:rPr>
              <w:t>(4)</w:t>
            </w:r>
          </w:p>
        </w:tc>
        <w:tc>
          <w:tcPr>
            <w:tcW w:w="800" w:type="dxa"/>
            <w:vAlign w:val="bottom"/>
            <w:shd w:val="clear" w:color="auto" w:fill="CCEEFF"/>
          </w:tcPr>
          <w:p>
            <w:pPr>
              <w:jc w:val="right"/>
              <w:ind w:right="593"/>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r>
      <w:tr>
        <w:trPr>
          <w:trHeight w:val="324"/>
        </w:trPr>
        <w:tc>
          <w:tcPr>
            <w:tcW w:w="7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00" w:type="dxa"/>
            <w:vAlign w:val="bottom"/>
          </w:tcPr>
          <w:p>
            <w:pPr>
              <w:jc w:val="right"/>
              <w:ind w:right="593"/>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1"/>
                <w:szCs w:val="21"/>
                <w:color w:val="auto"/>
              </w:rPr>
            </w:pPr>
          </w:p>
        </w:tc>
        <w:tc>
          <w:tcPr>
            <w:tcW w:w="800" w:type="dxa"/>
            <w:vAlign w:val="bottom"/>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7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Interest capitalized</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7440" w:type="dxa"/>
            <w:vAlign w:val="bottom"/>
          </w:tcPr>
          <w:p>
            <w:pPr>
              <w:spacing w:after="0"/>
              <w:rPr>
                <w:sz w:val="20"/>
                <w:szCs w:val="20"/>
                <w:color w:val="auto"/>
              </w:rPr>
            </w:pP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92"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See Note 5 for additional information.</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64"/>
        </w:numPr>
        <w:rPr>
          <w:rFonts w:ascii="Arial" w:cs="Arial" w:eastAsia="Arial" w:hAnsi="Arial"/>
          <w:sz w:val="24"/>
          <w:szCs w:val="24"/>
          <w:color w:val="auto"/>
          <w:vertAlign w:val="superscript"/>
        </w:rPr>
      </w:pPr>
      <w:r>
        <w:rPr>
          <w:rFonts w:ascii="Arial" w:cs="Arial" w:eastAsia="Arial" w:hAnsi="Arial"/>
          <w:sz w:val="17"/>
          <w:szCs w:val="17"/>
          <w:color w:val="auto"/>
        </w:rPr>
        <w:t>In 2018, we recognized transaction costs of $53 related to the acquisition of Snyder's-Lance. See Note 3 for additional information.</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In 2018, we recognized a charge of $22 related to the settlement of a legal claim. In 2016, we recorded a gain of $25 from a settlement of a claim related to the Kelsen acquisition.</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8"/>
          <w:szCs w:val="18"/>
          <w:color w:val="auto"/>
        </w:rPr>
        <w:t>Included in Marketing and selling expenses.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440" w:right="23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i w:val="1"/>
          <w:iCs w:val="1"/>
          <w:color w:val="auto"/>
        </w:rPr>
        <w:t>Statements of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3"/>
          </w:tcPr>
          <w:p>
            <w:pPr>
              <w:ind w:left="220"/>
              <w:spacing w:after="0"/>
              <w:rPr>
                <w:sz w:val="20"/>
                <w:szCs w:val="20"/>
                <w:color w:val="auto"/>
              </w:rPr>
            </w:pPr>
            <w:r>
              <w:rPr>
                <w:rFonts w:ascii="Arial" w:cs="Arial" w:eastAsia="Arial" w:hAnsi="Arial"/>
                <w:sz w:val="14"/>
                <w:szCs w:val="14"/>
                <w:b w:val="1"/>
                <w:bCs w:val="1"/>
                <w:color w:val="auto"/>
                <w:w w:val="89"/>
              </w:rPr>
              <w:t>2017</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189"/>
        </w:trPr>
        <w:tc>
          <w:tcPr>
            <w:tcW w:w="698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auto"/>
            </w:tcBorders>
            <w:shd w:val="clear" w:color="auto" w:fill="CCEEFF"/>
          </w:tcPr>
          <w:p>
            <w:pPr>
              <w:spacing w:after="0"/>
              <w:rPr>
                <w:sz w:val="5"/>
                <w:szCs w:val="5"/>
                <w:color w:val="auto"/>
              </w:rPr>
            </w:pPr>
          </w:p>
        </w:tc>
        <w:tc>
          <w:tcPr>
            <w:tcW w:w="40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Benefit related payments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Cash Flow Information</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Interest paid</w:t>
            </w:r>
          </w:p>
        </w:tc>
        <w:tc>
          <w:tcPr>
            <w:tcW w:w="240" w:type="dxa"/>
            <w:vAlign w:val="bottom"/>
          </w:tcPr>
          <w:p>
            <w:pPr>
              <w:spacing w:after="0"/>
              <w:rPr>
                <w:sz w:val="21"/>
                <w:szCs w:val="21"/>
                <w:color w:val="auto"/>
              </w:rPr>
            </w:pPr>
          </w:p>
        </w:tc>
        <w:tc>
          <w:tcPr>
            <w:tcW w:w="8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b w:val="1"/>
                <w:bCs w:val="1"/>
                <w:color w:val="auto"/>
                <w:w w:val="93"/>
              </w:rPr>
              <w:t>152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received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21"/>
                <w:szCs w:val="21"/>
                <w:color w:val="auto"/>
              </w:rPr>
            </w:pPr>
          </w:p>
        </w:tc>
        <w:tc>
          <w:tcPr>
            <w:tcW w:w="8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ind w:right="33"/>
              <w:spacing w:after="0"/>
              <w:rPr>
                <w:sz w:val="20"/>
                <w:szCs w:val="20"/>
                <w:color w:val="auto"/>
              </w:rPr>
            </w:pPr>
            <w:r>
              <w:rPr>
                <w:rFonts w:ascii="Arial" w:cs="Arial" w:eastAsia="Arial" w:hAnsi="Arial"/>
                <w:sz w:val="18"/>
                <w:szCs w:val="18"/>
                <w:b w:val="1"/>
                <w:bCs w:val="1"/>
                <w:color w:val="auto"/>
                <w:w w:val="93"/>
              </w:rPr>
              <w:t>128</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325</w:t>
            </w:r>
          </w:p>
        </w:tc>
      </w:tr>
      <w:tr>
        <w:trPr>
          <w:trHeight w:val="419"/>
        </w:trPr>
        <w:tc>
          <w:tcPr>
            <w:tcW w:w="6980" w:type="dxa"/>
            <w:vAlign w:val="bottom"/>
            <w:gridSpan w:val="3"/>
          </w:tcPr>
          <w:p>
            <w:pPr>
              <w:spacing w:after="0"/>
              <w:rPr>
                <w:sz w:val="20"/>
                <w:szCs w:val="20"/>
                <w:color w:val="auto"/>
              </w:rPr>
            </w:pPr>
            <w:r>
              <w:rPr>
                <w:rFonts w:ascii="Arial" w:cs="Arial" w:eastAsia="Arial" w:hAnsi="Arial"/>
                <w:sz w:val="18"/>
                <w:szCs w:val="18"/>
                <w:b w:val="1"/>
                <w:bCs w:val="1"/>
                <w:color w:val="auto"/>
              </w:rPr>
              <w:t>20. Quarterly Data (unaudited)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3"/>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900" w:type="dxa"/>
            <w:vAlign w:val="bottom"/>
            <w:tcBorders>
              <w:bottom w:val="single" w:sz="8" w:color="CCEEFF"/>
            </w:tcBorders>
          </w:tcPr>
          <w:p>
            <w:pPr>
              <w:spacing w:after="0"/>
              <w:rPr>
                <w:sz w:val="22"/>
                <w:szCs w:val="22"/>
                <w:color w:val="auto"/>
              </w:rPr>
            </w:pPr>
          </w:p>
        </w:tc>
        <w:tc>
          <w:tcPr>
            <w:tcW w:w="40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4"/>
                <w:szCs w:val="14"/>
                <w:b w:val="1"/>
                <w:bCs w:val="1"/>
                <w:color w:val="auto"/>
                <w:w w:val="98"/>
              </w:rPr>
              <w:t>First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2,180</w:t>
            </w:r>
          </w:p>
        </w:tc>
        <w:tc>
          <w:tcPr>
            <w:tcW w:w="5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2,125</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2,219</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649</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.31</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54.37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51.07</w:t>
            </w:r>
          </w:p>
        </w:tc>
        <w:tc>
          <w:tcPr>
            <w:tcW w:w="52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48.10</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42.88</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45.07</w:t>
            </w:r>
          </w:p>
        </w:tc>
        <w:tc>
          <w:tcPr>
            <w:tcW w:w="5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39.79</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32.63</w:t>
            </w:r>
          </w:p>
        </w:tc>
      </w:tr>
      <w:tr>
        <w:trPr>
          <w:trHeight w:val="453"/>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9"/>
              </w:rPr>
              <w:t>2018</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22"/>
                <w:szCs w:val="22"/>
                <w:color w:val="auto"/>
              </w:rPr>
            </w:pPr>
          </w:p>
        </w:tc>
        <w:tc>
          <w:tcPr>
            <w:tcW w:w="7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3"/>
              </w:rPr>
              <w:t>In 2018, the following charges (gains) were recorded in Net earnings attributable to Campbell</w:t>
            </w: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Soup Company:</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74</w:t>
            </w:r>
          </w:p>
        </w:tc>
        <w:tc>
          <w:tcPr>
            <w:tcW w:w="52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497</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41</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Pension and postretirement benefit mark-to-market and curtailment adjustments</w:t>
            </w:r>
          </w:p>
        </w:tc>
        <w:tc>
          <w:tcPr>
            <w:tcW w:w="2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(93)</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Claim settlement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Tax reform</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Per share - assuming dilution</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spacing w:after="0"/>
              <w:rPr>
                <w:sz w:val="21"/>
                <w:szCs w:val="21"/>
                <w:color w:val="auto"/>
              </w:rPr>
            </w:pPr>
          </w:p>
        </w:tc>
        <w:tc>
          <w:tcPr>
            <w:tcW w:w="8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.11</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 mark-to-market and curtailment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Transaction and integration costs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b w:val="1"/>
                <w:bCs w:val="1"/>
                <w:color w:val="auto"/>
              </w:rPr>
              <w:t>.03</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Claim settlement</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43"/>
        </w:trPr>
        <w:tc>
          <w:tcPr>
            <w:tcW w:w="40" w:type="dxa"/>
            <w:vAlign w:val="bottom"/>
          </w:tcPr>
          <w:p>
            <w:pPr>
              <w:spacing w:after="0"/>
              <w:rPr>
                <w:sz w:val="21"/>
                <w:szCs w:val="21"/>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color w:val="auto"/>
              </w:rPr>
              <w:t>Tax reform</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(.02)</w:t>
            </w:r>
          </w:p>
        </w:tc>
      </w:tr>
    </w:tbl>
    <w:p>
      <w:pPr>
        <w:spacing w:after="0" w:line="200" w:lineRule="exact"/>
        <w:rPr>
          <w:sz w:val="20"/>
          <w:szCs w:val="20"/>
          <w:color w:val="auto"/>
        </w:rPr>
      </w:pPr>
    </w:p>
    <w:p>
      <w:pPr>
        <w:sectPr>
          <w:pgSz w:w="11900" w:h="16838" w:orient="portrait"/>
          <w:cols w:equalWidth="0" w:num="1">
            <w:col w:w="11420"/>
          </w:cols>
          <w:pgMar w:left="240" w:top="1311"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311" w:right="2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598</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62.30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63.50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64.23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59.14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50.62</w:t>
            </w:r>
          </w:p>
        </w:tc>
      </w:tr>
      <w:tr>
        <w:trPr>
          <w:trHeight w:val="453"/>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 2017, the following charges (gains) were recorded in Net earnings attributable to Campbell</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Soup Company:</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 of notes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Sale of notes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86"/>
        </w:trPr>
        <w:tc>
          <w:tcPr>
            <w:tcW w:w="6980" w:type="dxa"/>
            <w:vAlign w:val="bottom"/>
          </w:tcPr>
          <w:p>
            <w:pPr>
              <w:ind w:left="562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386"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management of Campbell Soup Company (the Company) is responsible for establishing and maintaining adequate internal control over financial reporting (as such term is defined in Rule 13a-15(e) under the Securities Exchange Act of 1934, as amended).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internal control over financial reporting includes those policies and procedures that:</w:t>
      </w:r>
    </w:p>
    <w:p>
      <w:pPr>
        <w:spacing w:after="0" w:line="117"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guidelines established by the Securities and Exchange Commission, the Company's management has excluded Snyder's-Lance, Inc. (Snyder's-Lance) and Pacific Foods of Oregon, LLC (Pacific Foods) from its annual report on internal control over financial reporting as of July 29, 2018. Snyder's-Lance and Pacific Foods are wholly-owned subsidiaries whose total assets and net sales excluded from management's assessment represent approximately 9% and 1% of total assets, respectively, and approximately 9% and 1% of net sales, respectively, of the related consolidated financial statement amounts of the Company as of and for the year ended July 29, 2018.</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Except as noted above, the Company’s management assessed the effectiveness of the Company’s internal control over financial reporting as of July 29,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this assessment using those criteria, management concluded that the Company’s internal control over financial reporting was effective as of July 29, 2018.</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July 29, 2018 has been audited by PricewaterhouseCoopers LLP, an independent registered public accounting firm, as stated in their report, which appears on the next page.</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Keith R. McLoughlin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President and Chief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2018</w:t>
      </w:r>
    </w:p>
    <w:p>
      <w:pPr>
        <w:sectPr>
          <w:pgSz w:w="11900" w:h="16838" w:orient="portrait"/>
          <w:cols w:equalWidth="0" w:num="1">
            <w:col w:w="11420"/>
          </w:cols>
          <w:pgMar w:left="240" w:top="122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1229" w:right="239" w:bottom="1440" w:gutter="0" w:footer="0" w:header="0"/>
          <w:type w:val="continuous"/>
        </w:sectPr>
      </w:pPr>
    </w:p>
    <w:bookmarkStart w:id="81" w:name="page82"/>
    <w:bookmarkEnd w:id="81"/>
    <w:p>
      <w:pPr>
        <w:ind w:left="346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Campbell Soup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Campbell Soup Company and its subsidiaries as of July 29, 2018 and July 30, 2017, and the related consolidated statements of earnings, comprehensive income, equity, and cash flows for each of the three years in the period ended July 29, 2018, including the related notes and schedule of valuation and qualifying accounts for each of the three years in the period ended July 29, 2018 appearing on page 91 (collectively referred to as the "consolidated financial statements"). We also have audited the Company's internal control over financial reporting as of July 29,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July 29, 2018 and July 30, 2017, and the results of their operations and their cash flows for each of the three years in the period ended July 29, 2018 in conformity with accounting principles generally accepted in the United States of America. Also in our opinion, the Company maintained, in all material respects, effective internal control over financial reporting as of July 29,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Snyder’s-Lance, Inc. and Pacific Foods of Oregon, LLC from its assessment of internal control over financial reporting as of July 29, 2018 because they were acquired by the Company in purchase business combinations during the fiscal year ended July 29, 2018. We have also excluded Snyder’s-Lance, Inc. and Pacific Foods of Oregon, LLC from our audit of internal control over financial reporting. Snyder’s-Lance, Inc. and Pacific Foods of Oregon, LLC are wholly-owned subsidiaries whose total assets and total net sales excluded from management’s assessment and our audit of internal control over financial reporting represent approximately 9% and 1% of total assets, respectively, and 9% and 1% of total net sales, respectively, of the related consolidated financial statement amounts as of and for the year ended July 29,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29" w:right="239" w:bottom="1440" w:gutter="0" w:footer="0" w:header="0"/>
        </w:sectPr>
      </w:pPr>
    </w:p>
    <w:bookmarkStart w:id="82" w:name="page83"/>
    <w:bookmarkEnd w:id="82"/>
    <w:p>
      <w:pPr>
        <w:jc w:val="both"/>
        <w:spacing w:after="0" w:line="279" w:lineRule="auto"/>
        <w:rPr>
          <w:sz w:val="20"/>
          <w:szCs w:val="20"/>
          <w:color w:val="auto"/>
        </w:rPr>
      </w:pPr>
      <w:r>
        <w:rPr>
          <w:rFonts w:ascii="Arial" w:cs="Arial" w:eastAsia="Arial" w:hAnsi="Arial"/>
          <w:sz w:val="17"/>
          <w:szCs w:val="17"/>
          <w:color w:val="auto"/>
        </w:rPr>
        <w:t>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27,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33"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under the supervision and with the participation of our management, including the Interim President and Chief Executive Officer and the Senior Vice President and Chief Financial Officer, have evaluated the effectiveness of our disclosure controls and procedures (as such term is defined in Rule 13a-15(e) under the Exchange Act) as of July 29, 2018 (the Evaluation Date). Based on such evaluation, the Interim President and Chief Executive Officer and the Senior Vice President and Chief Financial Officer have concluded that, as of the Evaluation Date, our disclosure controls and procedures are effective.</w:t>
      </w:r>
    </w:p>
    <w:p>
      <w:pPr>
        <w:spacing w:after="0" w:line="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annual report of management on our internal control over financial reporting is provided under "Financial Statements and Supplementary Data" on page 81. The attestation report of PricewaterhouseCoopers LLP, our independent registered public accounting firm, regarding our internal control over financial reporting is provided under "Financial Statements and Supplementary Data" on pages 82-83.</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were likely to materially affect, such control over financial reporting during the quarter ended July 29,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sections entitled "Item 1 — Election of Directors," "Voting Securities and Principal Shareholders — Ownership of Directors and Executive Officers" and "Voting Securities and Principal Shareholders — Section 16(a) Beneficial Ownership Reporting Compliance" in our Proxy Statement for the 2018 Annual Meeting of Shareholders (the 2018 Proxy) are incorporated herein by reference. The information presented in the section entitled "Corporate Governance Policies and Practices — Board Meetings and Committees — Board Committee Structure" in the 2018 Proxy relating to the members of our Audit Committee and the Audit Committee’s financial experts is incorporated herein by reference.</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 information required by this Item relating to our executive officers is set forth under the heading "Executive Officers of the Company" in this Report.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adopted a Code of Ethics for the Chief Executive Officer and Senior Financial Officers that applies to our Interim Chief Executive Officer, Chief Financial Officer, Controller and members of the Chief Financial Officer’s financial leadership team. The Code of Ethics for the Interim Chief Executive Officer and Senior Financial Officers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We intend to satisfy the disclosure requirement regarding any amendment to, or a waiver of, a provision of the Code of Ethics for the Interim Chief Executive Officer and Senior Financial Officers by posting such information on our website.</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We have also adopted a separate Code of Business Conduct and Ethics applicable to the Board of Directors, our officers and all of our employees. The Code of Business Conduct and Ethics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Our Corporate Governance Standards and the charters of our four standing committees of the Board of Directors can also be found at this website. Printed copies of the foregoing are available to any shareholder requesting a copy by:</w:t>
      </w:r>
    </w:p>
    <w:p>
      <w:pPr>
        <w:spacing w:after="0" w:line="133"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writing to Investor Relations, Campbell Soup Company, 1 Campbell Place, Camden, NJ 08103-1799;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calling 1-800-840-2865;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e-mailing our Investor Relations Department at investorrelations@campbellsoup.com.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2018 Proxy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sections entitled "Voting Securities and Principal Shareholders — Ownership of Directors and Executive Officers" and "Voting Securities and Principal Shareholders — Principal Shareholders" in the 2018 Proxy is incorporated herein by reference.</w:t>
      </w:r>
    </w:p>
    <w:p>
      <w:pPr>
        <w:sectPr>
          <w:pgSz w:w="11900" w:h="16838" w:orient="portrait"/>
          <w:cols w:equalWidth="0" w:num="1">
            <w:col w:w="11420"/>
          </w:cols>
          <w:pgMar w:left="240" w:top="1228"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28"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information about the stock that could have been issued under our equity compensation plans as of July 29, 2018:</w:t>
      </w:r>
    </w:p>
    <w:p>
      <w:pPr>
        <w:sectPr>
          <w:pgSz w:w="11900" w:h="16838" w:orient="portrait"/>
          <w:cols w:equalWidth="0" w:num="1">
            <w:col w:w="11420"/>
          </w:cols>
          <w:pgMar w:left="240" w:top="13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63" w:lineRule="exact"/>
        <w:rPr>
          <w:sz w:val="20"/>
          <w:szCs w:val="20"/>
          <w:color w:val="auto"/>
        </w:rPr>
      </w:pPr>
    </w:p>
    <w:p>
      <w:pPr>
        <w:ind w:left="60" w:right="840"/>
        <w:spacing w:after="0" w:line="311" w:lineRule="auto"/>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Equity Compensation Plans Not Approved by Security Holders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Options,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5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Rights (a)</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Column) (c)</w:t>
            </w: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6,517,140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1"/>
                <w:szCs w:val="21"/>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7,338,357</w:t>
            </w:r>
          </w:p>
        </w:tc>
        <w:tc>
          <w:tcPr>
            <w:tcW w:w="0" w:type="dxa"/>
            <w:vAlign w:val="bottom"/>
          </w:tcPr>
          <w:p>
            <w:pPr>
              <w:spacing w:after="0"/>
              <w:rPr>
                <w:sz w:val="1"/>
                <w:szCs w:val="1"/>
                <w:color w:val="auto"/>
              </w:rPr>
            </w:pPr>
          </w:p>
        </w:tc>
      </w:tr>
      <w:tr>
        <w:trPr>
          <w:trHeight w:val="270"/>
        </w:trPr>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6,517,140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50.36</w:t>
            </w:r>
          </w:p>
        </w:tc>
        <w:tc>
          <w:tcPr>
            <w:tcW w:w="120" w:type="dxa"/>
            <w:vAlign w:val="bottom"/>
          </w:tcPr>
          <w:p>
            <w:pPr>
              <w:spacing w:after="0"/>
              <w:rPr>
                <w:sz w:val="20"/>
                <w:szCs w:val="20"/>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7,338,357</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-556895</wp:posOffset>
            </wp:positionV>
            <wp:extent cx="721233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-205105</wp:posOffset>
            </wp:positionV>
            <wp:extent cx="721233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460" w:space="720"/>
            <w:col w:w="5240"/>
          </w:cols>
          <w:pgMar w:left="240" w:top="1310" w:right="239" w:bottom="1440" w:gutter="0" w:footer="0" w:header="0"/>
          <w:type w:val="continuous"/>
        </w:sectPr>
      </w:pPr>
    </w:p>
    <w:p>
      <w:pPr>
        <w:jc w:val="both"/>
        <w:ind w:left="340" w:hanging="332"/>
        <w:spacing w:after="0" w:line="256" w:lineRule="auto"/>
        <w:tabs>
          <w:tab w:leader="none" w:pos="340" w:val="left"/>
        </w:tabs>
        <w:numPr>
          <w:ilvl w:val="0"/>
          <w:numId w:val="67"/>
        </w:numPr>
        <w:rPr>
          <w:rFonts w:ascii="Arial" w:cs="Arial" w:eastAsia="Arial" w:hAnsi="Arial"/>
          <w:sz w:val="24"/>
          <w:szCs w:val="24"/>
          <w:color w:val="auto"/>
          <w:vertAlign w:val="superscript"/>
        </w:rPr>
      </w:pPr>
      <w:r>
        <w:rPr>
          <w:rFonts w:ascii="Arial" w:cs="Arial" w:eastAsia="Arial" w:hAnsi="Arial"/>
          <w:sz w:val="17"/>
          <w:szCs w:val="17"/>
          <w:color w:val="auto"/>
        </w:rPr>
        <w:t>Column (a) represents stock options and restricted stock units outstanding under the 2015 Long-Term Incentive Plan and the 2005 Long-Term Incentive Plan. Column (a) includes 3,328,622 TSR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the 2005 Long-Term Incentive Plan. Future equity awards under the 2015 Long-Term Incentive Plan may take the form of stock options, SARs, performance unit awards, restricted stock, restricted performance stock, restricted stock units, or stock awards. Column (b) represents the weighted-average exercise price of the outstanding stock options only; the outstanding restricted stock units are not included in this calculation. Column (c) represents the maximum number of future equity awards that can be made under the 2015 Long-Term Incentive Plan as of July 29,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information presented in the section entitled "Corporate Governance Policies and Practices — Transactions with Related Persons," "Item 1 — Election of Directors," "Corporate Governance Policies and Practices — Director Independence" and "Corporate Governance Policies and Practices — Board Meetings and Committees — Board Committee Structure" in the 2018 Proxy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2018 Proxy is incorporated herein by reference.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71" w:lineRule="exact"/>
        <w:rPr>
          <w:rFonts w:ascii="Arial" w:cs="Arial" w:eastAsia="Arial" w:hAnsi="Arial"/>
          <w:sz w:val="18"/>
          <w:szCs w:val="18"/>
          <w:color w:val="auto"/>
        </w:rPr>
      </w:pPr>
    </w:p>
    <w:p>
      <w:pPr>
        <w:ind w:left="560" w:hanging="228"/>
        <w:spacing w:after="0"/>
        <w:tabs>
          <w:tab w:leader="none" w:pos="560" w:val="left"/>
        </w:tabs>
        <w:numPr>
          <w:ilvl w:val="1"/>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Earnings for 2018, 2017 and 2016</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Comprehensive Income for 2018, 2017 and 2016</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Balance Sheets as of July 29, 2018 and July 30, 2017</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Cash Flows for 2018, 2017 and 2016</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Consolidated Statements of Equity for 2018, 2017 and 2016</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560" w:hanging="228"/>
        <w:spacing w:after="0"/>
        <w:tabs>
          <w:tab w:leader="none" w:pos="5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w:t>
      </w:r>
    </w:p>
    <w:p>
      <w:pPr>
        <w:spacing w:after="0" w:line="17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II - Valuation and Qualifying Accounts for 2018, 2017 and 2016</w:t>
      </w:r>
    </w:p>
    <w:p>
      <w:pPr>
        <w:sectPr>
          <w:pgSz w:w="11900" w:h="16838" w:orient="portrait"/>
          <w:cols w:equalWidth="0" w:num="1">
            <w:col w:w="11420"/>
          </w:cols>
          <w:pgMar w:left="240" w:top="1310"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310" w:right="239" w:bottom="1440" w:gutter="0" w:footer="0" w:header="0"/>
          <w:type w:val="continuous"/>
        </w:sectPr>
      </w:pPr>
    </w:p>
    <w:bookmarkStart w:id="85" w:name="page86"/>
    <w:bookmarkEnd w:id="85"/>
    <w:p>
      <w:pPr>
        <w:ind w:left="340"/>
        <w:spacing w:after="0"/>
        <w:rPr>
          <w:sz w:val="20"/>
          <w:szCs w:val="20"/>
          <w:color w:val="auto"/>
        </w:rPr>
      </w:pPr>
      <w:r>
        <w:rPr>
          <w:rFonts w:ascii="Arial" w:cs="Arial" w:eastAsia="Arial" w:hAnsi="Arial"/>
          <w:sz w:val="18"/>
          <w:szCs w:val="18"/>
          <w:b w:val="1"/>
          <w:bCs w:val="1"/>
          <w:i w:val="1"/>
          <w:iCs w:val="1"/>
          <w:color w:val="auto"/>
        </w:rPr>
        <w:t>3. Exhibits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Item 15(b) below.</w:t>
      </w:r>
    </w:p>
    <w:p>
      <w:pPr>
        <w:spacing w:after="0" w:line="171" w:lineRule="exact"/>
        <w:rPr>
          <w:sz w:val="20"/>
          <w:szCs w:val="20"/>
          <w:color w:val="auto"/>
        </w:rPr>
      </w:pPr>
    </w:p>
    <w:p>
      <w:pPr>
        <w:ind w:left="320" w:hanging="258"/>
        <w:spacing w:after="0"/>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The Exhibit Index, which immediately precedes the signature page, is incorporated by reference into this Report.</w:t>
      </w:r>
    </w:p>
    <w:p>
      <w:pPr>
        <w:spacing w:after="0" w:line="194" w:lineRule="exact"/>
        <w:rPr>
          <w:rFonts w:ascii="Arial" w:cs="Arial" w:eastAsia="Arial" w:hAnsi="Arial"/>
          <w:sz w:val="16"/>
          <w:szCs w:val="16"/>
          <w:color w:val="auto"/>
        </w:rPr>
      </w:pPr>
    </w:p>
    <w:p>
      <w:pPr>
        <w:ind w:left="300" w:hanging="238"/>
        <w:spacing w:after="0"/>
        <w:tabs>
          <w:tab w:leader="none" w:pos="3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Reference is made to Item 15(a)(2)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19"/>
          </w:cols>
          <w:pgMar w:left="240" w:top="1314" w:right="1440" w:bottom="1440" w:gutter="0" w:footer="0" w:header="0"/>
        </w:sectPr>
      </w:pPr>
    </w:p>
    <w:bookmarkStart w:id="86" w:name="page87"/>
    <w:bookmarkEnd w:id="86"/>
    <w:tbl>
      <w:tblPr>
        <w:tblLayout w:type="fixed"/>
        <w:tblInd w:w="4"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720" w:type="dxa"/>
            <w:vAlign w:val="bottom"/>
            <w:gridSpan w:val="8"/>
          </w:tcPr>
          <w:p>
            <w:pPr>
              <w:ind w:left="1180"/>
              <w:spacing w:after="0"/>
              <w:rPr>
                <w:sz w:val="20"/>
                <w:szCs w:val="20"/>
                <w:color w:val="auto"/>
              </w:rPr>
            </w:pPr>
            <w:r>
              <w:rPr>
                <w:rFonts w:ascii="Arial" w:cs="Arial" w:eastAsia="Arial" w:hAnsi="Arial"/>
                <w:sz w:val="18"/>
                <w:szCs w:val="18"/>
                <w:color w:val="auto"/>
              </w:rPr>
              <w:t>INDEX TO EXHIBITS</w:t>
            </w:r>
          </w:p>
        </w:tc>
      </w:tr>
      <w:tr>
        <w:trPr>
          <w:trHeight w:val="554"/>
        </w:trPr>
        <w:tc>
          <w:tcPr>
            <w:tcW w:w="1140" w:type="dxa"/>
            <w:vAlign w:val="bottom"/>
          </w:tcPr>
          <w:p>
            <w:pPr>
              <w:spacing w:after="0"/>
              <w:rPr>
                <w:sz w:val="20"/>
                <w:szCs w:val="20"/>
                <w:color w:val="auto"/>
              </w:rPr>
            </w:pPr>
            <w:r>
              <w:rPr>
                <w:rFonts w:ascii="Arial" w:cs="Arial" w:eastAsia="Arial" w:hAnsi="Arial"/>
                <w:sz w:val="18"/>
                <w:szCs w:val="18"/>
                <w:color w:val="auto"/>
              </w:rPr>
              <w:t>3(a)</w:t>
            </w:r>
          </w:p>
        </w:tc>
        <w:tc>
          <w:tcPr>
            <w:tcW w:w="10140" w:type="dxa"/>
            <w:vAlign w:val="bottom"/>
            <w:gridSpan w:val="12"/>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Campbell’s Restated Certificate of Incorporation, as amended through February 24, 1997, is incorporated by reference to Exhibit 3(i) to</w:t>
              </w:r>
            </w:hyperlink>
          </w:p>
        </w:tc>
      </w:tr>
      <w:tr>
        <w:trPr>
          <w:trHeight w:val="196"/>
        </w:trPr>
        <w:tc>
          <w:tcPr>
            <w:tcW w:w="1140" w:type="dxa"/>
            <w:vAlign w:val="bottom"/>
          </w:tcPr>
          <w:p>
            <w:pPr>
              <w:spacing w:after="0"/>
              <w:rPr>
                <w:sz w:val="17"/>
                <w:szCs w:val="17"/>
                <w:color w:val="auto"/>
              </w:rPr>
            </w:pPr>
          </w:p>
        </w:tc>
        <w:tc>
          <w:tcPr>
            <w:tcW w:w="64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Campbell’s Form 10-K (SEC file number 1-3822) for the fiscal year ended July 28, 2002.</w:t>
              </w:r>
            </w:hyperlink>
          </w:p>
        </w:tc>
        <w:tc>
          <w:tcPr>
            <w:tcW w:w="368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3(b)</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Campbell’s By-Laws, amended and restated effective March 22, 2017, are incorporated by reference to Exhibit 3 to Campbell's Form 8-K</w:t>
              </w:r>
            </w:hyperlink>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(SEC file number 1-3822) filed with the SEC on March 23, 2017.</w:t>
              </w:r>
            </w:hyperlink>
          </w:p>
        </w:tc>
        <w:tc>
          <w:tcPr>
            <w:tcW w:w="5420" w:type="dxa"/>
            <w:vAlign w:val="bottom"/>
            <w:gridSpan w:val="7"/>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4(a)</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Indenture, dated November 24, 2008, between Campbell and The Bank of New York Mellon, as Trustee, is incorporated by reference to</w:t>
              </w:r>
            </w:hyperlink>
          </w:p>
        </w:tc>
      </w:tr>
      <w:tr>
        <w:trPr>
          <w:trHeight w:val="196"/>
        </w:trPr>
        <w:tc>
          <w:tcPr>
            <w:tcW w:w="1140" w:type="dxa"/>
            <w:vAlign w:val="bottom"/>
          </w:tcPr>
          <w:p>
            <w:pPr>
              <w:spacing w:after="0"/>
              <w:rPr>
                <w:sz w:val="17"/>
                <w:szCs w:val="17"/>
                <w:color w:val="auto"/>
              </w:rPr>
            </w:pPr>
          </w:p>
        </w:tc>
        <w:tc>
          <w:tcPr>
            <w:tcW w:w="10140" w:type="dxa"/>
            <w:vAlign w:val="bottom"/>
            <w:gridSpan w:val="12"/>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Exhibit 4(a) to Campbell’s Registration Statement on Form S-3 (SEC file number 333-155626) filed with the SEC on November 24, 2008.</w:t>
              </w:r>
            </w:hyperlink>
          </w:p>
        </w:tc>
      </w:tr>
      <w:tr>
        <w:trPr>
          <w:trHeight w:val="20"/>
        </w:trPr>
        <w:tc>
          <w:tcPr>
            <w:tcW w:w="11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4(b)</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Form of First Supplemental Indenture, dated August 2, 2012, among Campbell, The Bank of New York Mellon and Wells Fargo Bank,</w:t>
              </w:r>
            </w:hyperlink>
          </w:p>
        </w:tc>
      </w:tr>
      <w:tr>
        <w:trPr>
          <w:trHeight w:val="196"/>
        </w:trPr>
        <w:tc>
          <w:tcPr>
            <w:tcW w:w="1140" w:type="dxa"/>
            <w:vAlign w:val="bottom"/>
          </w:tcPr>
          <w:p>
            <w:pPr>
              <w:spacing w:after="0"/>
              <w:rPr>
                <w:sz w:val="17"/>
                <w:szCs w:val="17"/>
                <w:color w:val="auto"/>
              </w:rPr>
            </w:pPr>
          </w:p>
        </w:tc>
        <w:tc>
          <w:tcPr>
            <w:tcW w:w="10140" w:type="dxa"/>
            <w:vAlign w:val="bottom"/>
            <w:gridSpan w:val="12"/>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National Association, as Series Trustee, to Indenture dated November 24, 2008, is incorporated by reference to Exhibit 4.1 to Campbell's</w:t>
              </w:r>
            </w:hyperlink>
          </w:p>
        </w:tc>
      </w:tr>
      <w:tr>
        <w:trPr>
          <w:trHeight w:val="196"/>
        </w:trPr>
        <w:tc>
          <w:tcPr>
            <w:tcW w:w="1140" w:type="dxa"/>
            <w:vAlign w:val="bottom"/>
          </w:tcPr>
          <w:p>
            <w:pPr>
              <w:spacing w:after="0"/>
              <w:rPr>
                <w:sz w:val="17"/>
                <w:szCs w:val="17"/>
                <w:color w:val="auto"/>
              </w:rPr>
            </w:pPr>
          </w:p>
        </w:tc>
        <w:tc>
          <w:tcPr>
            <w:tcW w:w="54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Form 8-K (SEC file number 1-3822) filed with the SEC on August 2, 2012.</w:t>
              </w:r>
            </w:hyperlink>
          </w:p>
        </w:tc>
        <w:tc>
          <w:tcPr>
            <w:tcW w:w="4680" w:type="dxa"/>
            <w:vAlign w:val="bottom"/>
            <w:tcBorders>
              <w:top w:val="single" w:sz="8" w:color="0000FF"/>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4(c)</w:t>
            </w:r>
          </w:p>
        </w:tc>
        <w:tc>
          <w:tcPr>
            <w:tcW w:w="10140" w:type="dxa"/>
            <w:vAlign w:val="bottom"/>
            <w:gridSpan w:val="12"/>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Form of Subordinated Indenture between Campbell and Wells Fargo Bank, National Association, as Trustee,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1"/>
          </w:tcPr>
          <w:p>
            <w:pPr>
              <w:spacing w:after="0" w:line="196" w:lineRule="exact"/>
              <w:rPr>
                <w:rFonts w:ascii="Arial" w:cs="Arial" w:eastAsia="Arial" w:hAnsi="Arial"/>
                <w:sz w:val="18"/>
                <w:szCs w:val="18"/>
                <w:color w:val="0000FF"/>
                <w:w w:val="98"/>
              </w:rPr>
            </w:pPr>
            <w:hyperlink r:id="rId33">
              <w:r>
                <w:rPr>
                  <w:rFonts w:ascii="Arial" w:cs="Arial" w:eastAsia="Arial" w:hAnsi="Arial"/>
                  <w:sz w:val="18"/>
                  <w:szCs w:val="18"/>
                  <w:color w:val="0000FF"/>
                  <w:w w:val="98"/>
                </w:rPr>
                <w:t>Exhibit 4.2 to Campbell's Registration Statement on Form S-3 (SEC file number 333-219217) filed with the SEC on July 10,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4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4(d)</w:t>
            </w:r>
          </w:p>
        </w:tc>
        <w:tc>
          <w:tcPr>
            <w:tcW w:w="10140" w:type="dxa"/>
            <w:vAlign w:val="bottom"/>
            <w:gridSpan w:val="12"/>
          </w:tcPr>
          <w:p>
            <w:pPr>
              <w:spacing w:after="0"/>
              <w:rPr>
                <w:rFonts w:ascii="Arial" w:cs="Arial" w:eastAsia="Arial" w:hAnsi="Arial"/>
                <w:sz w:val="18"/>
                <w:szCs w:val="18"/>
                <w:color w:val="0000FF"/>
                <w:w w:val="95"/>
              </w:rPr>
            </w:pPr>
            <w:hyperlink r:id="rId34">
              <w:r>
                <w:rPr>
                  <w:rFonts w:ascii="Arial" w:cs="Arial" w:eastAsia="Arial" w:hAnsi="Arial"/>
                  <w:sz w:val="18"/>
                  <w:szCs w:val="18"/>
                  <w:color w:val="0000FF"/>
                  <w:w w:val="95"/>
                </w:rPr>
                <w:t>Indenture dated as of March 19, 2015, between Campbell and Wells Fargo Bank, National Association, as trustee, is incorporated by</w:t>
              </w:r>
            </w:hyperlink>
          </w:p>
        </w:tc>
      </w:tr>
      <w:tr>
        <w:trPr>
          <w:trHeight w:val="196"/>
        </w:trPr>
        <w:tc>
          <w:tcPr>
            <w:tcW w:w="1140" w:type="dxa"/>
            <w:vAlign w:val="bottom"/>
          </w:tcPr>
          <w:p>
            <w:pPr>
              <w:spacing w:after="0"/>
              <w:rPr>
                <w:sz w:val="17"/>
                <w:szCs w:val="17"/>
                <w:color w:val="auto"/>
              </w:rPr>
            </w:pPr>
          </w:p>
        </w:tc>
        <w:tc>
          <w:tcPr>
            <w:tcW w:w="82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reference to Exhibit 4.1 to Campbell's Form 8-K (SEC file number 1-3822) filed with the SEC on March 19, 2015.</w:t>
              </w:r>
            </w:hyperlink>
          </w:p>
        </w:tc>
        <w:tc>
          <w:tcPr>
            <w:tcW w:w="1860" w:type="dxa"/>
            <w:vAlign w:val="bottom"/>
            <w:tcBorders>
              <w:top w:val="single" w:sz="8" w:color="0000FF"/>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4(e)</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Form of 4.500% Notes due 2019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2140" w:type="dxa"/>
            <w:vAlign w:val="bottom"/>
            <w:tcBorders>
              <w:bottom w:val="single" w:sz="8" w:color="0000FF"/>
            </w:tcBorders>
            <w:gridSpan w:val="3"/>
          </w:tcPr>
          <w:p>
            <w:pPr>
              <w:spacing w:after="0" w:line="196"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the SEC on January 20, 2009.</w:t>
              </w:r>
            </w:hyperlink>
          </w:p>
        </w:tc>
        <w:tc>
          <w:tcPr>
            <w:tcW w:w="8000" w:type="dxa"/>
            <w:vAlign w:val="bottom"/>
            <w:gridSpan w:val="9"/>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4(f)</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4"/>
              </w:rPr>
            </w:pPr>
            <w:hyperlink r:id="rId36">
              <w:r>
                <w:rPr>
                  <w:rFonts w:ascii="Arial" w:cs="Arial" w:eastAsia="Arial" w:hAnsi="Arial"/>
                  <w:sz w:val="18"/>
                  <w:szCs w:val="18"/>
                  <w:color w:val="0000FF"/>
                  <w:w w:val="94"/>
                </w:rPr>
                <w:t>Form of 4.250% Notes due 2021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the SEC on April 1, 2011.</w:t>
              </w:r>
            </w:hyperlink>
          </w:p>
        </w:tc>
        <w:tc>
          <w:tcPr>
            <w:tcW w:w="8280" w:type="dxa"/>
            <w:vAlign w:val="bottom"/>
            <w:gridSpan w:val="11"/>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4(g)</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Form of 2.500% Notes due 2022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0140" w:type="dxa"/>
            <w:vAlign w:val="bottom"/>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the SEC on August 2, 2012.</w:t>
              </w:r>
            </w:hyperlink>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4(h)</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Form of 3.800% Notes due 2042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0140" w:type="dxa"/>
            <w:vAlign w:val="bottom"/>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the SEC on August 2, 2012.</w:t>
              </w:r>
            </w:hyperlink>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4(i)</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2"/>
              </w:rPr>
            </w:pPr>
            <w:hyperlink r:id="rId37">
              <w:r>
                <w:rPr>
                  <w:rFonts w:ascii="Arial" w:cs="Arial" w:eastAsia="Arial" w:hAnsi="Arial"/>
                  <w:sz w:val="18"/>
                  <w:szCs w:val="18"/>
                  <w:color w:val="0000FF"/>
                  <w:w w:val="92"/>
                </w:rPr>
                <w:t>Form of Floating Rate Note due 2020 is incorporated by reference to Exhibit 4.2.1 to Campbell's Form 8-K (SEC file number 1-3822) filed</w:t>
              </w:r>
            </w:hyperlink>
          </w:p>
        </w:tc>
      </w:tr>
      <w:tr>
        <w:trPr>
          <w:trHeight w:val="196"/>
        </w:trPr>
        <w:tc>
          <w:tcPr>
            <w:tcW w:w="1140" w:type="dxa"/>
            <w:vAlign w:val="bottom"/>
          </w:tcPr>
          <w:p>
            <w:pPr>
              <w:spacing w:after="0"/>
              <w:rPr>
                <w:sz w:val="17"/>
                <w:szCs w:val="17"/>
                <w:color w:val="auto"/>
              </w:rPr>
            </w:pPr>
          </w:p>
        </w:tc>
        <w:tc>
          <w:tcPr>
            <w:tcW w:w="24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with the SEC on March 16, 2018.</w:t>
              </w:r>
            </w:hyperlink>
          </w:p>
        </w:tc>
        <w:tc>
          <w:tcPr>
            <w:tcW w:w="7720" w:type="dxa"/>
            <w:vAlign w:val="bottom"/>
            <w:gridSpan w:val="8"/>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4(j)</w:t>
            </w:r>
          </w:p>
        </w:tc>
        <w:tc>
          <w:tcPr>
            <w:tcW w:w="10140" w:type="dxa"/>
            <w:vAlign w:val="bottom"/>
            <w:tcBorders>
              <w:bottom w:val="single" w:sz="8" w:color="0000FF"/>
            </w:tcBorders>
            <w:gridSpan w:val="12"/>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Form of Floating Rate Note due 2021 is incorporated by reference to Exhibit 4.2.2 to Campbell's Form 8-K (SEC file number 1-3822) filed</w:t>
              </w:r>
            </w:hyperlink>
          </w:p>
        </w:tc>
      </w:tr>
      <w:tr>
        <w:trPr>
          <w:trHeight w:val="196"/>
        </w:trPr>
        <w:tc>
          <w:tcPr>
            <w:tcW w:w="1140" w:type="dxa"/>
            <w:vAlign w:val="bottom"/>
          </w:tcPr>
          <w:p>
            <w:pPr>
              <w:spacing w:after="0"/>
              <w:rPr>
                <w:sz w:val="17"/>
                <w:szCs w:val="17"/>
                <w:color w:val="auto"/>
              </w:rPr>
            </w:pPr>
          </w:p>
        </w:tc>
        <w:tc>
          <w:tcPr>
            <w:tcW w:w="24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with the SEC on March 16, 2018.</w:t>
              </w:r>
            </w:hyperlink>
          </w:p>
        </w:tc>
        <w:tc>
          <w:tcPr>
            <w:tcW w:w="7720" w:type="dxa"/>
            <w:vAlign w:val="bottom"/>
            <w:gridSpan w:val="8"/>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4(k)</w:t>
            </w:r>
          </w:p>
        </w:tc>
        <w:tc>
          <w:tcPr>
            <w:tcW w:w="10140" w:type="dxa"/>
            <w:vAlign w:val="bottom"/>
            <w:gridSpan w:val="12"/>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Form of 3.300% Note due 2021 is incorporated by reference to Exhibit 4.2.3 to Campbell's Form 8-K (SEC file number 1-3822) filed with</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the SEC on March 16, 2018.</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140" w:type="dxa"/>
            <w:vAlign w:val="bottom"/>
            <w:tcBorders>
              <w:left w:val="single" w:sz="8" w:color="0000FF"/>
            </w:tcBorders>
            <w:gridSpan w:val="10"/>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4(l)</w:t>
            </w:r>
          </w:p>
        </w:tc>
        <w:tc>
          <w:tcPr>
            <w:tcW w:w="10140" w:type="dxa"/>
            <w:vAlign w:val="bottom"/>
            <w:gridSpan w:val="12"/>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Form of 3.650% Note due 2023 is incorporated by reference to Exhibit 4.2.4 to Campbell's Form 8-K (SEC file number 1-3822) filed with</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the SEC on March 16, 2018.</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140" w:type="dxa"/>
            <w:vAlign w:val="bottom"/>
            <w:tcBorders>
              <w:left w:val="single" w:sz="8" w:color="0000FF"/>
            </w:tcBorders>
            <w:gridSpan w:val="10"/>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4(m)</w:t>
            </w:r>
          </w:p>
        </w:tc>
        <w:tc>
          <w:tcPr>
            <w:tcW w:w="10140" w:type="dxa"/>
            <w:vAlign w:val="bottom"/>
            <w:gridSpan w:val="12"/>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Form of 3.950% Note due 2025 is incorporated by reference to Exhibit 4.2.5 to Campbell's Form 8-K (SEC file number 1-3822) filed with</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the SEC on March 16, 2018.</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140" w:type="dxa"/>
            <w:vAlign w:val="bottom"/>
            <w:tcBorders>
              <w:left w:val="single" w:sz="8" w:color="0000FF"/>
            </w:tcBorders>
            <w:gridSpan w:val="10"/>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4(n)</w:t>
            </w:r>
          </w:p>
        </w:tc>
        <w:tc>
          <w:tcPr>
            <w:tcW w:w="10140" w:type="dxa"/>
            <w:vAlign w:val="bottom"/>
            <w:gridSpan w:val="12"/>
          </w:tcPr>
          <w:p>
            <w:pPr>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Form of 4.150% Note due 2028 is incorporated by reference to Exhibit 4.2.6 to Campbell's Form 8-K (SEC file number 1-3822) filed with</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the SEC on March 16, 2018.</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8140" w:type="dxa"/>
            <w:vAlign w:val="bottom"/>
            <w:tcBorders>
              <w:left w:val="single" w:sz="8" w:color="0000FF"/>
            </w:tcBorders>
            <w:gridSpan w:val="10"/>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4(o)</w:t>
            </w:r>
          </w:p>
        </w:tc>
        <w:tc>
          <w:tcPr>
            <w:tcW w:w="10140" w:type="dxa"/>
            <w:vAlign w:val="bottom"/>
            <w:gridSpan w:val="12"/>
          </w:tcPr>
          <w:p>
            <w:pPr>
              <w:spacing w:after="0"/>
              <w:rPr>
                <w:rFonts w:ascii="Arial" w:cs="Arial" w:eastAsia="Arial" w:hAnsi="Arial"/>
                <w:sz w:val="18"/>
                <w:szCs w:val="18"/>
                <w:color w:val="0000FF"/>
                <w:w w:val="93"/>
              </w:rPr>
            </w:pPr>
            <w:hyperlink r:id="rId43">
              <w:r>
                <w:rPr>
                  <w:rFonts w:ascii="Arial" w:cs="Arial" w:eastAsia="Arial" w:hAnsi="Arial"/>
                  <w:sz w:val="18"/>
                  <w:szCs w:val="18"/>
                  <w:color w:val="0000FF"/>
                  <w:w w:val="93"/>
                </w:rPr>
                <w:t>Form of 4.800% Note due 2048 is incorporated by reference to Exhibit 4.2.7 to Campbell's Form 8-K (SEC file number 1-3822) filed with</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the SEC on March 16, 2018.</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144" w:hanging="1144"/>
        <w:spacing w:after="0" w:line="297" w:lineRule="auto"/>
        <w:tabs>
          <w:tab w:leader="none" w:pos="1144" w:val="left"/>
        </w:tabs>
        <w:numPr>
          <w:ilvl w:val="0"/>
          <w:numId w:val="71"/>
        </w:numPr>
        <w:rPr>
          <w:rFonts w:ascii="Arial" w:cs="Arial" w:eastAsia="Arial" w:hAnsi="Arial"/>
          <w:sz w:val="16"/>
          <w:szCs w:val="16"/>
          <w:color w:val="0000FF"/>
        </w:rPr>
      </w:pPr>
      <w:hyperlink r:id="rId44">
        <w:r>
          <w:rPr>
            <w:rFonts w:ascii="Arial" w:cs="Arial" w:eastAsia="Arial" w:hAnsi="Arial"/>
            <w:sz w:val="16"/>
            <w:szCs w:val="16"/>
            <w:u w:val="single" w:color="auto"/>
            <w:color w:val="0000FF"/>
          </w:rPr>
          <w:t>Major Stockholders’ Voting Trust Agreement dated June 2, 1990, as amended, is incorporated by reference to (i) Exhibit 99.C to Campbell’s</w:t>
        </w:r>
      </w:hyperlink>
      <w:r>
        <w:rPr>
          <w:rFonts w:ascii="Arial" w:cs="Arial" w:eastAsia="Arial" w:hAnsi="Arial"/>
          <w:sz w:val="16"/>
          <w:szCs w:val="16"/>
          <w:u w:val="single" w:color="auto"/>
          <w:color w:val="0000FF"/>
        </w:rPr>
        <w:t xml:space="preserve"> </w:t>
      </w:r>
      <w:hyperlink r:id="rId45">
        <w:r>
          <w:rPr>
            <w:rFonts w:ascii="Arial" w:cs="Arial" w:eastAsia="Arial" w:hAnsi="Arial"/>
            <w:sz w:val="16"/>
            <w:szCs w:val="16"/>
            <w:u w:val="single" w:color="auto"/>
            <w:color w:val="0000FF"/>
          </w:rPr>
          <w:t>Schedule 13E-4 (SEC file number 5-7735) filed on September 12, 1996</w:t>
        </w:r>
        <w:r>
          <w:rPr>
            <w:rFonts w:ascii="Arial" w:cs="Arial" w:eastAsia="Arial" w:hAnsi="Arial"/>
            <w:sz w:val="16"/>
            <w:szCs w:val="16"/>
            <w:color w:val="000000"/>
          </w:rPr>
          <w:t>, (ii)</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Exhibit 99.G to Amendment No. 7 to Schedule 13D (SEC file</w:t>
        </w:r>
      </w:hyperlink>
      <w:r>
        <w:rPr>
          <w:rFonts w:ascii="Arial" w:cs="Arial" w:eastAsia="Arial" w:hAnsi="Arial"/>
          <w:sz w:val="16"/>
          <w:szCs w:val="16"/>
          <w:color w:val="0000FF"/>
        </w:rPr>
        <w:t xml:space="preserve"> </w:t>
      </w:r>
      <w:hyperlink r:id="rId46">
        <w:r>
          <w:rPr>
            <w:rFonts w:ascii="Arial" w:cs="Arial" w:eastAsia="Arial" w:hAnsi="Arial"/>
            <w:sz w:val="16"/>
            <w:szCs w:val="16"/>
            <w:u w:val="single" w:color="auto"/>
            <w:color w:val="0000FF"/>
          </w:rPr>
          <w:t>number 5-7735) dated March 3, 2000</w:t>
        </w:r>
        <w:r>
          <w:rPr>
            <w:rFonts w:ascii="Arial" w:cs="Arial" w:eastAsia="Arial" w:hAnsi="Arial"/>
            <w:sz w:val="16"/>
            <w:szCs w:val="16"/>
            <w:color w:val="000000"/>
          </w:rPr>
          <w:t>, (iii)</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Exhibit 99.M to Amendment No. 8 to Schedule 13D (SEC file number 5-7735) dated January 26,</w:t>
        </w:r>
      </w:hyperlink>
      <w:r>
        <w:rPr>
          <w:rFonts w:ascii="Arial" w:cs="Arial" w:eastAsia="Arial" w:hAnsi="Arial"/>
          <w:sz w:val="16"/>
          <w:szCs w:val="16"/>
          <w:color w:val="0000FF"/>
        </w:rPr>
        <w:t xml:space="preserve"> </w:t>
      </w:r>
      <w:hyperlink r:id="rId46">
        <w:r>
          <w:rPr>
            <w:rFonts w:ascii="Arial" w:cs="Arial" w:eastAsia="Arial" w:hAnsi="Arial"/>
            <w:sz w:val="16"/>
            <w:szCs w:val="16"/>
            <w:u w:val="single" w:color="auto"/>
            <w:color w:val="0000FF"/>
          </w:rPr>
          <w:t>2001</w:t>
        </w:r>
        <w:r>
          <w:rPr>
            <w:rFonts w:ascii="Arial" w:cs="Arial" w:eastAsia="Arial" w:hAnsi="Arial"/>
            <w:sz w:val="16"/>
            <w:szCs w:val="16"/>
            <w:color w:val="000000"/>
          </w:rPr>
          <w:t>, (iv)</w:t>
        </w:r>
        <w:r>
          <w:rPr>
            <w:rFonts w:ascii="Arial" w:cs="Arial" w:eastAsia="Arial" w:hAnsi="Arial"/>
            <w:sz w:val="16"/>
            <w:szCs w:val="16"/>
            <w:color w:val="0000FF"/>
          </w:rPr>
          <w:t xml:space="preserve"> </w:t>
        </w:r>
      </w:hyperlink>
      <w:hyperlink r:id="rId47">
        <w:r>
          <w:rPr>
            <w:rFonts w:ascii="Arial" w:cs="Arial" w:eastAsia="Arial" w:hAnsi="Arial"/>
            <w:sz w:val="16"/>
            <w:szCs w:val="16"/>
            <w:u w:val="single" w:color="auto"/>
            <w:color w:val="0000FF"/>
          </w:rPr>
          <w:t>Exhibit 99.P to Amendment No. 9 to Schedule 13D (SEC file number 5-7735) dated September 30, 2002</w:t>
        </w:r>
      </w:hyperlink>
      <w:hyperlink r:id="rId46">
        <w:r>
          <w:rPr>
            <w:rFonts w:ascii="Arial" w:cs="Arial" w:eastAsia="Arial" w:hAnsi="Arial"/>
            <w:sz w:val="16"/>
            <w:szCs w:val="16"/>
            <w:color w:val="000000"/>
          </w:rPr>
          <w:t>, and (v)</w:t>
        </w:r>
        <w:r>
          <w:rPr>
            <w:rFonts w:ascii="Arial" w:cs="Arial" w:eastAsia="Arial" w:hAnsi="Arial"/>
            <w:sz w:val="16"/>
            <w:szCs w:val="16"/>
            <w:color w:val="0000FF"/>
          </w:rPr>
          <w:t xml:space="preserve"> </w:t>
        </w:r>
      </w:hyperlink>
      <w:hyperlink r:id="rId48">
        <w:r>
          <w:rPr>
            <w:rFonts w:ascii="Arial" w:cs="Arial" w:eastAsia="Arial" w:hAnsi="Arial"/>
            <w:sz w:val="16"/>
            <w:szCs w:val="16"/>
            <w:u w:val="single" w:color="auto"/>
            <w:color w:val="0000FF"/>
          </w:rPr>
          <w:t>Exhibits 9(b)</w:t>
        </w:r>
      </w:hyperlink>
      <w:hyperlink r:id="rId46">
        <w:r>
          <w:rPr>
            <w:rFonts w:ascii="Arial" w:cs="Arial" w:eastAsia="Arial" w:hAnsi="Arial"/>
            <w:sz w:val="16"/>
            <w:szCs w:val="16"/>
            <w:color w:val="000000"/>
          </w:rPr>
          <w:t>,</w:t>
        </w:r>
      </w:hyperlink>
      <w:r>
        <w:rPr>
          <w:rFonts w:ascii="Arial" w:cs="Arial" w:eastAsia="Arial" w:hAnsi="Arial"/>
          <w:sz w:val="16"/>
          <w:szCs w:val="16"/>
          <w:color w:val="0000FF"/>
        </w:rPr>
        <w:t xml:space="preserve"> </w:t>
      </w:r>
      <w:hyperlink r:id="rId49">
        <w:r>
          <w:rPr>
            <w:rFonts w:ascii="Arial" w:cs="Arial" w:eastAsia="Arial" w:hAnsi="Arial"/>
            <w:sz w:val="16"/>
            <w:szCs w:val="16"/>
            <w:u w:val="single" w:color="auto"/>
            <w:color w:val="0000FF"/>
          </w:rPr>
          <w:t>9(c)</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50">
        <w:r>
          <w:rPr>
            <w:rFonts w:ascii="Arial" w:cs="Arial" w:eastAsia="Arial" w:hAnsi="Arial"/>
            <w:sz w:val="16"/>
            <w:szCs w:val="16"/>
            <w:u w:val="single" w:color="auto"/>
            <w:color w:val="0000FF"/>
          </w:rPr>
          <w:t xml:space="preserve">9(d) </w:t>
        </w:r>
      </w:hyperlink>
      <w:r>
        <w:rPr>
          <w:rFonts w:ascii="Arial" w:cs="Arial" w:eastAsia="Arial" w:hAnsi="Arial"/>
          <w:sz w:val="16"/>
          <w:szCs w:val="16"/>
          <w:color w:val="000000"/>
        </w:rPr>
        <w:t>and</w:t>
      </w:r>
      <w:r>
        <w:rPr>
          <w:rFonts w:ascii="Arial" w:cs="Arial" w:eastAsia="Arial" w:hAnsi="Arial"/>
          <w:sz w:val="16"/>
          <w:szCs w:val="16"/>
          <w:color w:val="0000FF"/>
        </w:rPr>
        <w:t xml:space="preserve"> </w:t>
      </w:r>
      <w:hyperlink r:id="rId51">
        <w:r>
          <w:rPr>
            <w:rFonts w:ascii="Arial" w:cs="Arial" w:eastAsia="Arial" w:hAnsi="Arial"/>
            <w:sz w:val="16"/>
            <w:szCs w:val="16"/>
            <w:u w:val="single" w:color="auto"/>
            <w:color w:val="0000FF"/>
          </w:rPr>
          <w:t xml:space="preserve">9(e)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Campbell's Form 10-K (SEC file number 1-3822) for the fiscal year ended August 3, 2014, each as filed with the SEC.</w:t>
      </w:r>
    </w:p>
    <w:p>
      <w:pPr>
        <w:spacing w:after="0" w:line="114" w:lineRule="exact"/>
        <w:rPr>
          <w:rFonts w:ascii="Arial" w:cs="Arial" w:eastAsia="Arial" w:hAnsi="Arial"/>
          <w:sz w:val="16"/>
          <w:szCs w:val="16"/>
          <w:color w:val="0000FF"/>
        </w:rPr>
      </w:pPr>
    </w:p>
    <w:tbl>
      <w:tblPr>
        <w:tblLayout w:type="fixed"/>
        <w:tblInd w:w="4"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10(a)+</w:t>
            </w:r>
          </w:p>
        </w:tc>
        <w:tc>
          <w:tcPr>
            <w:tcW w:w="10120" w:type="dxa"/>
            <w:vAlign w:val="bottom"/>
            <w:tcBorders>
              <w:bottom w:val="single" w:sz="8" w:color="0000FF"/>
            </w:tcBorders>
            <w:gridSpan w:val="2"/>
          </w:tcPr>
          <w:p>
            <w:pPr>
              <w:spacing w:after="0"/>
              <w:rPr>
                <w:rFonts w:ascii="Arial" w:cs="Arial" w:eastAsia="Arial" w:hAnsi="Arial"/>
                <w:sz w:val="18"/>
                <w:szCs w:val="18"/>
                <w:color w:val="0000FF"/>
                <w:w w:val="90"/>
              </w:rPr>
            </w:pPr>
            <w:hyperlink r:id="rId52">
              <w:r>
                <w:rPr>
                  <w:rFonts w:ascii="Arial" w:cs="Arial" w:eastAsia="Arial" w:hAnsi="Arial"/>
                  <w:sz w:val="18"/>
                  <w:szCs w:val="18"/>
                  <w:color w:val="0000FF"/>
                  <w:w w:val="90"/>
                </w:rPr>
                <w:t>Campbell Soup Company 2005 Long-Term Incentive Plan, as amended and restated on November 18, 2010,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gridSpan w:val="2"/>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Campbell’s 2010 Proxy Statement (SEC file number 1-3822) filed with the SEC on October 7, 2010.</w:t>
              </w:r>
            </w:hyperlink>
          </w:p>
        </w:tc>
      </w:tr>
      <w:tr>
        <w:trPr>
          <w:trHeight w:val="20"/>
        </w:trPr>
        <w:tc>
          <w:tcPr>
            <w:tcW w:w="1140" w:type="dxa"/>
            <w:vAlign w:val="bottom"/>
          </w:tcPr>
          <w:p>
            <w:pPr>
              <w:spacing w:after="0" w:line="20" w:lineRule="exact"/>
              <w:rPr>
                <w:sz w:val="1"/>
                <w:szCs w:val="1"/>
                <w:color w:val="auto"/>
              </w:rPr>
            </w:pPr>
          </w:p>
        </w:tc>
        <w:tc>
          <w:tcPr>
            <w:tcW w:w="724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4"/>
          </w:cols>
          <w:pgMar w:left="356" w:top="1233" w:right="259" w:bottom="1440" w:gutter="0" w:footer="0" w:header="0"/>
        </w:sectPr>
      </w:pPr>
    </w:p>
    <w:p>
      <w:pPr>
        <w:spacing w:after="0" w:line="299" w:lineRule="exact"/>
        <w:rPr>
          <w:sz w:val="20"/>
          <w:szCs w:val="20"/>
          <w:color w:val="auto"/>
        </w:rPr>
      </w:pPr>
    </w:p>
    <w:p>
      <w:pPr>
        <w:jc w:val="center"/>
        <w:ind w:right="96"/>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284"/>
          </w:cols>
          <w:pgMar w:left="356" w:top="1233" w:right="259" w:bottom="1440" w:gutter="0" w:footer="0" w:header="0"/>
          <w:type w:val="continuous"/>
        </w:sectPr>
      </w:pPr>
    </w:p>
    <w:bookmarkStart w:id="87" w:name="page88"/>
    <w:bookmarkEnd w:id="87"/>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10(b)+</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Campbell Soup Company 2015 Long-Term Incentive Plan is incorporated by reference to Campbell’s 2015 Proxy Statement (SEC file</w:t>
              </w:r>
            </w:hyperlink>
          </w:p>
        </w:tc>
      </w:tr>
      <w:tr>
        <w:trPr>
          <w:trHeight w:val="196"/>
        </w:trPr>
        <w:tc>
          <w:tcPr>
            <w:tcW w:w="1140" w:type="dxa"/>
            <w:vAlign w:val="bottom"/>
          </w:tcPr>
          <w:p>
            <w:pPr>
              <w:spacing w:after="0"/>
              <w:rPr>
                <w:sz w:val="17"/>
                <w:szCs w:val="17"/>
                <w:color w:val="auto"/>
              </w:rPr>
            </w:pPr>
          </w:p>
        </w:tc>
        <w:tc>
          <w:tcPr>
            <w:tcW w:w="40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number 1-3822) filed with the SEC on October 9, 2015.</w:t>
              </w:r>
            </w:hyperlink>
          </w:p>
        </w:tc>
        <w:tc>
          <w:tcPr>
            <w:tcW w:w="6120" w:type="dxa"/>
            <w:vAlign w:val="bottom"/>
            <w:gridSpan w:val="13"/>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10(c)+</w:t>
            </w:r>
          </w:p>
        </w:tc>
        <w:tc>
          <w:tcPr>
            <w:tcW w:w="10140" w:type="dxa"/>
            <w:vAlign w:val="bottom"/>
            <w:gridSpan w:val="21"/>
          </w:tcPr>
          <w:p>
            <w:pPr>
              <w:spacing w:after="0"/>
              <w:rPr>
                <w:rFonts w:ascii="Arial" w:cs="Arial" w:eastAsia="Arial" w:hAnsi="Arial"/>
                <w:sz w:val="18"/>
                <w:szCs w:val="18"/>
                <w:color w:val="0000FF"/>
                <w:w w:val="94"/>
              </w:rPr>
            </w:pPr>
            <w:hyperlink r:id="rId54">
              <w:r>
                <w:rPr>
                  <w:rFonts w:ascii="Arial" w:cs="Arial" w:eastAsia="Arial" w:hAnsi="Arial"/>
                  <w:sz w:val="18"/>
                  <w:szCs w:val="18"/>
                  <w:color w:val="0000FF"/>
                  <w:w w:val="94"/>
                </w:rPr>
                <w:t>Campbell Soup Company Annual Incentive Plan, as amended on November 19, 2014, is incorporated by reference to Campbell’s 2014</w:t>
              </w:r>
            </w:hyperlink>
          </w:p>
        </w:tc>
      </w:tr>
      <w:tr>
        <w:trPr>
          <w:trHeight w:val="196"/>
        </w:trPr>
        <w:tc>
          <w:tcPr>
            <w:tcW w:w="1140" w:type="dxa"/>
            <w:vAlign w:val="bottom"/>
          </w:tcPr>
          <w:p>
            <w:pPr>
              <w:spacing w:after="0"/>
              <w:rPr>
                <w:sz w:val="17"/>
                <w:szCs w:val="17"/>
                <w:color w:val="auto"/>
              </w:rPr>
            </w:pPr>
          </w:p>
        </w:tc>
        <w:tc>
          <w:tcPr>
            <w:tcW w:w="59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Proxy Statement (SEC file number 1-3822) filed with the SEC on October 1, 2014.</w:t>
              </w:r>
            </w:hyperlink>
          </w:p>
        </w:tc>
        <w:tc>
          <w:tcPr>
            <w:tcW w:w="414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10(d)+</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4"/>
              </w:rPr>
            </w:pPr>
            <w:hyperlink r:id="rId55">
              <w:r>
                <w:rPr>
                  <w:rFonts w:ascii="Arial" w:cs="Arial" w:eastAsia="Arial" w:hAnsi="Arial"/>
                  <w:sz w:val="18"/>
                  <w:szCs w:val="18"/>
                  <w:color w:val="0000FF"/>
                  <w:w w:val="94"/>
                </w:rPr>
                <w:t>Campbell Soup Company Mid-Career Hire Pension Plan, as amended and restated effective as of January 1, 2009, is incorporated by</w:t>
              </w:r>
            </w:hyperlink>
          </w:p>
        </w:tc>
      </w:tr>
      <w:tr>
        <w:trPr>
          <w:trHeight w:val="196"/>
        </w:trPr>
        <w:tc>
          <w:tcPr>
            <w:tcW w:w="1140" w:type="dxa"/>
            <w:vAlign w:val="bottom"/>
          </w:tcPr>
          <w:p>
            <w:pPr>
              <w:spacing w:after="0"/>
              <w:rPr>
                <w:sz w:val="17"/>
                <w:szCs w:val="17"/>
                <w:color w:val="auto"/>
              </w:rPr>
            </w:pPr>
          </w:p>
        </w:tc>
        <w:tc>
          <w:tcPr>
            <w:tcW w:w="900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reference to Exhibit 10(a) to Campbell’s Form 10-Q (SEC file number 1-3822) for the fiscal quarter ended February 1, 2009.</w:t>
              </w:r>
            </w:hyperlink>
          </w:p>
        </w:tc>
        <w:tc>
          <w:tcPr>
            <w:tcW w:w="1140" w:type="dxa"/>
            <w:vAlign w:val="bottom"/>
            <w:gridSpan w:val="2"/>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10(e)+</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First Amendment to the Campbell Soup Company Mid-Career Hire Pension Plan, effective as of December 31, 2010, is incorporated by</w:t>
              </w:r>
            </w:hyperlink>
          </w:p>
        </w:tc>
      </w:tr>
      <w:tr>
        <w:trPr>
          <w:trHeight w:val="196"/>
        </w:trPr>
        <w:tc>
          <w:tcPr>
            <w:tcW w:w="1140" w:type="dxa"/>
            <w:vAlign w:val="bottom"/>
          </w:tcPr>
          <w:p>
            <w:pPr>
              <w:spacing w:after="0"/>
              <w:rPr>
                <w:sz w:val="17"/>
                <w:szCs w:val="17"/>
                <w:color w:val="auto"/>
              </w:rPr>
            </w:pPr>
          </w:p>
        </w:tc>
        <w:tc>
          <w:tcPr>
            <w:tcW w:w="898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reference to Exhibit 10(a) to Campbell’s Form 10-Q (SEC file number 1-3822) for the fiscal quarter ended January 30, 2011.</w:t>
              </w:r>
            </w:hyperlink>
          </w:p>
        </w:tc>
        <w:tc>
          <w:tcPr>
            <w:tcW w:w="1160" w:type="dxa"/>
            <w:vAlign w:val="bottom"/>
            <w:gridSpan w:val="3"/>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10(f)+</w:t>
            </w:r>
          </w:p>
        </w:tc>
        <w:tc>
          <w:tcPr>
            <w:tcW w:w="10140" w:type="dxa"/>
            <w:vAlign w:val="bottom"/>
            <w:gridSpan w:val="21"/>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Deferred Compensation Plan, effective November 18, 1999, is incorporated herein by reference to Exhibit 10(e) to Campbell’s Form 10-K</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(SEC file number 1-3822) for the fiscal year ended July 30, 2000.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10(g)+</w:t>
            </w:r>
          </w:p>
        </w:tc>
        <w:tc>
          <w:tcPr>
            <w:tcW w:w="10140" w:type="dxa"/>
            <w:vAlign w:val="bottom"/>
            <w:gridSpan w:val="21"/>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Campbell Soup Company Supplemental Retirement Plan (formerly known as Deferred Compensation Plan II), as amended and restated</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effective as of August 1, 2015, is incorporated herein by reference to Exhibit 4(c) to Campbell’s Form S-8 (SEC file number 333-216582)</w:t>
              </w:r>
            </w:hyperlink>
          </w:p>
        </w:tc>
      </w:tr>
      <w:tr>
        <w:trPr>
          <w:trHeight w:val="196"/>
        </w:trPr>
        <w:tc>
          <w:tcPr>
            <w:tcW w:w="11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filed with the SEC on March 9, 2017.</w:t>
              </w:r>
            </w:hyperlink>
          </w:p>
        </w:tc>
        <w:tc>
          <w:tcPr>
            <w:tcW w:w="742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10(h)+</w:t>
            </w:r>
          </w:p>
        </w:tc>
        <w:tc>
          <w:tcPr>
            <w:tcW w:w="10140" w:type="dxa"/>
            <w:vAlign w:val="bottom"/>
            <w:gridSpan w:val="21"/>
          </w:tcPr>
          <w:p>
            <w:pPr>
              <w:spacing w:after="0"/>
              <w:rPr>
                <w:rFonts w:ascii="Arial" w:cs="Arial" w:eastAsia="Arial" w:hAnsi="Arial"/>
                <w:sz w:val="18"/>
                <w:szCs w:val="18"/>
                <w:color w:val="0000FF"/>
                <w:w w:val="92"/>
              </w:rPr>
            </w:pPr>
            <w:hyperlink r:id="rId59">
              <w:r>
                <w:rPr>
                  <w:rFonts w:ascii="Arial" w:cs="Arial" w:eastAsia="Arial" w:hAnsi="Arial"/>
                  <w:sz w:val="18"/>
                  <w:szCs w:val="18"/>
                  <w:color w:val="0000FF"/>
                  <w:w w:val="92"/>
                </w:rPr>
                <w:t>Form of Severance Protection Agreement is incorporated by reference to Exhibit 10(i) to Campbell's Form 10-K (SEC file number 1-3822)</w:t>
              </w:r>
            </w:hyperlink>
          </w:p>
        </w:tc>
      </w:tr>
      <w:tr>
        <w:trPr>
          <w:trHeight w:val="196"/>
        </w:trPr>
        <w:tc>
          <w:tcPr>
            <w:tcW w:w="1140" w:type="dxa"/>
            <w:vAlign w:val="bottom"/>
          </w:tcPr>
          <w:p>
            <w:pPr>
              <w:spacing w:after="0"/>
              <w:rPr>
                <w:sz w:val="17"/>
                <w:szCs w:val="17"/>
                <w:color w:val="auto"/>
              </w:rPr>
            </w:pPr>
          </w:p>
        </w:tc>
        <w:tc>
          <w:tcPr>
            <w:tcW w:w="28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for the fiscal year ended July 30, 2017.</w:t>
              </w:r>
            </w:hyperlink>
          </w:p>
        </w:tc>
        <w:tc>
          <w:tcPr>
            <w:tcW w:w="732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10(i)+</w:t>
            </w:r>
          </w:p>
        </w:tc>
        <w:tc>
          <w:tcPr>
            <w:tcW w:w="10140" w:type="dxa"/>
            <w:vAlign w:val="bottom"/>
            <w:gridSpan w:val="21"/>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Form of Amendment to the Severance Protection Agreement is incorporated by reference to Exhibit 10(j) to Campbell's Form 10-K (SEC</w:t>
              </w:r>
            </w:hyperlink>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file number) for the fiscal year ended July 30, 2017.</w:t>
              </w:r>
            </w:hyperlink>
          </w:p>
        </w:tc>
        <w:tc>
          <w:tcPr>
            <w:tcW w:w="638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10(j)+</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Form of U.S. Severance Protection Agreement is incorporated by reference to Exhibit 10(c) to Campbell’s Form 10-Q (SEC file number 1-</w:t>
              </w:r>
            </w:hyperlink>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3822) for the fiscal quarter ended November 2, 2008.</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10(k)+</w:t>
            </w:r>
          </w:p>
        </w:tc>
        <w:tc>
          <w:tcPr>
            <w:tcW w:w="10140" w:type="dxa"/>
            <w:vAlign w:val="bottom"/>
            <w:gridSpan w:val="21"/>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Form of Non-U.S. Severance Protection Agreement is incorporated by reference to Exhibit 10(d) to Campbell’s Form 10-Q (SEC file</w:t>
              </w:r>
            </w:hyperlink>
          </w:p>
        </w:tc>
      </w:tr>
      <w:tr>
        <w:trPr>
          <w:trHeight w:val="196"/>
        </w:trPr>
        <w:tc>
          <w:tcPr>
            <w:tcW w:w="114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number 1-3822) for the fiscal quarter ended November 2, 2008.</w:t>
              </w:r>
            </w:hyperlink>
          </w:p>
        </w:tc>
        <w:tc>
          <w:tcPr>
            <w:tcW w:w="554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10(l)+</w:t>
            </w:r>
          </w:p>
        </w:tc>
        <w:tc>
          <w:tcPr>
            <w:tcW w:w="10140" w:type="dxa"/>
            <w:vAlign w:val="bottom"/>
            <w:gridSpan w:val="21"/>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Form of U.S. Severance Protection Agreement is incorporated by reference to Exhibit 10(m) to Campbell’s Form 10-K (SEC file number 1-</w:t>
              </w:r>
            </w:hyperlink>
          </w:p>
        </w:tc>
      </w:tr>
      <w:tr>
        <w:trPr>
          <w:trHeight w:val="196"/>
        </w:trPr>
        <w:tc>
          <w:tcPr>
            <w:tcW w:w="114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63">
              <w:r>
                <w:rPr>
                  <w:rFonts w:ascii="Arial" w:cs="Arial" w:eastAsia="Arial" w:hAnsi="Arial"/>
                  <w:sz w:val="18"/>
                  <w:szCs w:val="18"/>
                  <w:color w:val="0000FF"/>
                  <w:w w:val="89"/>
                </w:rPr>
                <w:t>3822) for the fiscal year ended July 31, 2011.</w:t>
              </w:r>
            </w:hyperlink>
          </w:p>
        </w:tc>
        <w:tc>
          <w:tcPr>
            <w:tcW w:w="686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10(m)+</w:t>
            </w:r>
          </w:p>
        </w:tc>
        <w:tc>
          <w:tcPr>
            <w:tcW w:w="10140" w:type="dxa"/>
            <w:vAlign w:val="bottom"/>
            <w:gridSpan w:val="21"/>
          </w:tcPr>
          <w:p>
            <w:pPr>
              <w:spacing w:after="0"/>
              <w:rPr>
                <w:rFonts w:ascii="Arial" w:cs="Arial" w:eastAsia="Arial" w:hAnsi="Arial"/>
                <w:sz w:val="18"/>
                <w:szCs w:val="18"/>
                <w:color w:val="0000FF"/>
                <w:w w:val="96"/>
              </w:rPr>
            </w:pPr>
            <w:hyperlink r:id="rId64">
              <w:r>
                <w:rPr>
                  <w:rFonts w:ascii="Arial" w:cs="Arial" w:eastAsia="Arial" w:hAnsi="Arial"/>
                  <w:sz w:val="18"/>
                  <w:szCs w:val="18"/>
                  <w:color w:val="0000FF"/>
                  <w:w w:val="96"/>
                </w:rPr>
                <w:t>Form of Non-U.S. Severance Protection Agreement is incorporated by reference to Exhibit 10(n) to Campbell’s Form 10-K (SEC file</w:t>
              </w:r>
            </w:hyperlink>
          </w:p>
        </w:tc>
      </w:tr>
      <w:tr>
        <w:trPr>
          <w:trHeight w:val="196"/>
        </w:trPr>
        <w:tc>
          <w:tcPr>
            <w:tcW w:w="114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64">
              <w:r>
                <w:rPr>
                  <w:rFonts w:ascii="Arial" w:cs="Arial" w:eastAsia="Arial" w:hAnsi="Arial"/>
                  <w:sz w:val="18"/>
                  <w:szCs w:val="18"/>
                  <w:color w:val="0000FF"/>
                  <w:w w:val="89"/>
                </w:rPr>
                <w:t>number 1-3822) for the fiscal year ended July 31, 2011.</w:t>
              </w:r>
            </w:hyperlink>
          </w:p>
        </w:tc>
        <w:tc>
          <w:tcPr>
            <w:tcW w:w="612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10(n)+</w:t>
            </w:r>
          </w:p>
        </w:tc>
        <w:tc>
          <w:tcPr>
            <w:tcW w:w="10140" w:type="dxa"/>
            <w:vAlign w:val="bottom"/>
            <w:gridSpan w:val="21"/>
          </w:tcPr>
          <w:p>
            <w:pPr>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Form of Amendment to U.S. and Non-U.S. Severance Protection Agreements is incorporated by reference to Exhibit 10(o) to Campbell's</w:t>
              </w:r>
            </w:hyperlink>
          </w:p>
        </w:tc>
      </w:tr>
      <w:tr>
        <w:trPr>
          <w:trHeight w:val="196"/>
        </w:trPr>
        <w:tc>
          <w:tcPr>
            <w:tcW w:w="114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Form 10-K (SEC file number 1-3822) for the fiscal year ended July 31, 2016.</w:t>
              </w:r>
            </w:hyperlink>
          </w:p>
        </w:tc>
        <w:tc>
          <w:tcPr>
            <w:tcW w:w="4540" w:type="dxa"/>
            <w:vAlign w:val="bottom"/>
            <w:tcBorders>
              <w:top w:val="single" w:sz="8" w:color="0000FF"/>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10(o)+</w:t>
            </w:r>
          </w:p>
        </w:tc>
        <w:tc>
          <w:tcPr>
            <w:tcW w:w="10140" w:type="dxa"/>
            <w:vAlign w:val="bottom"/>
            <w:gridSpan w:val="21"/>
          </w:tcPr>
          <w:p>
            <w:pPr>
              <w:spacing w:after="0"/>
              <w:rPr>
                <w:rFonts w:ascii="Arial" w:cs="Arial" w:eastAsia="Arial" w:hAnsi="Arial"/>
                <w:sz w:val="18"/>
                <w:szCs w:val="18"/>
                <w:color w:val="0000FF"/>
                <w:w w:val="89"/>
              </w:rPr>
            </w:pPr>
            <w:hyperlink r:id="rId66">
              <w:r>
                <w:rPr>
                  <w:rFonts w:ascii="Arial" w:cs="Arial" w:eastAsia="Arial" w:hAnsi="Arial"/>
                  <w:sz w:val="18"/>
                  <w:szCs w:val="18"/>
                  <w:color w:val="0000FF"/>
                  <w:w w:val="89"/>
                </w:rPr>
                <w:t>Campbell Soup Company Supplemental Employees’ Retirement Plan, as amended and restated effective January 1, 2009, is incorporated by</w:t>
              </w:r>
            </w:hyperlink>
          </w:p>
        </w:tc>
      </w:tr>
      <w:tr>
        <w:trPr>
          <w:trHeight w:val="196"/>
        </w:trPr>
        <w:tc>
          <w:tcPr>
            <w:tcW w:w="1140" w:type="dxa"/>
            <w:vAlign w:val="bottom"/>
          </w:tcPr>
          <w:p>
            <w:pPr>
              <w:spacing w:after="0"/>
              <w:rPr>
                <w:sz w:val="17"/>
                <w:szCs w:val="17"/>
                <w:color w:val="auto"/>
              </w:rPr>
            </w:pPr>
          </w:p>
        </w:tc>
        <w:tc>
          <w:tcPr>
            <w:tcW w:w="9000" w:type="dxa"/>
            <w:vAlign w:val="bottom"/>
            <w:tcBorders>
              <w:top w:val="single" w:sz="8" w:color="0000FF"/>
              <w:bottom w:val="single" w:sz="8" w:color="0000FF"/>
            </w:tcBorders>
            <w:gridSpan w:val="19"/>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reference to Exhibit 10(c) to Campbell’s Form 10-Q (SEC file number 1-3822) for the fiscal quarter ended February 1, 2009.</w:t>
              </w:r>
            </w:hyperlink>
          </w:p>
        </w:tc>
        <w:tc>
          <w:tcPr>
            <w:tcW w:w="11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10(p)+</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6"/>
              </w:rPr>
            </w:pPr>
            <w:hyperlink r:id="rId67">
              <w:r>
                <w:rPr>
                  <w:rFonts w:ascii="Arial" w:cs="Arial" w:eastAsia="Arial" w:hAnsi="Arial"/>
                  <w:sz w:val="18"/>
                  <w:szCs w:val="18"/>
                  <w:color w:val="0000FF"/>
                  <w:w w:val="96"/>
                </w:rPr>
                <w:t>First Amendment to the Campbell Soup Company Supplemental Employees’ Retirement Plan, effective as of December 31, 2010, is</w:t>
              </w:r>
            </w:hyperlink>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21"/>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incorporated by reference to Exhibit 10(c) to Campbell’s Form 10-Q (SEC file number 1-3822) for the fiscal quarter ended January 30,</w:t>
              </w:r>
            </w:hyperlink>
          </w:p>
        </w:tc>
      </w:tr>
      <w:tr>
        <w:trPr>
          <w:trHeight w:val="196"/>
        </w:trPr>
        <w:tc>
          <w:tcPr>
            <w:tcW w:w="1140" w:type="dxa"/>
            <w:vAlign w:val="bottom"/>
          </w:tcPr>
          <w:p>
            <w:pPr>
              <w:spacing w:after="0"/>
              <w:rPr>
                <w:sz w:val="17"/>
                <w:szCs w:val="17"/>
                <w:color w:val="auto"/>
              </w:rPr>
            </w:pPr>
          </w:p>
        </w:tc>
        <w:tc>
          <w:tcPr>
            <w:tcW w:w="2700" w:type="dxa"/>
            <w:vAlign w:val="bottom"/>
            <w:gridSpan w:val="2"/>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2011.</w:t>
              </w:r>
            </w:hyperlink>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76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10(q)+</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Form of 2005 Long-Term Incentive Plan Time-Lapsed Restricted Stock Unit Agreement is incorporated by reference to Exhibit 10.1 to</w:t>
              </w:r>
            </w:hyperlink>
          </w:p>
        </w:tc>
      </w:tr>
      <w:tr>
        <w:trPr>
          <w:trHeight w:val="196"/>
        </w:trPr>
        <w:tc>
          <w:tcPr>
            <w:tcW w:w="1140" w:type="dxa"/>
            <w:vAlign w:val="bottom"/>
          </w:tcPr>
          <w:p>
            <w:pPr>
              <w:spacing w:after="0"/>
              <w:rPr>
                <w:sz w:val="17"/>
                <w:szCs w:val="17"/>
                <w:color w:val="auto"/>
              </w:rPr>
            </w:pPr>
          </w:p>
        </w:tc>
        <w:tc>
          <w:tcPr>
            <w:tcW w:w="64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Campbell's Form 8-K (SEC file number 1-3822) filed with the SEC on February 2, 2015.</w:t>
              </w:r>
            </w:hyperlink>
          </w:p>
        </w:tc>
        <w:tc>
          <w:tcPr>
            <w:tcW w:w="3720" w:type="dxa"/>
            <w:vAlign w:val="bottom"/>
            <w:gridSpan w:val="7"/>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10(r)+</w:t>
            </w:r>
          </w:p>
        </w:tc>
        <w:tc>
          <w:tcPr>
            <w:tcW w:w="10140" w:type="dxa"/>
            <w:vAlign w:val="bottom"/>
            <w:gridSpan w:val="21"/>
          </w:tcPr>
          <w:p>
            <w:pPr>
              <w:spacing w:after="0"/>
              <w:rPr>
                <w:rFonts w:ascii="Arial" w:cs="Arial" w:eastAsia="Arial" w:hAnsi="Arial"/>
                <w:sz w:val="18"/>
                <w:szCs w:val="18"/>
                <w:color w:val="0000FF"/>
                <w:w w:val="94"/>
              </w:rPr>
            </w:pPr>
            <w:hyperlink r:id="rId69">
              <w:r>
                <w:rPr>
                  <w:rFonts w:ascii="Arial" w:cs="Arial" w:eastAsia="Arial" w:hAnsi="Arial"/>
                  <w:sz w:val="18"/>
                  <w:szCs w:val="18"/>
                  <w:color w:val="0000FF"/>
                  <w:w w:val="94"/>
                </w:rPr>
                <w:t>Form of 2005 Long-Term Incentive Plan Nonqualified Stock Option Agreement is incorporated by reference to Exhibit 10 to Campbell's</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Form 10-Q (SEC file number 1-3822) for the fiscal quarter ended November 1, 2015.</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gridSpan w:val="1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10(s)+</w:t>
            </w:r>
          </w:p>
        </w:tc>
        <w:tc>
          <w:tcPr>
            <w:tcW w:w="10140" w:type="dxa"/>
            <w:vAlign w:val="bottom"/>
            <w:gridSpan w:val="21"/>
          </w:tcPr>
          <w:p>
            <w:pPr>
              <w:spacing w:after="0"/>
              <w:rPr>
                <w:rFonts w:ascii="Arial" w:cs="Arial" w:eastAsia="Arial" w:hAnsi="Arial"/>
                <w:sz w:val="18"/>
                <w:szCs w:val="18"/>
                <w:color w:val="0000FF"/>
              </w:rPr>
            </w:pPr>
            <w:hyperlink r:id="rId70">
              <w:r>
                <w:rPr>
                  <w:rFonts w:ascii="Arial" w:cs="Arial" w:eastAsia="Arial" w:hAnsi="Arial"/>
                  <w:sz w:val="18"/>
                  <w:szCs w:val="18"/>
                  <w:color w:val="0000FF"/>
                </w:rPr>
                <w:t>Form of 2015 Long-Term Incentive Plan Nonqualified Stock Option Agreement is incorporated by reference to Exhibit 10(dd)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Campbell's Form 10-K (SEC file number 1-3822) for the fiscal year ended July 31, 2016.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gridSpan w:val="1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10(t)+</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3"/>
              </w:rPr>
            </w:pPr>
            <w:hyperlink r:id="rId71">
              <w:r>
                <w:rPr>
                  <w:rFonts w:ascii="Arial" w:cs="Arial" w:eastAsia="Arial" w:hAnsi="Arial"/>
                  <w:sz w:val="18"/>
                  <w:szCs w:val="18"/>
                  <w:color w:val="0000FF"/>
                  <w:w w:val="93"/>
                </w:rPr>
                <w:t>Form of 2015 Long-Term Incentive Plan Performance Stock Unit Agreement (Earnings Per Share) is incorporated by reference to Exhibit</w:t>
              </w:r>
            </w:hyperlink>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10(b) to Campbell's Form 10-Q (SEC file number 1-3822) for the fiscal quarter ended October 30, 2016.</w:t>
              </w:r>
            </w:hyperlink>
          </w:p>
        </w:tc>
      </w:tr>
      <w:tr>
        <w:trPr>
          <w:trHeight w:val="20"/>
        </w:trPr>
        <w:tc>
          <w:tcPr>
            <w:tcW w:w="1140" w:type="dxa"/>
            <w:vAlign w:val="bottom"/>
          </w:tcPr>
          <w:p>
            <w:pPr>
              <w:spacing w:after="0" w:line="20" w:lineRule="exact"/>
              <w:rPr>
                <w:sz w:val="1"/>
                <w:szCs w:val="1"/>
                <w:color w:val="auto"/>
              </w:rPr>
            </w:pPr>
          </w:p>
        </w:tc>
        <w:tc>
          <w:tcPr>
            <w:tcW w:w="6900" w:type="dxa"/>
            <w:vAlign w:val="bottom"/>
            <w:gridSpan w:val="1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10(u)+</w:t>
            </w:r>
          </w:p>
        </w:tc>
        <w:tc>
          <w:tcPr>
            <w:tcW w:w="10140" w:type="dxa"/>
            <w:vAlign w:val="bottom"/>
            <w:gridSpan w:val="21"/>
          </w:tcPr>
          <w:p>
            <w:pPr>
              <w:spacing w:after="0"/>
              <w:rPr>
                <w:rFonts w:ascii="Arial" w:cs="Arial" w:eastAsia="Arial" w:hAnsi="Arial"/>
                <w:sz w:val="18"/>
                <w:szCs w:val="18"/>
                <w:color w:val="0000FF"/>
                <w:w w:val="94"/>
              </w:rPr>
            </w:pPr>
            <w:hyperlink r:id="rId72">
              <w:r>
                <w:rPr>
                  <w:rFonts w:ascii="Arial" w:cs="Arial" w:eastAsia="Arial" w:hAnsi="Arial"/>
                  <w:sz w:val="18"/>
                  <w:szCs w:val="18"/>
                  <w:color w:val="0000FF"/>
                  <w:w w:val="94"/>
                </w:rPr>
                <w:t>Form of 2015 Long-Term Incentive Plan Performance Stock Unit Agreement (Total Shareholder Return)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Exhibit 10(ff) to Campbell’s Form 10-K (SEC file number 1-3822) for the fiscal year ended July 31, 2016.</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900" w:type="dxa"/>
            <w:vAlign w:val="bottom"/>
            <w:gridSpan w:val="1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10(v)+</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5"/>
              </w:rPr>
            </w:pPr>
            <w:hyperlink r:id="rId73">
              <w:r>
                <w:rPr>
                  <w:rFonts w:ascii="Arial" w:cs="Arial" w:eastAsia="Arial" w:hAnsi="Arial"/>
                  <w:sz w:val="18"/>
                  <w:szCs w:val="18"/>
                  <w:color w:val="0000FF"/>
                  <w:w w:val="95"/>
                </w:rPr>
                <w:t>Form of 2015 Long-Term Incentive Plan Time-Lapse Restricted Stock Unit Agreement is incorporated by reference to Exhibit 10(c) to</w:t>
              </w:r>
            </w:hyperlink>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Campbell's Form 10-Q (SEC file number 1-3822) for the fiscal quarter ended October 30, 2016.</w:t>
              </w:r>
            </w:hyperlink>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60" w:top="1440" w:right="259" w:bottom="744" w:gutter="0" w:footer="0" w:header="0"/>
        </w:sect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280"/>
          </w:cols>
          <w:pgMar w:left="360" w:top="1440" w:right="259" w:bottom="744" w:gutter="0" w:footer="0" w:header="0"/>
          <w:type w:val="continuous"/>
        </w:sectPr>
      </w:pPr>
    </w:p>
    <w:bookmarkStart w:id="88" w:name="page89"/>
    <w:bookmarkEnd w:id="88"/>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10(w)+</w:t>
            </w:r>
          </w:p>
        </w:tc>
        <w:tc>
          <w:tcPr>
            <w:tcW w:w="10120" w:type="dxa"/>
            <w:vAlign w:val="bottom"/>
            <w:tcBorders>
              <w:bottom w:val="single" w:sz="8" w:color="0000FF"/>
            </w:tcBorders>
            <w:gridSpan w:val="10"/>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Campbell Soup Company Fiscal 2018 Long-Term Incentive Program Brochure is incorporated by reference to Exhibit 10(a) to Campbell's</w:t>
              </w:r>
            </w:hyperlink>
          </w:p>
        </w:tc>
      </w:tr>
      <w:tr>
        <w:trPr>
          <w:trHeight w:val="196"/>
        </w:trPr>
        <w:tc>
          <w:tcPr>
            <w:tcW w:w="1140" w:type="dxa"/>
            <w:vAlign w:val="bottom"/>
          </w:tcPr>
          <w:p>
            <w:pPr>
              <w:spacing w:after="0"/>
              <w:rPr>
                <w:sz w:val="17"/>
                <w:szCs w:val="17"/>
                <w:color w:val="auto"/>
              </w:rPr>
            </w:pPr>
          </w:p>
        </w:tc>
        <w:tc>
          <w:tcPr>
            <w:tcW w:w="60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Form 10-Q (SEC file number 1-3822) for the fiscal quarter ended October 29, 2017.</w:t>
              </w:r>
            </w:hyperlink>
          </w:p>
        </w:tc>
        <w:tc>
          <w:tcPr>
            <w:tcW w:w="4060" w:type="dxa"/>
            <w:vAlign w:val="bottom"/>
            <w:gridSpan w:val="5"/>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10(x)+</w:t>
            </w:r>
          </w:p>
        </w:tc>
        <w:tc>
          <w:tcPr>
            <w:tcW w:w="10120" w:type="dxa"/>
            <w:vAlign w:val="bottom"/>
            <w:tcBorders>
              <w:bottom w:val="single" w:sz="8" w:color="0000FF"/>
            </w:tcBorders>
            <w:gridSpan w:val="10"/>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2018 Non-Employee Director Fees are incorporated by reference to Exhibit 10(b) to Campbell's Form 10-Q (SEC file number 1-3822) for</w:t>
              </w:r>
            </w:hyperlink>
          </w:p>
        </w:tc>
      </w:tr>
      <w:tr>
        <w:trPr>
          <w:trHeight w:val="196"/>
        </w:trPr>
        <w:tc>
          <w:tcPr>
            <w:tcW w:w="1140" w:type="dxa"/>
            <w:vAlign w:val="bottom"/>
          </w:tcPr>
          <w:p>
            <w:pPr>
              <w:spacing w:after="0"/>
              <w:rPr>
                <w:sz w:val="17"/>
                <w:szCs w:val="17"/>
                <w:color w:val="auto"/>
              </w:rPr>
            </w:pPr>
          </w:p>
        </w:tc>
        <w:tc>
          <w:tcPr>
            <w:tcW w:w="302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75">
              <w:r>
                <w:rPr>
                  <w:rFonts w:ascii="Arial" w:cs="Arial" w:eastAsia="Arial" w:hAnsi="Arial"/>
                  <w:sz w:val="18"/>
                  <w:szCs w:val="18"/>
                  <w:color w:val="0000FF"/>
                  <w:w w:val="88"/>
                </w:rPr>
                <w:t>the fiscal quarter ended October 29, 2017.</w:t>
              </w:r>
            </w:hyperlink>
          </w:p>
        </w:tc>
        <w:tc>
          <w:tcPr>
            <w:tcW w:w="7100" w:type="dxa"/>
            <w:vAlign w:val="bottom"/>
            <w:gridSpan w:val="7"/>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10(y)+</w:t>
            </w:r>
          </w:p>
        </w:tc>
        <w:tc>
          <w:tcPr>
            <w:tcW w:w="10120" w:type="dxa"/>
            <w:vAlign w:val="bottom"/>
            <w:tcBorders>
              <w:bottom w:val="single" w:sz="8" w:color="0000FF"/>
            </w:tcBorders>
            <w:gridSpan w:val="10"/>
          </w:tcPr>
          <w:p>
            <w:pPr>
              <w:spacing w:after="0"/>
              <w:rPr>
                <w:rFonts w:ascii="Arial" w:cs="Arial" w:eastAsia="Arial" w:hAnsi="Arial"/>
                <w:sz w:val="18"/>
                <w:szCs w:val="18"/>
                <w:color w:val="0000FF"/>
                <w:w w:val="92"/>
              </w:rPr>
            </w:pPr>
            <w:hyperlink r:id="rId76">
              <w:r>
                <w:rPr>
                  <w:rFonts w:ascii="Arial" w:cs="Arial" w:eastAsia="Arial" w:hAnsi="Arial"/>
                  <w:sz w:val="18"/>
                  <w:szCs w:val="18"/>
                  <w:color w:val="0000FF"/>
                  <w:w w:val="92"/>
                </w:rPr>
                <w:t>Severance Agreement and General Release executed April 30, 2018 by and between Mark R. Alexander and Campbell Soup Company is</w:t>
              </w:r>
            </w:hyperlink>
          </w:p>
        </w:tc>
      </w:tr>
      <w:tr>
        <w:trPr>
          <w:trHeight w:val="196"/>
        </w:trPr>
        <w:tc>
          <w:tcPr>
            <w:tcW w:w="1140" w:type="dxa"/>
            <w:vAlign w:val="bottom"/>
          </w:tcPr>
          <w:p>
            <w:pPr>
              <w:spacing w:after="0"/>
              <w:rPr>
                <w:sz w:val="17"/>
                <w:szCs w:val="17"/>
                <w:color w:val="auto"/>
              </w:rPr>
            </w:pPr>
          </w:p>
        </w:tc>
        <w:tc>
          <w:tcPr>
            <w:tcW w:w="998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incorporated by reference to Exhibit 10(b) to Campbell's Form 10-Q (SEC file number 1-3822) for the fiscal quarter ended April 29, 2018.</w:t>
              </w:r>
            </w:hyperlink>
          </w:p>
        </w:tc>
        <w:tc>
          <w:tcPr>
            <w:tcW w:w="14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10(z)+</w:t>
            </w:r>
          </w:p>
        </w:tc>
        <w:tc>
          <w:tcPr>
            <w:tcW w:w="1012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Retirement Agreement and General Release executed May 18, 2018 by and between Denise M. Morrison and Campbell Soup Company is</w:t>
              </w:r>
            </w:hyperlink>
          </w:p>
        </w:tc>
      </w:tr>
      <w:tr>
        <w:trPr>
          <w:trHeight w:val="196"/>
        </w:trPr>
        <w:tc>
          <w:tcPr>
            <w:tcW w:w="114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FF"/>
              </w:rPr>
            </w:pPr>
            <w:hyperlink w:anchor="page93">
              <w:r>
                <w:rPr>
                  <w:rFonts w:ascii="Arial" w:cs="Arial" w:eastAsia="Arial" w:hAnsi="Arial"/>
                  <w:sz w:val="18"/>
                  <w:szCs w:val="18"/>
                  <w:color w:val="0000FF"/>
                </w:rPr>
                <w:t>filed herewith.</w:t>
              </w:r>
            </w:hyperlink>
          </w:p>
        </w:tc>
      </w:tr>
      <w:tr>
        <w:trPr>
          <w:trHeight w:val="20"/>
        </w:trPr>
        <w:tc>
          <w:tcPr>
            <w:tcW w:w="11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10(aa)+</w:t>
            </w:r>
          </w:p>
        </w:tc>
        <w:tc>
          <w:tcPr>
            <w:tcW w:w="10120" w:type="dxa"/>
            <w:vAlign w:val="bottom"/>
            <w:gridSpan w:val="10"/>
          </w:tcPr>
          <w:p>
            <w:pPr>
              <w:spacing w:after="0"/>
              <w:rPr>
                <w:rFonts w:ascii="Arial" w:cs="Arial" w:eastAsia="Arial" w:hAnsi="Arial"/>
                <w:sz w:val="18"/>
                <w:szCs w:val="18"/>
                <w:color w:val="0000FF"/>
                <w:w w:val="93"/>
              </w:rPr>
            </w:pPr>
            <w:hyperlink w:anchor="page92">
              <w:r>
                <w:rPr>
                  <w:rFonts w:ascii="Arial" w:cs="Arial" w:eastAsia="Arial" w:hAnsi="Arial"/>
                  <w:sz w:val="18"/>
                  <w:szCs w:val="18"/>
                  <w:color w:val="0000FF"/>
                  <w:w w:val="93"/>
                </w:rPr>
                <w:t>Amendment to Retirement Agreement and General Release executed May 30, 2018 by and between Denise M. Morrison and Campbell</w:t>
              </w:r>
            </w:hyperlink>
          </w:p>
        </w:tc>
      </w:tr>
      <w:tr>
        <w:trPr>
          <w:trHeight w:val="196"/>
        </w:trPr>
        <w:tc>
          <w:tcPr>
            <w:tcW w:w="1140" w:type="dxa"/>
            <w:vAlign w:val="bottom"/>
          </w:tcPr>
          <w:p>
            <w:pPr>
              <w:spacing w:after="0"/>
              <w:rPr>
                <w:sz w:val="17"/>
                <w:szCs w:val="17"/>
                <w:color w:val="auto"/>
              </w:rPr>
            </w:pPr>
          </w:p>
        </w:tc>
        <w:tc>
          <w:tcPr>
            <w:tcW w:w="974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Soup Company is filed herewith.</w:t>
              </w:r>
            </w:hyperlink>
          </w:p>
        </w:tc>
        <w:tc>
          <w:tcPr>
            <w:tcW w:w="38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10(bb)</w:t>
            </w:r>
          </w:p>
        </w:tc>
        <w:tc>
          <w:tcPr>
            <w:tcW w:w="10120" w:type="dxa"/>
            <w:vAlign w:val="bottom"/>
            <w:tcBorders>
              <w:bottom w:val="single" w:sz="8" w:color="0000FF"/>
            </w:tcBorders>
            <w:gridSpan w:val="10"/>
          </w:tcPr>
          <w:p>
            <w:pPr>
              <w:spacing w:after="0"/>
              <w:rPr>
                <w:rFonts w:ascii="Arial" w:cs="Arial" w:eastAsia="Arial" w:hAnsi="Arial"/>
                <w:sz w:val="18"/>
                <w:szCs w:val="18"/>
                <w:color w:val="0000FF"/>
                <w:w w:val="90"/>
              </w:rPr>
            </w:pPr>
            <w:hyperlink r:id="rId77">
              <w:r>
                <w:rPr>
                  <w:rFonts w:ascii="Arial" w:cs="Arial" w:eastAsia="Arial" w:hAnsi="Arial"/>
                  <w:sz w:val="18"/>
                  <w:szCs w:val="18"/>
                  <w:color w:val="0000FF"/>
                  <w:w w:val="90"/>
                </w:rPr>
                <w:t>Five-Year Credit Agreement, dated December 9, 2016, by and among Campbell Soup Company, the eligible subsidiaries referred to therein,</w:t>
              </w:r>
            </w:hyperlink>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JPMorgan Chase Bank, N.A., as administrative agent, and the other lenders named therein, is incorporated by reference to Exhibit 10 to</w:t>
              </w:r>
            </w:hyperlink>
          </w:p>
        </w:tc>
      </w:tr>
      <w:tr>
        <w:trPr>
          <w:trHeight w:val="196"/>
        </w:trPr>
        <w:tc>
          <w:tcPr>
            <w:tcW w:w="1140" w:type="dxa"/>
            <w:vAlign w:val="bottom"/>
          </w:tcPr>
          <w:p>
            <w:pPr>
              <w:spacing w:after="0"/>
              <w:rPr>
                <w:sz w:val="17"/>
                <w:szCs w:val="17"/>
                <w:color w:val="auto"/>
              </w:rPr>
            </w:pPr>
          </w:p>
        </w:tc>
        <w:tc>
          <w:tcPr>
            <w:tcW w:w="66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Campbell's Form 8-K (SEC file number 1-3822) filed with the SEC on December 12, 2016.</w:t>
              </w:r>
            </w:hyperlink>
          </w:p>
        </w:tc>
        <w:tc>
          <w:tcPr>
            <w:tcW w:w="3520" w:type="dxa"/>
            <w:vAlign w:val="bottom"/>
            <w:gridSpan w:val="4"/>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10(cc)</w:t>
            </w:r>
          </w:p>
        </w:tc>
        <w:tc>
          <w:tcPr>
            <w:tcW w:w="10120" w:type="dxa"/>
            <w:vAlign w:val="bottom"/>
            <w:tcBorders>
              <w:bottom w:val="single" w:sz="8" w:color="0000FF"/>
            </w:tcBorders>
            <w:gridSpan w:val="10"/>
          </w:tcPr>
          <w:p>
            <w:pPr>
              <w:spacing w:after="0"/>
              <w:rPr>
                <w:rFonts w:ascii="Arial" w:cs="Arial" w:eastAsia="Arial" w:hAnsi="Arial"/>
                <w:sz w:val="18"/>
                <w:szCs w:val="18"/>
                <w:color w:val="0000FF"/>
                <w:w w:val="91"/>
              </w:rPr>
            </w:pPr>
            <w:hyperlink r:id="rId78">
              <w:r>
                <w:rPr>
                  <w:rFonts w:ascii="Arial" w:cs="Arial" w:eastAsia="Arial" w:hAnsi="Arial"/>
                  <w:sz w:val="18"/>
                  <w:szCs w:val="18"/>
                  <w:color w:val="0000FF"/>
                  <w:w w:val="91"/>
                </w:rPr>
                <w:t>Three-Year Term Loan Credit Agreement, dated December 29, 2017, by and among Campbell Soup Company, Credit Suisse AG, Cayman</w:t>
              </w:r>
            </w:hyperlink>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Islands Branch, as administrative agent, and the other lenders named therein, is incorporated by reference to Exhibit 10 to Campbell's Form</w:t>
              </w:r>
            </w:hyperlink>
          </w:p>
        </w:tc>
      </w:tr>
      <w:tr>
        <w:trPr>
          <w:trHeight w:val="196"/>
        </w:trPr>
        <w:tc>
          <w:tcPr>
            <w:tcW w:w="114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8-K (SEC file number 1-3822) filed with the SEC on December 29, 2017.</w:t>
              </w:r>
            </w:hyperlink>
          </w:p>
        </w:tc>
      </w:tr>
      <w:tr>
        <w:trPr>
          <w:trHeight w:val="20"/>
        </w:trPr>
        <w:tc>
          <w:tcPr>
            <w:tcW w:w="1140" w:type="dxa"/>
            <w:vAlign w:val="bottom"/>
          </w:tcPr>
          <w:p>
            <w:pPr>
              <w:spacing w:after="0" w:line="20" w:lineRule="exact"/>
              <w:rPr>
                <w:sz w:val="1"/>
                <w:szCs w:val="1"/>
                <w:color w:val="auto"/>
              </w:rPr>
            </w:pPr>
          </w:p>
        </w:tc>
        <w:tc>
          <w:tcPr>
            <w:tcW w:w="5300" w:type="dxa"/>
            <w:vAlign w:val="bottom"/>
            <w:gridSpan w:val="4"/>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10(dd)</w:t>
            </w:r>
          </w:p>
        </w:tc>
        <w:tc>
          <w:tcPr>
            <w:tcW w:w="10120" w:type="dxa"/>
            <w:vAlign w:val="bottom"/>
            <w:tcBorders>
              <w:bottom w:val="single" w:sz="8" w:color="0000FF"/>
            </w:tcBorders>
            <w:gridSpan w:val="10"/>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Amendment No. 1 to Three-Year Term Loan Credit Agreement, dated March 5, 2018, by and among Campbell Soup Company, Credit</w:t>
              </w:r>
            </w:hyperlink>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Suisse AG, Cayman Islands Branch, as administrative agent, and the other lenders named therein is incorporated by reference to Exhibit</w:t>
              </w:r>
            </w:hyperlink>
          </w:p>
        </w:tc>
      </w:tr>
      <w:tr>
        <w:trPr>
          <w:trHeight w:val="196"/>
        </w:trPr>
        <w:tc>
          <w:tcPr>
            <w:tcW w:w="1140" w:type="dxa"/>
            <w:vAlign w:val="bottom"/>
          </w:tcPr>
          <w:p>
            <w:pPr>
              <w:spacing w:after="0"/>
              <w:rPr>
                <w:sz w:val="17"/>
                <w:szCs w:val="17"/>
                <w:color w:val="auto"/>
              </w:rPr>
            </w:pPr>
          </w:p>
        </w:tc>
        <w:tc>
          <w:tcPr>
            <w:tcW w:w="73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10(a) to Campbell's Form 10-Q (SEC file number 1-3822) for the fiscal quarter ended April 29, 2018.</w:t>
              </w:r>
            </w:hyperlink>
          </w:p>
        </w:tc>
        <w:tc>
          <w:tcPr>
            <w:tcW w:w="2800" w:type="dxa"/>
            <w:vAlign w:val="bottom"/>
            <w:gridSpan w:val="3"/>
          </w:tcPr>
          <w:p>
            <w:pPr>
              <w:spacing w:after="0"/>
              <w:rPr>
                <w:sz w:val="17"/>
                <w:szCs w:val="17"/>
                <w:color w:val="auto"/>
              </w:rPr>
            </w:pPr>
          </w:p>
        </w:tc>
      </w:tr>
    </w:tbl>
    <w:p>
      <w:pPr>
        <w:spacing w:after="0" w:line="202" w:lineRule="exact"/>
        <w:rPr>
          <w:sz w:val="20"/>
          <w:szCs w:val="20"/>
          <w:color w:val="auto"/>
        </w:rPr>
      </w:pPr>
    </w:p>
    <w:p>
      <w:pPr>
        <w:ind w:left="1260" w:hanging="1144"/>
        <w:spacing w:after="0"/>
        <w:tabs>
          <w:tab w:leader="none" w:pos="1260" w:val="left"/>
        </w:tabs>
        <w:numPr>
          <w:ilvl w:val="0"/>
          <w:numId w:val="72"/>
        </w:numPr>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Subsidiary List.</w:t>
        </w:r>
      </w:hyperlink>
    </w:p>
    <w:p>
      <w:pPr>
        <w:spacing w:after="0" w:line="198" w:lineRule="exact"/>
        <w:rPr>
          <w:sz w:val="20"/>
          <w:szCs w:val="20"/>
          <w:color w:val="auto"/>
        </w:rPr>
      </w:pPr>
    </w:p>
    <w:p>
      <w:pPr>
        <w:ind w:left="1260" w:hanging="1144"/>
        <w:spacing w:after="0"/>
        <w:tabs>
          <w:tab w:leader="none" w:pos="1260" w:val="left"/>
        </w:tabs>
        <w:numPr>
          <w:ilvl w:val="0"/>
          <w:numId w:val="73"/>
        </w:numPr>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Consent of Independent Registered Public Accounting Firm.</w:t>
        </w:r>
      </w:hyperlink>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4720" w:type="dxa"/>
            <w:vAlign w:val="bottom"/>
            <w:tcBorders>
              <w:bottom w:val="single" w:sz="8" w:color="0000FF"/>
            </w:tcBorders>
          </w:tcPr>
          <w:p>
            <w:pPr>
              <w:spacing w:after="0"/>
              <w:rPr>
                <w:rFonts w:ascii="Arial" w:cs="Arial" w:eastAsia="Arial" w:hAnsi="Arial"/>
                <w:sz w:val="18"/>
                <w:szCs w:val="18"/>
                <w:color w:val="0000FF"/>
                <w:w w:val="92"/>
              </w:rPr>
            </w:pPr>
            <w:hyperlink w:anchor="page106">
              <w:r>
                <w:rPr>
                  <w:rFonts w:ascii="Arial" w:cs="Arial" w:eastAsia="Arial" w:hAnsi="Arial"/>
                  <w:sz w:val="18"/>
                  <w:szCs w:val="18"/>
                  <w:color w:val="0000FF"/>
                  <w:w w:val="92"/>
                </w:rPr>
                <w:t>Certification of Keith R. McLoughlin pursuant to Rule 13a-14(a).</w:t>
              </w:r>
            </w:hyperlink>
          </w:p>
        </w:tc>
        <w:tc>
          <w:tcPr>
            <w:tcW w:w="720" w:type="dxa"/>
            <w:vAlign w:val="bottom"/>
            <w:gridSpan w:val="3"/>
          </w:tcPr>
          <w:p>
            <w:pPr>
              <w:spacing w:after="0"/>
              <w:rPr>
                <w:sz w:val="18"/>
                <w:szCs w:val="18"/>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5440" w:type="dxa"/>
            <w:vAlign w:val="bottom"/>
            <w:gridSpan w:val="4"/>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Certification of Anthony P. DiSilvestro pursuant to Rule 13a-14(a).</w:t>
              </w:r>
            </w:hyperlink>
          </w:p>
        </w:tc>
      </w:tr>
      <w:tr>
        <w:trPr>
          <w:trHeight w:val="20"/>
        </w:trPr>
        <w:tc>
          <w:tcPr>
            <w:tcW w:w="114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32(a)</w:t>
            </w:r>
          </w:p>
        </w:tc>
        <w:tc>
          <w:tcPr>
            <w:tcW w:w="53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Certification of Keith R. McLoughlin pursuant to 18 U.S.C. Section 1350.</w:t>
              </w:r>
            </w:hyperlink>
          </w:p>
        </w:tc>
        <w:tc>
          <w:tcPr>
            <w:tcW w:w="100" w:type="dxa"/>
            <w:vAlign w:val="bottom"/>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32(b)</w:t>
            </w:r>
          </w:p>
        </w:tc>
        <w:tc>
          <w:tcPr>
            <w:tcW w:w="54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09">
              <w:r>
                <w:rPr>
                  <w:rFonts w:ascii="Arial" w:cs="Arial" w:eastAsia="Arial" w:hAnsi="Arial"/>
                  <w:sz w:val="18"/>
                  <w:szCs w:val="18"/>
                  <w:color w:val="0000FF"/>
                  <w:w w:val="91"/>
                </w:rPr>
                <w:t>Certification of Anthony P. DiSilvestro pursuant to 18 U.S.C. Section 1350.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1440" w:right="279"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Campbell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2018</w:t>
      </w:r>
    </w:p>
    <w:p>
      <w:pPr>
        <w:spacing w:after="0" w:line="167"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9"/>
              </w:rPr>
              <w:t>CAMPBELL SOUP COMPANY</w:t>
            </w:r>
          </w:p>
        </w:tc>
      </w:tr>
      <w:tr>
        <w:trPr>
          <w:trHeight w:val="554"/>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 Anthony P. DiSilvestro</w:t>
            </w:r>
          </w:p>
        </w:tc>
      </w:tr>
      <w:tr>
        <w:trPr>
          <w:trHeight w:val="27"/>
        </w:trPr>
        <w:tc>
          <w:tcPr>
            <w:tcW w:w="2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Anthony P. DiSilvestro</w:t>
            </w:r>
          </w:p>
        </w:tc>
      </w:tr>
      <w:tr>
        <w:trPr>
          <w:trHeight w:val="256"/>
        </w:trPr>
        <w:tc>
          <w:tcPr>
            <w:tcW w:w="280" w:type="dxa"/>
            <w:vAlign w:val="bottom"/>
          </w:tcPr>
          <w:p>
            <w:pPr>
              <w:spacing w:after="0"/>
              <w:rPr>
                <w:sz w:val="22"/>
                <w:szCs w:val="22"/>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Financial Officer (Principal</w:t>
            </w:r>
          </w:p>
        </w:tc>
      </w:tr>
      <w:tr>
        <w:trPr>
          <w:trHeight w:val="230"/>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Financial Officer)</w:t>
            </w:r>
          </w:p>
        </w:tc>
      </w:tr>
    </w:tbl>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Campbell and in the capacities indicated on September 27, 2018.</w:t>
      </w:r>
    </w:p>
    <w:p>
      <w:pPr>
        <w:spacing w:after="0" w:line="33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5640" w:type="dxa"/>
            <w:vAlign w:val="bottom"/>
            <w:gridSpan w:val="2"/>
          </w:tcPr>
          <w:p>
            <w:pPr>
              <w:ind w:left="40"/>
              <w:spacing w:after="0"/>
              <w:rPr>
                <w:sz w:val="20"/>
                <w:szCs w:val="20"/>
                <w:color w:val="auto"/>
              </w:rPr>
            </w:pPr>
            <w:r>
              <w:rPr>
                <w:rFonts w:ascii="Arial" w:cs="Arial" w:eastAsia="Arial" w:hAnsi="Arial"/>
                <w:sz w:val="18"/>
                <w:szCs w:val="18"/>
                <w:color w:val="auto"/>
              </w:rPr>
              <w:t>Signatures</w:t>
            </w:r>
          </w:p>
        </w:tc>
      </w:tr>
      <w:tr>
        <w:trPr>
          <w:trHeight w:val="27"/>
        </w:trPr>
        <w:tc>
          <w:tcPr>
            <w:tcW w:w="4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520"/>
        </w:trPr>
        <w:tc>
          <w:tcPr>
            <w:tcW w:w="4820" w:type="dxa"/>
            <w:vAlign w:val="bottom"/>
          </w:tcPr>
          <w:p>
            <w:pPr>
              <w:jc w:val="center"/>
              <w:spacing w:after="0"/>
              <w:rPr>
                <w:sz w:val="20"/>
                <w:szCs w:val="20"/>
                <w:color w:val="auto"/>
              </w:rPr>
            </w:pPr>
            <w:r>
              <w:rPr>
                <w:rFonts w:ascii="Arial" w:cs="Arial" w:eastAsia="Arial" w:hAnsi="Arial"/>
                <w:sz w:val="18"/>
                <w:szCs w:val="18"/>
                <w:color w:val="auto"/>
                <w:w w:val="96"/>
              </w:rPr>
              <w:t>/s/ Keith R. McLoughlin</w:t>
            </w:r>
          </w:p>
        </w:tc>
        <w:tc>
          <w:tcPr>
            <w:tcW w:w="84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0"/>
              </w:rPr>
              <w:t>/s/ Maria Teresa Hilado</w:t>
            </w:r>
          </w:p>
        </w:tc>
      </w:tr>
      <w:tr>
        <w:trPr>
          <w:trHeight w:val="27"/>
        </w:trPr>
        <w:tc>
          <w:tcPr>
            <w:tcW w:w="482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jc w:val="center"/>
              <w:spacing w:after="0"/>
              <w:rPr>
                <w:sz w:val="20"/>
                <w:szCs w:val="20"/>
                <w:color w:val="auto"/>
              </w:rPr>
            </w:pPr>
            <w:r>
              <w:rPr>
                <w:rFonts w:ascii="Arial" w:cs="Arial" w:eastAsia="Arial" w:hAnsi="Arial"/>
                <w:sz w:val="18"/>
                <w:szCs w:val="18"/>
                <w:color w:val="auto"/>
                <w:w w:val="95"/>
              </w:rPr>
              <w:t>Keith R. McLoughlin</w:t>
            </w:r>
          </w:p>
        </w:tc>
        <w:tc>
          <w:tcPr>
            <w:tcW w:w="84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1"/>
              </w:rPr>
              <w:t>Maria Teresa Hilado</w:t>
            </w:r>
          </w:p>
        </w:tc>
      </w:tr>
      <w:tr>
        <w:trPr>
          <w:trHeight w:val="270"/>
        </w:trPr>
        <w:tc>
          <w:tcPr>
            <w:tcW w:w="4820" w:type="dxa"/>
            <w:vAlign w:val="bottom"/>
          </w:tcPr>
          <w:p>
            <w:pPr>
              <w:jc w:val="center"/>
              <w:spacing w:after="0"/>
              <w:rPr>
                <w:sz w:val="20"/>
                <w:szCs w:val="20"/>
                <w:color w:val="auto"/>
              </w:rPr>
            </w:pPr>
            <w:r>
              <w:rPr>
                <w:rFonts w:ascii="Arial" w:cs="Arial" w:eastAsia="Arial" w:hAnsi="Arial"/>
                <w:sz w:val="18"/>
                <w:szCs w:val="18"/>
                <w:color w:val="auto"/>
                <w:w w:val="91"/>
              </w:rPr>
              <w:t>Interim President and Chief Executive Officer and</w:t>
            </w:r>
          </w:p>
        </w:tc>
        <w:tc>
          <w:tcPr>
            <w:tcW w:w="840" w:type="dxa"/>
            <w:vAlign w:val="bottom"/>
          </w:tcPr>
          <w:p>
            <w:pPr>
              <w:spacing w:after="0"/>
              <w:rPr>
                <w:sz w:val="23"/>
                <w:szCs w:val="23"/>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0"/>
        </w:trPr>
        <w:tc>
          <w:tcPr>
            <w:tcW w:w="48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84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0"/>
        </w:trPr>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840" w:type="dxa"/>
            <w:vAlign w:val="bottom"/>
          </w:tcPr>
          <w:p>
            <w:pPr>
              <w:spacing w:after="0"/>
              <w:rPr>
                <w:sz w:val="23"/>
                <w:szCs w:val="23"/>
                <w:color w:val="auto"/>
              </w:rPr>
            </w:pPr>
          </w:p>
        </w:tc>
        <w:tc>
          <w:tcPr>
            <w:tcW w:w="48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300"/>
          </w:cols>
          <w:pgMar w:left="240" w:top="1229" w:right="359" w:bottom="231" w:gutter="0" w:footer="0" w:header="0"/>
        </w:sectPr>
      </w:pPr>
    </w:p>
    <w:p>
      <w:pPr>
        <w:spacing w:after="0" w:line="12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Senior Vice President and Chief Financial Officer</w:t>
      </w:r>
    </w:p>
    <w:p>
      <w:pPr>
        <w:spacing w:after="0" w:line="8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Financial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1">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Accounting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Les C. Vinney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Les C. Vinney</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Chairman and 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Fabiola R. Arredondo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Fabiola R. Arredondo</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Howard M. Averill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Howard M. Averill</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Bennett Dorrance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Bennett Dorrance</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Randall W. Larrimore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39370</wp:posOffset>
            </wp:positionV>
            <wp:extent cx="305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6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Randall W. Larrimore</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Marc B. Lautenbach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Marc B. Lautenbach</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Mary Alice D.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39370</wp:posOffset>
            </wp:positionV>
            <wp:extent cx="305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8">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6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Mary Alice D. Malone</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Sara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9">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Sara Mathew</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Nick Shreiber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Nick Shreiber</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/s/ Archbold D. van Beuren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46355</wp:posOffset>
            </wp:positionV>
            <wp:extent cx="305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Archbold D. van Beuren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820" w:space="720"/>
            <w:col w:w="3760"/>
          </w:cols>
          <w:pgMar w:left="240" w:top="1229" w:right="359" w:bottom="2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300"/>
          </w:cols>
          <w:pgMar w:left="240" w:top="1229" w:right="359" w:bottom="231"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July 29, 2018, July 30, 2017, and July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 to/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Balance at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(Reduction in)</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Acquisitions</w:t>
            </w:r>
          </w:p>
        </w:tc>
        <w:tc>
          <w:tcPr>
            <w:tcW w:w="180" w:type="dxa"/>
            <w:vAlign w:val="bottom"/>
          </w:tcPr>
          <w:p>
            <w:pPr>
              <w:spacing w:after="0"/>
              <w:rPr>
                <w:sz w:val="12"/>
                <w:szCs w:val="12"/>
                <w:color w:val="auto"/>
              </w:rPr>
            </w:pPr>
          </w:p>
        </w:tc>
        <w:tc>
          <w:tcPr>
            <w:tcW w:w="9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Expenses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29, 2018</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30, 2017</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31, 2016</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27" w:lineRule="auto"/>
        <w:tabs>
          <w:tab w:leader="none" w:pos="340" w:val="left"/>
        </w:tabs>
        <w:numPr>
          <w:ilvl w:val="0"/>
          <w:numId w:val="74"/>
        </w:numPr>
        <w:rPr>
          <w:rFonts w:ascii="Arial" w:cs="Arial" w:eastAsia="Arial" w:hAnsi="Arial"/>
          <w:sz w:val="24"/>
          <w:szCs w:val="24"/>
          <w:color w:val="auto"/>
          <w:vertAlign w:val="superscript"/>
        </w:rPr>
      </w:pPr>
      <w:r>
        <w:rPr>
          <w:rFonts w:ascii="Arial" w:cs="Arial" w:eastAsia="Arial" w:hAnsi="Arial"/>
          <w:sz w:val="17"/>
          <w:szCs w:val="17"/>
          <w:color w:val="auto"/>
        </w:rPr>
        <w:t>The returns reserve is evaluated quarterly and adjusted accordingly. During each period, returns are charged to net sales in the Consolidated Statements of Earnings as incurred. Actual returns were approximately $106 in 2018, $103 in 2017, and $95 in 2016, or less than 2% of net sales.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10(aa)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May 30, 2018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Denise M. Morrison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XXXXXXXXXXXXXXX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XXXXXXXXXXXXXXX</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Amendment to Retirement Agreement and General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Denise: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You have entered into a Retirement Agreement and General Release with Campbell Soup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dated May 18, 2018 (the “</w:t>
      </w:r>
      <w:r>
        <w:rPr>
          <w:rFonts w:ascii="Arial" w:cs="Arial" w:eastAsia="Arial" w:hAnsi="Arial"/>
          <w:sz w:val="22"/>
          <w:szCs w:val="22"/>
          <w:u w:val="single" w:color="auto"/>
          <w:color w:val="auto"/>
        </w:rPr>
        <w:t>Retirement Agreement</w:t>
      </w:r>
      <w:r>
        <w:rPr>
          <w:rFonts w:ascii="Arial" w:cs="Arial" w:eastAsia="Arial" w:hAnsi="Arial"/>
          <w:sz w:val="22"/>
          <w:szCs w:val="22"/>
          <w:color w:val="auto"/>
        </w:rPr>
        <w:t>”), and you have not revoked the Retirement Agreement within the time period specified therein.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By its terms, the Retirement Agreement may be modified by an agreement in writing signed by an officer of the Company and by you. By this letter agreement, you and the Company hereby agree, effective as of the date hereof, that the Retirement Agreement shall be modified by deleting Section 2(a) thereof in its entirety and replacing it with the following (such that the 30-day waiting period for payment of your severance benefit is removed):</w:t>
      </w:r>
    </w:p>
    <w:p>
      <w:pPr>
        <w:spacing w:after="0" w:line="188"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“(a) The Company will pay you one hundred four (104) weeks of severance pay at your current base salary ($1,152,000 annually), less withholding of all applicable federal, state, and local taxes. The severance payments will be paid to you in substantially equal installments in accordance with the Company’s regular payroll practices, with the first installment to be made on the first payroll date that follows your Retirement Date. For purposes of this Agreement, the period in which you receive severance payments pursuant to this Paragraph 2(a) shall be referred to as the “Severance Period.”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modified hereby, the Retirement Agreement shall remain in full force and effect in accordance with its terms.</w:t>
      </w:r>
    </w:p>
    <w:p>
      <w:pPr>
        <w:spacing w:after="0" w:line="25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90"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Robert W. Morrissey</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Robert W. Morrissey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Senior Vice President and Chief Human Resources Officer</w:t>
      </w:r>
    </w:p>
    <w:p>
      <w:pPr>
        <w:spacing w:after="0" w:line="350"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UNDERSTOOD AND AGREED, INTENDING TO BE LEGALLY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320" w:type="dxa"/>
        <w:tblCellMar>
          <w:top w:w="0" w:type="dxa"/>
          <w:left w:w="0" w:type="dxa"/>
          <w:bottom w:w="0" w:type="dxa"/>
          <w:right w:w="0" w:type="dxa"/>
        </w:tblCellMar>
      </w:tblPr>
      <w:tr>
        <w:trPr>
          <w:trHeight w:val="28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Denise M. Morrison</w:t>
            </w:r>
          </w:p>
        </w:tc>
        <w:tc>
          <w:tcPr>
            <w:tcW w:w="520" w:type="dxa"/>
            <w:vAlign w:val="bottom"/>
          </w:tcPr>
          <w:p>
            <w:pPr>
              <w:spacing w:after="0"/>
              <w:rPr>
                <w:sz w:val="24"/>
                <w:szCs w:val="24"/>
                <w:color w:val="auto"/>
              </w:rPr>
            </w:pPr>
          </w:p>
        </w:tc>
        <w:tc>
          <w:tcPr>
            <w:tcW w:w="228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w w:val="89"/>
              </w:rPr>
              <w:t>May 30, 2018</w:t>
            </w:r>
          </w:p>
        </w:tc>
      </w:tr>
      <w:tr>
        <w:trPr>
          <w:trHeight w:val="280"/>
        </w:trPr>
        <w:tc>
          <w:tcPr>
            <w:tcW w:w="6500" w:type="dxa"/>
            <w:vAlign w:val="bottom"/>
            <w:gridSpan w:val="2"/>
          </w:tcPr>
          <w:p>
            <w:pPr>
              <w:ind w:left="20"/>
              <w:spacing w:after="0"/>
              <w:rPr>
                <w:sz w:val="20"/>
                <w:szCs w:val="20"/>
                <w:color w:val="auto"/>
              </w:rPr>
            </w:pPr>
            <w:r>
              <w:rPr>
                <w:rFonts w:ascii="Arial" w:cs="Arial" w:eastAsia="Arial" w:hAnsi="Arial"/>
                <w:sz w:val="22"/>
                <w:szCs w:val="22"/>
                <w:color w:val="auto"/>
              </w:rPr>
              <w:t>Denise M. Morrison</w:t>
            </w:r>
          </w:p>
        </w:tc>
        <w:tc>
          <w:tcPr>
            <w:tcW w:w="2280" w:type="dxa"/>
            <w:vAlign w:val="bottom"/>
          </w:tcPr>
          <w:p>
            <w:pPr>
              <w:ind w:left="4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10(z)</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May 18,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Denise M. Morrison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XXXXXXXXXXXXXX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XXXXXXXXXXXXXX</w:t>
      </w:r>
    </w:p>
    <w:p>
      <w:pPr>
        <w:spacing w:after="0" w:line="20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Retirement Agreement and General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Denise: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purpose of this letter is to confirm the terms regarding your retirement and termination from employment with Campbell Soup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As set forth more fully below, we offer to you the following Retirement Agreement, which includes a General Release (the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terms and conditions set forth in Paragraph 1 below will apply regardless of whether you decide to sign this Agreement. However, you will not be eligible to receive the payments and other benefits (“</w:t>
      </w:r>
      <w:r>
        <w:rPr>
          <w:rFonts w:ascii="Arial" w:cs="Arial" w:eastAsia="Arial" w:hAnsi="Arial"/>
          <w:sz w:val="22"/>
          <w:szCs w:val="22"/>
          <w:u w:val="single" w:color="auto"/>
          <w:color w:val="auto"/>
        </w:rPr>
        <w:t>Severance Benefits</w:t>
      </w:r>
      <w:r>
        <w:rPr>
          <w:rFonts w:ascii="Arial" w:cs="Arial" w:eastAsia="Arial" w:hAnsi="Arial"/>
          <w:sz w:val="22"/>
          <w:szCs w:val="22"/>
          <w:color w:val="auto"/>
        </w:rPr>
        <w:t>”) described in Paragraph 2 below unless you sign and do not revoke this Agreement. (Please see Paragraph 17 below for what it means to revoke this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You are encouraged to read this Agreement carefully and make certain that you understand and agree with it before you sign it. You may consider for twenty-one (21) days whether you wish to sign this Agreement. You are encouraged to review this Agreement with your attorney.</w:t>
      </w:r>
    </w:p>
    <w:p>
      <w:pPr>
        <w:spacing w:after="0" w:line="186" w:lineRule="exact"/>
        <w:rPr>
          <w:sz w:val="20"/>
          <w:szCs w:val="20"/>
          <w:color w:val="auto"/>
        </w:rPr>
      </w:pPr>
    </w:p>
    <w:p>
      <w:pPr>
        <w:ind w:left="2120" w:hanging="815"/>
        <w:spacing w:after="0"/>
        <w:tabs>
          <w:tab w:leader="none" w:pos="212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General Terms of Termination</w:t>
      </w:r>
      <w:r>
        <w:rPr>
          <w:rFonts w:ascii="Arial" w:cs="Arial" w:eastAsia="Arial" w:hAnsi="Arial"/>
          <w:sz w:val="22"/>
          <w:szCs w:val="22"/>
          <w:color w:val="auto"/>
        </w:rPr>
        <w:t>. As noted above, whether or not you sign this Agreement:</w:t>
      </w:r>
    </w:p>
    <w:p>
      <w:pPr>
        <w:spacing w:after="0" w:line="260" w:lineRule="exact"/>
        <w:rPr>
          <w:sz w:val="20"/>
          <w:szCs w:val="20"/>
          <w:color w:val="auto"/>
        </w:rPr>
      </w:pPr>
    </w:p>
    <w:p>
      <w:pPr>
        <w:jc w:val="both"/>
        <w:ind w:firstLine="1305"/>
        <w:spacing w:after="0" w:line="312" w:lineRule="auto"/>
        <w:tabs>
          <w:tab w:leader="none" w:pos="2185" w:val="left"/>
        </w:tabs>
        <w:numPr>
          <w:ilvl w:val="0"/>
          <w:numId w:val="76"/>
        </w:numPr>
        <w:rPr>
          <w:rFonts w:ascii="Arial" w:cs="Arial" w:eastAsia="Arial" w:hAnsi="Arial"/>
          <w:sz w:val="19"/>
          <w:szCs w:val="19"/>
          <w:color w:val="auto"/>
        </w:rPr>
      </w:pPr>
      <w:r>
        <w:rPr>
          <w:rFonts w:ascii="Arial" w:cs="Arial" w:eastAsia="Arial" w:hAnsi="Arial"/>
          <w:sz w:val="19"/>
          <w:szCs w:val="19"/>
          <w:color w:val="auto"/>
        </w:rPr>
        <w:t>Your employment with the Company will terminate on May 18, 2018 (the “</w:t>
      </w:r>
      <w:r>
        <w:rPr>
          <w:rFonts w:ascii="Arial" w:cs="Arial" w:eastAsia="Arial" w:hAnsi="Arial"/>
          <w:sz w:val="19"/>
          <w:szCs w:val="19"/>
          <w:u w:val="single" w:color="auto"/>
          <w:color w:val="auto"/>
        </w:rPr>
        <w:t>Retirement Date</w:t>
      </w:r>
      <w:r>
        <w:rPr>
          <w:rFonts w:ascii="Arial" w:cs="Arial" w:eastAsia="Arial" w:hAnsi="Arial"/>
          <w:sz w:val="19"/>
          <w:szCs w:val="19"/>
          <w:color w:val="auto"/>
        </w:rPr>
        <w:t>”). Effective on the Retirement Date, you shall resign from your position as President and Chief Executive Officer and as a member of the Board of Directors of the Company, and all other positions and directorships you hold with the Company and its affiliates.</w:t>
      </w:r>
    </w:p>
    <w:p>
      <w:pPr>
        <w:spacing w:after="0" w:line="174" w:lineRule="exact"/>
        <w:rPr>
          <w:rFonts w:ascii="Arial" w:cs="Arial" w:eastAsia="Arial" w:hAnsi="Arial"/>
          <w:sz w:val="19"/>
          <w:szCs w:val="19"/>
          <w:color w:val="auto"/>
        </w:rPr>
      </w:pPr>
    </w:p>
    <w:p>
      <w:pPr>
        <w:ind w:left="2200" w:hanging="895"/>
        <w:spacing w:after="0"/>
        <w:tabs>
          <w:tab w:leader="none" w:pos="22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You will receive a lump sum payment for your accrued but unused paid-time off, if any, as of your</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Retirement Date.</w:t>
      </w:r>
    </w:p>
    <w:p>
      <w:pPr>
        <w:spacing w:after="0" w:line="242" w:lineRule="exact"/>
        <w:rPr>
          <w:rFonts w:ascii="Arial" w:cs="Arial" w:eastAsia="Arial" w:hAnsi="Arial"/>
          <w:sz w:val="21"/>
          <w:szCs w:val="21"/>
          <w:color w:val="auto"/>
        </w:rPr>
      </w:pPr>
    </w:p>
    <w:p>
      <w:pPr>
        <w:jc w:val="both"/>
        <w:ind w:firstLine="1305"/>
        <w:spacing w:after="0" w:line="260" w:lineRule="auto"/>
        <w:tabs>
          <w:tab w:leader="none" w:pos="2185" w:val="left"/>
        </w:tabs>
        <w:numPr>
          <w:ilvl w:val="0"/>
          <w:numId w:val="76"/>
        </w:numPr>
        <w:rPr>
          <w:rFonts w:ascii="Arial" w:cs="Arial" w:eastAsia="Arial" w:hAnsi="Arial"/>
          <w:sz w:val="21"/>
          <w:szCs w:val="21"/>
          <w:color w:val="auto"/>
        </w:rPr>
      </w:pPr>
      <w:r>
        <w:rPr>
          <w:rFonts w:ascii="Arial" w:cs="Arial" w:eastAsia="Arial" w:hAnsi="Arial"/>
          <w:sz w:val="21"/>
          <w:szCs w:val="21"/>
          <w:color w:val="auto"/>
        </w:rPr>
        <w:t>Your eligibility to participate in the Company-sponsored health plans (medical, dental, and vision) as an employee of the Company will end on May 31, 2018. Thereafter, you will be eligible to continue such coverages at your sole expense in accordance with the Consolidated Omnibus Budget Reconciliation Act (“</w:t>
      </w:r>
      <w:r>
        <w:rPr>
          <w:rFonts w:ascii="Arial" w:cs="Arial" w:eastAsia="Arial" w:hAnsi="Arial"/>
          <w:sz w:val="21"/>
          <w:szCs w:val="21"/>
          <w:u w:val="single" w:color="auto"/>
          <w:color w:val="auto"/>
        </w:rPr>
        <w:t>COBRA</w:t>
      </w:r>
      <w:r>
        <w:rPr>
          <w:rFonts w:ascii="Arial" w:cs="Arial" w:eastAsia="Arial" w:hAnsi="Arial"/>
          <w:sz w:val="21"/>
          <w:szCs w:val="21"/>
          <w:color w:val="auto"/>
        </w:rPr>
        <w:t>”), subject to the terms, conditions and restrictions of the group medical, dental, and vision plans and COBRA. However, if you sign and do not revoke this Agreement, while your period of COBRA eligibility will commence on the first day of the month following your Retirement Date, you will remain eligible to participate in the Company’s medical (but not dental or vision) plan at active employee premium contribution rates until the end of the Severance Period as defined in Paragraph 2(a) below.</w:t>
      </w:r>
    </w:p>
    <w:p>
      <w:pPr>
        <w:spacing w:after="0" w:line="221" w:lineRule="exact"/>
        <w:rPr>
          <w:rFonts w:ascii="Arial" w:cs="Arial" w:eastAsia="Arial" w:hAnsi="Arial"/>
          <w:sz w:val="21"/>
          <w:szCs w:val="21"/>
          <w:color w:val="auto"/>
        </w:rPr>
      </w:pPr>
    </w:p>
    <w:p>
      <w:pPr>
        <w:ind w:firstLine="1305"/>
        <w:spacing w:after="0" w:line="263" w:lineRule="auto"/>
        <w:tabs>
          <w:tab w:leader="none" w:pos="2197" w:val="left"/>
        </w:tabs>
        <w:numPr>
          <w:ilvl w:val="0"/>
          <w:numId w:val="76"/>
        </w:numPr>
        <w:rPr>
          <w:rFonts w:ascii="Arial" w:cs="Arial" w:eastAsia="Arial" w:hAnsi="Arial"/>
          <w:sz w:val="22"/>
          <w:szCs w:val="22"/>
          <w:color w:val="auto"/>
        </w:rPr>
      </w:pPr>
      <w:r>
        <w:rPr>
          <w:rFonts w:ascii="Arial" w:cs="Arial" w:eastAsia="Arial" w:hAnsi="Arial"/>
          <w:sz w:val="22"/>
          <w:szCs w:val="22"/>
          <w:color w:val="auto"/>
        </w:rPr>
        <w:t>Your eligibility to participate in all other Company-sponsored group benefits, including but not limited to group life, business travel, disability, and accidental death and dismemberment</w:t>
      </w:r>
    </w:p>
    <w:p>
      <w:pPr>
        <w:sectPr>
          <w:pgSz w:w="11900" w:h="16838" w:orient="portrait"/>
          <w:cols w:equalWidth="0" w:num="1">
            <w:col w:w="11420"/>
          </w:cols>
          <w:pgMar w:left="240" w:top="580" w:right="2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22"/>
          <w:szCs w:val="22"/>
          <w:color w:val="auto"/>
        </w:rPr>
        <w:t>coverage, will terminate on the Retirement Date, unless the applicable plan document provides for a different result. However, if you sign and do not revoke this Agreement, you will remain eligible to participate in the Company’s group life insurance until the end of the Severance Period as defined in Paragraph 2(a) below.</w:t>
      </w:r>
    </w:p>
    <w:p>
      <w:pPr>
        <w:spacing w:after="0" w:line="226" w:lineRule="exact"/>
        <w:rPr>
          <w:sz w:val="20"/>
          <w:szCs w:val="20"/>
          <w:color w:val="auto"/>
        </w:rPr>
      </w:pPr>
    </w:p>
    <w:p>
      <w:pPr>
        <w:jc w:val="both"/>
        <w:ind w:firstLine="1305"/>
        <w:spacing w:after="0" w:line="246" w:lineRule="auto"/>
        <w:tabs>
          <w:tab w:leader="none" w:pos="2185" w:val="left"/>
        </w:tabs>
        <w:numPr>
          <w:ilvl w:val="0"/>
          <w:numId w:val="77"/>
        </w:numPr>
        <w:rPr>
          <w:rFonts w:ascii="Arial" w:cs="Arial" w:eastAsia="Arial" w:hAnsi="Arial"/>
          <w:sz w:val="22"/>
          <w:szCs w:val="22"/>
          <w:color w:val="auto"/>
        </w:rPr>
      </w:pPr>
      <w:r>
        <w:rPr>
          <w:rFonts w:ascii="Arial" w:cs="Arial" w:eastAsia="Arial" w:hAnsi="Arial"/>
          <w:sz w:val="22"/>
          <w:szCs w:val="22"/>
          <w:color w:val="auto"/>
        </w:rPr>
        <w:t>You will be eligible to receive an annual bonus under the Campbell Soup Company Annual Incentive Plan (the “</w:t>
      </w:r>
      <w:r>
        <w:rPr>
          <w:rFonts w:ascii="Arial" w:cs="Arial" w:eastAsia="Arial" w:hAnsi="Arial"/>
          <w:sz w:val="22"/>
          <w:szCs w:val="22"/>
          <w:u w:val="single" w:color="auto"/>
          <w:color w:val="auto"/>
        </w:rPr>
        <w:t>AIP</w:t>
      </w:r>
      <w:r>
        <w:rPr>
          <w:rFonts w:ascii="Arial" w:cs="Arial" w:eastAsia="Arial" w:hAnsi="Arial"/>
          <w:sz w:val="22"/>
          <w:szCs w:val="22"/>
          <w:color w:val="auto"/>
        </w:rPr>
        <w:t>”) for fiscal year 2018, as determined in accordance with the terms of the AIP and this Agreement. The calculation of your annual bonus shall be based solely on the Company’s performance under the terms of the AIP for fiscal year 2018, and shall not be subject to pro-ration for the partial period of service through the Retirement Date. In the calculation of your award, the Company will utilize your target bonus opportunity of 150% of your base salary; provided, that the actual amount paid to you, if any, under the AIP for 2018 will be determined in the sole discretion of the Compensation and Organization Committee of the Company’s Board of Directors.</w:t>
      </w:r>
    </w:p>
    <w:p>
      <w:pPr>
        <w:spacing w:after="0" w:line="237" w:lineRule="exact"/>
        <w:rPr>
          <w:rFonts w:ascii="Arial" w:cs="Arial" w:eastAsia="Arial" w:hAnsi="Arial"/>
          <w:sz w:val="22"/>
          <w:szCs w:val="22"/>
          <w:color w:val="auto"/>
        </w:rPr>
      </w:pPr>
    </w:p>
    <w:p>
      <w:pPr>
        <w:jc w:val="both"/>
        <w:ind w:firstLine="1305"/>
        <w:spacing w:after="0" w:line="250" w:lineRule="auto"/>
        <w:tabs>
          <w:tab w:leader="none" w:pos="2161" w:val="left"/>
        </w:tabs>
        <w:numPr>
          <w:ilvl w:val="0"/>
          <w:numId w:val="77"/>
        </w:numPr>
        <w:rPr>
          <w:rFonts w:ascii="Arial" w:cs="Arial" w:eastAsia="Arial" w:hAnsi="Arial"/>
          <w:sz w:val="22"/>
          <w:szCs w:val="22"/>
          <w:color w:val="auto"/>
        </w:rPr>
      </w:pPr>
      <w:r>
        <w:rPr>
          <w:rFonts w:ascii="Arial" w:cs="Arial" w:eastAsia="Arial" w:hAnsi="Arial"/>
          <w:sz w:val="22"/>
          <w:szCs w:val="22"/>
          <w:color w:val="auto"/>
        </w:rPr>
        <w:t>As a result of your retirement after the age of fifty-five (55) with more than five (5) years of continuous service, your outstanding Stock Options, EPS Performance Restricted Stock Units and TSR Performance Restricted Stock Units are eligible for “Retirement” treatment, as described in your applicable award agreements, the 2015 Long-Term Incentive Plan and applicable Long-Term Incentive Plan brochure.</w:t>
      </w:r>
    </w:p>
    <w:p>
      <w:pPr>
        <w:spacing w:after="0" w:line="228" w:lineRule="exact"/>
        <w:rPr>
          <w:rFonts w:ascii="Arial" w:cs="Arial" w:eastAsia="Arial" w:hAnsi="Arial"/>
          <w:sz w:val="22"/>
          <w:szCs w:val="22"/>
          <w:color w:val="auto"/>
        </w:rPr>
      </w:pPr>
    </w:p>
    <w:p>
      <w:pPr>
        <w:jc w:val="both"/>
        <w:ind w:firstLine="1305"/>
        <w:spacing w:after="0" w:line="284" w:lineRule="auto"/>
        <w:tabs>
          <w:tab w:leader="none" w:pos="2197" w:val="left"/>
        </w:tabs>
        <w:numPr>
          <w:ilvl w:val="0"/>
          <w:numId w:val="77"/>
        </w:numPr>
        <w:rPr>
          <w:rFonts w:ascii="Arial" w:cs="Arial" w:eastAsia="Arial" w:hAnsi="Arial"/>
          <w:sz w:val="19"/>
          <w:szCs w:val="19"/>
          <w:color w:val="auto"/>
        </w:rPr>
      </w:pPr>
      <w:r>
        <w:rPr>
          <w:rFonts w:ascii="Arial" w:cs="Arial" w:eastAsia="Arial" w:hAnsi="Arial"/>
          <w:sz w:val="19"/>
          <w:szCs w:val="19"/>
          <w:color w:val="auto"/>
        </w:rPr>
        <w:t>You remain legally bound by and must comply with the terms, conditions, and restrictions of the Campbell Soup Company Non-Competition Agreement executed by you on April 11, 2003 (the “</w:t>
      </w:r>
      <w:r>
        <w:rPr>
          <w:rFonts w:ascii="Arial" w:cs="Arial" w:eastAsia="Arial" w:hAnsi="Arial"/>
          <w:sz w:val="19"/>
          <w:szCs w:val="19"/>
          <w:u w:val="single" w:color="auto"/>
          <w:color w:val="auto"/>
        </w:rPr>
        <w:t>Non-Competition Agreement</w:t>
      </w:r>
      <w:r>
        <w:rPr>
          <w:rFonts w:ascii="Arial" w:cs="Arial" w:eastAsia="Arial" w:hAnsi="Arial"/>
          <w:sz w:val="19"/>
          <w:szCs w:val="19"/>
          <w:color w:val="auto"/>
        </w:rPr>
        <w:t xml:space="preserve">”). Notwithstanding the foregoing, your non-disclosure obligations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of the Non-Competition Agreement shall not be applied to limit or interfere with your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“Government Agency”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 The disclosures and actions protected in this </w:t>
      </w:r>
      <w:r>
        <w:rPr>
          <w:rFonts w:ascii="Arial" w:cs="Arial" w:eastAsia="Arial" w:hAnsi="Arial"/>
          <w:sz w:val="19"/>
          <w:szCs w:val="19"/>
          <w:u w:val="single" w:color="auto"/>
          <w:color w:val="auto"/>
        </w:rPr>
        <w:t>Section 1(g)</w:t>
      </w:r>
      <w:r>
        <w:rPr>
          <w:rFonts w:ascii="Arial" w:cs="Arial" w:eastAsia="Arial" w:hAnsi="Arial"/>
          <w:sz w:val="19"/>
          <w:szCs w:val="19"/>
          <w:color w:val="auto"/>
        </w:rPr>
        <w:t xml:space="preserve"> are referred to herein as “Protected Activities.” You understand that you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You further understand that you shall not be held criminally or civilly liable under any federal or state trade secret law for the disclosure of a trade secret that is made in a complaint or other document filed in a lawsuit or other proceeding, if such filing is made under seal. In addition, you understand that if you file a lawsuit for retaliation by an employer for reporting a suspected violation of law, you may disclose a trade secret to your attorney and use the trade secret information in the court proceeding, provided you file any document containing the trade secret under seal and do not disclose the trade secret other than pursuant to court order. However, you are not authorized to make any disclosures as to which the Company may assert protections from disclosure under the attorney-client privilege or the attorney work product doctrine without prior written consent of the Company’s General Counsel or another authorized officer designated by the Company.</w:t>
      </w:r>
    </w:p>
    <w:p>
      <w:pPr>
        <w:spacing w:after="0" w:line="216" w:lineRule="exact"/>
        <w:rPr>
          <w:sz w:val="20"/>
          <w:szCs w:val="20"/>
          <w:color w:val="auto"/>
        </w:rPr>
      </w:pPr>
    </w:p>
    <w:p>
      <w:pPr>
        <w:jc w:val="both"/>
        <w:ind w:left="660" w:firstLine="645"/>
        <w:spacing w:after="0" w:line="253" w:lineRule="auto"/>
        <w:tabs>
          <w:tab w:leader="none" w:pos="211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 If you sign and do not revoke this Agreement, agreeing to be bound by the General Release in Paragraph 3 below and the other terms and conditions of this Agreement, within thirty (30) days following the Retirement Date, the Company will do the following:</w:t>
      </w:r>
    </w:p>
    <w:p>
      <w:pPr>
        <w:sectPr>
          <w:pgSz w:w="11900" w:h="16838" w:orient="portrait"/>
          <w:cols w:equalWidth="0" w:num="1">
            <w:col w:w="11420"/>
          </w:cols>
          <w:pgMar w:left="240" w:top="591" w:right="239" w:bottom="1440" w:gutter="0" w:footer="0" w:header="0"/>
        </w:sectPr>
      </w:pPr>
    </w:p>
    <w:bookmarkStart w:id="94" w:name="page95"/>
    <w:bookmarkEnd w:id="94"/>
    <w:p>
      <w:pPr>
        <w:jc w:val="both"/>
        <w:ind w:left="-1200" w:firstLine="1305"/>
        <w:spacing w:after="0" w:line="297" w:lineRule="auto"/>
        <w:tabs>
          <w:tab w:leader="none" w:pos="444"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Company will pay you one hundred four (104) weeks of severance pay at your current base salary ($1,152,000 annually), less withholding of all applicable federal, state, and local taxes. The severance payments will be paid to you in substantially equal installments in accordance with the Company’s regular payroll practices, with the first installment to be made on the first payroll date that follows the thirtieth (30th) day following your Retirement Date. For purposes of this Agreement, the period in which you receive severance payments pursuant to this Paragraph 2(a) shall be referred to as the “Severance Period.”</w:t>
      </w:r>
    </w:p>
    <w:p>
      <w:pPr>
        <w:spacing w:after="0" w:line="187" w:lineRule="exact"/>
        <w:rPr>
          <w:rFonts w:ascii="Arial" w:cs="Arial" w:eastAsia="Arial" w:hAnsi="Arial"/>
          <w:sz w:val="19"/>
          <w:szCs w:val="19"/>
          <w:color w:val="auto"/>
        </w:rPr>
      </w:pPr>
    </w:p>
    <w:p>
      <w:pPr>
        <w:jc w:val="both"/>
        <w:ind w:left="-1200" w:firstLine="1305"/>
        <w:spacing w:after="0" w:line="288" w:lineRule="auto"/>
        <w:tabs>
          <w:tab w:leader="none" w:pos="407" w:val="left"/>
        </w:tabs>
        <w:numPr>
          <w:ilvl w:val="0"/>
          <w:numId w:val="79"/>
        </w:numPr>
        <w:rPr>
          <w:rFonts w:ascii="Arial" w:cs="Arial" w:eastAsia="Arial" w:hAnsi="Arial"/>
          <w:sz w:val="19"/>
          <w:szCs w:val="19"/>
          <w:color w:val="auto"/>
        </w:rPr>
      </w:pPr>
      <w:r>
        <w:rPr>
          <w:rFonts w:ascii="Arial" w:cs="Arial" w:eastAsia="Arial" w:hAnsi="Arial"/>
          <w:sz w:val="19"/>
          <w:szCs w:val="19"/>
          <w:color w:val="auto"/>
        </w:rPr>
        <w:t>While your COBRA eligibility period will commence on June 1, 2018, the Company will continue your medical (but not dental or vision) coverage until the end of the Severance Period as though you were actively employed by the Company at active employee premium contribution rates, and your portion of the monthly contributions will be deducted from the payments you receive following the Retirement Date. Notwithstanding the foregoing, during the Severance Period, the Company shall impute as taxable income to you an amount equal to the full actuarial cost of such coverage in excess of your contributions to the cost of such coverage, for each month during which such coverage is in effect for you and/or your eligible dependents but only if and to the extent such imputation is required for you to avoid being subject to tax under Section 105(h)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with respect to any payment or reimbursement of expenses made to you or for you and/or any of your eligible dependents’ benefit under such plan. After the Severance Period, your continued participation in the Company’s group medical plan for the remainder, if any, of your COBRA eligibility period shall be at your sole expense.</w:t>
      </w:r>
    </w:p>
    <w:p>
      <w:pPr>
        <w:spacing w:after="0" w:line="200" w:lineRule="exact"/>
        <w:rPr>
          <w:rFonts w:ascii="Arial" w:cs="Arial" w:eastAsia="Arial" w:hAnsi="Arial"/>
          <w:sz w:val="19"/>
          <w:szCs w:val="19"/>
          <w:color w:val="auto"/>
        </w:rPr>
      </w:pPr>
    </w:p>
    <w:p>
      <w:pPr>
        <w:jc w:val="both"/>
        <w:ind w:left="-1200" w:firstLine="1305"/>
        <w:spacing w:after="0" w:line="253" w:lineRule="auto"/>
        <w:tabs>
          <w:tab w:leader="none" w:pos="40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Company will continue your group life insurance until the end of the Severance Period as though you were actively employed by the Company. After the Severance Period, your continued participation in the Company’s group life insurance shall terminate.</w:t>
      </w:r>
    </w:p>
    <w:p>
      <w:pPr>
        <w:spacing w:after="0" w:line="226" w:lineRule="exact"/>
        <w:rPr>
          <w:rFonts w:ascii="Arial" w:cs="Arial" w:eastAsia="Arial" w:hAnsi="Arial"/>
          <w:sz w:val="22"/>
          <w:szCs w:val="22"/>
          <w:color w:val="auto"/>
        </w:rPr>
      </w:pPr>
    </w:p>
    <w:p>
      <w:pPr>
        <w:jc w:val="both"/>
        <w:ind w:left="-1200" w:firstLine="1305"/>
        <w:spacing w:after="0" w:line="253" w:lineRule="auto"/>
        <w:tabs>
          <w:tab w:leader="none" w:pos="4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Your eligibility to participate in the Company’s benefit plans and programs in accordance with Paragraphs 2(b) and (c) above shall cease when you become eligible for benefits coverage from a new employer. You must inform the Company when you become eligible for benefits from a new employer.</w:t>
      </w:r>
    </w:p>
    <w:p>
      <w:pPr>
        <w:spacing w:after="0" w:line="226" w:lineRule="exact"/>
        <w:rPr>
          <w:rFonts w:ascii="Arial" w:cs="Arial" w:eastAsia="Arial" w:hAnsi="Arial"/>
          <w:sz w:val="22"/>
          <w:szCs w:val="22"/>
          <w:color w:val="auto"/>
        </w:rPr>
      </w:pPr>
    </w:p>
    <w:p>
      <w:pPr>
        <w:jc w:val="both"/>
        <w:ind w:left="-1200" w:firstLine="1305"/>
        <w:spacing w:after="0" w:line="247" w:lineRule="auto"/>
        <w:tabs>
          <w:tab w:leader="none" w:pos="392" w:val="left"/>
        </w:tabs>
        <w:numPr>
          <w:ilvl w:val="0"/>
          <w:numId w:val="79"/>
        </w:numPr>
        <w:rPr>
          <w:rFonts w:ascii="Arial" w:cs="Arial" w:eastAsia="Arial" w:hAnsi="Arial"/>
          <w:sz w:val="22"/>
          <w:szCs w:val="22"/>
          <w:color w:val="auto"/>
        </w:rPr>
      </w:pPr>
      <w:r>
        <w:rPr>
          <w:rFonts w:ascii="Arial" w:cs="Arial" w:eastAsia="Arial" w:hAnsi="Arial"/>
          <w:sz w:val="22"/>
          <w:szCs w:val="22"/>
          <w:color w:val="auto"/>
        </w:rPr>
        <w:t>If you violate any of the post-termination restrictions set forth in the Non-Competition Agreement, the Company, in its sole discretion, may cease making the payments and providing the benefits set forth in this Paragraph 2; however, the General Release in Paragraph 3 below shall remain in full force and effect. Prior to taking such action, the Company shall give you written notice and a reasonable opportunity to cure and if you cure such event, the Company shall not have the right to cease making such payments or providing such benefits. This shall be in addition to any other remedies which may be available to the Company under the Non-Competition Agreement.</w:t>
      </w:r>
    </w:p>
    <w:p>
      <w:pPr>
        <w:spacing w:after="0" w:line="234" w:lineRule="exact"/>
        <w:rPr>
          <w:sz w:val="20"/>
          <w:szCs w:val="20"/>
          <w:color w:val="auto"/>
        </w:rPr>
      </w:pPr>
    </w:p>
    <w:p>
      <w:pPr>
        <w:ind w:left="920" w:hanging="815"/>
        <w:spacing w:after="0"/>
        <w:tabs>
          <w:tab w:leader="none" w:pos="92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General Release</w:t>
      </w:r>
      <w:r>
        <w:rPr>
          <w:rFonts w:ascii="Arial" w:cs="Arial" w:eastAsia="Arial" w:hAnsi="Arial"/>
          <w:sz w:val="22"/>
          <w:szCs w:val="22"/>
          <w:color w:val="auto"/>
        </w:rPr>
        <w:t>.</w:t>
      </w:r>
    </w:p>
    <w:p>
      <w:pPr>
        <w:spacing w:after="0" w:line="260" w:lineRule="exact"/>
        <w:rPr>
          <w:sz w:val="20"/>
          <w:szCs w:val="20"/>
          <w:color w:val="auto"/>
        </w:rPr>
      </w:pPr>
    </w:p>
    <w:p>
      <w:pPr>
        <w:ind w:left="-1200" w:right="40" w:firstLine="1305"/>
        <w:spacing w:after="0" w:line="302" w:lineRule="auto"/>
        <w:tabs>
          <w:tab w:leader="none" w:pos="390"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 exchange for the Company’s Severance Benefits described in Paragraph 2, you release and forever discharge, to the maximum extent permitted by law, the Company and each of the other “Releasees” as defined below, from any and all claims, causes of action, complaints, lawsuits, or liabilities of any kind (collectively, “Claims”) as described below which you, your heirs, agents, administrators, or executors have or may have against the Company or any of the other Releasees.</w:t>
      </w:r>
    </w:p>
    <w:p>
      <w:pPr>
        <w:spacing w:after="0" w:line="183" w:lineRule="exact"/>
        <w:rPr>
          <w:rFonts w:ascii="Arial" w:cs="Arial" w:eastAsia="Arial" w:hAnsi="Arial"/>
          <w:sz w:val="19"/>
          <w:szCs w:val="19"/>
          <w:color w:val="auto"/>
        </w:rPr>
      </w:pPr>
    </w:p>
    <w:p>
      <w:pPr>
        <w:ind w:left="-1200" w:right="60" w:firstLine="1305"/>
        <w:spacing w:after="0" w:line="248" w:lineRule="auto"/>
        <w:tabs>
          <w:tab w:leader="none" w:pos="403" w:val="left"/>
        </w:tabs>
        <w:numPr>
          <w:ilvl w:val="0"/>
          <w:numId w:val="81"/>
        </w:numPr>
        <w:rPr>
          <w:rFonts w:ascii="Arial" w:cs="Arial" w:eastAsia="Arial" w:hAnsi="Arial"/>
          <w:sz w:val="22"/>
          <w:szCs w:val="22"/>
          <w:color w:val="auto"/>
        </w:rPr>
      </w:pPr>
      <w:r>
        <w:rPr>
          <w:rFonts w:ascii="Arial" w:cs="Arial" w:eastAsia="Arial" w:hAnsi="Arial"/>
          <w:sz w:val="22"/>
          <w:szCs w:val="22"/>
          <w:color w:val="auto"/>
        </w:rPr>
        <w:t>By agreeing to this General Release, you are waiving, to the maximum extent permitted by law, any and all Claims that you have or may have against the Company or any of the other Releasees arising out of or relating to your employment and/or the termination of your employment with the Company, including, but not limited to, the following: (i) any Claims for severance, benefits, bonuses, commissions, and/or other compensation of any kind; (ii) any Claims for reimbursement of expenses that</w:t>
      </w:r>
    </w:p>
    <w:p>
      <w:pPr>
        <w:sectPr>
          <w:pgSz w:w="11900" w:h="16838" w:orient="portrait"/>
          <w:cols w:equalWidth="0" w:num="1">
            <w:col w:w="10220"/>
          </w:cols>
          <w:pgMar w:left="1440" w:top="591" w:right="239" w:bottom="1440" w:gutter="0" w:footer="0" w:header="0"/>
        </w:sectPr>
      </w:pPr>
    </w:p>
    <w:bookmarkStart w:id="95" w:name="page96"/>
    <w:bookmarkEnd w:id="95"/>
    <w:p>
      <w:pPr>
        <w:ind w:right="20"/>
        <w:spacing w:after="0" w:line="257" w:lineRule="auto"/>
        <w:rPr>
          <w:sz w:val="20"/>
          <w:szCs w:val="20"/>
          <w:color w:val="auto"/>
        </w:rPr>
      </w:pPr>
      <w:r>
        <w:rPr>
          <w:rFonts w:ascii="Arial" w:cs="Arial" w:eastAsia="Arial" w:hAnsi="Arial"/>
          <w:sz w:val="21"/>
          <w:szCs w:val="21"/>
          <w:color w:val="auto"/>
        </w:rPr>
        <w:t>are not submitted before the Retirement Date; (iii) any Claims for attorneys’ fees or costs; (iv) any Claims under the Employee Retirement Income Security Act (“ERISA”); (v) any Claims of discrimination and/or harassment based on age, sex, pregnancy, race, religion, color, creed, disability, handicap, medical condition, failure to accommodate, citizenship, national origin, ancestry, marital status, sexual orientation, gender identity or expression, or any other factor protected by federal, state, or local law (such as the Age Discrimination in Employment Act, Title VII of the Civil Rights Act of 1964, the Americans with Disabilities Act, the Equal Pay Act, the Genetic Information Non-discrimination Act, and any state or local non-discrimination law or ordinance, including the Diane B. Allen Equal Pay Act of New Jersey) and any Claims for retaliation under any of the foregoing laws; (vi) any Claims regarding leaves of absence including, but not limited to, any Claims under the Family and Medical Leave Act or similar state or local laws related to leaves; (vii) any Claims arising under the Uniformed Services Employment and Reemployment Rights Act (“USERRA”) or any state or local laws governing military leave; (viii) any Claims for wrongful discharge, violation of public policy, and breach of contract, implied contract, or the implied duty of good faith and fair dealing; (ix) any whistleblower or retaliation Claims; (x) any claims under the Worker Adjustment Retraining and Notification Act (“WARN”) or similar state or local laws; and/or (xi) any other statutory, regulatory, common law, or other Claims of any kind, including, but not limited to, Claims for libel, slander, fraud, promissory estoppel, equitable estoppel, invasion of privacy, misrepresentation, emotional distress, and pain and suffering.</w:t>
      </w:r>
    </w:p>
    <w:p>
      <w:pPr>
        <w:spacing w:after="0" w:line="227" w:lineRule="exact"/>
        <w:rPr>
          <w:sz w:val="20"/>
          <w:szCs w:val="20"/>
          <w:color w:val="auto"/>
        </w:rPr>
      </w:pPr>
    </w:p>
    <w:p>
      <w:pPr>
        <w:jc w:val="both"/>
        <w:ind w:left="80" w:firstLine="1211"/>
        <w:spacing w:after="0" w:line="253" w:lineRule="auto"/>
        <w:tabs>
          <w:tab w:leader="none" w:pos="1622"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term “Releasees” includes: the Company and any parent, subsidiary, related, or affiliated entities of the Company, and each of their past and present employees, officers, directors, attorneys, shareholders, partners, insurers, benefit plan fiduciaries and agents, and all of their respective successors and assigns.</w:t>
      </w:r>
    </w:p>
    <w:p>
      <w:pPr>
        <w:spacing w:after="0" w:line="226" w:lineRule="exact"/>
        <w:rPr>
          <w:sz w:val="20"/>
          <w:szCs w:val="20"/>
          <w:color w:val="auto"/>
        </w:rPr>
      </w:pPr>
    </w:p>
    <w:p>
      <w:pPr>
        <w:ind w:left="2120" w:hanging="815"/>
        <w:spacing w:after="0"/>
        <w:tabs>
          <w:tab w:leader="none" w:pos="212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Non-Released Claims</w:t>
      </w:r>
      <w:r>
        <w:rPr>
          <w:rFonts w:ascii="Arial" w:cs="Arial" w:eastAsia="Arial" w:hAnsi="Arial"/>
          <w:sz w:val="22"/>
          <w:szCs w:val="22"/>
          <w:color w:val="auto"/>
        </w:rPr>
        <w:t xml:space="preserve">. The General Release by you in Paragraph 3 above does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apply to:</w:t>
      </w:r>
    </w:p>
    <w:p>
      <w:pPr>
        <w:spacing w:after="0" w:line="260" w:lineRule="exact"/>
        <w:rPr>
          <w:sz w:val="20"/>
          <w:szCs w:val="20"/>
          <w:color w:val="auto"/>
        </w:rPr>
      </w:pPr>
    </w:p>
    <w:p>
      <w:pPr>
        <w:jc w:val="both"/>
        <w:ind w:left="80" w:firstLine="1211"/>
        <w:spacing w:after="0" w:line="250" w:lineRule="auto"/>
        <w:tabs>
          <w:tab w:leader="none" w:pos="1606" w:val="left"/>
        </w:tabs>
        <w:numPr>
          <w:ilvl w:val="1"/>
          <w:numId w:val="84"/>
        </w:numPr>
        <w:rPr>
          <w:rFonts w:ascii="Arial" w:cs="Arial" w:eastAsia="Arial" w:hAnsi="Arial"/>
          <w:sz w:val="22"/>
          <w:szCs w:val="22"/>
          <w:color w:val="auto"/>
        </w:rPr>
      </w:pPr>
      <w:r>
        <w:rPr>
          <w:rFonts w:ascii="Arial" w:cs="Arial" w:eastAsia="Arial" w:hAnsi="Arial"/>
          <w:sz w:val="22"/>
          <w:szCs w:val="22"/>
          <w:color w:val="auto"/>
        </w:rPr>
        <w:t>Any Claims for vested benefits under any Company qualified and/or non-qualified retirement, savings or other benefit plans in which you participate, for example, any claims under the Campbell Soup Company Retirement and Pension Plan, the Campbell Soup Company 401(k) Retirement Plan, the Supplemental Retirement Plan, the Mid-Career Hire Pension Plan and/or the Deferred Compensation Plan.</w:t>
      </w:r>
    </w:p>
    <w:p>
      <w:pPr>
        <w:spacing w:after="0" w:line="228" w:lineRule="exact"/>
        <w:rPr>
          <w:rFonts w:ascii="Arial" w:cs="Arial" w:eastAsia="Arial" w:hAnsi="Arial"/>
          <w:sz w:val="22"/>
          <w:szCs w:val="22"/>
          <w:color w:val="auto"/>
        </w:rPr>
      </w:pPr>
    </w:p>
    <w:p>
      <w:pPr>
        <w:ind w:left="80" w:firstLine="1211"/>
        <w:spacing w:after="0" w:line="263" w:lineRule="auto"/>
        <w:tabs>
          <w:tab w:leader="none" w:pos="1631" w:val="left"/>
        </w:tabs>
        <w:numPr>
          <w:ilvl w:val="1"/>
          <w:numId w:val="84"/>
        </w:numPr>
        <w:rPr>
          <w:rFonts w:ascii="Arial" w:cs="Arial" w:eastAsia="Arial" w:hAnsi="Arial"/>
          <w:sz w:val="22"/>
          <w:szCs w:val="22"/>
          <w:color w:val="auto"/>
        </w:rPr>
      </w:pPr>
      <w:r>
        <w:rPr>
          <w:rFonts w:ascii="Arial" w:cs="Arial" w:eastAsia="Arial" w:hAnsi="Arial"/>
          <w:sz w:val="22"/>
          <w:szCs w:val="22"/>
          <w:color w:val="auto"/>
        </w:rPr>
        <w:t>Any Claims to require the Company to honor its commitments set forth in this Agreement or to interpret or determine the enforceability, scope, meaning, or effect of this Agreement;</w:t>
      </w:r>
    </w:p>
    <w:p>
      <w:pPr>
        <w:spacing w:after="0" w:line="215" w:lineRule="exact"/>
        <w:rPr>
          <w:rFonts w:ascii="Arial" w:cs="Arial" w:eastAsia="Arial" w:hAnsi="Arial"/>
          <w:sz w:val="22"/>
          <w:szCs w:val="22"/>
          <w:color w:val="auto"/>
        </w:rPr>
      </w:pPr>
    </w:p>
    <w:p>
      <w:pPr>
        <w:ind w:left="1600" w:hanging="295"/>
        <w:spacing w:after="0"/>
        <w:tabs>
          <w:tab w:leader="none" w:pos="1600" w:val="left"/>
        </w:tabs>
        <w:numPr>
          <w:ilvl w:val="2"/>
          <w:numId w:val="84"/>
        </w:numPr>
        <w:rPr>
          <w:rFonts w:ascii="Arial" w:cs="Arial" w:eastAsia="Arial" w:hAnsi="Arial"/>
          <w:sz w:val="22"/>
          <w:szCs w:val="22"/>
          <w:color w:val="auto"/>
        </w:rPr>
      </w:pPr>
      <w:r>
        <w:rPr>
          <w:rFonts w:ascii="Arial" w:cs="Arial" w:eastAsia="Arial" w:hAnsi="Arial"/>
          <w:sz w:val="22"/>
          <w:szCs w:val="22"/>
          <w:color w:val="auto"/>
        </w:rPr>
        <w:t>Any Claims arising after you have signed this Agreement; and</w:t>
      </w:r>
    </w:p>
    <w:p>
      <w:pPr>
        <w:spacing w:after="0" w:line="260" w:lineRule="exact"/>
        <w:rPr>
          <w:rFonts w:ascii="Arial" w:cs="Arial" w:eastAsia="Arial" w:hAnsi="Arial"/>
          <w:sz w:val="22"/>
          <w:szCs w:val="22"/>
          <w:color w:val="auto"/>
        </w:rPr>
      </w:pPr>
    </w:p>
    <w:p>
      <w:pPr>
        <w:ind w:firstLine="1305"/>
        <w:spacing w:after="0" w:line="263" w:lineRule="auto"/>
        <w:tabs>
          <w:tab w:leader="none" w:pos="1611" w:val="left"/>
        </w:tabs>
        <w:numPr>
          <w:ilvl w:val="2"/>
          <w:numId w:val="84"/>
        </w:numPr>
        <w:rPr>
          <w:rFonts w:ascii="Arial" w:cs="Arial" w:eastAsia="Arial" w:hAnsi="Arial"/>
          <w:sz w:val="22"/>
          <w:szCs w:val="22"/>
          <w:color w:val="auto"/>
        </w:rPr>
      </w:pPr>
      <w:r>
        <w:rPr>
          <w:rFonts w:ascii="Arial" w:cs="Arial" w:eastAsia="Arial" w:hAnsi="Arial"/>
          <w:sz w:val="22"/>
          <w:szCs w:val="22"/>
          <w:color w:val="auto"/>
        </w:rPr>
        <w:t>Any Claims for workers’ compensation benefits, any Claims for unemployment compensation benefits, and any other Claims that cannot be waived by a General Release.</w:t>
      </w:r>
    </w:p>
    <w:p>
      <w:pPr>
        <w:spacing w:after="0" w:line="215" w:lineRule="exact"/>
        <w:rPr>
          <w:rFonts w:ascii="Arial" w:cs="Arial" w:eastAsia="Arial" w:hAnsi="Arial"/>
          <w:sz w:val="22"/>
          <w:szCs w:val="22"/>
          <w:color w:val="auto"/>
        </w:rPr>
      </w:pPr>
    </w:p>
    <w:p>
      <w:pPr>
        <w:ind w:firstLine="1305"/>
        <w:spacing w:after="0" w:line="343" w:lineRule="auto"/>
        <w:tabs>
          <w:tab w:leader="none" w:pos="1644" w:val="left"/>
        </w:tabs>
        <w:numPr>
          <w:ilvl w:val="2"/>
          <w:numId w:val="84"/>
        </w:numPr>
        <w:rPr>
          <w:rFonts w:ascii="Arial" w:cs="Arial" w:eastAsia="Arial" w:hAnsi="Arial"/>
          <w:sz w:val="19"/>
          <w:szCs w:val="19"/>
          <w:color w:val="auto"/>
        </w:rPr>
      </w:pPr>
      <w:r>
        <w:rPr>
          <w:rFonts w:ascii="Arial" w:cs="Arial" w:eastAsia="Arial" w:hAnsi="Arial"/>
          <w:sz w:val="19"/>
          <w:szCs w:val="19"/>
          <w:color w:val="auto"/>
        </w:rPr>
        <w:t>Your right to be indemnified for third-party claims pursuant to the Company’s bylaws or applicable law (including advancement of expenses) and/or to be covered under any applicable directors’ and officers’ liability insurance policies.</w:t>
      </w:r>
    </w:p>
    <w:p>
      <w:pPr>
        <w:spacing w:after="0" w:line="145" w:lineRule="exact"/>
        <w:rPr>
          <w:rFonts w:ascii="Arial" w:cs="Arial" w:eastAsia="Arial" w:hAnsi="Arial"/>
          <w:sz w:val="19"/>
          <w:szCs w:val="19"/>
          <w:color w:val="auto"/>
        </w:rPr>
      </w:pPr>
    </w:p>
    <w:p>
      <w:pPr>
        <w:jc w:val="both"/>
        <w:ind w:firstLine="656"/>
        <w:spacing w:after="0" w:line="250" w:lineRule="auto"/>
        <w:tabs>
          <w:tab w:leader="none" w:pos="1459"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Retained Rights</w:t>
      </w:r>
      <w:r>
        <w:rPr>
          <w:rFonts w:ascii="Arial" w:cs="Arial" w:eastAsia="Arial" w:hAnsi="Arial"/>
          <w:sz w:val="22"/>
          <w:szCs w:val="22"/>
          <w:color w:val="auto"/>
        </w:rPr>
        <w:t>. As noted above, you retain certain important rights under this Agreement. Regardless of whether or not you sign this Agreement, nothing in this Agreement is intended to or shall be interpreted to restrict or otherwise interfere with: (i) your obligation to testify truthfully in any forum; (ii) your right and/or obligation to contact, cooperate with, or provide information to - or testify or otherwise</w:t>
      </w:r>
    </w:p>
    <w:p>
      <w:pPr>
        <w:sectPr>
          <w:pgSz w:w="11900" w:h="16838" w:orient="portrait"/>
          <w:cols w:equalWidth="0" w:num="1">
            <w:col w:w="11420"/>
          </w:cols>
          <w:pgMar w:left="240" w:top="591" w:right="239" w:bottom="1440" w:gutter="0" w:footer="0" w:header="0"/>
        </w:sectPr>
      </w:pPr>
    </w:p>
    <w:bookmarkStart w:id="96" w:name="page97"/>
    <w:bookmarkEnd w:id="96"/>
    <w:p>
      <w:pPr>
        <w:jc w:val="both"/>
        <w:spacing w:after="0" w:line="302" w:lineRule="auto"/>
        <w:rPr>
          <w:sz w:val="20"/>
          <w:szCs w:val="20"/>
          <w:color w:val="auto"/>
        </w:rPr>
      </w:pPr>
      <w:r>
        <w:rPr>
          <w:rFonts w:ascii="Arial" w:cs="Arial" w:eastAsia="Arial" w:hAnsi="Arial"/>
          <w:sz w:val="19"/>
          <w:szCs w:val="19"/>
          <w:color w:val="auto"/>
        </w:rPr>
        <w:t>participate in any action, investigation, or proceeding of - any federal, state, or local government agency or commission (including, but not limited to, the EEOC or the SEC); or (iii) your right to disclose any information or produce any documents as is required by law or legal process. Further, the General Release in Paragraph 3 does not prevent you from contacting or filing a charge with any federal, state, or local government agency or commission (including, but not limited to, the EEOC or the SEC).</w:t>
      </w:r>
    </w:p>
    <w:p>
      <w:pPr>
        <w:spacing w:after="0" w:line="183" w:lineRule="exact"/>
        <w:rPr>
          <w:sz w:val="20"/>
          <w:szCs w:val="20"/>
          <w:color w:val="auto"/>
        </w:rPr>
      </w:pPr>
    </w:p>
    <w:p>
      <w:pPr>
        <w:jc w:val="both"/>
        <w:ind w:firstLine="1305"/>
        <w:spacing w:after="0" w:line="292" w:lineRule="auto"/>
        <w:tabs>
          <w:tab w:leader="none" w:pos="2107"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Prior Acts</w:t>
      </w:r>
      <w:r>
        <w:rPr>
          <w:rFonts w:ascii="Arial" w:cs="Arial" w:eastAsia="Arial" w:hAnsi="Arial"/>
          <w:sz w:val="19"/>
          <w:szCs w:val="19"/>
          <w:color w:val="auto"/>
        </w:rPr>
        <w:t>. It is acknowledged, understood and agreed by you that should Campbell discover that you have engaged in any unethical, dishonest or fraudulent act which harms, or has harmed the Company (or any affiliated corporate entity), the Company reserves the right, in its sole discretion, to terminate or suspend all payments or benefits remaining to be paid by the Company under Paragraph 2 of this Agreement; however, the General Release in Paragraph 3 above shall remain in full force and effect. In addition, the Company may seek all other remedies and relief allowed by law, including but not limited to the return of any payments made under this Agreement. You also acknowledge that you remain subject to the Company’s Incentive Compensation Clawback Policy in all respects, including with respect to incentive compensation referred to in this Agreement.</w:t>
      </w:r>
    </w:p>
    <w:p>
      <w:pPr>
        <w:spacing w:after="0" w:line="192" w:lineRule="exact"/>
        <w:rPr>
          <w:rFonts w:ascii="Arial" w:cs="Arial" w:eastAsia="Arial" w:hAnsi="Arial"/>
          <w:sz w:val="19"/>
          <w:szCs w:val="19"/>
          <w:color w:val="auto"/>
        </w:rPr>
      </w:pPr>
    </w:p>
    <w:p>
      <w:pPr>
        <w:ind w:left="2120" w:hanging="815"/>
        <w:spacing w:after="0"/>
        <w:tabs>
          <w:tab w:leader="none" w:pos="21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86" w:lineRule="auto"/>
        <w:tabs>
          <w:tab w:leader="none" w:pos="2239"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Duty to Retain as Confidential</w:t>
      </w:r>
      <w:r>
        <w:rPr>
          <w:rFonts w:ascii="Arial" w:cs="Arial" w:eastAsia="Arial" w:hAnsi="Arial"/>
          <w:sz w:val="19"/>
          <w:szCs w:val="19"/>
          <w:color w:val="auto"/>
        </w:rPr>
        <w:t>. You acknowledge and agree that, in the course of your employment with the Company, you may have created and/or acquired confidential and/or proprietary information relating to the business of the Company and/or any parent, subsidiary, related, or affiliated company which is not known by or generally accessible to the public. You expressly agree that you will keep secret and safeguard all such information, and will not, at any time, in any form or manner, directly or indirectly, divulge, disclose, or communicate to any person, firm, corporation, or other entity any such information without the direct written authority of the Company. More specifically, this Agreement incorporates by reference all of the provisions of the Non-Competition Agreement. Because of the importance of this provision to the successful conduct of the Company and its good will, you agree that if you use or disclose, or threaten to use or disclose, confidential and/or proprietary information in violation of this Agreement, the Company will have available, in addition to any other right or remedy available, the right to obtain injunctive and equitable relief of any type from a court of competent jurisdiction, including but not limited to restraining such breach or threatened breach. Notwithstanding the foregoing, you shall be permitted to disclose confidential and/or proprietary information (i) to the extent required by law or by any court or governmental or regulatory body or agency, or (ii) in connection with any Claim to enforce, interpret or determine the scope, meaning or effect of this Agreement.</w:t>
      </w:r>
    </w:p>
    <w:p>
      <w:pPr>
        <w:spacing w:after="0" w:line="207" w:lineRule="exact"/>
        <w:rPr>
          <w:rFonts w:ascii="Arial" w:cs="Arial" w:eastAsia="Arial" w:hAnsi="Arial"/>
          <w:sz w:val="19"/>
          <w:szCs w:val="19"/>
          <w:color w:val="auto"/>
        </w:rPr>
      </w:pPr>
    </w:p>
    <w:p>
      <w:pPr>
        <w:jc w:val="both"/>
        <w:ind w:firstLine="1953"/>
        <w:spacing w:after="0" w:line="245" w:lineRule="auto"/>
        <w:tabs>
          <w:tab w:leader="none" w:pos="2291"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Duty to Notify</w:t>
      </w:r>
      <w:r>
        <w:rPr>
          <w:rFonts w:ascii="Arial" w:cs="Arial" w:eastAsia="Arial" w:hAnsi="Arial"/>
          <w:sz w:val="22"/>
          <w:szCs w:val="22"/>
          <w:color w:val="auto"/>
        </w:rPr>
        <w:t>. In the event you receive a request or demand, orally, in writing, electronically, or otherwise, for the disclosure or production of confidential and/or proprietary information which you created or acquired in the course of your employment, unless prohibited by law or regulation, you must notify immediately the Company’s Chief Legal Officer, by calling him/her at the following phone number: XXXXXXXXXX. Regardless of whether you are successful in reaching him/her by telephone, unless prohibited by law or regulation, you also must notify him/her immediately in writing, via certified mail, at the following address: Chief Legal Officer, Campbell Soup Company, 1 Campbell Place, Camden, NJ 08103-1799. A copy of the request or demand shall be included with the written notification. You shall wait a minimum of ten (10) days (or the maximum time permitted by such legal process, if less) after sending the letter before making a disclosure or production to give the Company time to seek to prohibit and/or restrict the production and/or disclosure and/or to obtain a protective order with regard thereto.</w:t>
      </w:r>
    </w:p>
    <w:p>
      <w:pPr>
        <w:spacing w:after="0" w:line="240" w:lineRule="exact"/>
        <w:rPr>
          <w:rFonts w:ascii="Arial" w:cs="Arial" w:eastAsia="Arial" w:hAnsi="Arial"/>
          <w:sz w:val="22"/>
          <w:szCs w:val="22"/>
          <w:color w:val="auto"/>
        </w:rPr>
      </w:pPr>
    </w:p>
    <w:p>
      <w:pPr>
        <w:ind w:firstLine="1953"/>
        <w:spacing w:after="0" w:line="263" w:lineRule="auto"/>
        <w:tabs>
          <w:tab w:leader="none" w:pos="2239"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Company Property and Documents</w:t>
      </w:r>
      <w:r>
        <w:rPr>
          <w:rFonts w:ascii="Arial" w:cs="Arial" w:eastAsia="Arial" w:hAnsi="Arial"/>
          <w:sz w:val="22"/>
          <w:szCs w:val="22"/>
          <w:color w:val="auto"/>
        </w:rPr>
        <w:t>. Regardless of whether you sign this Agreement, and as a condition of receiving the Severance Benefits set forth in Paragraph 2 above, you must</w:t>
      </w:r>
    </w:p>
    <w:p>
      <w:pPr>
        <w:sectPr>
          <w:pgSz w:w="11900" w:h="16838" w:orient="portrait"/>
          <w:cols w:equalWidth="0" w:num="1">
            <w:col w:w="11420"/>
          </w:cols>
          <w:pgMar w:left="240" w:top="591" w:right="239" w:bottom="1440" w:gutter="0" w:footer="0" w:header="0"/>
        </w:sectPr>
      </w:pPr>
    </w:p>
    <w:bookmarkStart w:id="97" w:name="page98"/>
    <w:bookmarkEnd w:id="97"/>
    <w:p>
      <w:pPr>
        <w:jc w:val="both"/>
        <w:spacing w:after="0" w:line="294" w:lineRule="auto"/>
        <w:rPr>
          <w:sz w:val="20"/>
          <w:szCs w:val="20"/>
          <w:color w:val="auto"/>
        </w:rPr>
      </w:pPr>
      <w:r>
        <w:rPr>
          <w:rFonts w:ascii="Arial" w:cs="Arial" w:eastAsia="Arial" w:hAnsi="Arial"/>
          <w:sz w:val="19"/>
          <w:szCs w:val="19"/>
          <w:color w:val="auto"/>
        </w:rPr>
        <w:t xml:space="preserve">return, </w:t>
      </w:r>
      <w:r>
        <w:rPr>
          <w:rFonts w:ascii="Arial" w:cs="Arial" w:eastAsia="Arial" w:hAnsi="Arial"/>
          <w:sz w:val="19"/>
          <w:szCs w:val="19"/>
          <w:u w:val="single" w:color="auto"/>
          <w:color w:val="auto"/>
        </w:rPr>
        <w:t>retaining no copies</w:t>
      </w:r>
      <w:r>
        <w:rPr>
          <w:rFonts w:ascii="Arial" w:cs="Arial" w:eastAsia="Arial" w:hAnsi="Arial"/>
          <w:sz w:val="19"/>
          <w:szCs w:val="19"/>
          <w:color w:val="auto"/>
        </w:rPr>
        <w:t>, all Company property (including, but not limited to, office, desk, or file cabinet keys, Company identification/pass cards, Company-provided credit cards, and Company equipment, such as computers, tablets, and mobile phones) and all Company documents (including, but not limited to, all hard copy, electronic and other files, forms, lists, charts, photographs, correspondence, computer records, programs, notes, memos, disks, DVDs, etc.). Notwithstanding anything to the contrary herein or otherwise (including the Non-Competition Agreement), you shall be permitted to retain information (including copies of plans and agreements) relating to your compensation and/or reimbursement of business expenses and/or your contact lists.</w:t>
      </w:r>
    </w:p>
    <w:p>
      <w:pPr>
        <w:spacing w:after="0" w:line="190" w:lineRule="exact"/>
        <w:rPr>
          <w:sz w:val="20"/>
          <w:szCs w:val="20"/>
          <w:color w:val="auto"/>
        </w:rPr>
      </w:pPr>
    </w:p>
    <w:p>
      <w:pPr>
        <w:jc w:val="both"/>
        <w:ind w:firstLine="1953"/>
        <w:spacing w:after="0" w:line="257" w:lineRule="auto"/>
        <w:tabs>
          <w:tab w:leader="none" w:pos="2755"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Confidentiality of this Agreement</w:t>
      </w:r>
      <w:r>
        <w:rPr>
          <w:rFonts w:ascii="Arial" w:cs="Arial" w:eastAsia="Arial" w:hAnsi="Arial"/>
          <w:sz w:val="21"/>
          <w:szCs w:val="21"/>
          <w:color w:val="auto"/>
        </w:rPr>
        <w:t>. Unless and until the Company publicly discloses this Agreement, you agree that, at all times, the existence, terms, and conditions of this Agreement will be kept secret and confidential and will not be disclosed voluntarily to any third party, except: (i) to your spouse, domestic partner or civil union partner; (ii) to the extent required by law; (iii) in connection with any Claim to enforce, interpret, or determine the scope, meaning, enforceability, or effect of the Agreement; (iv) to obtain confidential legal, tax, or financial advice with respect thereto; (v) in connection with any of your Retained Rights as set forth in Paragraph 5 above; or (vi) to any prospective employer but only with respect to the restrictions, if any, on your activities (which permission shall also extend to the Non-Competition Agreement). However, you may reference this provision to explain your non-disclosure of this Agreement.</w:t>
      </w:r>
    </w:p>
    <w:p>
      <w:pPr>
        <w:spacing w:after="0" w:line="2" w:lineRule="exact"/>
        <w:rPr>
          <w:rFonts w:ascii="Arial" w:cs="Arial" w:eastAsia="Arial" w:hAnsi="Arial"/>
          <w:sz w:val="21"/>
          <w:szCs w:val="21"/>
          <w:color w:val="auto"/>
        </w:rPr>
      </w:pPr>
    </w:p>
    <w:p>
      <w:pPr>
        <w:jc w:val="both"/>
        <w:ind w:firstLine="1953"/>
        <w:spacing w:after="0" w:line="287" w:lineRule="auto"/>
        <w:tabs>
          <w:tab w:leader="none" w:pos="2755"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You agree that you will not make any negative comments or disparaging remarks, in writing, orally, or electronically, about the Company or any past or present director, officer or employee of the Company or its subsidiaries or affiliates. This restriction is subject to and limited by your Retained Rights in Paragraph 5 above. The Company shall instruct the members of the Board of Directors of the Company and Campbell’s Executive Officers not to make any negative comments or disparaging remarks, in writing, orally, or electronically, about you. However, nothing in this Agreement is intended or shall be interpreted to restrict any party’s right or obligation (i) to testify truthfully in any forum; (ii) for you, to make truthful statements in connection with any cooperation provided by you under Paragraph 18 below; or (iii) to make any truthful statement in connection with any Claim to enforce, interpret or determine the scope, meaning or effect of this Agreement.</w:t>
      </w:r>
    </w:p>
    <w:p>
      <w:pPr>
        <w:spacing w:after="0" w:line="201" w:lineRule="exact"/>
        <w:rPr>
          <w:rFonts w:ascii="Arial" w:cs="Arial" w:eastAsia="Arial" w:hAnsi="Arial"/>
          <w:sz w:val="19"/>
          <w:szCs w:val="19"/>
          <w:color w:val="auto"/>
        </w:rPr>
      </w:pPr>
    </w:p>
    <w:p>
      <w:pPr>
        <w:jc w:val="both"/>
        <w:ind w:firstLine="1953"/>
        <w:spacing w:after="0" w:line="253" w:lineRule="auto"/>
        <w:tabs>
          <w:tab w:leader="none" w:pos="286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References</w:t>
      </w:r>
      <w:r>
        <w:rPr>
          <w:rFonts w:ascii="Arial" w:cs="Arial" w:eastAsia="Arial" w:hAnsi="Arial"/>
          <w:sz w:val="22"/>
          <w:szCs w:val="22"/>
          <w:color w:val="auto"/>
        </w:rPr>
        <w:t>. You agree that you will direct any and all prospective employers seeking a reference to contact only persons employed in the Company’s Human Resources Department. The Human Resources Department shall provide a neutral reference only (dates of employment and title of last position held).</w:t>
      </w:r>
    </w:p>
    <w:p>
      <w:pPr>
        <w:spacing w:after="0" w:line="226" w:lineRule="exact"/>
        <w:rPr>
          <w:rFonts w:ascii="Arial" w:cs="Arial" w:eastAsia="Arial" w:hAnsi="Arial"/>
          <w:sz w:val="22"/>
          <w:szCs w:val="22"/>
          <w:color w:val="auto"/>
        </w:rPr>
      </w:pPr>
    </w:p>
    <w:p>
      <w:pPr>
        <w:ind w:left="2860" w:hanging="907"/>
        <w:spacing w:after="0"/>
        <w:tabs>
          <w:tab w:leader="none" w:pos="2860"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State of New Jersey.</w:t>
      </w:r>
    </w:p>
    <w:p>
      <w:pPr>
        <w:spacing w:after="0" w:line="242" w:lineRule="exact"/>
        <w:rPr>
          <w:rFonts w:ascii="Arial" w:cs="Arial" w:eastAsia="Arial" w:hAnsi="Arial"/>
          <w:sz w:val="19"/>
          <w:szCs w:val="19"/>
          <w:color w:val="auto"/>
        </w:rPr>
      </w:pPr>
    </w:p>
    <w:p>
      <w:pPr>
        <w:jc w:val="both"/>
        <w:ind w:firstLine="1953"/>
        <w:spacing w:after="0" w:line="250" w:lineRule="auto"/>
        <w:tabs>
          <w:tab w:leader="none" w:pos="286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Statement of Non-Admission</w:t>
      </w:r>
      <w:r>
        <w:rPr>
          <w:rFonts w:ascii="Arial" w:cs="Arial" w:eastAsia="Arial" w:hAnsi="Arial"/>
          <w:sz w:val="22"/>
          <w:szCs w:val="22"/>
          <w:color w:val="auto"/>
        </w:rPr>
        <w:t>. Nothing in this Agreement is intended as or shall be construed as an admission or concession of liability or wrongdoing by the Company or any other Releasee as defined above, or by you. Rather, the proposed Agreement is being offered for the sole purpose of settling cooperatively and amicably any and all possible disputes between the parties.</w:t>
      </w:r>
    </w:p>
    <w:p>
      <w:pPr>
        <w:spacing w:after="0" w:line="228" w:lineRule="exact"/>
        <w:rPr>
          <w:rFonts w:ascii="Arial" w:cs="Arial" w:eastAsia="Arial" w:hAnsi="Arial"/>
          <w:sz w:val="22"/>
          <w:szCs w:val="22"/>
          <w:color w:val="auto"/>
        </w:rPr>
      </w:pPr>
    </w:p>
    <w:p>
      <w:pPr>
        <w:jc w:val="both"/>
        <w:ind w:firstLine="1953"/>
        <w:spacing w:after="0" w:line="247" w:lineRule="auto"/>
        <w:tabs>
          <w:tab w:leader="none" w:pos="286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Interpretation of Agreement</w:t>
      </w:r>
      <w:r>
        <w:rPr>
          <w:rFonts w:ascii="Arial" w:cs="Arial" w:eastAsia="Arial" w:hAnsi="Arial"/>
          <w:sz w:val="22"/>
          <w:szCs w:val="22"/>
          <w:color w:val="auto"/>
        </w:rPr>
        <w:t>. Nothing in this Agreement is intended to violate any law or shall be interpreted to violate any law. If any part of this Agreement or the application thereof is construed to be overbroad and/or unenforceable, then the court making such determination shall have the authority to narrow the part as necessary to make it enforceable and the part(s) shall then be enforceable in its/their narrowed form. Moreover, each paragraph, part, or subpart of each paragraph in this Agreement is independent of and severable (separate) from each other. In the event that any part of this Agreement shall</w:t>
      </w:r>
    </w:p>
    <w:p>
      <w:pPr>
        <w:sectPr>
          <w:pgSz w:w="11900" w:h="16838" w:orient="portrait"/>
          <w:cols w:equalWidth="0" w:num="1">
            <w:col w:w="11420"/>
          </w:cols>
          <w:pgMar w:left="240" w:top="591" w:right="239" w:bottom="1440" w:gutter="0" w:footer="0" w:header="0"/>
        </w:sectPr>
      </w:pPr>
    </w:p>
    <w:bookmarkStart w:id="98" w:name="page99"/>
    <w:bookmarkEnd w:id="98"/>
    <w:p>
      <w:pPr>
        <w:spacing w:after="0" w:line="263" w:lineRule="auto"/>
        <w:rPr>
          <w:sz w:val="20"/>
          <w:szCs w:val="20"/>
          <w:color w:val="auto"/>
        </w:rPr>
      </w:pPr>
      <w:r>
        <w:rPr>
          <w:rFonts w:ascii="Arial" w:cs="Arial" w:eastAsia="Arial" w:hAnsi="Arial"/>
          <w:sz w:val="22"/>
          <w:szCs w:val="22"/>
          <w:color w:val="auto"/>
        </w:rPr>
        <w:t>be found to be unenforceable or invalid by a court and is not modified by a court to be enforceable, the remaining provisions shall not be affected and shall continue to be binding.</w:t>
      </w:r>
    </w:p>
    <w:p>
      <w:pPr>
        <w:spacing w:after="0" w:line="215" w:lineRule="exact"/>
        <w:rPr>
          <w:sz w:val="20"/>
          <w:szCs w:val="20"/>
          <w:color w:val="auto"/>
        </w:rPr>
      </w:pPr>
    </w:p>
    <w:p>
      <w:pPr>
        <w:jc w:val="both"/>
        <w:ind w:firstLine="1953"/>
        <w:spacing w:after="0" w:line="248" w:lineRule="auto"/>
        <w:tabs>
          <w:tab w:leader="none" w:pos="286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and supersedes any and all prior representations, agreements, written or oral, expressed or implied, except for the Non-Competition Agreement referenced in Paragraph 1(e) above which survives the termination of your employment and is incorporated herein by reference. This Agreement may not be modified or amended other than by an agreement in writing signed by an officer of the Company and you.</w:t>
      </w:r>
    </w:p>
    <w:p>
      <w:pPr>
        <w:spacing w:after="0" w:line="232" w:lineRule="exact"/>
        <w:rPr>
          <w:rFonts w:ascii="Arial" w:cs="Arial" w:eastAsia="Arial" w:hAnsi="Arial"/>
          <w:sz w:val="22"/>
          <w:szCs w:val="22"/>
          <w:color w:val="auto"/>
        </w:rPr>
      </w:pPr>
    </w:p>
    <w:p>
      <w:pPr>
        <w:jc w:val="both"/>
        <w:ind w:firstLine="1953"/>
        <w:spacing w:after="0" w:line="259" w:lineRule="auto"/>
        <w:tabs>
          <w:tab w:leader="none" w:pos="2863"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Representations</w:t>
      </w:r>
      <w:r>
        <w:rPr>
          <w:rFonts w:ascii="Arial" w:cs="Arial" w:eastAsia="Arial" w:hAnsi="Arial"/>
          <w:sz w:val="21"/>
          <w:szCs w:val="21"/>
          <w:color w:val="auto"/>
        </w:rPr>
        <w:t>. You agree and represent that: (a) you have read carefully the terms of this Agreement, including the General Release; (b) you have had an opportunity to and have been encouraged to review this Agreement, including the General Release, with an attorney; (c) you understand the meaning and effect of the terms of this Agreement, including the General Release; (d) you were given twenty-one (21) days to determine whether you wished to sign this Agreement; (e) your decision to sign this Agreement, including the General Release, is of your own free and voluntary act without compulsion of any kind; (f) no promise or inducement not expressed in this Agreement has been made to you; (g) you understand that you are waiving your Claims as set forth in Paragraph 3 above, including, but not limited to, any Claims for age discrimination under the Age Discrimination in Employment Act; and (h) you have adequate information to make a knowing and voluntary waiver of any and all Claims as set forth in Paragraph 3 above.</w:t>
      </w:r>
    </w:p>
    <w:p>
      <w:pPr>
        <w:spacing w:after="0" w:line="220" w:lineRule="exact"/>
        <w:rPr>
          <w:rFonts w:ascii="Arial" w:cs="Arial" w:eastAsia="Arial" w:hAnsi="Arial"/>
          <w:sz w:val="21"/>
          <w:szCs w:val="21"/>
          <w:color w:val="auto"/>
        </w:rPr>
      </w:pPr>
    </w:p>
    <w:p>
      <w:pPr>
        <w:jc w:val="both"/>
        <w:ind w:firstLine="1953"/>
        <w:spacing w:after="0" w:line="259" w:lineRule="exact"/>
        <w:tabs>
          <w:tab w:leader="none" w:pos="2863"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Revocation Period</w:t>
      </w:r>
      <w:r>
        <w:rPr>
          <w:rFonts w:ascii="Arial" w:cs="Arial" w:eastAsia="Arial" w:hAnsi="Arial"/>
          <w:sz w:val="21"/>
          <w:szCs w:val="21"/>
          <w:color w:val="auto"/>
        </w:rPr>
        <w:t>. If you sign this Agreement, you will retain the right to revoke it for seven (7) days. This Agreement is not effective or enforceable until after the Revocation Period has expired without your having revoked it. To revoke this Agreement, you must send a certified letter to my attention at the following address: 1 Campbell Place, Camden, NJ 08103. The letter must be post</w:t>
      </w:r>
      <w:r>
        <w:rPr>
          <w:rFonts w:ascii="MS PGothic" w:cs="MS PGothic" w:eastAsia="MS PGothic" w:hAnsi="MS PGothic"/>
          <w:sz w:val="21"/>
          <w:szCs w:val="21"/>
          <w:color w:val="auto"/>
        </w:rPr>
        <w:t>‑</w:t>
      </w:r>
      <w:r>
        <w:rPr>
          <w:rFonts w:ascii="Arial" w:cs="Arial" w:eastAsia="Arial" w:hAnsi="Arial"/>
          <w:sz w:val="21"/>
          <w:szCs w:val="21"/>
          <w:color w:val="auto"/>
        </w:rPr>
        <w:t>marked within seven (7) days of your execution of this Agreement. If the seventh day is a Sunday or federal holiday, then the letter must be post-marked on the following business day. If you revoke this Agreement on a timely basis, you are indicating that you do not want to be legally bound by this Agreement and, as a result, you shall not be eligible for the Severance Benefits set forth in Paragraph 2.</w:t>
      </w:r>
    </w:p>
    <w:p>
      <w:pPr>
        <w:spacing w:after="0" w:line="242" w:lineRule="exact"/>
        <w:rPr>
          <w:rFonts w:ascii="Arial" w:cs="Arial" w:eastAsia="Arial" w:hAnsi="Arial"/>
          <w:sz w:val="21"/>
          <w:szCs w:val="21"/>
          <w:color w:val="auto"/>
        </w:rPr>
      </w:pPr>
    </w:p>
    <w:p>
      <w:pPr>
        <w:jc w:val="both"/>
        <w:ind w:firstLine="1953"/>
        <w:spacing w:after="0" w:line="292" w:lineRule="auto"/>
        <w:tabs>
          <w:tab w:leader="none" w:pos="2863"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Taking into account your business and personal commitments and provided such cooperation is not adverse to your legal interests, you agree to reasonably cooperate, in a timely and good faith manner, subsequent to the Retirement Date, with all reasonable requests for assistance made by the Company, relating directly or indirectly to all investigations, legal claims or any regulatory matter with respect to any matter which occurred during the course of your employment with the Company, with which you were involved prior to the termination of your employment, or with which you became aware of during the course of your employment. Upon the submission of proper documentation, the Company will reimburse you for all reasonable expenses you incur as a result of such requests for assistance, if any.</w:t>
      </w:r>
    </w:p>
    <w:p>
      <w:pPr>
        <w:spacing w:after="0" w:line="192" w:lineRule="exact"/>
        <w:rPr>
          <w:rFonts w:ascii="Arial" w:cs="Arial" w:eastAsia="Arial" w:hAnsi="Arial"/>
          <w:sz w:val="19"/>
          <w:szCs w:val="19"/>
          <w:color w:val="auto"/>
        </w:rPr>
      </w:pPr>
    </w:p>
    <w:p>
      <w:pPr>
        <w:jc w:val="both"/>
        <w:ind w:firstLine="1953"/>
        <w:spacing w:after="0" w:line="253" w:lineRule="auto"/>
        <w:tabs>
          <w:tab w:leader="none" w:pos="286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Legal Fees</w:t>
      </w:r>
      <w:r>
        <w:rPr>
          <w:rFonts w:ascii="Arial" w:cs="Arial" w:eastAsia="Arial" w:hAnsi="Arial"/>
          <w:sz w:val="22"/>
          <w:szCs w:val="22"/>
          <w:color w:val="auto"/>
        </w:rPr>
        <w:t>. The Company will reimburse your reasonable legal fees incurred in connection with entering into this Agreement, up to a maximum of $30,000, subject to submission and review of detailed invoices within thirty (30) days following the Retirement Date.</w:t>
      </w:r>
    </w:p>
    <w:p>
      <w:pPr>
        <w:spacing w:after="0" w:line="226" w:lineRule="exact"/>
        <w:rPr>
          <w:rFonts w:ascii="Arial" w:cs="Arial" w:eastAsia="Arial" w:hAnsi="Arial"/>
          <w:sz w:val="22"/>
          <w:szCs w:val="22"/>
          <w:color w:val="auto"/>
        </w:rPr>
      </w:pPr>
    </w:p>
    <w:p>
      <w:pPr>
        <w:jc w:val="both"/>
        <w:ind w:firstLine="1953"/>
        <w:spacing w:after="0" w:line="248" w:lineRule="auto"/>
        <w:tabs>
          <w:tab w:leader="none" w:pos="2863"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Offer Expiration Date</w:t>
      </w:r>
      <w:r>
        <w:rPr>
          <w:rFonts w:ascii="Arial" w:cs="Arial" w:eastAsia="Arial" w:hAnsi="Arial"/>
          <w:sz w:val="22"/>
          <w:szCs w:val="22"/>
          <w:color w:val="auto"/>
        </w:rPr>
        <w:t>. In order for you to receive the Severance Benefits set forth in Paragraph 2 above, there is an important deadline you must meet. As noted above, you have twenty-one (21) days to decide whether you wish to sign this Agreement. If you wish, you can (but are not required to) sign the Agreement before the twenty-one (21) day period has expired. However, if you do not sign this Agreement by June 8, 2018, then this offer is withdrawn and you will not be eligible for the Severance Benefits set forth in Paragraph 2 above.</w:t>
      </w:r>
    </w:p>
    <w:p>
      <w:pPr>
        <w:sectPr>
          <w:pgSz w:w="11900" w:h="16838" w:orient="portrait"/>
          <w:cols w:equalWidth="0" w:num="1">
            <w:col w:w="11420"/>
          </w:cols>
          <w:pgMar w:left="240" w:top="591" w:right="239" w:bottom="1440" w:gutter="0" w:footer="0" w:header="0"/>
        </w:sectPr>
      </w:pPr>
    </w:p>
    <w:bookmarkStart w:id="99" w:name="page100"/>
    <w:bookmarkEnd w:id="99"/>
    <w:p>
      <w:pPr>
        <w:jc w:val="both"/>
        <w:ind w:firstLine="1953"/>
        <w:spacing w:after="0" w:line="247" w:lineRule="auto"/>
        <w:tabs>
          <w:tab w:leader="none" w:pos="2863"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Indemnification/D&amp;O Insurance Coverage</w:t>
      </w:r>
      <w:r>
        <w:rPr>
          <w:rFonts w:ascii="Arial" w:cs="Arial" w:eastAsia="Arial" w:hAnsi="Arial"/>
          <w:sz w:val="22"/>
          <w:szCs w:val="22"/>
          <w:color w:val="auto"/>
        </w:rPr>
        <w:t>. The Company confirms that you are covered under the indemnification provisions of the Company’s by-laws and you shall be covered for acts or omissions occurring during your employment under the Company’s directors’ and officers’ insurance policies to the same extent you would have been covered if you had continued to be employed.</w:t>
      </w:r>
    </w:p>
    <w:p>
      <w:pPr>
        <w:spacing w:after="0" w:line="2" w:lineRule="exact"/>
        <w:rPr>
          <w:rFonts w:ascii="Arial" w:cs="Arial" w:eastAsia="Arial" w:hAnsi="Arial"/>
          <w:sz w:val="22"/>
          <w:szCs w:val="22"/>
          <w:color w:val="auto"/>
        </w:rPr>
      </w:pPr>
    </w:p>
    <w:p>
      <w:pPr>
        <w:ind w:left="550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If you agree with the all of the terms of this Agreement, please sign below, indicating that you understand, agree with and intend to be legally bound by this Agreement, including the General Release, and return the signed Agreement to me.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wish you the best in the future.</w:t>
      </w:r>
    </w:p>
    <w:p>
      <w:pPr>
        <w:spacing w:after="0" w:line="220"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[SIGNATURE PAGES IMMEDIATELY FOLLOW]</w:t>
      </w:r>
    </w:p>
    <w:p>
      <w:pPr>
        <w:sectPr>
          <w:pgSz w:w="11900" w:h="16838" w:orient="portrait"/>
          <w:cols w:equalWidth="0" w:num="1">
            <w:col w:w="11420"/>
          </w:cols>
          <w:pgMar w:left="240" w:top="591" w:right="239" w:bottom="1440" w:gutter="0" w:footer="0" w:header="0"/>
        </w:sectPr>
      </w:pPr>
    </w:p>
    <w:bookmarkStart w:id="100" w:name="page101"/>
    <w:bookmarkEnd w:id="100"/>
    <w:p>
      <w:pPr>
        <w:ind w:left="3340"/>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40"/>
        <w:spacing w:after="0"/>
        <w:rPr>
          <w:sz w:val="20"/>
          <w:szCs w:val="20"/>
          <w:color w:val="auto"/>
        </w:rPr>
      </w:pPr>
      <w:r>
        <w:rPr>
          <w:rFonts w:ascii="Arial" w:cs="Arial" w:eastAsia="Arial" w:hAnsi="Arial"/>
          <w:sz w:val="22"/>
          <w:szCs w:val="22"/>
          <w:u w:val="single" w:color="auto"/>
          <w:color w:val="auto"/>
        </w:rPr>
        <w:t>/s/ Anthony P. DiSilvestro</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Anthony P. DiSilvestro</w:t>
      </w:r>
    </w:p>
    <w:p>
      <w:pPr>
        <w:spacing w:after="0" w:line="4" w:lineRule="exact"/>
        <w:rPr>
          <w:sz w:val="20"/>
          <w:szCs w:val="20"/>
          <w:color w:val="auto"/>
        </w:rPr>
      </w:pPr>
    </w:p>
    <w:p>
      <w:pPr>
        <w:jc w:val="right"/>
        <w:ind w:right="1379"/>
        <w:spacing w:after="0"/>
        <w:rPr>
          <w:sz w:val="20"/>
          <w:szCs w:val="20"/>
          <w:color w:val="auto"/>
        </w:rPr>
      </w:pPr>
      <w:r>
        <w:rPr>
          <w:rFonts w:ascii="Arial" w:cs="Arial" w:eastAsia="Arial" w:hAnsi="Arial"/>
          <w:sz w:val="22"/>
          <w:szCs w:val="22"/>
          <w:color w:val="auto"/>
        </w:rPr>
        <w:t>Senior Vice President and Chief Financial Officer</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UNDERSTOOD AND AGREED, INTENDING TO BE LEGALLY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85"/>
        </w:trPr>
        <w:tc>
          <w:tcPr>
            <w:tcW w:w="598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/s/ Denise M. Morrison</w:t>
            </w:r>
          </w:p>
        </w:tc>
        <w:tc>
          <w:tcPr>
            <w:tcW w:w="520" w:type="dxa"/>
            <w:vAlign w:val="bottom"/>
          </w:tcPr>
          <w:p>
            <w:pPr>
              <w:spacing w:after="0"/>
              <w:rPr>
                <w:sz w:val="24"/>
                <w:szCs w:val="24"/>
                <w:color w:val="auto"/>
              </w:rPr>
            </w:pPr>
          </w:p>
        </w:tc>
        <w:tc>
          <w:tcPr>
            <w:tcW w:w="2280" w:type="dxa"/>
            <w:vAlign w:val="bottom"/>
            <w:tcBorders>
              <w:bottom w:val="single" w:sz="8" w:color="auto"/>
            </w:tcBorders>
          </w:tcPr>
          <w:p>
            <w:pPr>
              <w:ind w:left="160"/>
              <w:spacing w:after="0"/>
              <w:rPr>
                <w:sz w:val="20"/>
                <w:szCs w:val="20"/>
                <w:color w:val="auto"/>
              </w:rPr>
            </w:pPr>
            <w:r>
              <w:rPr>
                <w:rFonts w:ascii="Arial" w:cs="Arial" w:eastAsia="Arial" w:hAnsi="Arial"/>
                <w:sz w:val="22"/>
                <w:szCs w:val="22"/>
                <w:color w:val="auto"/>
              </w:rPr>
              <w:t>May 18, 2018</w:t>
            </w:r>
          </w:p>
        </w:tc>
      </w:tr>
      <w:tr>
        <w:trPr>
          <w:trHeight w:val="280"/>
        </w:trPr>
        <w:tc>
          <w:tcPr>
            <w:tcW w:w="6500" w:type="dxa"/>
            <w:vAlign w:val="bottom"/>
            <w:gridSpan w:val="2"/>
          </w:tcPr>
          <w:p>
            <w:pPr>
              <w:ind w:left="160"/>
              <w:spacing w:after="0"/>
              <w:rPr>
                <w:sz w:val="20"/>
                <w:szCs w:val="20"/>
                <w:color w:val="auto"/>
              </w:rPr>
            </w:pPr>
            <w:r>
              <w:rPr>
                <w:rFonts w:ascii="Arial" w:cs="Arial" w:eastAsia="Arial" w:hAnsi="Arial"/>
                <w:sz w:val="22"/>
                <w:szCs w:val="22"/>
                <w:color w:val="auto"/>
              </w:rPr>
              <w:t>Denise M. Morrison</w:t>
            </w:r>
          </w:p>
        </w:tc>
        <w:tc>
          <w:tcPr>
            <w:tcW w:w="2280" w:type="dxa"/>
            <w:vAlign w:val="bottom"/>
          </w:tcPr>
          <w:p>
            <w:pPr>
              <w:ind w:left="16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9019"/>
          </w:cols>
          <w:pgMar w:left="1440" w:top="591"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00" w:type="dxa"/>
            <w:vAlign w:val="bottom"/>
            <w:gridSpan w:val="2"/>
          </w:tcPr>
          <w:p>
            <w:pPr>
              <w:ind w:left="440"/>
              <w:spacing w:after="0"/>
              <w:rPr>
                <w:sz w:val="20"/>
                <w:szCs w:val="20"/>
                <w:color w:val="auto"/>
              </w:rPr>
            </w:pPr>
            <w:r>
              <w:rPr>
                <w:rFonts w:ascii="Arial" w:cs="Arial" w:eastAsia="Arial" w:hAnsi="Arial"/>
                <w:sz w:val="18"/>
                <w:szCs w:val="18"/>
                <w:b w:val="1"/>
                <w:bCs w:val="1"/>
                <w:color w:val="auto"/>
              </w:rPr>
              <w:t>SUBSIDIARY LIST</w:t>
            </w:r>
          </w:p>
        </w:tc>
      </w:tr>
      <w:tr>
        <w:trPr>
          <w:trHeight w:val="351"/>
        </w:trPr>
        <w:tc>
          <w:tcPr>
            <w:tcW w:w="4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441"/>
        </w:trPr>
        <w:tc>
          <w:tcPr>
            <w:tcW w:w="4460" w:type="dxa"/>
            <w:vAlign w:val="bottom"/>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660" w:type="dxa"/>
            <w:vAlign w:val="bottom"/>
            <w:shd w:val="clear" w:color="auto" w:fill="E6E6E6"/>
          </w:tcPr>
          <w:p>
            <w:pPr>
              <w:spacing w:after="0"/>
              <w:rPr>
                <w:sz w:val="24"/>
                <w:szCs w:val="24"/>
                <w:color w:val="auto"/>
              </w:rPr>
            </w:pPr>
          </w:p>
        </w:tc>
      </w:tr>
      <w:tr>
        <w:trPr>
          <w:trHeight w:val="266"/>
        </w:trPr>
        <w:tc>
          <w:tcPr>
            <w:tcW w:w="4460" w:type="dxa"/>
            <w:vAlign w:val="bottom"/>
            <w:tcBorders>
              <w:bottom w:val="single" w:sz="8" w:color="E6E6E6"/>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1240" w:type="dxa"/>
            <w:vAlign w:val="bottom"/>
            <w:tcBorders>
              <w:bottom w:val="single" w:sz="8" w:color="E6E6E6"/>
              <w:right w:val="single" w:sz="8" w:color="00000A"/>
            </w:tcBorders>
            <w:shd w:val="clear" w:color="auto" w:fill="E6E6E6"/>
          </w:tcPr>
          <w:p>
            <w:pPr>
              <w:spacing w:after="0"/>
              <w:rPr>
                <w:sz w:val="22"/>
                <w:szCs w:val="22"/>
                <w:color w:val="auto"/>
              </w:rPr>
            </w:pP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44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1035 Line Company</w:t>
            </w:r>
          </w:p>
        </w:tc>
        <w:tc>
          <w:tcPr>
            <w:tcW w:w="1240" w:type="dxa"/>
            <w:vAlign w:val="bottom"/>
            <w:tcBorders>
              <w:top w:val="single" w:sz="8" w:color="00000A"/>
              <w:bottom w:val="single" w:sz="8" w:color="CCEEFF"/>
              <w:right w:val="single" w:sz="8" w:color="00000A"/>
            </w:tcBorders>
            <w:shd w:val="clear" w:color="auto" w:fill="CCEEFF"/>
          </w:tcPr>
          <w:p>
            <w:pPr>
              <w:spacing w:after="0"/>
              <w:rPr>
                <w:sz w:val="22"/>
                <w:szCs w:val="22"/>
                <w:color w:val="auto"/>
              </w:rPr>
            </w:pP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AB Australasia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Biscuit Company Singapore Pte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Biscuits Holdings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Biscuits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New Zealand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Sales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Biscuits Holdings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Baptista’s Bakery,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Wisconsin</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BF Bolthouse Holdco LLC</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Bolthouse Farms Canada Co.</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Bolthouse Farms Japan YK</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Bolthouse Juice Holdings,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Bolthouse Juice Products, LLC</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CAH Corporation</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Argentina S.A.</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Argentina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Arnott’s Holdings Pty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Pr>
          <w:p>
            <w:pPr>
              <w:spacing w:after="0"/>
              <w:rPr>
                <w:sz w:val="2"/>
                <w:szCs w:val="2"/>
                <w:color w:val="auto"/>
              </w:rPr>
            </w:pPr>
          </w:p>
        </w:tc>
        <w:tc>
          <w:tcPr>
            <w:tcW w:w="1240" w:type="dxa"/>
            <w:vAlign w:val="bottom"/>
            <w:tcBorders>
              <w:right w:val="single" w:sz="8" w:color="00000A"/>
            </w:tcBorders>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Arnott’s Investments No. 2 Pty Ltd</w:t>
            </w:r>
          </w:p>
        </w:tc>
        <w:tc>
          <w:tcPr>
            <w:tcW w:w="1240" w:type="dxa"/>
            <w:vAlign w:val="bottom"/>
            <w:tcBorders>
              <w:bottom w:val="single" w:sz="8" w:color="CCEEFF"/>
              <w:right w:val="single" w:sz="8" w:color="00000A"/>
            </w:tcBorders>
            <w:shd w:val="clear" w:color="auto" w:fill="CCEEFF"/>
          </w:tcPr>
          <w:p>
            <w:pPr>
              <w:spacing w:after="0"/>
              <w:rPr>
                <w:sz w:val="23"/>
                <w:szCs w:val="23"/>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Arnott’s Investments Pty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Australasia Pty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Cheong Chan Malaysia Sdn. Bhd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Company of Canada</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EU Investment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Finance 2 Corp.</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Foods (NZ)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Foodservice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Pennsylvania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Hong Kong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International Holdings Inc.</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Investment (Australia)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Investment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Japan Incorporated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Jin Bao Tang, Inc.</w:t>
            </w:r>
          </w:p>
        </w:tc>
        <w:tc>
          <w:tcPr>
            <w:tcW w:w="1240" w:type="dxa"/>
            <w:vAlign w:val="bottom"/>
            <w:tcBorders>
              <w:bottom w:val="single" w:sz="8" w:color="CCEEFF"/>
              <w:right w:val="single" w:sz="8" w:color="00000A"/>
            </w:tcBorders>
            <w:shd w:val="clear" w:color="auto" w:fill="CCEEFF"/>
          </w:tcPr>
          <w:p>
            <w:pPr>
              <w:spacing w:after="0"/>
              <w:rPr>
                <w:sz w:val="21"/>
                <w:szCs w:val="21"/>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Campbell Luxembourg Holdings S.a.r.l.</w:t>
            </w:r>
          </w:p>
        </w:tc>
        <w:tc>
          <w:tcPr>
            <w:tcW w:w="1240" w:type="dxa"/>
            <w:vAlign w:val="bottom"/>
            <w:tcBorders>
              <w:right w:val="single" w:sz="8" w:color="00000A"/>
            </w:tcBorders>
          </w:tcPr>
          <w:p>
            <w:pPr>
              <w:spacing w:after="0"/>
              <w:rPr>
                <w:sz w:val="21"/>
                <w:szCs w:val="21"/>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MFG 1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Sales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Soup Asia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Soup Dominicana, S.A.</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Dominican Republic</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Soup Supply Company L.L.C.</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Southeast Asia Sdn Bhd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Malaysia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bl>
    <w:p>
      <w:pPr>
        <w:sectPr>
          <w:pgSz w:w="11900" w:h="16838" w:orient="portrait"/>
          <w:cols w:equalWidth="0" w:num="1">
            <w:col w:w="11380"/>
          </w:cols>
          <w:pgMar w:left="280" w:top="580" w:right="2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41"/>
        </w:trPr>
        <w:tc>
          <w:tcPr>
            <w:tcW w:w="5700" w:type="dxa"/>
            <w:vAlign w:val="bottom"/>
            <w:tcBorders>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5660" w:type="dxa"/>
            <w:vAlign w:val="bottom"/>
            <w:shd w:val="clear" w:color="auto" w:fill="E6E6E6"/>
          </w:tcPr>
          <w:p>
            <w:pPr>
              <w:spacing w:after="0"/>
              <w:rPr>
                <w:sz w:val="24"/>
                <w:szCs w:val="24"/>
                <w:color w:val="auto"/>
              </w:rPr>
            </w:pPr>
          </w:p>
        </w:tc>
      </w:tr>
      <w:tr>
        <w:trPr>
          <w:trHeight w:val="266"/>
        </w:trPr>
        <w:tc>
          <w:tcPr>
            <w:tcW w:w="5700" w:type="dxa"/>
            <w:vAlign w:val="bottom"/>
            <w:tcBorders>
              <w:bottom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5700" w:type="dxa"/>
            <w:vAlign w:val="bottom"/>
            <w:tcBorders>
              <w:top w:val="single" w:sz="8" w:color="00000A"/>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Swire (HK) Ltd</w:t>
            </w: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 Swire (Xiamen) Co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44"/>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Swire Equipment Leasing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43"/>
        </w:trPr>
        <w:tc>
          <w:tcPr>
            <w:tcW w:w="57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Campbell Urban Renewal Corporation</w:t>
            </w:r>
          </w:p>
        </w:tc>
        <w:tc>
          <w:tcPr>
            <w:tcW w:w="566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Campbell’s de Mexico S.A. de C. V.</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Campbell's de Panama S.A.</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Panama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CANEB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CanFin Holdings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CASP Pty.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CCHC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CIRT Urban Renewal Corp.</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Comercializadora Campbell de Guatemala, Limitada</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Guatemala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Cornpoppers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CRHC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CSC Brands LP</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CSC Insights,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CSC Standards,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DFKA Intermediate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DFKA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Kingdom</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DFKA UK Holdings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Diamond Foods Brazil Holdings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Diamond Foods International Holdings BV</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Diamond of Europe GmbH</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EDS Investments,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EPL Properties Pty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Fresh Logistics,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right w:val="single" w:sz="8" w:color="00000A"/>
            </w:tcBorders>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Garden Fresh Gourmet Foods,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Washington</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Garden Fresh Gourmet,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Habit,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Hazelton Parent,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Joseph Campbell Company</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Kelsen Group A/S</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Denmark</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Kelsen South Africa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 Africa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Kelsen,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Kettle Foods Holdings,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Kettle Foods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Kettle Foods,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Kettle Growers Group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Kjeldsens Campbell (Shanghai) Management Co.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Kjeldsens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5700" w:type="dxa"/>
            <w:vAlign w:val="bottom"/>
            <w:tcBorders>
              <w:right w:val="single" w:sz="8" w:color="00000A"/>
            </w:tcBorders>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Lani BVBA</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Belgium</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Late July Holdings,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Late July Snacks,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Natural Food Works,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Colorado</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bl>
    <w:p>
      <w:pPr>
        <w:sectPr>
          <w:pgSz w:w="11900" w:h="16838" w:orient="portrait"/>
          <w:cols w:equalWidth="0" w:num="1">
            <w:col w:w="11360"/>
          </w:cols>
          <w:pgMar w:left="280" w:top="734" w:right="259" w:bottom="1440" w:gutter="0" w:footer="0" w:header="0"/>
        </w:sectPr>
      </w:pPr>
    </w:p>
    <w:bookmarkStart w:id="103" w:name="page104"/>
    <w:bookmarkEnd w:id="103"/>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441"/>
        </w:trPr>
        <w:tc>
          <w:tcPr>
            <w:tcW w:w="5700" w:type="dxa"/>
            <w:vAlign w:val="bottom"/>
            <w:tcBorders>
              <w:left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5660" w:type="dxa"/>
            <w:vAlign w:val="bottom"/>
            <w:shd w:val="clear" w:color="auto" w:fill="E6E6E6"/>
          </w:tcPr>
          <w:p>
            <w:pPr>
              <w:spacing w:after="0"/>
              <w:rPr>
                <w:sz w:val="24"/>
                <w:szCs w:val="24"/>
                <w:color w:val="auto"/>
              </w:rPr>
            </w:pPr>
          </w:p>
        </w:tc>
      </w:tr>
      <w:tr>
        <w:trPr>
          <w:trHeight w:val="266"/>
        </w:trPr>
        <w:tc>
          <w:tcPr>
            <w:tcW w:w="5700" w:type="dxa"/>
            <w:vAlign w:val="bottom"/>
            <w:tcBorders>
              <w:left w:val="single" w:sz="8" w:color="E6E6E6"/>
              <w:bottom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5700" w:type="dxa"/>
            <w:vAlign w:val="bottom"/>
            <w:tcBorders>
              <w:top w:val="single" w:sz="8" w:color="00000A"/>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Pepperidge Farm, Incorporated</w:t>
            </w: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Connecticut</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Players Biscuits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Players Group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Plum, PBC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Plyfix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Princeton Vanguard,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PT Arnott’s Indonesia</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Indonesia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Distribution Company,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00000A"/>
              <w:bottom w:val="single" w:sz="8" w:color="CCEEFF"/>
              <w:right w:val="single" w:sz="8" w:color="00000A"/>
            </w:tcBorders>
            <w:shd w:val="clear" w:color="auto" w:fill="CCEEFF"/>
          </w:tcPr>
          <w:p>
            <w:pPr>
              <w:ind w:left="40"/>
              <w:spacing w:after="0"/>
              <w:rPr>
                <w:sz w:val="20"/>
                <w:szCs w:val="20"/>
                <w:color w:val="auto"/>
              </w:rPr>
            </w:pPr>
            <w:r>
              <w:rPr>
                <w:rFonts w:ascii="Arial" w:cs="Arial" w:eastAsia="Arial" w:hAnsi="Arial"/>
                <w:sz w:val="18"/>
                <w:szCs w:val="18"/>
                <w:color w:val="auto"/>
              </w:rPr>
              <w:t>S-L Snacks AZ,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BB SRL</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Barbados</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EU,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FL,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GA,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IN,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IN-PS,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Logistics,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MA,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National,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NC,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OH,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OR,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S-L Snacks PA,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North Carolina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S-L Snacks WI,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Carolina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Snack Factory,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left w:val="single" w:sz="8" w:color="CCEEFF"/>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The Soulfull Project, PBC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Wimbledon Acquisition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37"/>
        </w:trPr>
        <w:tc>
          <w:tcPr>
            <w:tcW w:w="5700" w:type="dxa"/>
            <w:vAlign w:val="bottom"/>
            <w:tcBorders>
              <w:left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Wm. Bolthouse Farms, Inc.</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Michigan</w:t>
            </w:r>
          </w:p>
        </w:tc>
      </w:tr>
      <w:tr>
        <w:trPr>
          <w:trHeight w:val="27"/>
        </w:trPr>
        <w:tc>
          <w:tcPr>
            <w:tcW w:w="5700" w:type="dxa"/>
            <w:vAlign w:val="bottom"/>
            <w:tcBorders>
              <w:left w:val="single" w:sz="8" w:color="CCEEFF"/>
              <w:right w:val="single" w:sz="8" w:color="00000A"/>
            </w:tcBorders>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does not constitute a complete list of all subsidiaries of the registrant. The subsidiaries that have been omitted do not, if considered in the aggregate as a single subsidiary, constitute a “Significant Subsidiary” as defined by the SEC.</w:t>
      </w:r>
    </w:p>
    <w:p>
      <w:pPr>
        <w:sectPr>
          <w:pgSz w:w="11900" w:h="16838" w:orient="portrait"/>
          <w:cols w:equalWidth="0" w:num="1">
            <w:col w:w="11420"/>
          </w:cols>
          <w:pgMar w:left="240" w:top="73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333-219217) and Forms S-8 (Nos. 333-216582, 333-208441, 333-173583, 333-173582, 333-160381, 333-157850, 333-134675, 333-22803, 333-00729 and 33-59797) of Campbell Soup Company of our report dated September 27, 2018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27, 2018</w:t>
      </w:r>
    </w:p>
    <w:p>
      <w:pPr>
        <w:sectPr>
          <w:pgSz w:w="11900" w:h="16838" w:orient="portrait"/>
          <w:cols w:equalWidth="0" w:num="1">
            <w:col w:w="11420"/>
          </w:cols>
          <w:pgMar w:left="240" w:top="553"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Keith R. McLoughlin, certify that:</w:t>
      </w:r>
    </w:p>
    <w:p>
      <w:pPr>
        <w:spacing w:after="0" w:line="171" w:lineRule="exact"/>
        <w:rPr>
          <w:sz w:val="20"/>
          <w:szCs w:val="20"/>
          <w:color w:val="auto"/>
        </w:rPr>
      </w:pPr>
    </w:p>
    <w:p>
      <w:pPr>
        <w:ind w:left="400" w:hanging="176"/>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2018</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R. McLoughlin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Interim President and Chief Executive Officer</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2018</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34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29, 2018 (the “Report”), I, Keith R. McLoughlin, Interim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27, 2018</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Keith R. McLoughlin</w:t>
      </w:r>
    </w:p>
    <w:p>
      <w:pPr>
        <w:spacing w:after="0" w:line="75"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Interim President and Chief Executive</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29, 2018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27, 2018</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56"/>
    </w:lvl>
  </w:abstractNum>
  <w:abstractNum w:abstractNumId="8">
    <w:nsid w:val="1BA026FA"/>
    <w:multiLevelType w:val="hybridMultilevel"/>
    <w:lvl w:ilvl="0">
      <w:lvlJc w:val="left"/>
      <w:lvlText w:val="%1"/>
      <w:numFmt w:val="decimal"/>
      <w:start w:val="40"/>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1)"/>
      <w:numFmt w:val="decimal"/>
      <w:start w:val="2"/>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1)"/>
      <w:numFmt w:val="decimal"/>
      <w:start w:val="1"/>
    </w:lvl>
  </w:abstractNum>
  <w:abstractNum w:abstractNumId="19">
    <w:nsid w:val="39386575"/>
    <w:multiLevelType w:val="hybridMultilevel"/>
    <w:lvl w:ilvl="0">
      <w:lvlJc w:val="left"/>
      <w:lvlText w:val="(%1)"/>
      <w:numFmt w:val="decimal"/>
      <w:start w:val="1"/>
    </w:lvl>
  </w:abstractNum>
  <w:abstractNum w:abstractNumId="20">
    <w:nsid w:val="1CF10FD8"/>
    <w:multiLevelType w:val="hybridMultilevel"/>
    <w:lvl w:ilvl="0">
      <w:lvlJc w:val="left"/>
      <w:lvlText w:val="(%1)"/>
      <w:numFmt w:val="decimal"/>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1)"/>
      <w:numFmt w:val="decimal"/>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2"/>
    </w:lvl>
  </w:abstractNum>
  <w:abstractNum w:abstractNumId="35">
    <w:nsid w:val="5FF87E05"/>
    <w:multiLevelType w:val="hybridMultilevel"/>
    <w:lvl w:ilvl="0">
      <w:lvlJc w:val="left"/>
      <w:lvlText w:val="%1."/>
      <w:numFmt w:val="decimal"/>
      <w:start w:val="3"/>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decimal"/>
      <w:start w:val="4"/>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6"/>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7"/>
    </w:lvl>
  </w:abstractNum>
  <w:abstractNum w:abstractNumId="45">
    <w:nsid w:val="15014ACB"/>
    <w:multiLevelType w:val="hybridMultilevel"/>
    <w:lvl w:ilvl="0">
      <w:lvlJc w:val="left"/>
      <w:lvlText w:val="(%1)"/>
      <w:numFmt w:val="decimal"/>
      <w:start w:val="1"/>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1."/>
      <w:numFmt w:val="decimal"/>
      <w:start w:val="8"/>
    </w:lvl>
  </w:abstractNum>
  <w:abstractNum w:abstractNumId="49">
    <w:nsid w:val="6B94764"/>
    <w:multiLevelType w:val="hybridMultilevel"/>
    <w:lvl w:ilvl="0">
      <w:lvlJc w:val="left"/>
      <w:lvlText w:val="%1."/>
      <w:numFmt w:val="decimal"/>
      <w:start w:val="9"/>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11"/>
    </w:lvl>
  </w:abstractNum>
  <w:abstractNum w:abstractNumId="53">
    <w:nsid w:val="661E3F1E"/>
    <w:multiLevelType w:val="hybridMultilevel"/>
    <w:lvl w:ilvl="0">
      <w:lvlJc w:val="left"/>
      <w:lvlText w:val="(%1)"/>
      <w:numFmt w:val="decimal"/>
      <w:start w:val="1"/>
    </w:lvl>
    <w:lvl w:ilvl="1">
      <w:lvlJc w:val="left"/>
      <w:lvlText w:val="•"/>
      <w:numFmt w:val="bullet"/>
      <w:start w:val="1"/>
    </w:lvl>
  </w:abstractNum>
  <w:abstractNum w:abstractNumId="54">
    <w:nsid w:val="5DC79EA8"/>
    <w:multiLevelType w:val="hybridMultilevel"/>
    <w:lvl w:ilvl="0">
      <w:lvlJc w:val="left"/>
      <w:lvlText w:val="(%1)"/>
      <w:numFmt w:val="decimal"/>
      <w:start w:val="1"/>
    </w:lvl>
    <w:lvl w:ilvl="1">
      <w:lvlJc w:val="left"/>
      <w:lvlText w:val="•"/>
      <w:numFmt w:val="bullet"/>
      <w:start w:val="1"/>
    </w:lvl>
  </w:abstractNum>
  <w:abstractNum w:abstractNumId="55">
    <w:nsid w:val="540A471C"/>
    <w:multiLevelType w:val="hybridMultilevel"/>
    <w:lvl w:ilvl="0">
      <w:lvlJc w:val="left"/>
      <w:lvlText w:val="%1."/>
      <w:numFmt w:val="decimal"/>
      <w:start w:val="12"/>
    </w:lvl>
  </w:abstractNum>
  <w:abstractNum w:abstractNumId="56">
    <w:nsid w:val="7BD3EE7B"/>
    <w:multiLevelType w:val="hybridMultilevel"/>
    <w:lvl w:ilvl="0">
      <w:lvlJc w:val="left"/>
      <w:lvlText w:val="(%1)"/>
      <w:numFmt w:val="decimal"/>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5"/>
    </w:lvl>
    <w:lvl w:ilvl="1">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1)"/>
      <w:numFmt w:val="decimal"/>
      <w:start w:val="5"/>
    </w:lvl>
  </w:abstractNum>
  <w:abstractNum w:abstractNumId="62">
    <w:nsid w:val="A0382C5"/>
    <w:multiLevelType w:val="hybridMultilevel"/>
    <w:lvl w:ilvl="0">
      <w:lvlJc w:val="left"/>
      <w:lvlText w:val="(%1)"/>
      <w:numFmt w:val="decimal"/>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1)"/>
      <w:numFmt w:val="lowerLetter"/>
      <w:start w:val="1"/>
    </w:lvl>
    <w:lvl w:ilvl="1">
      <w:lvlJc w:val="left"/>
      <w:lvlText w:val="%2."/>
      <w:numFmt w:val="decimal"/>
      <w:start w:val="1"/>
    </w:lvl>
  </w:abstractNum>
  <w:abstractNum w:abstractNumId="68">
    <w:nsid w:val="60B6DF70"/>
    <w:multiLevelType w:val="hybridMultilevel"/>
    <w:lvl w:ilvl="0">
      <w:lvlJc w:val="left"/>
      <w:lvlText w:val="%1."/>
      <w:numFmt w:val="decimal"/>
      <w:start w:val="2"/>
    </w:lvl>
    <w:lvl w:ilvl="1">
      <w:lvlJc w:val="left"/>
      <w:lvlText w:val="%2"/>
      <w:numFmt w:val="upperLetter"/>
      <w:start w:val="1"/>
    </w:lvl>
  </w:abstractNum>
  <w:abstractNum w:abstractNumId="69">
    <w:nsid w:val="6A5EE64"/>
    <w:multiLevelType w:val="hybridMultilevel"/>
    <w:lvl w:ilvl="0">
      <w:lvlJc w:val="left"/>
      <w:lvlText w:val="(%1)"/>
      <w:numFmt w:val="lowerLetter"/>
      <w:start w:val="2"/>
    </w:lvl>
  </w:abstractNum>
  <w:abstractNum w:abstractNumId="70">
    <w:nsid w:val="14330624"/>
    <w:multiLevelType w:val="hybridMultilevel"/>
    <w:lvl w:ilvl="0">
      <w:lvlJc w:val="left"/>
      <w:lvlText w:val="9"/>
      <w:numFmt w:val="bullet"/>
      <w:start w:val="1"/>
    </w:lvl>
  </w:abstractNum>
  <w:abstractNum w:abstractNumId="71">
    <w:nsid w:val="7FFFCA11"/>
    <w:multiLevelType w:val="hybridMultilevel"/>
    <w:lvl w:ilvl="0">
      <w:lvlJc w:val="left"/>
      <w:lvlText w:val="%1"/>
      <w:numFmt w:val="decimal"/>
      <w:start w:val="21"/>
    </w:lvl>
  </w:abstractNum>
  <w:abstractNum w:abstractNumId="72">
    <w:nsid w:val="1A27709E"/>
    <w:multiLevelType w:val="hybridMultilevel"/>
    <w:lvl w:ilvl="0">
      <w:lvlJc w:val="left"/>
      <w:lvlText w:val="%1"/>
      <w:numFmt w:val="decimal"/>
      <w:start w:val="23"/>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5"/>
    </w:lvl>
  </w:abstractNum>
  <w:abstractNum w:abstractNumId="77">
    <w:nsid w:val="6F6DD9AC"/>
    <w:multiLevelType w:val="hybridMultilevel"/>
    <w:lvl w:ilvl="0">
      <w:lvlJc w:val="left"/>
      <w:lvlText w:val="%1."/>
      <w:numFmt w:val="decimal"/>
      <w:start w:val="2"/>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decimal"/>
      <w:start w:val="3"/>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3"/>
    </w:lvl>
  </w:abstractNum>
  <w:abstractNum w:abstractNumId="82">
    <w:nsid w:val="1716703B"/>
    <w:multiLevelType w:val="hybridMultilevel"/>
    <w:lvl w:ilvl="0">
      <w:lvlJc w:val="left"/>
      <w:lvlText w:val="%1."/>
      <w:numFmt w:val="decimal"/>
      <w:start w:val="4"/>
    </w:lvl>
  </w:abstractNum>
  <w:abstractNum w:abstractNumId="83">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4">
    <w:nsid w:val="3222E7C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85">
    <w:nsid w:val="74DE0EE3"/>
    <w:multiLevelType w:val="hybridMultilevel"/>
    <w:lvl w:ilvl="0">
      <w:lvlJc w:val="left"/>
      <w:lvlText w:val="%1."/>
      <w:numFmt w:val="decimal"/>
      <w:start w:val="6"/>
    </w:lvl>
    <w:lvl w:ilvl="1">
      <w:lvlJc w:val="left"/>
      <w:lvlText w:val="(%2)"/>
      <w:numFmt w:val="lowerLetter"/>
      <w:start w:val="1"/>
    </w:lvl>
  </w:abstractNum>
  <w:abstractNum w:abstractNumId="86">
    <w:nsid w:val="68EBC550"/>
    <w:multiLevelType w:val="hybridMultilevel"/>
    <w:lvl w:ilvl="0">
      <w:lvlJc w:val="left"/>
      <w:lvlText w:val="%1."/>
      <w:numFmt w:val="decimal"/>
      <w:start w:val="8"/>
    </w:lvl>
  </w:abstractNum>
  <w:abstractNum w:abstractNumId="87">
    <w:nsid w:val="2DF6D648"/>
    <w:multiLevelType w:val="hybridMultilevel"/>
    <w:lvl w:ilvl="0">
      <w:lvlJc w:val="left"/>
      <w:lvlText w:val="%1."/>
      <w:numFmt w:val="decimal"/>
      <w:start w:val="14"/>
    </w:lvl>
  </w:abstractNum>
  <w:abstractNum w:abstractNumId="88">
    <w:nsid w:val="46B7D447"/>
    <w:multiLevelType w:val="hybridMultilevel"/>
    <w:lvl w:ilvl="0">
      <w:lvlJc w:val="left"/>
      <w:lvlText w:val="%1."/>
      <w:numFmt w:val="decimal"/>
      <w:start w:val="20"/>
    </w:lvl>
    <w:lvl w:ilvl="1">
      <w:lvlJc w:val="left"/>
      <w:lvlText w:val="*"/>
      <w:numFmt w:val="bullet"/>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80" Type="http://schemas.openxmlformats.org/officeDocument/2006/relationships/image" Target="media/image22.png"/><Relationship Id="rId81" Type="http://schemas.openxmlformats.org/officeDocument/2006/relationships/image" Target="media/image23.png"/><Relationship Id="rId82" Type="http://schemas.openxmlformats.org/officeDocument/2006/relationships/image" Target="media/image24.png"/><Relationship Id="rId83" Type="http://schemas.openxmlformats.org/officeDocument/2006/relationships/image" Target="media/image25.png"/><Relationship Id="rId84" Type="http://schemas.openxmlformats.org/officeDocument/2006/relationships/image" Target="media/image26.png"/><Relationship Id="rId85" Type="http://schemas.openxmlformats.org/officeDocument/2006/relationships/image" Target="media/image27.png"/><Relationship Id="rId86" Type="http://schemas.openxmlformats.org/officeDocument/2006/relationships/image" Target="media/image28.png"/><Relationship Id="rId87" Type="http://schemas.openxmlformats.org/officeDocument/2006/relationships/image" Target="media/image29.png"/><Relationship Id="rId88" Type="http://schemas.openxmlformats.org/officeDocument/2006/relationships/image" Target="media/image30.png"/><Relationship Id="rId89" Type="http://schemas.openxmlformats.org/officeDocument/2006/relationships/image" Target="media/image31.png"/><Relationship Id="rId90" Type="http://schemas.openxmlformats.org/officeDocument/2006/relationships/image" Target="media/image32.png"/><Relationship Id="rId91" Type="http://schemas.openxmlformats.org/officeDocument/2006/relationships/image" Target="media/image33.png"/><Relationship Id="rId92" Type="http://schemas.openxmlformats.org/officeDocument/2006/relationships/image" Target="media/image34.png"/><Relationship Id="rId93" Type="http://schemas.openxmlformats.org/officeDocument/2006/relationships/image" Target="media/image35.png"/><Relationship Id="rId94" Type="http://schemas.openxmlformats.org/officeDocument/2006/relationships/image" Target="media/image36.png"/><Relationship Id="rId95" Type="http://schemas.openxmlformats.org/officeDocument/2006/relationships/image" Target="media/image37.png"/><Relationship Id="rId96" Type="http://schemas.openxmlformats.org/officeDocument/2006/relationships/image" Target="media/image38.png"/><Relationship Id="rId29" Type="http://schemas.openxmlformats.org/officeDocument/2006/relationships/hyperlink" Target="http://www.sec.gov/Archives/edgar/data/16732/000089322002001206/w64292exv3wxiy.txt" TargetMode="External"/><Relationship Id="rId30" Type="http://schemas.openxmlformats.org/officeDocument/2006/relationships/hyperlink" Target="http://www.sec.gov/Archives/edgar/data/16732/000001673217000027/exhibit3-byxlawsofcampbell.htm" TargetMode="External"/><Relationship Id="rId31" Type="http://schemas.openxmlformats.org/officeDocument/2006/relationships/hyperlink" Target="http://www.sec.gov/Archives/edgar/data/16732/000095010308002875/dp11895_ex4a.htm" TargetMode="External"/><Relationship Id="rId32" Type="http://schemas.openxmlformats.org/officeDocument/2006/relationships/hyperlink" Target="http://www.sec.gov/Archives/edgar/data/16732/000119312512330540/d385353dex41.htm" TargetMode="External"/><Relationship Id="rId33" Type="http://schemas.openxmlformats.org/officeDocument/2006/relationships/hyperlink" Target="http://www.sec.gov/Archives/edgar/data/16732/000120677417001975/campbell3278281-ex42.htm" TargetMode="External"/><Relationship Id="rId34" Type="http://schemas.openxmlformats.org/officeDocument/2006/relationships/hyperlink" Target="http://www.sec.gov/Archives/edgar/data/16732/000119312515097806/d801200dex41.htm" TargetMode="External"/><Relationship Id="rId35" Type="http://schemas.openxmlformats.org/officeDocument/2006/relationships/hyperlink" Target="http://www.sec.gov/Archives/edgar/data/16732/000095010309000103/dp12308_ex0401.htm" TargetMode="External"/><Relationship Id="rId36" Type="http://schemas.openxmlformats.org/officeDocument/2006/relationships/hyperlink" Target="http://www.sec.gov/Archives/edgar/data/16732/000119312511086670/dex41.htm" TargetMode="External"/><Relationship Id="rId37" Type="http://schemas.openxmlformats.org/officeDocument/2006/relationships/hyperlink" Target="http://www.sec.gov/Archives/edgar/data/16732/000095015918000106/ex4-2_1.htm" TargetMode="External"/><Relationship Id="rId38" Type="http://schemas.openxmlformats.org/officeDocument/2006/relationships/hyperlink" Target="http://www.sec.gov/Archives/edgar/data/16732/000095015918000106/ex4-2_2.htm" TargetMode="External"/><Relationship Id="rId39" Type="http://schemas.openxmlformats.org/officeDocument/2006/relationships/hyperlink" Target="http://www.sec.gov/Archives/edgar/data/16732/000095015918000106/ex4-2_3.htm" TargetMode="External"/><Relationship Id="rId40" Type="http://schemas.openxmlformats.org/officeDocument/2006/relationships/hyperlink" Target="http://www.sec.gov/Archives/edgar/data/16732/000095015918000106/ex4-2_4.htm" TargetMode="External"/><Relationship Id="rId41" Type="http://schemas.openxmlformats.org/officeDocument/2006/relationships/hyperlink" Target="http://www.sec.gov/Archives/edgar/data/16732/000095015918000106/ex4-2_5.htm" TargetMode="External"/><Relationship Id="rId42" Type="http://schemas.openxmlformats.org/officeDocument/2006/relationships/hyperlink" Target="http://www.sec.gov/Archives/edgar/data/16732/000095015918000106/ex4-2_6.htm" TargetMode="External"/><Relationship Id="rId43" Type="http://schemas.openxmlformats.org/officeDocument/2006/relationships/hyperlink" Target="http://www.sec.gov/Archives/edgar/data/16732/000095015918000106/ex4-2_7.htm" TargetMode="External"/><Relationship Id="rId44" Type="http://schemas.openxmlformats.org/officeDocument/2006/relationships/hyperlink" Target="http://www.sec.gov/Archives/edgar/data/16732/0000950130-96-003547.txt" TargetMode="External"/><Relationship Id="rId45" Type="http://schemas.openxmlformats.org/officeDocument/2006/relationships/hyperlink" Target="http://www.sec.gov/Archives/edgar/data/16732/000095012300001912/0000950123-00-001912.txt" TargetMode="External"/><Relationship Id="rId46" Type="http://schemas.openxmlformats.org/officeDocument/2006/relationships/hyperlink" Target="http://www.sec.gov/Archives/edgar/data/16732/000095012301000627/y44707aex99-m.txt" TargetMode="External"/><Relationship Id="rId47" Type="http://schemas.openxmlformats.org/officeDocument/2006/relationships/hyperlink" Target="http://www.sec.gov/Archives/edgar/data/16732/000095012302009287/y64024a9exv99wp.txt" TargetMode="External"/><Relationship Id="rId48" Type="http://schemas.openxmlformats.org/officeDocument/2006/relationships/hyperlink" Target="http://www.sec.gov/Archives/edgar/data/16732/000001673214000023/cpb-832014xexb9b.htm" TargetMode="External"/><Relationship Id="rId49" Type="http://schemas.openxmlformats.org/officeDocument/2006/relationships/hyperlink" Target="http://www.sec.gov/Archives/edgar/data/16732/000001673214000023/cpb-833014xexb9c.htm" TargetMode="External"/><Relationship Id="rId50" Type="http://schemas.openxmlformats.org/officeDocument/2006/relationships/hyperlink" Target="http://www.sec.gov/Archives/edgar/data/16732/000001673214000023/cpb-832014xexb9d.htm" TargetMode="External"/><Relationship Id="rId51" Type="http://schemas.openxmlformats.org/officeDocument/2006/relationships/hyperlink" Target="http://www.sec.gov/Archives/edgar/data/16732/000001673214000023/cpb-832014xexb9e.htm" TargetMode="External"/><Relationship Id="rId52" Type="http://schemas.openxmlformats.org/officeDocument/2006/relationships/hyperlink" Target="http://www.sec.gov/Archives/edgar/data/16732/000095012310092073/w79419def14a.htm" TargetMode="External"/><Relationship Id="rId53" Type="http://schemas.openxmlformats.org/officeDocument/2006/relationships/hyperlink" Target="http://www.sec.gov/Archives/edgar/data/16732/000119312515341359/d35422ddef14a.htm" TargetMode="External"/><Relationship Id="rId54" Type="http://schemas.openxmlformats.org/officeDocument/2006/relationships/hyperlink" Target="http://www.sec.gov/Archives/edgar/data/16732/000119312514360923/d773216ddef14a.htm" TargetMode="External"/><Relationship Id="rId55" Type="http://schemas.openxmlformats.org/officeDocument/2006/relationships/hyperlink" Target="http://www.sec.gov/Archives/edgar/data/16732/000089322009000515/w73131exv10wxay.htm" TargetMode="External"/><Relationship Id="rId56" Type="http://schemas.openxmlformats.org/officeDocument/2006/relationships/hyperlink" Target="http://www.sec.gov/Archives/edgar/data/16732/000095012311023447/w81833exv10wxay.htm" TargetMode="External"/><Relationship Id="rId57" Type="http://schemas.openxmlformats.org/officeDocument/2006/relationships/hyperlink" Target="http://www.sec.gov/Archives/edgar/data/16732/000089322000001180/w41784ex10-e.txt" TargetMode="External"/><Relationship Id="rId58" Type="http://schemas.openxmlformats.org/officeDocument/2006/relationships/hyperlink" Target="http://www.sec.gov/Archives/edgar/data/16732/000001673217000025/exhibit4c-campbellsoupcomp.htm" TargetMode="External"/><Relationship Id="rId59" Type="http://schemas.openxmlformats.org/officeDocument/2006/relationships/hyperlink" Target="http://www.sec.gov/Archives/edgar/data/16732/000001673217000058/cpb-7302017x10xkxexb10i.htm" TargetMode="External"/><Relationship Id="rId60" Type="http://schemas.openxmlformats.org/officeDocument/2006/relationships/hyperlink" Target="http://www.sec.gov/Archives/edgar/data/16732/000001673217000058/cpb-7302017x10xkxexb10j.htm" TargetMode="External"/><Relationship Id="rId61" Type="http://schemas.openxmlformats.org/officeDocument/2006/relationships/hyperlink" Target="http://www.sec.gov/Archives/edgar/data/16732/000089322008003178/w71888exv10wxcy.htm" TargetMode="External"/><Relationship Id="rId62" Type="http://schemas.openxmlformats.org/officeDocument/2006/relationships/hyperlink" Target="http://www.sec.gov/Archives/edgar/data/16732/000089322008003178/w71888exv10wxdy.htm" TargetMode="External"/><Relationship Id="rId63" Type="http://schemas.openxmlformats.org/officeDocument/2006/relationships/hyperlink" Target="http://www.sec.gov/Archives/edgar/data/16732/000095012311087197/w83891exv10wm.htm" TargetMode="External"/><Relationship Id="rId64" Type="http://schemas.openxmlformats.org/officeDocument/2006/relationships/hyperlink" Target="http://www.sec.gov/Archives/edgar/data/16732/000095012311087197/w83891exv10wn.htm" TargetMode="External"/><Relationship Id="rId65" Type="http://schemas.openxmlformats.org/officeDocument/2006/relationships/hyperlink" Target="http://www.sec.gov/Archives/edgar/data/16732/000001673216000146/cpb-7312016x10xkxexb10o.htm" TargetMode="External"/><Relationship Id="rId66" Type="http://schemas.openxmlformats.org/officeDocument/2006/relationships/hyperlink" Target="http://www.sec.gov/Archives/edgar/data/16732/000089322009000515/w73131exv10wxcy.htm" TargetMode="External"/><Relationship Id="rId67" Type="http://schemas.openxmlformats.org/officeDocument/2006/relationships/hyperlink" Target="http://www.sec.gov/Archives/edgar/data/16732/000095012311023447/w81833exv10wxcy.htm" TargetMode="External"/><Relationship Id="rId68" Type="http://schemas.openxmlformats.org/officeDocument/2006/relationships/hyperlink" Target="http://www.sec.gov/Archives/edgar/data/16732/000119312515029727/d862654dex101.htm" TargetMode="External"/><Relationship Id="rId69" Type="http://schemas.openxmlformats.org/officeDocument/2006/relationships/hyperlink" Target="http://www.sec.gov/Archives/edgar/data/16732/000001673215000059/cpb-1112015xexb10.htm" TargetMode="External"/><Relationship Id="rId70" Type="http://schemas.openxmlformats.org/officeDocument/2006/relationships/hyperlink" Target="http://www.sec.gov/Archives/edgar/data/16732/000001673216000146/cpb-7312046xexb10dd.htm" TargetMode="External"/><Relationship Id="rId71" Type="http://schemas.openxmlformats.org/officeDocument/2006/relationships/hyperlink" Target="http://www.sec.gov/Archives/edgar/data/16732/000001673216000173/cpb-10302016xexbx10b.htm" TargetMode="External"/><Relationship Id="rId72" Type="http://schemas.openxmlformats.org/officeDocument/2006/relationships/hyperlink" Target="http://www.sec.gov/Archives/edgar/data/16732/000001673216000146/cpb-7312016xexb10ff.htm" TargetMode="External"/><Relationship Id="rId73" Type="http://schemas.openxmlformats.org/officeDocument/2006/relationships/hyperlink" Target="http://www.sec.gov/Archives/edgar/data/16732/000001673216000173/cpb-10302016xexbx10c.htm" TargetMode="External"/><Relationship Id="rId74" Type="http://schemas.openxmlformats.org/officeDocument/2006/relationships/hyperlink" Target="http://www.sec.gov/Archives/edgar/data/16732/000001673217000085/f18longtermincentiveprog.htm" TargetMode="External"/><Relationship Id="rId75" Type="http://schemas.openxmlformats.org/officeDocument/2006/relationships/hyperlink" Target="http://www.sec.gov/Archives/edgar/data/16732/000001673217000085/cpb-10292017x10xqxexb10b.htm" TargetMode="External"/><Relationship Id="rId76" Type="http://schemas.openxmlformats.org/officeDocument/2006/relationships/hyperlink" Target="http://www.sec.gov/Archives/edgar/data/16732/000001673218000050/cpb-4292018x10xqxexb10b.htm" TargetMode="External"/><Relationship Id="rId77" Type="http://schemas.openxmlformats.org/officeDocument/2006/relationships/hyperlink" Target="http://www.sec.gov/Archives/edgar/data/16732/000001673216000176/fiveyearcreditagreement.htm" TargetMode="External"/><Relationship Id="rId78" Type="http://schemas.openxmlformats.org/officeDocument/2006/relationships/hyperlink" Target="http://www.sec.gov/Archives/edgar/data/16732/000095015917000282/ex10.htm" TargetMode="External"/><Relationship Id="rId79" Type="http://schemas.openxmlformats.org/officeDocument/2006/relationships/hyperlink" Target="http://www.sec.gov/Archives/edgar/data/16732/000001673218000050/cpb-4292018x10xqxexb10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2019-12-28T19:20:48Z</dcterms:created>
  <dcterms:modified xsi:type="dcterms:W3CDTF">2019-12-28T19:20:48Z</dcterms:modified>
</cp:coreProperties>
</file>