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 w:lineRule="exact"/>
        <w:rPr>
          <w:sz w:val="24"/>
          <w:szCs w:val="24"/>
          <w:color w:val="auto"/>
        </w:rPr>
      </w:pPr>
    </w:p>
    <w:p>
      <w:pPr>
        <w:ind w:left="4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Commission File Number</w:t>
      </w:r>
    </w:p>
    <w:p>
      <w:pPr>
        <w:spacing w:after="0" w:line="26" w:lineRule="exact"/>
        <w:rPr>
          <w:sz w:val="24"/>
          <w:szCs w:val="24"/>
          <w:color w:val="auto"/>
        </w:rPr>
      </w:pPr>
    </w:p>
    <w:p>
      <w:pPr>
        <w:ind w:left="1020"/>
        <w:spacing w:after="0"/>
        <w:tabs>
          <w:tab w:leader="none" w:pos="9320" w:val="left"/>
        </w:tabs>
        <w:rPr>
          <w:sz w:val="20"/>
          <w:szCs w:val="20"/>
          <w:color w:val="auto"/>
        </w:rPr>
      </w:pPr>
      <w:r>
        <w:rPr>
          <w:rFonts w:ascii="Times New Roman" w:cs="Times New Roman" w:eastAsia="Times New Roman" w:hAnsi="Times New Roman"/>
          <w:sz w:val="18"/>
          <w:szCs w:val="18"/>
          <w:b w:val="1"/>
          <w:bCs w:val="1"/>
          <w:color w:val="auto"/>
        </w:rPr>
        <w:t>January 28, 2024</w:t>
      </w:r>
      <w:r>
        <w:rPr>
          <w:sz w:val="20"/>
          <w:szCs w:val="20"/>
          <w:color w:val="auto"/>
        </w:rPr>
        <w:tab/>
      </w:r>
      <w:r>
        <w:rPr>
          <w:rFonts w:ascii="Times New Roman" w:cs="Times New Roman" w:eastAsia="Times New Roman" w:hAnsi="Times New Roman"/>
          <w:sz w:val="17"/>
          <w:szCs w:val="17"/>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2611755</wp:posOffset>
            </wp:positionH>
            <wp:positionV relativeFrom="paragraph">
              <wp:posOffset>69850</wp:posOffset>
            </wp:positionV>
            <wp:extent cx="1926590" cy="589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6590"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CAMPBELL SOUP COMPANY</w:t>
      </w:r>
    </w:p>
    <w:p>
      <w:pPr>
        <w:spacing w:after="0" w:line="70" w:lineRule="exact"/>
        <w:rPr>
          <w:sz w:val="24"/>
          <w:szCs w:val="24"/>
          <w:color w:val="auto"/>
        </w:rPr>
      </w:pPr>
    </w:p>
    <w:p>
      <w:pPr>
        <w:ind w:left="244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New Jersey</w:t>
      </w:r>
      <w:r>
        <w:rPr>
          <w:sz w:val="20"/>
          <w:szCs w:val="20"/>
          <w:color w:val="auto"/>
        </w:rPr>
        <w:tab/>
      </w:r>
      <w:r>
        <w:rPr>
          <w:rFonts w:ascii="Times New Roman" w:cs="Times New Roman" w:eastAsia="Times New Roman" w:hAnsi="Times New Roman"/>
          <w:sz w:val="17"/>
          <w:szCs w:val="17"/>
          <w:b w:val="1"/>
          <w:bCs w:val="1"/>
          <w:color w:val="auto"/>
        </w:rPr>
        <w:t>21-0419870</w:t>
      </w:r>
    </w:p>
    <w:p>
      <w:pPr>
        <w:spacing w:after="0" w:line="26" w:lineRule="exact"/>
        <w:rPr>
          <w:sz w:val="24"/>
          <w:szCs w:val="24"/>
          <w:color w:val="auto"/>
        </w:rPr>
      </w:pPr>
    </w:p>
    <w:p>
      <w:pPr>
        <w:ind w:left="2080"/>
        <w:spacing w:after="0"/>
        <w:tabs>
          <w:tab w:leader="none" w:pos="7140" w:val="left"/>
        </w:tabs>
        <w:rPr>
          <w:sz w:val="20"/>
          <w:szCs w:val="20"/>
          <w:color w:val="auto"/>
        </w:rPr>
      </w:pPr>
      <w:r>
        <w:rPr>
          <w:rFonts w:ascii="Times New Roman" w:cs="Times New Roman" w:eastAsia="Times New Roman" w:hAnsi="Times New Roman"/>
          <w:sz w:val="18"/>
          <w:szCs w:val="18"/>
          <w:i w:val="1"/>
          <w:iCs w:val="1"/>
          <w:color w:val="auto"/>
        </w:rPr>
        <w:t>State of Incorporation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Offices</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(856) 342-4800</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5" w:lineRule="exact"/>
        <w:rPr>
          <w:sz w:val="24"/>
          <w:szCs w:val="24"/>
          <w:color w:val="auto"/>
        </w:rPr>
      </w:pPr>
    </w:p>
    <w:p>
      <w:pPr>
        <w:ind w:left="1560"/>
        <w:spacing w:after="0"/>
        <w:tabs>
          <w:tab w:leader="none" w:pos="4980" w:val="left"/>
          <w:tab w:leader="none" w:pos="722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6" w:lineRule="exact"/>
        <w:rPr>
          <w:sz w:val="24"/>
          <w:szCs w:val="24"/>
          <w:color w:val="auto"/>
        </w:rPr>
      </w:pPr>
    </w:p>
    <w:p>
      <w:pPr>
        <w:ind w:left="1140"/>
        <w:spacing w:after="0"/>
        <w:tabs>
          <w:tab w:leader="none" w:pos="5420" w:val="left"/>
          <w:tab w:leader="none" w:pos="8000" w:val="left"/>
        </w:tabs>
        <w:rPr>
          <w:sz w:val="20"/>
          <w:szCs w:val="20"/>
          <w:color w:val="auto"/>
        </w:rPr>
      </w:pPr>
      <w:r>
        <w:rPr>
          <w:rFonts w:ascii="Times New Roman" w:cs="Times New Roman" w:eastAsia="Times New Roman" w:hAnsi="Times New Roman"/>
          <w:sz w:val="18"/>
          <w:szCs w:val="18"/>
          <w:color w:val="auto"/>
        </w:rPr>
        <w:t>Capital Stock, par value $.0375</w:t>
      </w:r>
      <w:r>
        <w:rPr>
          <w:sz w:val="20"/>
          <w:szCs w:val="20"/>
          <w:color w:val="auto"/>
        </w:rPr>
        <w:tab/>
      </w:r>
      <w:r>
        <w:rPr>
          <w:rFonts w:ascii="Times New Roman" w:cs="Times New Roman" w:eastAsia="Times New Roman" w:hAnsi="Times New Roman"/>
          <w:sz w:val="18"/>
          <w:szCs w:val="18"/>
          <w:color w:val="auto"/>
        </w:rPr>
        <w:t>CPB</w:t>
      </w:r>
      <w:r>
        <w:rPr>
          <w:sz w:val="20"/>
          <w:szCs w:val="20"/>
          <w:color w:val="auto"/>
        </w:rPr>
        <w:tab/>
      </w: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pacing w:after="0" w:line="210" w:lineRule="exact"/>
        <w:rPr>
          <w:sz w:val="24"/>
          <w:szCs w:val="24"/>
          <w:color w:val="auto"/>
        </w:rPr>
      </w:pPr>
    </w:p>
    <w:p>
      <w:pPr>
        <w:jc w:val="both"/>
        <w:ind w:firstLine="31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 w:lineRule="exact"/>
        <w:rPr>
          <w:sz w:val="24"/>
          <w:szCs w:val="24"/>
          <w:color w:val="auto"/>
        </w:rPr>
      </w:pPr>
    </w:p>
    <w:p>
      <w:pPr>
        <w:jc w:val="both"/>
        <w:ind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8"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2" w:right="339" w:bottom="1440" w:gutter="0" w:footer="0" w:header="0"/>
        </w:sectPr>
      </w:pPr>
    </w:p>
    <w:p>
      <w:pPr>
        <w:spacing w:after="0" w:line="15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4"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18"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44" w:lineRule="exact"/>
        <w:tabs>
          <w:tab w:leader="none" w:pos="1720" w:val="left"/>
          <w:tab w:leader="none" w:pos="4220" w:val="left"/>
        </w:tabs>
        <w:rPr>
          <w:sz w:val="20"/>
          <w:szCs w:val="20"/>
          <w:color w:val="auto"/>
        </w:rPr>
      </w:pPr>
      <w:r>
        <w:rPr>
          <w:rFonts w:ascii="MS PGothic" w:cs="MS PGothic" w:eastAsia="MS PGothic" w:hAnsi="MS PGothic"/>
          <w:sz w:val="35"/>
          <w:szCs w:val="35"/>
          <w:color w:val="auto"/>
          <w:vertAlign w:val="superscript"/>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5"/>
          <w:szCs w:val="15"/>
          <w:color w:val="auto"/>
        </w:rPr>
        <w:t>☐</w:t>
      </w:r>
    </w:p>
    <w:p>
      <w:pPr>
        <w:spacing w:after="0" w:line="126"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5"/>
          <w:szCs w:val="15"/>
          <w:color w:val="auto"/>
        </w:rPr>
        <w:t>☐</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3740" w:space="720"/>
            <w:col w:w="6780"/>
          </w:cols>
          <w:pgMar w:left="320" w:top="1252" w:right="339" w:bottom="1440" w:gutter="0" w:footer="0" w:header="0"/>
          <w:type w:val="continuous"/>
        </w:sectPr>
      </w:pPr>
    </w:p>
    <w:p>
      <w:pPr>
        <w:spacing w:after="0" w:line="195" w:lineRule="exact"/>
        <w:rPr>
          <w:sz w:val="24"/>
          <w:szCs w:val="24"/>
          <w:color w:val="auto"/>
        </w:rPr>
      </w:pPr>
    </w:p>
    <w:p>
      <w:pPr>
        <w:ind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61"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There were 298,102,601 shares of capital stock outstanding as of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574040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26</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37</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37</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39</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225"/>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2,139</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4,299</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299</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9"/>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68"/>
        </w:trPr>
        <w:tc>
          <w:tcPr>
            <w:tcW w:w="5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4"/>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60" w:type="dxa"/>
            <w:vAlign w:val="bottom"/>
          </w:tcPr>
          <w:p>
            <w:pPr>
              <w:spacing w:after="0"/>
              <w:rPr>
                <w:sz w:val="16"/>
                <w:szCs w:val="16"/>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4"/>
        </w:trPr>
        <w:tc>
          <w:tcPr>
            <w:tcW w:w="6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169</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635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78</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2,070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2,470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3,963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3,108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5"/>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43"/>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12,106</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1,305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2,056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4,506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1,068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625</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8,255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4,665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3,849</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3,851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12,106</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00" w:type="dxa"/>
            <w:vAlign w:val="bottom"/>
          </w:tcPr>
          <w:p>
            <w:pPr>
              <w:spacing w:after="0"/>
              <w:rPr>
                <w:sz w:val="19"/>
                <w:szCs w:val="19"/>
                <w:color w:val="auto"/>
              </w:rPr>
            </w:pPr>
          </w:p>
        </w:tc>
        <w:tc>
          <w:tcPr>
            <w:tcW w:w="58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issuances</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8"/>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9"/>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7"/>
                <w:szCs w:val="7"/>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109"/>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880" w:type="dxa"/>
            <w:vAlign w:val="bottom"/>
          </w:tcPr>
          <w:p>
            <w:pPr>
              <w:jc w:val="center"/>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60" w:type="dxa"/>
            <w:vAlign w:val="bottom"/>
          </w:tcPr>
          <w:p>
            <w:pPr>
              <w:jc w:val="right"/>
              <w:ind w:right="209"/>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2"/>
                <w:szCs w:val="12"/>
                <w:color w:val="auto"/>
              </w:rPr>
            </w:pPr>
          </w:p>
        </w:tc>
        <w:tc>
          <w:tcPr>
            <w:tcW w:w="116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1120" w:type="dxa"/>
            <w:vAlign w:val="bottom"/>
          </w:tcPr>
          <w:p>
            <w:pPr>
              <w:jc w:val="right"/>
              <w:ind w:right="109"/>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2"/>
                <w:szCs w:val="12"/>
                <w:color w:val="auto"/>
              </w:rPr>
            </w:pPr>
          </w:p>
        </w:tc>
        <w:tc>
          <w:tcPr>
            <w:tcW w:w="820" w:type="dxa"/>
            <w:vAlign w:val="bottom"/>
          </w:tcPr>
          <w:p>
            <w:pPr>
              <w:jc w:val="right"/>
              <w:ind w:right="289"/>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529</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($.74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203</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28,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30,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437</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437</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($.74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28,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Campbell Soup Company and its consolidated subsidiaries.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30, 2023.</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July 28,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Early adoption is permitted. We adopted the guidance in the fourth quarter of 2023, with the exception of the rollforward information. The adoption did not have a material impact on our consolidated financial statements. See Note 16 for additional information.</w:t>
      </w:r>
    </w:p>
    <w:p>
      <w:pPr>
        <w:spacing w:after="0" w:line="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guidance to improve reportable segment disclosures,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Early adoption is permitted. We are currently evaluating the impact that the new guidance will have on our consolidated financial statements.</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3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1"/>
                <w:szCs w:val="11"/>
                <w:color w:val="auto"/>
              </w:rPr>
            </w:pPr>
          </w:p>
        </w:tc>
        <w:tc>
          <w:tcPr>
            <w:tcW w:w="1300" w:type="dxa"/>
            <w:vAlign w:val="bottom"/>
          </w:tcPr>
          <w:p>
            <w:pPr>
              <w:jc w:val="center"/>
              <w:ind w:right="36"/>
              <w:spacing w:after="0" w:line="13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12"/>
        </w:trPr>
        <w:tc>
          <w:tcPr>
            <w:tcW w:w="5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8"/>
                <w:szCs w:val="18"/>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29,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5" w:lineRule="exact"/>
        <w:rPr>
          <w:sz w:val="20"/>
          <w:szCs w:val="20"/>
          <w:color w:val="auto"/>
        </w:rPr>
      </w:pPr>
    </w:p>
    <w:p>
      <w:pPr>
        <w:ind w:left="320" w:hanging="314"/>
        <w:spacing w:after="0"/>
        <w:tabs>
          <w:tab w:leader="none" w:pos="32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January 28, 2024, July 30, 2023, January 29, 2023 and July 31, 2022.</w:t>
      </w:r>
    </w:p>
    <w:p>
      <w:pPr>
        <w:ind w:left="320" w:right="120" w:hanging="314"/>
        <w:spacing w:after="0" w:line="215" w:lineRule="auto"/>
        <w:tabs>
          <w:tab w:leader="none" w:pos="308"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a tax benefit of $5 million as of January 28, 2024, a tax benefit of $1 million as of July 30, 2023, and no tax as of January 29, 2023 and July 31, 2022.</w:t>
      </w:r>
    </w:p>
    <w:p>
      <w:pPr>
        <w:spacing w:after="0" w:line="1" w:lineRule="exact"/>
        <w:rPr>
          <w:rFonts w:ascii="Times New Roman" w:cs="Times New Roman" w:eastAsia="Times New Roman" w:hAnsi="Times New Roman"/>
          <w:sz w:val="23"/>
          <w:szCs w:val="23"/>
          <w:color w:val="auto"/>
          <w:vertAlign w:val="superscript"/>
        </w:rPr>
      </w:pPr>
    </w:p>
    <w:p>
      <w:pPr>
        <w:ind w:left="320" w:right="3140" w:hanging="314"/>
        <w:spacing w:after="0" w:line="277" w:lineRule="auto"/>
        <w:tabs>
          <w:tab w:leader="none" w:pos="308"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$1 million as of January 28, 2024, July 30, 2023, January 29, 2023 and July 31, 2022. Amounts related to noncontrolling interests were not material.</w:t>
      </w:r>
    </w:p>
    <w:p>
      <w:pPr>
        <w:spacing w:after="0" w:line="6"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3"/>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0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680" w:type="dxa"/>
            <w:vAlign w:val="bottom"/>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212"/>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9"/>
                <w:szCs w:val="19"/>
                <w:color w:val="auto"/>
              </w:rPr>
            </w:pPr>
          </w:p>
        </w:tc>
        <w:tc>
          <w:tcPr>
            <w:tcW w:w="4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700" w:firstLine="6"/>
        <w:spacing w:after="0" w:line="346" w:lineRule="auto"/>
        <w:tabs>
          <w:tab w:leader="none" w:pos="17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changes in the carrying amount of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70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30, 2023</w:t>
            </w: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2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44"/>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January 28, 2024</w:t>
            </w:r>
          </w:p>
        </w:tc>
        <w:tc>
          <w:tcPr>
            <w:tcW w:w="54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40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trademarks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Associated with the acquisition of Snyder's-Lance, Inc. (Snyder's-Lance).</w:t>
      </w:r>
    </w:p>
    <w:p>
      <w:pPr>
        <w:spacing w:after="0" w:line="7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expense was $34 million for the six-month period ended January 28, 2024, and $21 million for the six-month period ended January 29, 2023. The increase in amortization expense in 2024 included $14 million of accelerated amortization expense on customer relationships, which began in the fourth quarter of 2023 due to the loss of certain contract manufacturing customers. As of January 28, 2024, amortizable intangible assets had a weighted-average remaining useful life of 14 years. Amortization expense is estimated to be approximately $68 million in 2024, $59 million in 2025 and $34 million per year for the following three years.</w:t>
      </w:r>
    </w:p>
    <w:p>
      <w:pPr>
        <w:spacing w:after="0" w:line="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As of our 2023 annual impairment testing, indefinite-lived trademarks with approximately 10% or less of excess coverage of fair value over carrying value had an aggregate carrying value of $434 million and included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and certain other Snacks trademarks.</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98" w:lineRule="exact"/>
        <w:rPr>
          <w:sz w:val="20"/>
          <w:szCs w:val="20"/>
          <w:color w:val="auto"/>
        </w:rPr>
      </w:pPr>
    </w:p>
    <w:p>
      <w:pPr>
        <w:jc w:val="both"/>
        <w:ind w:left="640" w:hanging="316"/>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The segment also includes snacking products in foodservice and Canada; and</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 </w:t>
      </w:r>
      <w:r>
        <w:rPr>
          <w:rFonts w:ascii="Times New Roman" w:cs="Times New Roman" w:eastAsia="Times New Roman" w:hAnsi="Times New Roman"/>
          <w:sz w:val="18"/>
          <w:szCs w:val="18"/>
          <w:i w:val="1"/>
          <w:iCs w:val="1"/>
          <w:color w:val="auto"/>
        </w:rPr>
        <w:t>Pop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Secret </w:t>
      </w:r>
      <w:r>
        <w:rPr>
          <w:rFonts w:ascii="Times New Roman" w:cs="Times New Roman" w:eastAsia="Times New Roman" w:hAnsi="Times New Roman"/>
          <w:sz w:val="18"/>
          <w:szCs w:val="18"/>
          <w:color w:val="auto"/>
        </w:rPr>
        <w:t>popcorn, and other snacking products in retail in the U.S. We refer to the * brands as our "power brands." The segment also includes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Latin America. The segment included the results of our Emerald nuts business, which was sold on May 30, 2023.</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3"/>
                <w:szCs w:val="23"/>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41" w:lineRule="auto"/>
        <w:tabs>
          <w:tab w:leader="none" w:pos="3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Costs related to the cost savings initiatives were $34 million and $45 million in the three- and six-month periods ended January 28, 2024, and $5 million and $8 million in the three- and six-month periods ended January 29, 2023, respectively. Unrealized mark-to-market adjustments on outstanding undesignated commodity hedges were gains of $7 million and losses of $8 million in the three- and six-month periods ended January 28, 2024, and losses of $4 million in the three-month period ended January 29, 2023, respectively. Accelerated amortization expense related to customer relationship intangible assets was $7 million and $14 million in the three- and six-month periods ended January 28, 2024, respectively. Costs of $10 million and $19 million associated with the pending acquisition of Sovos Brands, Inc. (Sovos Brands) were included in the three- and six-month periods ended January 28, 2024, respectively. Litigation expenses related to the Plum baby food and snacks business of $1 million and $3 million were included in the three- and six-month periods ended January 28, 2024, respectively. Costs of $3 million related to a cybersecurity incident were included in the six-month period ended January 28, 2024. There were pension actuarial gains of $6 million and losses of $9 million in the three- and six-month periods ended January 29, 2023, respectively.</w:t>
      </w:r>
    </w:p>
    <w:p>
      <w:pPr>
        <w:spacing w:after="0" w:line="43"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for additional information.</w:t>
      </w:r>
    </w:p>
    <w:p>
      <w:pPr>
        <w:spacing w:after="0" w:line="67"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net sales based on product categories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potato chips, tortilla chips and other salty snacks and baked products. Other simple meals include sauces, gravies, pasta, beans and canned poultry.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 xml:space="preserve">Campbell’s </w:t>
      </w:r>
      <w:r>
        <w:rPr>
          <w:rFonts w:ascii="Times New Roman" w:cs="Times New Roman" w:eastAsia="Times New Roman" w:hAnsi="Times New Roman"/>
          <w:sz w:val="18"/>
          <w:szCs w:val="18"/>
          <w:color w:val="auto"/>
        </w:rPr>
        <w:t>tomato juice and</w:t>
      </w:r>
      <w:r>
        <w:rPr>
          <w:rFonts w:ascii="Times New Roman" w:cs="Times New Roman" w:eastAsia="Times New Roman" w:hAnsi="Times New Roman"/>
          <w:sz w:val="18"/>
          <w:szCs w:val="18"/>
          <w:i w:val="1"/>
          <w:iCs w:val="1"/>
          <w:color w:val="auto"/>
        </w:rPr>
        <w:t xml:space="preserve"> Pacific Foods </w:t>
      </w:r>
      <w:r>
        <w:rPr>
          <w:rFonts w:ascii="Times New Roman" w:cs="Times New Roman" w:eastAsia="Times New Roman" w:hAnsi="Times New Roman"/>
          <w:sz w:val="18"/>
          <w:szCs w:val="18"/>
          <w:color w:val="auto"/>
        </w:rPr>
        <w:t>non-dairy beverages.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Restructuring Charges, Cost Savings Initiatives and Other Optimization Initiatives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ectPr>
          <w:pgSz w:w="11900" w:h="16838" w:orient="portrait"/>
          <w:cols w:equalWidth="0" w:num="1">
            <w:col w:w="11240"/>
          </w:cols>
          <w:pgMar w:left="320" w:top="1047" w:right="339" w:bottom="1440" w:gutter="0" w:footer="0" w:header="0"/>
        </w:sectPr>
      </w:pP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4"/>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9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-613410</wp:posOffset>
            </wp:positionV>
            <wp:extent cx="713486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-327660</wp:posOffset>
            </wp:positionV>
            <wp:extent cx="7134860"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-908050</wp:posOffset>
            </wp:positionV>
            <wp:extent cx="7134860"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5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left="-16"/>
        <w:spacing w:after="0" w:line="237" w:lineRule="auto"/>
        <w:rPr>
          <w:sz w:val="20"/>
          <w:szCs w:val="20"/>
          <w:color w:val="auto"/>
        </w:rPr>
      </w:pPr>
      <w:r>
        <w:rPr>
          <w:rFonts w:ascii="Times New Roman" w:cs="Times New Roman" w:eastAsia="Times New Roman" w:hAnsi="Times New Roman"/>
          <w:sz w:val="14"/>
          <w:szCs w:val="14"/>
          <w:b w:val="1"/>
          <w:bCs w:val="1"/>
          <w:color w:val="auto"/>
        </w:rPr>
        <w:t>Recognized as of January 28, 2024</w:t>
      </w:r>
    </w:p>
    <w:p>
      <w:pPr>
        <w:spacing w:after="0" w:line="33" w:lineRule="exact"/>
        <w:rPr>
          <w:sz w:val="20"/>
          <w:szCs w:val="20"/>
          <w:color w:val="auto"/>
        </w:rPr>
      </w:pPr>
    </w:p>
    <w:p>
      <w:pPr>
        <w:ind w:left="1257" w:hanging="1257"/>
        <w:spacing w:after="0"/>
        <w:tabs>
          <w:tab w:leader="none" w:pos="1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w:t>
      </w:r>
    </w:p>
    <w:p>
      <w:pPr>
        <w:spacing w:after="0" w:line="24" w:lineRule="exact"/>
        <w:rPr>
          <w:rFonts w:ascii="Times New Roman" w:cs="Times New Roman" w:eastAsia="Times New Roman" w:hAnsi="Times New Roman"/>
          <w:sz w:val="18"/>
          <w:szCs w:val="18"/>
          <w:color w:val="auto"/>
        </w:rPr>
      </w:pPr>
    </w:p>
    <w:p>
      <w:pPr>
        <w:ind w:left="12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w:t>
      </w:r>
    </w:p>
    <w:p>
      <w:pPr>
        <w:spacing w:after="0" w:line="18" w:lineRule="exact"/>
        <w:rPr>
          <w:rFonts w:ascii="Times New Roman" w:cs="Times New Roman" w:eastAsia="Times New Roman" w:hAnsi="Times New Roman"/>
          <w:sz w:val="18"/>
          <w:szCs w:val="18"/>
          <w:color w:val="auto"/>
        </w:rPr>
      </w:pPr>
    </w:p>
    <w:p>
      <w:pPr>
        <w:ind w:left="12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w:t>
      </w:r>
    </w:p>
    <w:p>
      <w:pPr>
        <w:spacing w:after="0" w:line="18" w:lineRule="exact"/>
        <w:rPr>
          <w:rFonts w:ascii="Times New Roman" w:cs="Times New Roman" w:eastAsia="Times New Roman" w:hAnsi="Times New Roman"/>
          <w:sz w:val="18"/>
          <w:szCs w:val="18"/>
          <w:color w:val="auto"/>
        </w:rPr>
      </w:pPr>
    </w:p>
    <w:p>
      <w:pPr>
        <w:ind w:left="13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18" w:lineRule="exact"/>
        <w:rPr>
          <w:rFonts w:ascii="Times New Roman" w:cs="Times New Roman" w:eastAsia="Times New Roman" w:hAnsi="Times New Roman"/>
          <w:sz w:val="18"/>
          <w:szCs w:val="18"/>
          <w:color w:val="auto"/>
        </w:rPr>
      </w:pPr>
    </w:p>
    <w:p>
      <w:pPr>
        <w:ind w:left="14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02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5" w:lineRule="exact"/>
        <w:rPr>
          <w:sz w:val="20"/>
          <w:szCs w:val="20"/>
          <w:color w:val="auto"/>
        </w:rPr>
      </w:pPr>
    </w:p>
    <w:p>
      <w:pPr>
        <w:ind w:left="1257" w:hanging="1257"/>
        <w:spacing w:after="0"/>
        <w:tabs>
          <w:tab w:leader="none" w:pos="1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2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61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40005</wp:posOffset>
            </wp:positionV>
            <wp:extent cx="102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17"/>
        <w:spacing w:after="0"/>
        <w:rPr>
          <w:sz w:val="20"/>
          <w:szCs w:val="20"/>
          <w:color w:val="auto"/>
        </w:rPr>
      </w:pPr>
      <w:r>
        <w:rPr>
          <w:rFonts w:ascii="Times New Roman" w:cs="Times New Roman" w:eastAsia="Times New Roman" w:hAnsi="Times New Roman"/>
          <w:sz w:val="14"/>
          <w:szCs w:val="14"/>
          <w:b w:val="1"/>
          <w:bCs w:val="1"/>
          <w:color w:val="auto"/>
        </w:rPr>
        <w:t>Recognized as of</w:t>
      </w:r>
    </w:p>
    <w:p>
      <w:pPr>
        <w:spacing w:after="0" w:line="3" w:lineRule="exact"/>
        <w:rPr>
          <w:sz w:val="20"/>
          <w:szCs w:val="20"/>
          <w:color w:val="auto"/>
        </w:rPr>
      </w:pPr>
    </w:p>
    <w:p>
      <w:pPr>
        <w:ind w:left="297"/>
        <w:spacing w:after="0"/>
        <w:rPr>
          <w:sz w:val="20"/>
          <w:szCs w:val="20"/>
          <w:color w:val="auto"/>
        </w:rPr>
      </w:pPr>
      <w:r>
        <w:rPr>
          <w:rFonts w:ascii="Times New Roman" w:cs="Times New Roman" w:eastAsia="Times New Roman" w:hAnsi="Times New Roman"/>
          <w:sz w:val="14"/>
          <w:szCs w:val="14"/>
          <w:b w:val="1"/>
          <w:bCs w:val="1"/>
          <w:color w:val="auto"/>
        </w:rPr>
        <w:t>January 28, 2024</w:t>
      </w:r>
    </w:p>
    <w:p>
      <w:pPr>
        <w:spacing w:after="0" w:line="26" w:lineRule="exact"/>
        <w:rPr>
          <w:sz w:val="20"/>
          <w:szCs w:val="20"/>
          <w:color w:val="auto"/>
        </w:rPr>
      </w:pPr>
    </w:p>
    <w:p>
      <w:pPr>
        <w:ind w:left="1257" w:hanging="1204"/>
        <w:spacing w:after="0"/>
        <w:tabs>
          <w:tab w:leader="none" w:pos="1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w:t>
      </w:r>
    </w:p>
    <w:p>
      <w:pPr>
        <w:spacing w:after="0" w:line="24" w:lineRule="exact"/>
        <w:rPr>
          <w:rFonts w:ascii="Times New Roman" w:cs="Times New Roman" w:eastAsia="Times New Roman" w:hAnsi="Times New Roman"/>
          <w:sz w:val="18"/>
          <w:szCs w:val="18"/>
          <w:color w:val="auto"/>
        </w:rPr>
      </w:pPr>
    </w:p>
    <w:p>
      <w:pPr>
        <w:ind w:left="127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w:t>
      </w:r>
    </w:p>
    <w:p>
      <w:pPr>
        <w:spacing w:after="0" w:line="18" w:lineRule="exact"/>
        <w:rPr>
          <w:rFonts w:ascii="Times New Roman" w:cs="Times New Roman" w:eastAsia="Times New Roman" w:hAnsi="Times New Roman"/>
          <w:sz w:val="18"/>
          <w:szCs w:val="18"/>
          <w:color w:val="auto"/>
        </w:rPr>
      </w:pPr>
    </w:p>
    <w:p>
      <w:pPr>
        <w:ind w:left="12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992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5" w:lineRule="exact"/>
        <w:rPr>
          <w:sz w:val="20"/>
          <w:szCs w:val="20"/>
          <w:color w:val="auto"/>
        </w:rPr>
      </w:pPr>
    </w:p>
    <w:p>
      <w:pPr>
        <w:ind w:left="1257" w:hanging="1204"/>
        <w:spacing w:after="0"/>
        <w:tabs>
          <w:tab w:leader="none" w:pos="1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992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40005</wp:posOffset>
            </wp:positionV>
            <wp:extent cx="992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520" w:space="123"/>
            <w:col w:w="1597"/>
          </w:cols>
          <w:pgMar w:left="320" w:top="1047" w:right="339" w:bottom="1440" w:gutter="0" w:footer="0" w:header="0"/>
          <w:type w:val="continuous"/>
        </w:sectPr>
      </w:pP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$890 million to $915 million and we expect to incur substantially all of the costs through 2025. These estimates will be updated as the expanded initiatives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$245 million to $255 million in severance pay and benefits; approximately $135 million in asset impairment and accelerated depreciation; and approximately $510 million to $525 million in implementation costs and other related costs. We expect these pre-tax costs to be associated with our segments as follows: Meals &amp; Beverages - approximately 32%; Snacks - approximately 43%; and Corporate - approximately 25%.</w:t>
      </w:r>
    </w:p>
    <w:p>
      <w:pPr>
        <w:spacing w:after="0" w:line="6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Of the aggregate $890 million to $915 million of pre-tax costs identified to date, we expect approximately $715 million to $740 million will be cash expenditures. In addition, we expect to invest approximately $700 million in capital expenditures, of which we invested $492 million as of January 28, 2024. We expect to invest in substantially all of the capital expenditures through 2025.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enhancements to our headquarters in Camden, New Jersey, implementation of our existing SAP enterprise-resource planning system for Snyder's-Lance, and optimization of the Snyder’s-Lance warehouse and distribution network.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at January 28, 2024,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6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Cash Exit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00" w:type="dxa"/>
            <w:vAlign w:val="bottom"/>
          </w:tcPr>
          <w:p>
            <w:pPr>
              <w:spacing w:after="0"/>
              <w:rPr>
                <w:sz w:val="17"/>
                <w:szCs w:val="17"/>
                <w:color w:val="auto"/>
              </w:rPr>
            </w:pPr>
          </w:p>
        </w:tc>
        <w:tc>
          <w:tcPr>
            <w:tcW w:w="142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(4)</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Accrued balance at July 30, 2023</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 charges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2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2024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Accrued balance at January 28, 2024</w:t>
            </w:r>
            <w:r>
              <w:rPr>
                <w:rFonts w:ascii="Times New Roman" w:cs="Times New Roman" w:eastAsia="Times New Roman" w:hAnsi="Times New Roman"/>
                <w:sz w:val="22"/>
                <w:szCs w:val="22"/>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30"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$7 million of severance pay and benefits recorded in Other liabilities in the Consolidated Balance Sheet.</w:t>
      </w:r>
    </w:p>
    <w:p>
      <w:pPr>
        <w:ind w:left="320" w:hanging="314"/>
        <w:spacing w:after="0" w:line="191"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 million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non-cash costs that are not reflected in the restructuring reserve in the Consolidated Balance Sheet.</w:t>
      </w:r>
    </w:p>
    <w:p>
      <w:pPr>
        <w:spacing w:after="0" w:line="8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1"/>
                <w:szCs w:val="11"/>
                <w:color w:val="auto"/>
              </w:rPr>
            </w:pPr>
          </w:p>
        </w:tc>
        <w:tc>
          <w:tcPr>
            <w:tcW w:w="126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1"/>
        </w:trPr>
        <w:tc>
          <w:tcPr>
            <w:tcW w:w="6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4"/>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second quarter of 2024, we began implementation of a new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(EPS)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six-month periods ended January 28, 2024 and January 29, 2023, excludes less than 1 million stock options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8.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4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34"/>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Pr>
          <w:p>
            <w:pPr>
              <w:spacing w:after="0"/>
              <w:rPr>
                <w:sz w:val="11"/>
                <w:szCs w:val="11"/>
                <w:color w:val="auto"/>
              </w:rPr>
            </w:pPr>
          </w:p>
        </w:tc>
        <w:tc>
          <w:tcPr>
            <w:tcW w:w="900" w:type="dxa"/>
            <w:vAlign w:val="bottom"/>
          </w:tcPr>
          <w:p>
            <w:pPr>
              <w:jc w:val="right"/>
              <w:ind w:right="78"/>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Pr>
          <w:p>
            <w:pPr>
              <w:spacing w:after="0"/>
              <w:rPr>
                <w:sz w:val="11"/>
                <w:szCs w:val="11"/>
                <w:color w:val="auto"/>
              </w:rPr>
            </w:pPr>
          </w:p>
        </w:tc>
        <w:tc>
          <w:tcPr>
            <w:tcW w:w="90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Pr>
          <w:p>
            <w:pPr>
              <w:spacing w:after="0"/>
              <w:rPr>
                <w:sz w:val="11"/>
                <w:szCs w:val="11"/>
                <w:color w:val="auto"/>
              </w:rPr>
            </w:pPr>
          </w:p>
        </w:tc>
        <w:tc>
          <w:tcPr>
            <w:tcW w:w="900" w:type="dxa"/>
            <w:vAlign w:val="bottom"/>
          </w:tcPr>
          <w:p>
            <w:pPr>
              <w:jc w:val="right"/>
              <w:ind w:right="78"/>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Pr>
          <w:p>
            <w:pPr>
              <w:spacing w:after="0"/>
              <w:rPr>
                <w:sz w:val="11"/>
                <w:szCs w:val="11"/>
                <w:color w:val="auto"/>
              </w:rPr>
            </w:pPr>
          </w:p>
        </w:tc>
        <w:tc>
          <w:tcPr>
            <w:tcW w:w="90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1"/>
        </w:trPr>
        <w:tc>
          <w:tcPr>
            <w:tcW w:w="1760" w:type="dxa"/>
            <w:vAlign w:val="bottom"/>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4"/>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Expected return on plan</w:t>
            </w:r>
          </w:p>
        </w:tc>
        <w:tc>
          <w:tcPr>
            <w:tcW w:w="4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2"/>
        </w:trPr>
        <w:tc>
          <w:tcPr>
            <w:tcW w:w="17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Net periodic benefit</w:t>
            </w:r>
          </w:p>
        </w:tc>
        <w:tc>
          <w:tcPr>
            <w:tcW w:w="480" w:type="dxa"/>
            <w:vAlign w:val="bottom"/>
            <w:vMerge w:val="restart"/>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2"/>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480" w:type="dxa"/>
            <w:vAlign w:val="bottom"/>
            <w:vMerge w:val="continue"/>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actuarial gains and losses for the three- and six-month periods ended January 29, 2023 resulted from the remeasurement of certain U.S. pension plans due to lump sum distributions that exceeded or were expected to exceed service and interest costs resulting in settlement accounting for these plans. The actuarial gains recognized for the three-month period ended January 29, 2023 were primarily due to increases in discount rates used to determine the benefit obligation, partially offset by losses on plan assets. The actuarial losses recognized for the six-month period ended January 29, 2023 were primarily due to losses on plan assets, partially offset by increases in discount rates used to determine the benefit obligation.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tcPr>
          <w:p>
            <w:pPr>
              <w:spacing w:after="0"/>
              <w:rPr>
                <w:sz w:val="2"/>
                <w:szCs w:val="2"/>
                <w:color w:val="auto"/>
              </w:rPr>
            </w:pPr>
          </w:p>
        </w:tc>
        <w:tc>
          <w:tcPr>
            <w:tcW w:w="1300" w:type="dxa"/>
            <w:vAlign w:val="bottom"/>
            <w:gridSpan w:val="3"/>
          </w:tcPr>
          <w:p>
            <w:pPr>
              <w:spacing w:after="0"/>
              <w:rPr>
                <w:sz w:val="2"/>
                <w:szCs w:val="2"/>
                <w:color w:val="auto"/>
              </w:rPr>
            </w:pPr>
          </w:p>
        </w:tc>
        <w:tc>
          <w:tcPr>
            <w:tcW w:w="130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00" w:type="dxa"/>
            <w:vAlign w:val="bottom"/>
          </w:tcPr>
          <w:p>
            <w:pPr>
              <w:spacing w:after="0"/>
              <w:rPr>
                <w:sz w:val="16"/>
                <w:szCs w:val="16"/>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25"/>
        </w:trPr>
        <w:tc>
          <w:tcPr>
            <w:tcW w:w="616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2"/>
                <w:szCs w:val="22"/>
                <w:color w:val="auto"/>
                <w:vertAlign w:val="superscript"/>
              </w:rPr>
              <w:t>(1)</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costs associated with the cost savings initiatives described in Note 6.</w:t>
      </w:r>
    </w:p>
    <w:p>
      <w:pPr>
        <w:spacing w:after="0" w:line="80"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560" w:type="dxa"/>
            <w:vAlign w:val="bottom"/>
            <w:gridSpan w:val="3"/>
          </w:tcPr>
          <w:p>
            <w:pPr>
              <w:jc w:val="center"/>
              <w:ind w:left="185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20" w:type="dxa"/>
            <w:vAlign w:val="bottom"/>
          </w:tcPr>
          <w:p>
            <w:pPr>
              <w:spacing w:after="0"/>
              <w:rPr>
                <w:sz w:val="11"/>
                <w:szCs w:val="11"/>
                <w:color w:val="auto"/>
              </w:rPr>
            </w:pPr>
          </w:p>
        </w:tc>
        <w:tc>
          <w:tcPr>
            <w:tcW w:w="298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59"/>
              <w:spacing w:after="0" w:line="128" w:lineRule="exact"/>
              <w:rPr>
                <w:sz w:val="20"/>
                <w:szCs w:val="20"/>
                <w:color w:val="auto"/>
              </w:rPr>
            </w:pPr>
            <w:r>
              <w:rPr>
                <w:rFonts w:ascii="Times New Roman" w:cs="Times New Roman" w:eastAsia="Times New Roman" w:hAnsi="Times New Roman"/>
                <w:sz w:val="14"/>
                <w:szCs w:val="14"/>
                <w:b w:val="1"/>
                <w:bCs w:val="1"/>
                <w:color w:val="auto"/>
              </w:rPr>
              <w:t>July 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9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9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3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60" w:type="dxa"/>
            <w:vAlign w:val="bottom"/>
            <w:gridSpan w:val="3"/>
          </w:tcPr>
          <w:p>
            <w:pPr>
              <w:jc w:val="center"/>
              <w:ind w:left="1839"/>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20" w:type="dxa"/>
            <w:vAlign w:val="bottom"/>
          </w:tcPr>
          <w:p>
            <w:pPr>
              <w:spacing w:after="0"/>
              <w:rPr>
                <w:sz w:val="11"/>
                <w:szCs w:val="11"/>
                <w:color w:val="auto"/>
              </w:rPr>
            </w:pPr>
          </w:p>
        </w:tc>
        <w:tc>
          <w:tcPr>
            <w:tcW w:w="298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59"/>
              <w:spacing w:after="0" w:line="128" w:lineRule="exact"/>
              <w:rPr>
                <w:sz w:val="20"/>
                <w:szCs w:val="20"/>
                <w:color w:val="auto"/>
              </w:rPr>
            </w:pPr>
            <w:r>
              <w:rPr>
                <w:rFonts w:ascii="Times New Roman" w:cs="Times New Roman" w:eastAsia="Times New Roman" w:hAnsi="Times New Roman"/>
                <w:sz w:val="14"/>
                <w:szCs w:val="14"/>
                <w:b w:val="1"/>
                <w:bCs w:val="1"/>
                <w:color w:val="auto"/>
              </w:rPr>
              <w:t>July 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9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9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9"/>
        </w:trPr>
        <w:tc>
          <w:tcPr>
            <w:tcW w:w="38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5"/>
        </w:trPr>
        <w:tc>
          <w:tcPr>
            <w:tcW w:w="8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Short-term Borrowings and Long-term Debt</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10, 2023, we entered into a delayed single draw term loan credit agreement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can only be used in connection with the acquisition of Sovos Brands. The 2024 DDTL Credit Agreement remained unused at January 28,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January 28, 2024, or July 30, 2023.</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exposed to credit risk from our customers. During 2023, our largest customer accounted for approximately 22% of consolidated net sales. Our five largest customers accounted for approximately 47% of our consolidated net sales in 2023.</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8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related to intercompany transactions and third-party transactions.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$75 million as of January 28, 2024, and $125 million as of July 30, 2023.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5" w:name="page16"/>
    <w:bookmarkEnd w:id="15"/>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income (loss). The notional amount of foreign exchange forward contracts that are not designated as accounting hedges was $22 million as of January 28, 2024, and $15 million as of July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The change in fair value on undesignated instruments is recorded in Interest expense. The notional amount of forward starting interest rate swaps accounted for as cash-flow hedges was $1 billion as of January 28, 2024. These forward starting interest rate swaps related to an anticipated debt issuance and mature in January 2025. There were no forward starting interest rate swaps or treasury lock contracts outstanding as of July 30,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8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Commodity futures, options and swap contracts are either designated as cash-flow hedging instruments or are undesignated. We hedge a portion of commodity requirements for periods typically up to 18 months. There were no commodity contracts designated as cash-flow hedges as of January 28, 2024, or July 30, 2023. The notional amount of commodity contracts not designated as accounting hedges was $161 million as of January 28, 2024, and $194 million as of July 30, 2023. The change in fair value on undesignated instruments is recorded in Cost of products sold.</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$85 million as of January 28, 2024, and $47 million as of July 30, 2023. The change in fair value on the embedded derivative is recorded in Cost of products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$42 million as of January 28, 2024, and July 30, 2023.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2024, and July 30,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2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13"/>
                <w:szCs w:val="13"/>
                <w:color w:val="auto"/>
              </w:rPr>
            </w:pPr>
          </w:p>
        </w:tc>
        <w:tc>
          <w:tcPr>
            <w:tcW w:w="12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8"/>
              </w:rPr>
              <w:t>July 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Borders>
              <w:bottom w:val="single" w:sz="8" w:color="auto"/>
            </w:tcBorders>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9"/>
                <w:szCs w:val="19"/>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2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24"/>
                <w:szCs w:val="24"/>
                <w:color w:val="auto"/>
              </w:rPr>
            </w:pPr>
          </w:p>
        </w:tc>
        <w:tc>
          <w:tcPr>
            <w:tcW w:w="12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8"/>
              </w:rPr>
              <w:t>July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3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January 28, 2024, and July 30, 2023,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3"/>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Cash margin asset balances of $9 million at January 28, 2024, and $2 million at July 30, 2023, were included in Other current assets in the Consolidated Balance Sheets.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for the three- and six-month periods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2024, and January 29, 2023, in other comprehensive income (loss) (OCI) and the Consolidated Statements of Earnings: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380" w:type="dxa"/>
            <w:vAlign w:val="bottom"/>
          </w:tcPr>
          <w:p>
            <w:pPr>
              <w:spacing w:after="0"/>
              <w:rPr>
                <w:sz w:val="13"/>
                <w:szCs w:val="13"/>
                <w:color w:val="auto"/>
              </w:rPr>
            </w:pPr>
          </w:p>
        </w:tc>
      </w:tr>
      <w:tr>
        <w:trPr>
          <w:trHeight w:val="192"/>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380" w:type="dxa"/>
            <w:vAlign w:val="bottom"/>
            <w:tcBorders>
              <w:bottom w:val="single" w:sz="8" w:color="auto"/>
            </w:tcBorders>
          </w:tcPr>
          <w:p>
            <w:pPr>
              <w:spacing w:after="0"/>
              <w:rPr>
                <w:sz w:val="16"/>
                <w:szCs w:val="16"/>
                <w:color w:val="auto"/>
              </w:rPr>
            </w:pPr>
          </w:p>
        </w:tc>
      </w:tr>
      <w:tr>
        <w:trPr>
          <w:trHeight w:val="192"/>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72"/>
        </w:trPr>
        <w:tc>
          <w:tcPr>
            <w:tcW w:w="6180" w:type="dxa"/>
            <w:vAlign w:val="bottom"/>
            <w:tcBorders>
              <w:top w:val="single" w:sz="8" w:color="CCEEFF"/>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r>
      <w:tr>
        <w:trPr>
          <w:trHeight w:val="40"/>
        </w:trPr>
        <w:tc>
          <w:tcPr>
            <w:tcW w:w="142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92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61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gridSpan w:val="2"/>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180" w:type="dxa"/>
            <w:vAlign w:val="bottom"/>
            <w:tcBorders>
              <w:top w:val="single" w:sz="8" w:color="CCEEFF"/>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5"/>
        </w:trPr>
        <w:tc>
          <w:tcPr>
            <w:tcW w:w="1420" w:type="dxa"/>
            <w:vAlign w:val="bottom"/>
            <w:tcBorders>
              <w:left w:val="single" w:sz="8" w:color="CCEEFF"/>
              <w:bottom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476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92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61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gridSpan w:val="2"/>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less than $1 million.</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show the total amounts of line items presented in the Consolidated Statements of Earnings for the three- and six-month periods ended January 28, 2024, and January 29, 2023, in which the effects of derivative instruments designated as cash-flow hedges are recorded and the total effect of hedge activity on these line items are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34"/>
        </w:trPr>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20" w:type="dxa"/>
            <w:vAlign w:val="bottom"/>
          </w:tcPr>
          <w:p>
            <w:pPr>
              <w:ind w:left="28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1,680</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70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4"/>
                <w:szCs w:val="24"/>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8"/>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r>
      <w:tr>
        <w:trPr>
          <w:trHeight w:val="186"/>
        </w:trPr>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34"/>
        </w:trPr>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20" w:type="dxa"/>
            <w:vAlign w:val="bottom"/>
          </w:tcPr>
          <w:p>
            <w:pPr>
              <w:ind w:left="28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3,410</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95</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70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4"/>
                <w:szCs w:val="24"/>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-1859280</wp:posOffset>
            </wp:positionV>
            <wp:extent cx="7134860"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-1539875</wp:posOffset>
            </wp:positionV>
            <wp:extent cx="713486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-605790</wp:posOffset>
            </wp:positionV>
            <wp:extent cx="7134860" cy="151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-286385</wp:posOffset>
            </wp:positionV>
            <wp:extent cx="713486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80"/>
          </w:cols>
          <w:pgMar w:left="320" w:top="969"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8" w:name="page19"/>
    <w:bookmarkEnd w:id="18"/>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40" w:type="dxa"/>
            <w:vAlign w:val="bottom"/>
            <w:gridSpan w:val="2"/>
            <w:vMerge w:val="continue"/>
          </w:tcPr>
          <w:p>
            <w:pPr>
              <w:spacing w:after="0"/>
              <w:rPr>
                <w:sz w:val="13"/>
                <w:szCs w:val="13"/>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191"/>
        </w:trPr>
        <w:tc>
          <w:tcPr>
            <w:tcW w:w="3380" w:type="dxa"/>
            <w:vAlign w:val="bottom"/>
            <w:vMerge w:val="continue"/>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(gain)</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89"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January 28, 2024, and July 30, 2023, consistent with the fair value hierarchy: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10"/>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9"/>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9"/>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w w:val="99"/>
              </w:rPr>
              <w:t>January 28, 2024 Using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6"/>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July 30, 2023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0" w:type="dxa"/>
            <w:vAlign w:val="bottom"/>
          </w:tcPr>
          <w:p>
            <w:pPr>
              <w:spacing w:after="0"/>
              <w:rPr>
                <w:sz w:val="16"/>
                <w:szCs w:val="16"/>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4"/>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8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1780" w:type="dxa"/>
            <w:vAlign w:val="bottom"/>
            <w:gridSpan w:val="3"/>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8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1780" w:type="dxa"/>
            <w:vAlign w:val="bottom"/>
            <w:gridSpan w:val="3"/>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4"/>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10"/>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9"/>
          </w:tcPr>
          <w:p>
            <w:pPr>
              <w:jc w:val="center"/>
              <w:ind w:right="114"/>
              <w:spacing w:after="0" w:line="135" w:lineRule="exact"/>
              <w:rPr>
                <w:sz w:val="20"/>
                <w:szCs w:val="20"/>
                <w:color w:val="auto"/>
              </w:rPr>
            </w:pPr>
            <w:r>
              <w:rPr>
                <w:rFonts w:ascii="Times New Roman" w:cs="Times New Roman" w:eastAsia="Times New Roman" w:hAnsi="Times New Roman"/>
                <w:sz w:val="14"/>
                <w:szCs w:val="14"/>
                <w:b w:val="1"/>
                <w:bCs w:val="1"/>
                <w:color w:val="auto"/>
              </w:rPr>
              <w:t>January 28, 2024 Using</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6"/>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July 30, 2023 Using</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restart"/>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July 30, 2023</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4"/>
                <w:szCs w:val="14"/>
                <w:color w:val="auto"/>
              </w:rPr>
            </w:pP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Forward starting</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2"/>
                <w:szCs w:val="22"/>
                <w:color w:val="auto"/>
                <w:vertAlign w:val="superscript"/>
              </w:rPr>
              <w:t>(5)</w:t>
            </w: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gridSpan w:val="2"/>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80" w:type="dxa"/>
            <w:vAlign w:val="bottom"/>
            <w:gridSpan w:val="3"/>
          </w:tcPr>
          <w:p>
            <w:pPr>
              <w:spacing w:after="0" w:line="152" w:lineRule="exact"/>
              <w:rPr>
                <w:sz w:val="20"/>
                <w:szCs w:val="20"/>
                <w:color w:val="auto"/>
              </w:rPr>
            </w:pPr>
            <w:r>
              <w:rPr>
                <w:rFonts w:ascii="Times New Roman" w:cs="Times New Roman" w:eastAsia="Times New Roman" w:hAnsi="Times New Roman"/>
                <w:sz w:val="17"/>
                <w:szCs w:val="17"/>
                <w:color w:val="auto"/>
              </w:rPr>
              <w:t>Total liabilities at fair</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8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SOFR swap rates.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 for the six-month periods ended January 28, 2024,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cash equivalents at January 28, 2024 or July 30, 2023.</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$4.143 billion at January 28, 2024, and $4.293 billion at July 30, 2023. The carrying value was $4.52 billion at January 28, 2024, and $4.689 billion at July 30, 2023.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six-month period ended January 28, 2024, we repurchased 707 thousand shares at a cost of $29 million pursuant to our June 2021 program. As of January 28, 2024, approximately $75 million remained available under the June 2021 program and approximately $301 million remained available under the September 2021 program. During the six-month period ended January 29, 2023, we repurchased 1.298 million shares at a cost of $66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2024, we issued time-lapse restricted stock units, unrestricted stock, TSR performance restricted stock units and EPS performance restricted stock units. We last issued stock options and FCF performance restricted stock units in 2019.</w:t>
      </w:r>
    </w:p>
    <w:p>
      <w:pPr>
        <w:spacing w:after="0" w:line="6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520" w:type="dxa"/>
            <w:vAlign w:val="bottom"/>
            <w:gridSpan w:val="4"/>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1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828"/>
        </w:trPr>
        <w:tc>
          <w:tcPr>
            <w:tcW w:w="448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January 28,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5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30,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28,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January 28,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intrinsic value of options exercised during the six-month period ended January 29, 2023 was $3 million.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EPS performance restricted stock units as of January 28,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30,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28,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which we expense on an accelerated basis.</w:t>
      </w:r>
    </w:p>
    <w:p>
      <w:pPr>
        <w:spacing w:after="0" w:line="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Since 2022, we have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898 thousand EPS performance target grants outstanding at January 28, 2024, with a weighted-average grant-date fair value of $42.98.</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January 28, 2024, total remaining unearned compensation related to nonvested time-lapse restricted stock units and EPS performance restricted stock units was $65 million, which will be amortized over the weighted-average remaining service period of 1.9 years. The fair value of restricted stock units vested during the six-month periods ended January 28, 2024, and January 29, 2023, was $31 million and $35 million, respectively. The weighted-average grant-date fair value of the restricted stock units granted during the six-month period ended January 29, 2023 was $47.36.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January 28,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30, 2023</w:t>
            </w:r>
          </w:p>
        </w:tc>
        <w:tc>
          <w:tcPr>
            <w:tcW w:w="1640" w:type="dxa"/>
            <w:vAlign w:val="bottom"/>
            <w:gridSpan w:val="2"/>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6"/>
              </w:rPr>
              <w:t>948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center"/>
              <w:ind w:left="1137"/>
              <w:spacing w:after="0"/>
              <w:rPr>
                <w:sz w:val="20"/>
                <w:szCs w:val="20"/>
                <w:color w:val="auto"/>
              </w:rPr>
            </w:pPr>
            <w:r>
              <w:rPr>
                <w:rFonts w:ascii="Times New Roman" w:cs="Times New Roman" w:eastAsia="Times New Roman" w:hAnsi="Times New Roman"/>
                <w:sz w:val="18"/>
                <w:szCs w:val="18"/>
                <w:color w:val="auto"/>
                <w:w w:val="96"/>
              </w:rPr>
              <w:t>387</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color w:val="auto"/>
                <w:w w:val="97"/>
              </w:rPr>
              <w:t>(289)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center"/>
              <w:ind w:left="1097"/>
              <w:spacing w:after="0"/>
              <w:rPr>
                <w:sz w:val="20"/>
                <w:szCs w:val="20"/>
                <w:color w:val="auto"/>
              </w:rPr>
            </w:pPr>
            <w:r>
              <w:rPr>
                <w:rFonts w:ascii="Times New Roman" w:cs="Times New Roman" w:eastAsia="Times New Roman" w:hAnsi="Times New Roman"/>
                <w:sz w:val="18"/>
                <w:szCs w:val="18"/>
                <w:color w:val="auto"/>
                <w:w w:val="97"/>
              </w:rPr>
              <w:t>(148)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28, 2024</w:t>
            </w:r>
          </w:p>
        </w:tc>
        <w:tc>
          <w:tcPr>
            <w:tcW w:w="1640" w:type="dxa"/>
            <w:vAlign w:val="bottom"/>
            <w:tcBorders>
              <w:bottom w:val="single" w:sz="8" w:color="auto"/>
            </w:tcBorders>
            <w:gridSpan w:val="2"/>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6"/>
              </w:rPr>
              <w:t>898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rPr>
              <w:t>4.84%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rPr>
              <w:t>3.54%</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22.16%</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26.40%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January 28, 2024, total remaining unearned compensation related to TSR performance restricted stock units was $19 million, which will be amortized over the weighted-average remaining service period of 1.9 years. In the first quarter of 2024, recipients of TSR performance restricted stock units earned 75% of the initial grants based upon our TSR ranking in a performance peer group during a three-year period ended July 28, 2023. In the first quarter of 2023, recipients of TSR performance restricted stock units earned 100% of the initial grants based upon our TSR ranking in a performance peer group during a three-year period ended July 29, 2022. The fair value of TSR performance restricted stock units vested during the six-month periods ended January 28, 2024, and January 29, 2023, was $12 million and $21 million, respectively. The grant-date fair value of the TSR performance restricted stock units granted during the six-month period ended January 29, 2023, was $53.74.</w:t>
      </w:r>
    </w:p>
    <w:p>
      <w:pPr>
        <w:spacing w:after="0" w:line="7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tax benefits on the exercise of stock options in the six-month period ended January 29, 2023 were not material. Cash received from the exercise of stock options was $22 million for the six-month period ended January 29, 2023, and is reflected in cash flows from financing activities in the Consolidated Statements of Cash Flows.</w:t>
      </w:r>
    </w:p>
    <w:p>
      <w:pPr>
        <w:spacing w:after="0" w:line="136" w:lineRule="exact"/>
        <w:rPr>
          <w:sz w:val="20"/>
          <w:szCs w:val="20"/>
          <w:color w:val="auto"/>
        </w:rPr>
      </w:pPr>
    </w:p>
    <w:p>
      <w:pPr>
        <w:ind w:right="8460" w:firstLine="6"/>
        <w:spacing w:after="0" w:line="367" w:lineRule="auto"/>
        <w:tabs>
          <w:tab w:leader="none" w:pos="265"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28, 2024. While the potential future charges could be material in a particular quarter 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3" w:name="page24"/>
    <w:bookmarkEnd w:id="23"/>
    <w:p>
      <w:pPr>
        <w:jc w:val="both"/>
        <w:spacing w:after="0" w:line="274" w:lineRule="auto"/>
        <w:rPr>
          <w:sz w:val="20"/>
          <w:szCs w:val="20"/>
          <w:color w:val="auto"/>
        </w:rPr>
      </w:pPr>
      <w:r>
        <w:rPr>
          <w:rFonts w:ascii="Times New Roman" w:cs="Times New Roman" w:eastAsia="Times New Roman" w:hAnsi="Times New Roman"/>
          <w:sz w:val="18"/>
          <w:szCs w:val="18"/>
          <w:color w:val="auto"/>
        </w:rPr>
        <w:t>annual period, based on information currently known by us, we do not believe any such charges are likely to have a material adverse effect on our consolidated results of operations or financial condition.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January 28,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Supplier Finance Program Obligations</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$252 million at January 28, 2024, and $258 million at July 30,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Financial Statement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0" w:type="dxa"/>
            <w:vAlign w:val="bottom"/>
          </w:tcPr>
          <w:p>
            <w:pPr>
              <w:spacing w:after="0"/>
              <w:rPr>
                <w:sz w:val="1"/>
                <w:szCs w:val="1"/>
                <w:color w:val="auto"/>
              </w:rPr>
            </w:pPr>
          </w:p>
        </w:tc>
      </w:tr>
      <w:tr>
        <w:trPr>
          <w:trHeight w:val="191"/>
        </w:trPr>
        <w:tc>
          <w:tcPr>
            <w:tcW w:w="5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5"/>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income other than the service cost</w:t>
            </w: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pending acquisition</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5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26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ind w:left="320" w:hanging="314"/>
        <w:spacing w:after="0" w:line="225" w:lineRule="auto"/>
        <w:tabs>
          <w:tab w:leader="none" w:pos="30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related to customer relationship intangible assets of $7 million and $14 million in the three- and six-month periods ended January 28, 2024, respectively.</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Related to the pending acquisition of Sovos Brands. See Note 18 for additional information.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18. Pending Acquisition</w:t>
      </w:r>
    </w:p>
    <w:p>
      <w:pPr>
        <w:spacing w:after="0" w:line="8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August 7, 2023, we entered into a merger agreement to acquire Sovos Brands for $23.00 per share in cash, representing a total enterprise value of approximately $2.7 billion. The closing of the Sovos Brands acquisition is subject to certain customary mutual conditions, including among other things the expiration or termination of the applicable waiting period under the Hart-Scott-Rodino Antitrust Improvements Act of 1976, as amended (the HSR Act).</w:t>
      </w:r>
    </w:p>
    <w:p>
      <w:pPr>
        <w:spacing w:after="0" w:line="4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On October 23, 2023, we and Sovos Brands each received a request for additional information (the Second Request) from the U.S. Federal Trade Commission (the FTC) in connection with the FTC’s review of the transaction contemplated by the merger agreement. Issuance of the Second Request extended the waiting period under the HSR Act until 30 days after both we and Sovos Brands substantially complied with the Second Request, unless the waiting period was extended voluntarily by the parties or terminated earlier by the FTC.</w:t>
      </w:r>
    </w:p>
    <w:p>
      <w:pPr>
        <w:spacing w:after="0" w:line="63"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On February 13, 2024, we and Sovos Brands announced that both companies have certified substantial compliance with the Second Request. The certification of substantial compliance triggered the start of a 30-day waiting period which is expected to expire on March 11, 2024, after which the acquisition can be consummated. Subject to the satisfaction or waiver of customary closing conditions set forth in the merger agreement, we expect to complete the transaction the week of March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30, 2023,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30, 2023, we completed the sale of our Emerald nuts business for $41 million. The results of the business through the date of sale were reflected within the Snacks reportable segment.</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Sovos Brands, Inc. (Sovos Brands) Acquisition Update</w:t>
      </w:r>
    </w:p>
    <w:p>
      <w:pPr>
        <w:spacing w:after="0" w:line="8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August 7, 2023, we entered into a merger agreement to acquire Sovos Brands for $23.00 per share in cash, representing a total enterprise value of approximately $2.7 billion. The closing of the Sovos Brands acquisition is subject to certain customary mutual conditions, including among other things the expiration or termination of the applicable waiting period under the Hart-Scott-Rodino Antitrust Improvements Act of 1976, as amended (the HSR Act).</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October 16, 2023, at a special meeting of Sovos Brands’ stockholders, the proposal to adopt the merger agreement was approved.</w:t>
      </w:r>
    </w:p>
    <w:p>
      <w:pPr>
        <w:spacing w:after="0" w:line="7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On October 23, 2023, we and Sovos Brands each received a request for additional information (the Second Request) from the U.S. Federal Trade Commission (the FTC) in connection with the FTC’s review of the transaction contemplated by the merger agreement. Issuance of the Second Request extended the waiting period under the HSR Act until 30 days after both we and Sovos Brands substantially complied with the Second Request, unless the waiting period was extended voluntarily by the parties or terminated earlier by the FTC.</w:t>
      </w:r>
    </w:p>
    <w:p>
      <w:pPr>
        <w:spacing w:after="0" w:line="63"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On February 13, 2024, we and Sovos Brands announced that both companies have certified substantial compliance with the Second Request. The certification of substantial compliance triggered the start of a 30-day waiting period which is expected to expire on March 11, 2024, after which the acquisition can be consummated. Subject to the satisfaction or waiver of customary closing conditions set forth in the merger agreement, we expect to complete the transaction the week of March 11,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8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industry continues to be impacted by commodity cost fluctuations, labor cost inflation, input cost inflation and other global macroeconomic challenges. We experienced a moderate amount of input cost inflation during the first half of 2024, and we expect modest pressures of input cost inflation to continue throughout the remainder of 2024. Although we have experienced a reduction in our volumes due to lower consumption trends seen throughout the industry, we have seen sequential improvement in key brands and categories in the second quarter of 2024. We expect these volume trends to continue to improve and inflation to continue to moderate throughout the remainder of 2024.</w:t>
      </w:r>
    </w:p>
    <w:p>
      <w:pPr>
        <w:spacing w:after="0" w:line="6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anticipate continued supply chain productivity and previously implemented pricing actions to mitigate some of the inflationary pressures, and expect such benefits to largely offset the incremental costs in 2024. We will continue to evaluate the evolving macroeconomic environment to take action to mitigate the impact on our business, consolidated results of operations and financial condition. We will also be lapping 2023 price increases and favorable net price realization will represent a reduced contribution to sales in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1% in the quarter to $2.456 billion following a 12% increase in the prior year. Volume/mix declines were partially offset by net price realization. On a two-year compounded annual growth rate (CAGR), net sales increased 5%.</w:t>
      </w:r>
    </w:p>
    <w:p>
      <w:pPr>
        <w:spacing w:after="0" w:line="30"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as a percent of sales, was 31.6% in 2024 compared to 30.5% in the prior-year quarter. The increase was primarily due to benefits from supply chain productivity improvements and favorable net price realization, partially offset by higher cost inflation and other supply chain costs.</w:t>
      </w:r>
    </w:p>
    <w:p>
      <w:pPr>
        <w:spacing w:after="0" w:line="21"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$.68 in 2024, compared to $.77 a year ago. The current quarter included expenses of $.12 per share and the prior-year quarter included expenses of $.03 per share from items impacting comparability as discussed below.</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48"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second quarter of 2024, we recorded Restructuring charges of $2 million and implementation costs and other related costs of $29 million in Administrative expenses, $3 million in Cost of products sold, $1 million in Marketing and selling expenses and $1 million in Research and development expenses (aggregate impact of $27 million after tax, or $.09 per share) related to these initiatives. Year-to-date in 2024, we recorded Restructuring charges of $4 million and implementation costs and other related costs of $34 million in Administrative expenses, $6 million in Cost of products sold, $3 million in Marketing and selling expenses and $2 million in Research and development expenses (aggregate impact of $37 million after tax, or $0.12 per share) related to these initiatives. In the second quarter of 2023, we recorded Restructuring charges of $9 million and implementation costs and other related costs of $5 million in Administrative expenses (aggregate impact of $10 million after tax, or $.03 per share) related to these initiatives. Year-to-date in 2023, we recorded Restructuring charges of $9 million and implementation costs and other related costs of $8 million in Administrative expenses (aggregate impact of $13 million after tax, or $.04 per share) related to these initiatives. See Note 6 to the Consolidated Financial Statements and "Restructuring Charges and Cost Savings Initiatives" for additional information;</w:t>
      </w:r>
    </w:p>
    <w:p>
      <w:pPr>
        <w:spacing w:after="0" w:line="72"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recognized gains in Cost of products sold of $7 million ($5 million after tax, or $.02 per share) associated with unrealized mark-to-market adjustments on outstanding undesignated commodity hedges. Year-to-date in 2024, we recognized losses in Cost of products sold of $8 million ($6 million after tax, or $.02 per share) associated with unrealized mark-to-market adjustments on outstanding undesignated commodity hedges. In the second quarter of 2023, we recognized losses in Cost of products sold of $4 million ($3 million after tax, or $.01 per share) associated with unrealized mark-to-market adjustments on outstanding undesignated commodity hedges;</w:t>
      </w:r>
    </w:p>
    <w:p>
      <w:pPr>
        <w:spacing w:after="0" w:line="52"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recorded accelerated amortization expense in Other expenses / (income) of $7 million ($5 million after tax, or $.02 per share) related to customer relationship intangible assets due to the loss of certain contract manufacturing customers, which began in the fourth quarter of 2023. Year-to-date in 2024, we recorded accelerated amortization expense in Other expenses / (income) of $14 million ($10 million after tax, or $.03 per share) related to customer relationship intangible assets;</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announced our intent to acquire Sovos Brands. In the second quarter of 2024, we incurred costs in Other expenses / (income) of $10 million ($9 million after tax, or $.03 per share) associated with the pending acquisition. Year-to-date in 2024, we incurred costs in Other expenses / (income) of $19 million ($17 million after tax, or $.06 per share) associated with the pending acquisition;</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recorded pre- and after-tax litigation expenses in Administrative expenses of $1 million related to the Plum baby food and snacks business (Plum), which was divested on May 3, 2021. Year-to-date in 2024, we recorded pre- and after-tax litigation expenses in Administrative expenses of $3 million ($.01 per share) related to Plum;</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2024, we recorded costs of $2 million in Cost of products sold and $1 million in Administrative expenses (aggregate impact of $2 million after tax, or $.01 per share) related to a cybersecurity incident that was identified in the fourth quarter of 2023;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2023, we recognized actuarial gains in Other expenses / (income) of $6 million ($4 million after tax, or $.01 per share). Year-to-date in 2023, we recognized actuarial losses in Other expenses / (income) of $9 million ($7 million after tax, or $.02 per share). The actuarial gains and losses related to interim remeasurements of certain U.S. pension plans due to lump sum distributions that exceeded or were expected to exceed service and interest costs resulting in settlement accounting for the plans.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21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8"/>
                <w:szCs w:val="18"/>
                <w:color w:val="auto"/>
              </w:rPr>
            </w:pPr>
          </w:p>
        </w:tc>
        <w:tc>
          <w:tcPr>
            <w:tcW w:w="8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pending acquisition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 litigation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actuarial gains</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6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74"/>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9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pending acquisition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 litigation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Cybersecurity incident costs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actuarial losses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9"/>
        </w:trPr>
        <w:tc>
          <w:tcPr>
            <w:tcW w:w="694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earnings attributable to Campbell Soup Company were $203 million ($.68 per share) in the current quarter, compared to $232 million ($.77 per share) in the year-ago quarter. After adjusting for items impacting comparability, earnings decreased slightly reflecting higher other expenses, higher research and development expenses, higher administrative expenses and a higher effective tax rate, largely offset by improved gross profit. Earnings per share benefited from a reduction in the weighted average diluted shares outstanding.</w:t>
      </w:r>
    </w:p>
    <w:p>
      <w:pPr>
        <w:spacing w:after="0" w:line="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earnings attributable to Campbell Soup Company were $437 million ($1.46 per share) in the six-month period this year, compared to $529 million ($1.76 per share) in the year-ago period. After adjusting for items impacting comparability, earnings decreased reflecting higher marketing and selling expenses, lower gross profit, higher other expenses, higher interest expense and a higher effective tax rate. Earnings per share benefited from a reduction in the weighted average diluted shares outstanding.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SECOND-QUARTER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80" w:type="dxa"/>
            <w:vAlign w:val="bottom"/>
            <w:vMerge w:val="restart"/>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vMerge w:val="restart"/>
          </w:tcPr>
          <w:p>
            <w:pPr>
              <w:ind w:lef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Two-Year</w:t>
            </w:r>
          </w:p>
        </w:tc>
        <w:tc>
          <w:tcPr>
            <w:tcW w:w="0" w:type="dxa"/>
            <w:vAlign w:val="bottom"/>
          </w:tcPr>
          <w:p>
            <w:pPr>
              <w:spacing w:after="0"/>
              <w:rPr>
                <w:sz w:val="1"/>
                <w:szCs w:val="1"/>
                <w:color w:val="auto"/>
              </w:rPr>
            </w:pPr>
          </w:p>
        </w:tc>
      </w:tr>
      <w:tr>
        <w:trPr>
          <w:trHeight w:val="11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0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CAGR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tcPr>
          <w:p>
            <w:pPr>
              <w:jc w:val="right"/>
              <w:ind w:right="332"/>
              <w:spacing w:after="0"/>
              <w:rPr>
                <w:sz w:val="20"/>
                <w:szCs w:val="20"/>
                <w:color w:val="auto"/>
              </w:rPr>
            </w:pPr>
            <w:r>
              <w:rPr>
                <w:rFonts w:ascii="Times New Roman" w:cs="Times New Roman" w:eastAsia="Times New Roman" w:hAnsi="Times New Roman"/>
                <w:sz w:val="18"/>
                <w:szCs w:val="18"/>
                <w:color w:val="auto"/>
              </w:rPr>
              <w:t>7</w:t>
            </w:r>
          </w:p>
        </w:tc>
      </w:tr>
      <w:tr>
        <w:trPr>
          <w:trHeight w:val="244"/>
        </w:trPr>
        <w:tc>
          <w:tcPr>
            <w:tcW w:w="5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2024 versus 2023</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Volume/mix</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w:t>
            </w:r>
          </w:p>
        </w:tc>
      </w:tr>
      <w:tr>
        <w:trPr>
          <w:trHeight w:val="225"/>
        </w:trPr>
        <w:tc>
          <w:tcPr>
            <w:tcW w:w="20" w:type="dxa"/>
            <w:vAlign w:val="bottom"/>
          </w:tcPr>
          <w:p>
            <w:pPr>
              <w:spacing w:after="0"/>
              <w:rPr>
                <w:sz w:val="19"/>
                <w:szCs w:val="19"/>
                <w:color w:val="auto"/>
              </w:rPr>
            </w:pPr>
          </w:p>
        </w:tc>
        <w:tc>
          <w:tcPr>
            <w:tcW w:w="748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7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Meals &amp; Beverages, sales decreased 2% as declines in U.S. retail products, primarily declines in U.S. soup, beverages and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were partially offset by gains in Canada and foodservice. Sales were impacted by volume/mix declines with neutral net price realization. On a two-year CAGR basis, net sales increased 4%. Following a 7% increase in the prior year, sales of U.S. soup decreased 3% primarily due to decreases in ready-to-serve soups and condensed soups, partially offset by an increase in broth.</w:t>
      </w:r>
    </w:p>
    <w:p>
      <w:pPr>
        <w:spacing w:after="0" w:line="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Snacks, sales were flat. Excluding the impact from the divestiture of the Emerald nuts business, sales increased driven by sales of our power brands, which increased 4%, partially offset by declines in sales of third-party partner brands. Sales increased due to increases in cookies and crackers, primarily </w:t>
      </w:r>
      <w:r>
        <w:rPr>
          <w:rFonts w:ascii="Times New Roman" w:cs="Times New Roman" w:eastAsia="Times New Roman" w:hAnsi="Times New Roman"/>
          <w:sz w:val="18"/>
          <w:szCs w:val="18"/>
          <w:i w:val="1"/>
          <w:iCs w:val="1"/>
          <w:color w:val="auto"/>
        </w:rPr>
        <w:t xml:space="preserve">Goldfish </w:t>
      </w:r>
      <w:r>
        <w:rPr>
          <w:rFonts w:ascii="Times New Roman" w:cs="Times New Roman" w:eastAsia="Times New Roman" w:hAnsi="Times New Roman"/>
          <w:sz w:val="18"/>
          <w:szCs w:val="18"/>
          <w:color w:val="auto"/>
        </w:rPr>
        <w:t>crackers and</w:t>
      </w:r>
      <w:r>
        <w:rPr>
          <w:rFonts w:ascii="Times New Roman" w:cs="Times New Roman" w:eastAsia="Times New Roman" w:hAnsi="Times New Roman"/>
          <w:sz w:val="18"/>
          <w:szCs w:val="18"/>
          <w:i w:val="1"/>
          <w:iCs w:val="1"/>
          <w:color w:val="auto"/>
        </w:rPr>
        <w:t xml:space="preserve"> Lance </w:t>
      </w:r>
      <w:r>
        <w:rPr>
          <w:rFonts w:ascii="Times New Roman" w:cs="Times New Roman" w:eastAsia="Times New Roman" w:hAnsi="Times New Roman"/>
          <w:sz w:val="18"/>
          <w:szCs w:val="18"/>
          <w:color w:val="auto"/>
        </w:rPr>
        <w:t>sandwich crackers, and in salty snacks. Within salty snacks, increases primarily in</w:t>
      </w:r>
      <w:r>
        <w:rPr>
          <w:rFonts w:ascii="Times New Roman" w:cs="Times New Roman" w:eastAsia="Times New Roman" w:hAnsi="Times New Roman"/>
          <w:sz w:val="18"/>
          <w:szCs w:val="18"/>
          <w:i w:val="1"/>
          <w:iCs w:val="1"/>
          <w:color w:val="auto"/>
        </w:rPr>
        <w:t xml:space="preserve"> Kettle Brand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Cape Cod </w:t>
      </w:r>
      <w:r>
        <w:rPr>
          <w:rFonts w:ascii="Times New Roman" w:cs="Times New Roman" w:eastAsia="Times New Roman" w:hAnsi="Times New Roman"/>
          <w:sz w:val="18"/>
          <w:szCs w:val="18"/>
          <w:color w:val="auto"/>
        </w:rPr>
        <w:t>potato chips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than offset declines in </w:t>
      </w:r>
      <w:r>
        <w:rPr>
          <w:rFonts w:ascii="Times New Roman" w:cs="Times New Roman" w:eastAsia="Times New Roman" w:hAnsi="Times New Roman"/>
          <w:sz w:val="18"/>
          <w:szCs w:val="18"/>
          <w:i w:val="1"/>
          <w:iCs w:val="1"/>
          <w:color w:val="auto"/>
        </w:rPr>
        <w:t>Pop Secret</w:t>
      </w:r>
      <w:r>
        <w:rPr>
          <w:rFonts w:ascii="Times New Roman" w:cs="Times New Roman" w:eastAsia="Times New Roman" w:hAnsi="Times New Roman"/>
          <w:sz w:val="18"/>
          <w:szCs w:val="18"/>
          <w:color w:val="auto"/>
        </w:rPr>
        <w:t xml:space="preserve"> popcorn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Sales benefited from favorable net price realization, partially offset by volume/mix declines. On a two-year CAGR basis, net sales increased 7%.</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$17 million in 2024 from 2023. As a percent of sales, gross profit was 31.6% in 2024 and 30.5% in 2023.</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110 basis-point increase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220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100</w:t>
            </w:r>
          </w:p>
        </w:tc>
      </w:tr>
      <w:tr>
        <w:trPr>
          <w:trHeight w:val="225"/>
        </w:trPr>
        <w:tc>
          <w:tcPr>
            <w:tcW w:w="9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(230)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restructuring-related costs</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9"/>
        </w:trPr>
        <w:tc>
          <w:tcPr>
            <w:tcW w:w="9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110</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53"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30 basis points from the benefit of cost savings initiatives and a 50 basis-point positive impact from the change in unrealized mark-to-market adjustments on outstanding undesignated commodity hedges, which were more than offset by cost inflation and other factors.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8.8% in 2024 compared to 8.7% in 2023. Marketing and selling expenses in 2024 were comparable to 2023, as higher selling expenses (approximately 3 points) were offset by lower advertising and consumer promotion expense (approximately 3 points) driven by Meals &amp; Beverages.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7.7% in 2024 compared to 6.5% in 2023. Administrative expenses increased 17% in 2024 from 2023. The increase was primarily due to higher costs associated with cost savings initiatives (approximately 15 points) and higher general administrative costs and inflation (approximately 7 percentage points), partially offset by increased benefits from cost savings initiatives (approximately 7 points).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expenses were $26 million in 2024 compared to other expenses / (income) of $0 million in 2023. Other expenses in 2024 included costs associated with the pending acquisition of $10 million and accelerated amortization expense of $7 million. Other expenses / (income) in 2023 included pension actuarial gains of $6 million. Excluding these amounts, the remaining change was primarily due to higher net periodic pension and postretirement benefit income in the prior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2% in 2024 from 2023.</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tcBorders>
              <w:bottom w:val="single" w:sz="8" w:color="CCEEFF"/>
            </w:tcBorders>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399</w:t>
            </w:r>
          </w:p>
        </w:tc>
        <w:tc>
          <w:tcPr>
            <w:tcW w:w="10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to the Consolidated Financial Statements for additional information on restructuring charges.</w:t>
      </w:r>
    </w:p>
    <w:p>
      <w:pPr>
        <w:spacing w:after="0" w:line="7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Meals &amp; Beverages decreased 1%. The decrease was primarily due to lower gross profit, partially offset by lower marketing and selling expenses. Gross profit margin decreased due to higher cost inflation and other supply chain costs, partially offset by supply chain productivity improvements, benefits from cost savings initiatives, favorable net price realization and favorable volume/mix.</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increased 7%. The increase was primarily due to higher gross profit, partially offset by higher marketing and selling expenses. Gross profit margin increased due to favorable net price realization, supply chain productivity improvements, benefits from cost savings initiatives and favorable volume/mix more than offsetting higher cost inflation and other supply chain costs.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2024 included the following:</w:t>
      </w:r>
    </w:p>
    <w:p>
      <w:pPr>
        <w:spacing w:after="0" w:line="98" w:lineRule="exact"/>
        <w:rPr>
          <w:sz w:val="20"/>
          <w:szCs w:val="20"/>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$34 million related to costs savings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costs associated with the pending acquisition of Sovos Brands;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Plum litigation expenses; and</w:t>
      </w:r>
    </w:p>
    <w:p>
      <w:pPr>
        <w:spacing w:after="0" w:line="84" w:lineRule="exact"/>
        <w:rPr>
          <w:rFonts w:ascii="Times New Roman" w:cs="Times New Roman" w:eastAsia="Times New Roman" w:hAnsi="Times New Roman"/>
          <w:sz w:val="18"/>
          <w:szCs w:val="18"/>
          <w:color w:val="auto"/>
        </w:rPr>
      </w:pPr>
    </w:p>
    <w:p>
      <w:pPr>
        <w:ind w:left="320" w:right="3840" w:firstLine="163"/>
        <w:spacing w:after="0" w:line="353" w:lineRule="auto"/>
        <w:tabs>
          <w:tab w:leader="none" w:pos="6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unrealized mark-to-market gains on outstanding undesignated commodity hedges. Corporate expense in 2023 included the following:</w:t>
      </w: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$5 million related to cost savings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unrealized mark-to-market losses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of pension actuarial gains.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Excluding these amounts, the remaining increase was primarily due to higher net periodic pension and postretirement benefit income in prior year.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$46 million in 2024 increased from $45 million in 2023 primarily due to higher average interest rates on the debt portfolio.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25.1% in 2024 and 23.9% in 2023. The increase in the effective tax rate was primarily due to nondeductible costs associated with the pending acquisition of Sovos Brands.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SIX-MONTH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vMerge w:val="restart"/>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vMerge w:val="restart"/>
          </w:tcPr>
          <w:p>
            <w:pPr>
              <w:ind w:lef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Two-Year</w:t>
            </w:r>
          </w:p>
        </w:tc>
        <w:tc>
          <w:tcPr>
            <w:tcW w:w="0" w:type="dxa"/>
            <w:vAlign w:val="bottom"/>
          </w:tcPr>
          <w:p>
            <w:pPr>
              <w:spacing w:after="0"/>
              <w:rPr>
                <w:sz w:val="1"/>
                <w:szCs w:val="1"/>
                <w:color w:val="auto"/>
              </w:rPr>
            </w:pPr>
          </w:p>
        </w:tc>
      </w:tr>
      <w:tr>
        <w:trPr>
          <w:trHeight w:val="11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January 29, 2023</w:t>
            </w: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0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CAGR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2,786</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tcPr>
          <w:p>
            <w:pPr>
              <w:jc w:val="right"/>
              <w:ind w:right="332"/>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2024 versus 2023</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Volume/mix</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25"/>
        </w:trPr>
        <w:tc>
          <w:tcPr>
            <w:tcW w:w="20" w:type="dxa"/>
            <w:vAlign w:val="bottom"/>
          </w:tcPr>
          <w:p>
            <w:pPr>
              <w:spacing w:after="0"/>
              <w:rPr>
                <w:sz w:val="19"/>
                <w:szCs w:val="19"/>
                <w:color w:val="auto"/>
              </w:rPr>
            </w:pPr>
          </w:p>
        </w:tc>
        <w:tc>
          <w:tcPr>
            <w:tcW w:w="746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25"/>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9"/>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31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Meals &amp; Beverages, sales decreased 3% as declines in U.S. retail products, including U.S. soup, beverages and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were partially offset by gains in Canada and foodservice. Volume/mix declines were partially offset by favorable net price realization. On a two-year CAGR basis, sales increased 5%. Following a 9% increase in the prior year, sales of U.S. soup decreased 4% primarily due to decreases in ready-to-serve soups and condensed soups, partially offset by an increase in broth.</w:t>
      </w:r>
    </w:p>
    <w:p>
      <w:pPr>
        <w:spacing w:after="0" w:line="46"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 xml:space="preserve">In Snacks, sales were flat. Excluding the impact from the divestiture of the Emerald nuts business, sales increased driven by sales of our power brands, which increased 4%, partially offset by declines in sales of third-party partner brands. Sales increased due to increases in cookies and crackers, primarily </w:t>
      </w:r>
      <w:r>
        <w:rPr>
          <w:rFonts w:ascii="Times New Roman" w:cs="Times New Roman" w:eastAsia="Times New Roman" w:hAnsi="Times New Roman"/>
          <w:sz w:val="18"/>
          <w:szCs w:val="18"/>
          <w:i w:val="1"/>
          <w:iCs w:val="1"/>
          <w:color w:val="auto"/>
        </w:rPr>
        <w:t xml:space="preserve">Goldfish </w:t>
      </w:r>
      <w:r>
        <w:rPr>
          <w:rFonts w:ascii="Times New Roman" w:cs="Times New Roman" w:eastAsia="Times New Roman" w:hAnsi="Times New Roman"/>
          <w:sz w:val="18"/>
          <w:szCs w:val="18"/>
          <w:color w:val="auto"/>
        </w:rPr>
        <w:t>crackers and</w:t>
      </w:r>
      <w:r>
        <w:rPr>
          <w:rFonts w:ascii="Times New Roman" w:cs="Times New Roman" w:eastAsia="Times New Roman" w:hAnsi="Times New Roman"/>
          <w:sz w:val="18"/>
          <w:szCs w:val="18"/>
          <w:i w:val="1"/>
          <w:iCs w:val="1"/>
          <w:color w:val="auto"/>
        </w:rPr>
        <w:t xml:space="preserve"> Lance </w:t>
      </w:r>
      <w:r>
        <w:rPr>
          <w:rFonts w:ascii="Times New Roman" w:cs="Times New Roman" w:eastAsia="Times New Roman" w:hAnsi="Times New Roman"/>
          <w:sz w:val="18"/>
          <w:szCs w:val="18"/>
          <w:color w:val="auto"/>
        </w:rPr>
        <w:t>sandwich crackers. Within salty snacks, increases primarily in</w:t>
      </w:r>
      <w:r>
        <w:rPr>
          <w:rFonts w:ascii="Times New Roman" w:cs="Times New Roman" w:eastAsia="Times New Roman" w:hAnsi="Times New Roman"/>
          <w:sz w:val="18"/>
          <w:szCs w:val="18"/>
          <w:i w:val="1"/>
          <w:iCs w:val="1"/>
          <w:color w:val="auto"/>
        </w:rPr>
        <w:t xml:space="preserve"> Kettle Brand </w:t>
      </w:r>
      <w:r>
        <w:rPr>
          <w:rFonts w:ascii="Times New Roman" w:cs="Times New Roman" w:eastAsia="Times New Roman" w:hAnsi="Times New Roman"/>
          <w:sz w:val="18"/>
          <w:szCs w:val="18"/>
          <w:color w:val="auto"/>
        </w:rPr>
        <w:t>potato chips and</w:t>
      </w:r>
      <w:r>
        <w:rPr>
          <w:rFonts w:ascii="Times New Roman" w:cs="Times New Roman" w:eastAsia="Times New Roman" w:hAnsi="Times New Roman"/>
          <w:sz w:val="18"/>
          <w:szCs w:val="18"/>
          <w:i w:val="1"/>
          <w:iCs w:val="1"/>
          <w:color w:val="auto"/>
        </w:rPr>
        <w:t xml:space="preserve"> Snack Factory </w:t>
      </w:r>
      <w:r>
        <w:rPr>
          <w:rFonts w:ascii="Times New Roman" w:cs="Times New Roman" w:eastAsia="Times New Roman" w:hAnsi="Times New Roman"/>
          <w:sz w:val="18"/>
          <w:szCs w:val="18"/>
          <w:color w:val="auto"/>
        </w:rPr>
        <w:t>pretzel crisps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than offset declines in </w:t>
      </w:r>
      <w:r>
        <w:rPr>
          <w:rFonts w:ascii="Times New Roman" w:cs="Times New Roman" w:eastAsia="Times New Roman" w:hAnsi="Times New Roman"/>
          <w:sz w:val="18"/>
          <w:szCs w:val="18"/>
          <w:i w:val="1"/>
          <w:iCs w:val="1"/>
          <w:color w:val="auto"/>
        </w:rPr>
        <w:t>Pop Secret</w:t>
      </w:r>
      <w:r>
        <w:rPr>
          <w:rFonts w:ascii="Times New Roman" w:cs="Times New Roman" w:eastAsia="Times New Roman" w:hAnsi="Times New Roman"/>
          <w:sz w:val="18"/>
          <w:szCs w:val="18"/>
          <w:color w:val="auto"/>
        </w:rPr>
        <w:t xml:space="preserve"> popcorn and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Sales benefited from favorable net price realization, partially offset by volume/mix declines. On a two-year CAGR basis, sales increased 7%.</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$29 million in 2024 from 2023. As a percent of sales, gross profit was 31.4% in 2024 and 31.5% in 2023.</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10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(400)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restructuring-related costs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220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170</w:t>
            </w:r>
          </w:p>
        </w:tc>
      </w:tr>
      <w:tr>
        <w:trPr>
          <w:trHeight w:val="225"/>
        </w:trPr>
        <w:tc>
          <w:tcPr>
            <w:tcW w:w="9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bl>
    <w:p>
      <w:pPr>
        <w:ind w:left="1046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6330950</wp:posOffset>
            </wp:positionH>
            <wp:positionV relativeFrom="paragraph">
              <wp:posOffset>11430</wp:posOffset>
            </wp:positionV>
            <wp:extent cx="8077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7720" cy="8255"/>
                    </a:xfrm>
                    <a:prstGeom prst="rect">
                      <a:avLst/>
                    </a:prstGeom>
                    <a:noFill/>
                  </pic:spPr>
                </pic:pic>
              </a:graphicData>
            </a:graphic>
          </wp:anchor>
        </w:drawing>
        <w:drawing>
          <wp:anchor simplePos="0" relativeHeight="251657728" behindDoc="1" locked="0" layoutInCell="0" allowOverlap="1">
            <wp:simplePos x="0" y="0"/>
            <wp:positionH relativeFrom="column">
              <wp:posOffset>6330950</wp:posOffset>
            </wp:positionH>
            <wp:positionV relativeFrom="paragraph">
              <wp:posOffset>36830</wp:posOffset>
            </wp:positionV>
            <wp:extent cx="8077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1" w:name="page32"/>
    <w:bookmarkEnd w:id="31"/>
    <w:p>
      <w:pPr>
        <w:jc w:val="both"/>
        <w:ind w:left="320" w:hanging="314"/>
        <w:spacing w:after="0" w:line="231" w:lineRule="auto"/>
        <w:tabs>
          <w:tab w:leader="none" w:pos="30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20 basis points from the benefit of cost savings initiatives, which was more than offset by cost inflation and other factors, including a 20 basis-point negative impact from the change in unrealized mark-to-market adjustments on outstanding undesignated commodity hedges and a 10 basis-point negative impact from a cybersecurity incident.</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8.8% in 2024 and 8.3% in 2023. Marketing and selling expenses increased 5% in 2024 from 2023. The increase was primarily due to higher selling expenses (approximately 3 points), higher other marketing expenses (approximately 1 point) and higher costs related to cost savings initiatives (approximately 1 point).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7.0% in 2024 compared to 6.3% in 2023. Administrative expenses increased 8% in 2024 from 2023. The increase was primarily due to higher costs related to cost savings initiatives (approximately 8 points) and higher general administrative costs and inflation (approximately 3 points), partially offset by increased benefits from cost savings initiatives (approximately 4 points).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Other expenses were $50 million in 2024 compared to other expenses of $18 million in 2023. Other expenses in 2024 included costs associated with the pending acquisition of $19 million and accelerated amortization expense of $14 million. Other expenses in 2023 included pension actuarial losses of $9 million. Excluding these amounts, the remaining change was primarily due to higher net periodic pension and postretirement benefit income in the prior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3% in 2024 from 2023.</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534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303</w:t>
            </w:r>
          </w:p>
        </w:tc>
        <w:tc>
          <w:tcPr>
            <w:tcW w:w="1040" w:type="dxa"/>
            <w:vAlign w:val="bottom"/>
            <w:tcBorders>
              <w:bottom w:val="single" w:sz="8" w:color="CCEEFF"/>
            </w:tcBorders>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883</w:t>
            </w:r>
          </w:p>
        </w:tc>
        <w:tc>
          <w:tcPr>
            <w:tcW w:w="10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to the Consolidated Financial Statements for additional information on restructuring charges.</w:t>
      </w:r>
    </w:p>
    <w:p>
      <w:pPr>
        <w:spacing w:after="0" w:line="7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Meals &amp; Beverages decreased 8%. The decrease was primarily due to lower gross profit, partially offset by lower marketing and selling expenses. Gross profit margin decreased due to higher cost inflation and other supply chain costs, partially offset by supply chain productivity improvements and favorable net price realization.</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increased 6%. The increase was primarily due to higher gross profit, partially offset by higher marketing and selling expenses. Gross profit margin increased due to favorable net price realization and supply chain productivity improvements more than offsetting higher cost inflation and other supply chain costs.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2024 included the following:</w:t>
      </w:r>
    </w:p>
    <w:p>
      <w:pPr>
        <w:spacing w:after="0" w:line="85" w:lineRule="exact"/>
        <w:rPr>
          <w:sz w:val="20"/>
          <w:szCs w:val="20"/>
          <w:color w:val="auto"/>
        </w:rPr>
      </w:pPr>
    </w:p>
    <w:p>
      <w:pPr>
        <w:ind w:left="640" w:hanging="15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$45 million related to costs savings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of costs associated with the pending acquisition of Sovos Brands;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of unrealized mark-to-market losses on outstanding undesignated commodity hedges;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Plum litigation expenses; and</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costs associated with a cybersecurity incident.</w:t>
      </w:r>
    </w:p>
    <w:p>
      <w:pPr>
        <w:spacing w:after="0" w:line="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Corporate expense in 2023 included the following:</w:t>
      </w:r>
    </w:p>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$9 million of pension actuarial losses;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2" w:name="page33"/>
    <w:bookmarkEnd w:id="32"/>
    <w:p>
      <w:pPr>
        <w:ind w:left="480"/>
        <w:spacing w:after="0"/>
        <w:rPr>
          <w:sz w:val="20"/>
          <w:szCs w:val="20"/>
          <w:color w:val="auto"/>
        </w:rPr>
      </w:pPr>
      <w:r>
        <w:rPr>
          <w:rFonts w:ascii="Times New Roman" w:cs="Times New Roman" w:eastAsia="Times New Roman" w:hAnsi="Times New Roman"/>
          <w:sz w:val="18"/>
          <w:szCs w:val="18"/>
          <w:color w:val="auto"/>
        </w:rPr>
        <w:t>• costs of $8 million related to cost savings initiatives.</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Excluding these amounts, the remaining increase was primarily due to higher net periodic pension and postretirement benefit income in the prior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$95 million in 2024 increased from $92 million in 2023 primarily due higher average interest rates on the debt portfolio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24.8% in 2024 and 23.9% in 2023. The increase in the effective tax rate was primarily due to nondeductible costs associated with the pending acquisition of Sovos Brands.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Cost Savings Initiatives and Other Optimization Initiatives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restart"/>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1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2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Pr>
          <w:p>
            <w:pPr>
              <w:spacing w:after="0"/>
              <w:rPr>
                <w:sz w:val="9"/>
                <w:szCs w:val="9"/>
                <w:color w:val="auto"/>
              </w:rPr>
            </w:pPr>
          </w:p>
        </w:tc>
        <w:tc>
          <w:tcPr>
            <w:tcW w:w="12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8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these initiatives is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22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$890 million to $915 million and we expect to incur substantially all of the costs through 2025. These estimates will be updated as the expanded initiatives are developed.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$245 million to $255 million in severance pay and benefits; approximately $135 million in asset impairment and accelerated depreciation; and approximately $510 million to $525 million in implementation costs and other related costs. We expect these pre-tax costs to be associated with our segments as follows: Meals &amp; Beverages - approximately 32%; Snacks - approximately 43%; and Corporate - approximately 25%.</w:t>
      </w:r>
    </w:p>
    <w:p>
      <w:pPr>
        <w:spacing w:after="0" w:line="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Of the aggregate $890 million to $915 million of pre-tax costs identified to date, we expect approximately $715 million to $740 million will be cash expenditures. In addition, we expect to invest approximately $700 million in capital expenditures, of which we invested $492 million as of January 28, 2024. We expect to invest in substantially all of the capital expenditures through 2025.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enhancements to our headquarters in Camden, New Jersey, implementation of our existing SAP enterprise-resource planning system for Snyder's-Lance, and optimization of the Snyder’s-Lance warehouse and distribution network.</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to fund the costs through cash flows from operations and short-term borrowings.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$1 billion by the end of 2025. As of January 28, 2024, we have generated total program-to-date pre-tax savings of $915 million.</w:t>
      </w:r>
    </w:p>
    <w:p>
      <w:pPr>
        <w:spacing w:after="0" w:line="3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second quarter of 2024, we began implementation of a new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$684 million in 2024, compared to $732 million in 2023. The decline in 2024 was primarily due to lower cash earnings.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had positive working capital of $14 million as of January 28, 2024, and negative working capital of $161 million as of July 30, 2023. As of July 30, 2023, current assets were less than current liabilities, which included debt maturing in one year, due to a focus on lowering core working capital requirements. Total debt maturing within one year was $14 million as of January 28, 2024, and $191 million as of July 30, 2023.</w:t>
      </w:r>
    </w:p>
    <w:p>
      <w:pPr>
        <w:spacing w:after="0" w:line="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$252 million at January 28, 2024, and $258 million at July 30, 2023.</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4" w:name="page35"/>
    <w:bookmarkEnd w:id="34"/>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Capital expenditures were $263 million in 2024 and $155 million in 2023. Capital expenditures are expected to total approximately $470 million to $500 million in 2024. Capital expenditures in the first six months of 2024 included upgrades of assets across both segments of the business, chip and cracker capacity expansion for our Snacks business, enhancements to our headquarters in Camden, New Jersey and network optimization for our Meals &amp; Beverages business.</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The purchase and sale proceeds of the routes are reflected in investing activities.</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$224 million in 2024 and $226 million in 2023. The regular quarterly dividend paid on our capital stock was $.37 per share in both the second quarter of 2024 and 2023. On November 29, 2023, the Board of Directors declared a regular quarterly dividend of $.37 per share payable on January 29, 2024 to shareholders of record at the close of business on January 4, 2024. On February 28, 2024, the Board of Directors declared a regular quarterly dividend of $.37 per share payable on April 29, 2024 to shareholders of record at the close of business on April 4, 2024.</w:t>
      </w:r>
    </w:p>
    <w:p>
      <w:pPr>
        <w:spacing w:after="0" w:line="6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We repurchased 707 thousand shares at a cost of $29 million in 2024 pursuant to our June 2021 program. As of January 28, 2024, approximately $75 million remained available under the June 2021 program and approximately $301 million remained available under the September 2021 program. We repurchased 1.298 million shares at a cost of $66 million in 2023. See Note 13 to the Consolidated Financial Statements and “Unregistered Sales of Equity Securities and Use of Proceeds” for additional information.</w:t>
      </w:r>
    </w:p>
    <w:p>
      <w:pPr>
        <w:spacing w:after="0" w:line="5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10, 2023, we entered into a delayed single draw term loan credit agreement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can only be used in connection with the acquisition of Sovos Brands. The 2024 DDTL Credit Agreement remained unused at January 28, 2024.</w:t>
      </w:r>
    </w:p>
    <w:p>
      <w:pPr>
        <w:spacing w:after="0" w:line="6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January 28, 2024, we had $14 million of short-term borrowings due within one year, none of which was comprised of commercial paper borrowings. As of January 28, 2024, we issued $28 million of standby letters of credit. On September 27, 2021, we entered into a committed revolving credit facility totaling $1.85 billion scheduled to mature on September 27, 2026. The facility remained unused at January 28, 2024,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8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finance the pending Sovos Brands acquisition with the issuance of new debt.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30, 2023 (2023 Annual Report on Form 10-K). The accounting policies we used in preparing these financial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5" w:name="page36"/>
    <w:bookmarkEnd w:id="35"/>
    <w:p>
      <w:pPr>
        <w:jc w:val="both"/>
        <w:spacing w:after="0" w:line="235" w:lineRule="exact"/>
        <w:rPr>
          <w:sz w:val="20"/>
          <w:szCs w:val="20"/>
          <w:color w:val="auto"/>
        </w:rPr>
      </w:pPr>
      <w:r>
        <w:rPr>
          <w:rFonts w:ascii="Times New Roman" w:cs="Times New Roman" w:eastAsia="Times New Roman" w:hAnsi="Times New Roman"/>
          <w:sz w:val="18"/>
          <w:szCs w:val="18"/>
          <w:color w:val="auto"/>
        </w:rPr>
        <w:t>statements are substantially consistent with those we applied in our 2023 Annual Report on Form 10-K. Our significant accounting estimates are described in Management’s Discussion and Analysis included in the 2023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2023 Annual Report on Form 10-K, could affect our actual results and could cause such results to vary materially from those expressed in any forward-looking statements made by, or on behalf of, us:</w:t>
      </w:r>
    </w:p>
    <w:p>
      <w:pPr>
        <w:spacing w:after="0" w:line="59" w:lineRule="exact"/>
        <w:rPr>
          <w:sz w:val="20"/>
          <w:szCs w:val="20"/>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Sovos Brands transaction may not be satisfied or the closing of the proposed transaction might not otherwise occur;</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financing for the Sovos Brands transaction may not be obtained on favorable terms, or at all;</w:t>
      </w:r>
    </w:p>
    <w:p>
      <w:pPr>
        <w:spacing w:after="0" w:line="97"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cost savings and any other synergies from the Sovos Brands transaction may not be fully realized or may take longer or cost more to be realized than expected, including that the Sovos Brands transaction may not be accretive within the expected timeframe or the extent anticipated;</w:t>
      </w:r>
    </w:p>
    <w:p>
      <w:pPr>
        <w:spacing w:after="0" w:line="21"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Sovos Brands transaction may distract our management from other important matters;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supplier relationships;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6" w:name="page37"/>
    <w:bookmarkEnd w:id="36"/>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and volatility in financial and credit markets, deteriorating economic conditions and other external factors, including changes in laws and regulations; and</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geopolitical conflicts (including the ongoing conflicts between Russia and Ukraine and in Israel and Gaza), extreme weather conditions, natural disasters, pandemics or other outbreaks of disease or other calamities.</w:t>
      </w:r>
    </w:p>
    <w:p>
      <w:pPr>
        <w:spacing w:after="0" w:line="59"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8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2023 Annual Report on Form 10-K. During the six-month period ended January 28, 2024, we entered into forward starting interest rate swaps accounted for as cash-flow hedges with a notional value of $1 billion related to an anticipated debt issuance. The fair value was a loss of $23 million as of January 28, 2024. The forward starting interest rate swaps mature in January 2025. There were no forward starting interest rate swaps or treasury lock contracts outstanding as of July 30,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January 28, 2024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January 28, 2024.</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15 to the Consolidated Financial Statements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January 28, 2024 was:</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jc w:val="center"/>
              <w:ind w:left="144"/>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tcPr>
          <w:p>
            <w:pPr>
              <w:jc w:val="center"/>
              <w:ind w:left="144"/>
              <w:spacing w:after="0" w:line="157"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20" w:type="dxa"/>
            <w:vAlign w:val="bottom"/>
          </w:tcPr>
          <w:p>
            <w:pPr>
              <w:jc w:val="center"/>
              <w:ind w:left="144"/>
              <w:spacing w:after="0" w:line="133"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20" w:type="dxa"/>
            <w:vAlign w:val="bottom"/>
          </w:tcPr>
          <w:p>
            <w:pPr>
              <w:jc w:val="center"/>
              <w:ind w:left="124"/>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16"/>
                <w:szCs w:val="16"/>
                <w:b w:val="1"/>
                <w:bCs w:val="1"/>
                <w:color w:val="auto"/>
                <w:vertAlign w:val="superscript"/>
              </w:rPr>
              <w:t>(1)</w:t>
            </w:r>
          </w:p>
        </w:tc>
        <w:tc>
          <w:tcPr>
            <w:tcW w:w="15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Per Share </w:t>
            </w:r>
            <w:r>
              <w:rPr>
                <w:rFonts w:ascii="Times New Roman" w:cs="Times New Roman" w:eastAsia="Times New Roman" w:hAnsi="Times New Roman"/>
                <w:sz w:val="16"/>
                <w:szCs w:val="16"/>
                <w:b w:val="1"/>
                <w:bCs w:val="1"/>
                <w:color w:val="auto"/>
                <w:vertAlign w:val="superscript"/>
              </w:rPr>
              <w:t>(2)</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(3)</w:t>
            </w: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 in Millions) </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10/30/23-11/30/23</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12/1/23-12/29/23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380" w:type="dxa"/>
            <w:vAlign w:val="bottom"/>
          </w:tcPr>
          <w:p>
            <w:pPr>
              <w:spacing w:after="0"/>
              <w:rPr>
                <w:sz w:val="19"/>
                <w:szCs w:val="19"/>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13,597</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1/2/24-1/26/24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13,738</w:t>
            </w:r>
          </w:p>
        </w:tc>
        <w:tc>
          <w:tcPr>
            <w:tcW w:w="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380" w:type="dxa"/>
            <w:vAlign w:val="bottom"/>
          </w:tcPr>
          <w:p>
            <w:pPr>
              <w:spacing w:after="0"/>
              <w:rPr>
                <w:sz w:val="20"/>
                <w:szCs w:val="20"/>
                <w:color w:val="auto"/>
              </w:rPr>
            </w:pP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27,335</w:t>
            </w:r>
          </w:p>
        </w:tc>
        <w:tc>
          <w:tcPr>
            <w:tcW w:w="38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30"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jc w:val="both"/>
        <w:ind w:left="320" w:right="100" w:hanging="314"/>
        <w:spacing w:after="0" w:line="224" w:lineRule="auto"/>
        <w:tabs>
          <w:tab w:leader="none" w:pos="30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jc w:val="both"/>
        <w:ind w:left="320" w:right="100" w:hanging="314"/>
        <w:spacing w:after="0" w:line="234" w:lineRule="auto"/>
        <w:tabs>
          <w:tab w:leader="none" w:pos="30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0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January 28, 2024, none of our directors or officers (as defined in Rule 16a-1(f) under the Exchange Act)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9880" w:type="dxa"/>
            <w:vAlign w:val="bottom"/>
            <w:gridSpan w:val="5"/>
          </w:tcPr>
          <w:p>
            <w:pPr>
              <w:ind w:left="364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18 U.S.C. Section 1350.</w:t>
            </w:r>
          </w:p>
        </w:tc>
      </w:tr>
      <w:tr>
        <w:trPr>
          <w:trHeight w:val="20"/>
        </w:trPr>
        <w:tc>
          <w:tcPr>
            <w:tcW w:w="110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18 U.S.C. Section 1350.</w:t>
            </w:r>
          </w:p>
        </w:tc>
      </w:tr>
      <w:tr>
        <w:trPr>
          <w:trHeight w:val="20"/>
        </w:trPr>
        <w:tc>
          <w:tcPr>
            <w:tcW w:w="1100" w:type="dxa"/>
            <w:vAlign w:val="bottom"/>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9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1140" w:hanging="110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45" w:right="239" w:bottom="1440" w:gutter="0" w:footer="0" w:header="0"/>
        </w:sectPr>
      </w:pPr>
    </w:p>
    <w:bookmarkStart w:id="38" w:name="page39"/>
    <w:bookmarkEnd w:id="3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874" w:right="4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640" w:type="dxa"/>
        <w:tblCellMar>
          <w:top w:w="0" w:type="dxa"/>
          <w:left w:w="0" w:type="dxa"/>
          <w:bottom w:w="0" w:type="dxa"/>
          <w:right w:w="0" w:type="dxa"/>
        </w:tblCellMar>
      </w:tblPr>
      <w:tr>
        <w:trPr>
          <w:trHeight w:val="213"/>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7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64" w:lineRule="exact"/>
        <w:rPr>
          <w:sz w:val="20"/>
          <w:szCs w:val="20"/>
          <w:color w:val="auto"/>
        </w:rPr>
      </w:pPr>
    </w:p>
    <w:p>
      <w:pPr>
        <w:ind w:left="380" w:hanging="175"/>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January 28, 2024 (the “Report”), I, Mark A. Clouse,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1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2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January 28, 2024 (the “Report”), I, Carrie L. Anderson,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4"/>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5"/>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2024-03-06T06:34:56Z</dcterms:created>
  <dcterms:modified xsi:type="dcterms:W3CDTF">2024-03-06T06:34:56Z</dcterms:modified>
</cp:coreProperties>
</file>