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84" w:right="239" w:bottom="1440" w:gutter="0" w:footer="0" w:header="0"/>
        </w:sectPr>
      </w:pPr>
    </w:p>
    <w:p>
      <w:pPr>
        <w:spacing w:after="0" w:line="137"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January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84"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684"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684"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68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84"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2840"/>
        <w:spacing w:after="0"/>
        <w:rPr>
          <w:sz w:val="20"/>
          <w:szCs w:val="20"/>
          <w:color w:val="auto"/>
        </w:rPr>
      </w:pPr>
      <w:r>
        <w:rPr>
          <w:rFonts w:ascii="Arial" w:cs="Arial" w:eastAsia="Arial" w:hAnsi="Arial"/>
          <w:sz w:val="18"/>
          <w:szCs w:val="18"/>
          <w:color w:val="auto"/>
        </w:rPr>
        <w:t>There were 300,633,988 shares of capital stock outstanding as of February 28, 2018.</w:t>
      </w:r>
    </w:p>
    <w:p>
      <w:pPr>
        <w:sectPr>
          <w:pgSz w:w="11900" w:h="16838" w:orient="portrait"/>
          <w:cols w:equalWidth="0" w:num="1">
            <w:col w:w="1142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1">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1">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2">
              <w:r>
                <w:rPr>
                  <w:rFonts w:ascii="Arial" w:cs="Arial" w:eastAsia="Arial" w:hAnsi="Arial"/>
                  <w:sz w:val="18"/>
                  <w:szCs w:val="18"/>
                  <w:color w:val="0000EE"/>
                  <w:w w:val="94"/>
                </w:rPr>
                <w:t>Item 1.</w:t>
              </w:r>
            </w:hyperlink>
          </w:p>
        </w:tc>
        <w:tc>
          <w:tcPr>
            <w:tcW w:w="7520" w:type="dxa"/>
            <w:vAlign w:val="bottom"/>
            <w:gridSpan w:val="3"/>
          </w:tcPr>
          <w:p>
            <w:pPr>
              <w:ind w:left="20"/>
              <w:spacing w:after="0"/>
              <w:rPr>
                <w:rFonts w:ascii="Arial" w:cs="Arial" w:eastAsia="Arial" w:hAnsi="Arial"/>
                <w:sz w:val="18"/>
                <w:szCs w:val="18"/>
                <w:color w:val="0000EE"/>
              </w:rPr>
            </w:pPr>
            <w:hyperlink w:anchor="page42">
              <w:r>
                <w:rPr>
                  <w:rFonts w:ascii="Arial" w:cs="Arial" w:eastAsia="Arial" w:hAnsi="Arial"/>
                  <w:sz w:val="18"/>
                  <w:szCs w:val="18"/>
                  <w:color w:val="0000EE"/>
                </w:rPr>
                <w:t>Legal Proceedings</w:t>
              </w:r>
            </w:hyperlink>
          </w:p>
        </w:tc>
        <w:tc>
          <w:tcPr>
            <w:tcW w:w="1260" w:type="dxa"/>
            <w:vAlign w:val="bottom"/>
          </w:tcPr>
          <w:p>
            <w:pPr>
              <w:ind w:left="108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2">
              <w:r>
                <w:rPr>
                  <w:rFonts w:ascii="Arial" w:cs="Arial" w:eastAsia="Arial" w:hAnsi="Arial"/>
                  <w:sz w:val="18"/>
                  <w:szCs w:val="18"/>
                  <w:color w:val="0000EE"/>
                </w:rPr>
                <w:t>Item 1A. Risk Factors</w:t>
              </w:r>
            </w:hyperlink>
          </w:p>
        </w:tc>
        <w:tc>
          <w:tcPr>
            <w:tcW w:w="1260" w:type="dxa"/>
            <w:vAlign w:val="bottom"/>
          </w:tcPr>
          <w:p>
            <w:pPr>
              <w:ind w:left="1080"/>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3">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43</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4">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70"/>
        </w:trPr>
        <w:tc>
          <w:tcPr>
            <w:tcW w:w="1220" w:type="dxa"/>
            <w:vAlign w:val="bottom"/>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9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5"/>
              </w:rPr>
              <w:t>January 29,</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4,373</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470</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52</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3,711</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655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662</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213</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.70</w:t>
            </w:r>
          </w:p>
        </w:tc>
      </w:tr>
      <w:tr>
        <w:trPr>
          <w:trHeight w:val="67"/>
        </w:trPr>
        <w:tc>
          <w:tcPr>
            <w:tcW w:w="6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309</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28, 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29, 2017</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66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349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28, 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29, 2017</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393</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34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591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592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28,</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30,</w:t>
            </w:r>
          </w:p>
        </w:tc>
      </w:tr>
      <w:tr>
        <w:trPr>
          <w:trHeight w:val="192"/>
        </w:trPr>
        <w:tc>
          <w:tcPr>
            <w:tcW w:w="7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196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869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1,928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2,518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2,259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1,485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($70 as of 2018 and $51 as of 2017 attributable to variable interest entity)</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146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8,336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7,726</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1,659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707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523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2,247</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383</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745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6,387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321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2,734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(21)</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1,942</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1,949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8,336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6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583"/>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Borders>
              <w:bottom w:val="single" w:sz="8" w:color="auto"/>
            </w:tcBorders>
          </w:tcPr>
          <w:p>
            <w:pPr>
              <w:spacing w:after="0"/>
              <w:rPr>
                <w:sz w:val="16"/>
                <w:szCs w:val="16"/>
                <w:color w:val="auto"/>
              </w:rPr>
            </w:pPr>
          </w:p>
        </w:tc>
      </w:tr>
      <w:tr>
        <w:trPr>
          <w:trHeight w:val="152"/>
        </w:trPr>
        <w:tc>
          <w:tcPr>
            <w:tcW w:w="8120" w:type="dxa"/>
            <w:vAlign w:val="bottom"/>
          </w:tcPr>
          <w:p>
            <w:pPr>
              <w:spacing w:after="0"/>
              <w:rPr>
                <w:sz w:val="13"/>
                <w:szCs w:val="13"/>
                <w:color w:val="auto"/>
              </w:rPr>
            </w:pPr>
          </w:p>
        </w:tc>
        <w:tc>
          <w:tcPr>
            <w:tcW w:w="11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28,</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29,</w:t>
            </w:r>
          </w:p>
        </w:tc>
        <w:tc>
          <w:tcPr>
            <w:tcW w:w="420" w:type="dxa"/>
            <w:vAlign w:val="bottom"/>
          </w:tcPr>
          <w:p>
            <w:pPr>
              <w:spacing w:after="0"/>
              <w:rPr>
                <w:sz w:val="13"/>
                <w:szCs w:val="13"/>
                <w:color w:val="auto"/>
              </w:rPr>
            </w:pPr>
          </w:p>
        </w:tc>
      </w:tr>
      <w:tr>
        <w:trPr>
          <w:trHeight w:val="192"/>
        </w:trPr>
        <w:tc>
          <w:tcPr>
            <w:tcW w:w="8120" w:type="dxa"/>
            <w:vAlign w:val="bottom"/>
            <w:tcBorders>
              <w:bottom w:val="single" w:sz="8" w:color="BFE4FF"/>
            </w:tcBorders>
          </w:tcPr>
          <w:p>
            <w:pPr>
              <w:spacing w:after="0"/>
              <w:rPr>
                <w:sz w:val="16"/>
                <w:szCs w:val="16"/>
                <w:color w:val="auto"/>
              </w:rPr>
            </w:pPr>
          </w:p>
        </w:tc>
        <w:tc>
          <w:tcPr>
            <w:tcW w:w="1180" w:type="dxa"/>
            <w:vAlign w:val="bottom"/>
            <w:tcBorders>
              <w:bottom w:val="single" w:sz="8" w:color="auto"/>
            </w:tcBorders>
          </w:tcPr>
          <w:p>
            <w:pPr>
              <w:jc w:val="right"/>
              <w:ind w:right="164"/>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16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180" w:type="dxa"/>
            <w:vAlign w:val="bottom"/>
            <w:shd w:val="clear" w:color="auto" w:fill="BFE4FF"/>
          </w:tcPr>
          <w:p>
            <w:pPr>
              <w:spacing w:after="0"/>
              <w:rPr>
                <w:sz w:val="18"/>
                <w:szCs w:val="18"/>
                <w:color w:val="auto"/>
              </w:rPr>
            </w:pPr>
          </w:p>
        </w:tc>
        <w:tc>
          <w:tcPr>
            <w:tcW w:w="44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160" w:type="dxa"/>
            <w:vAlign w:val="bottom"/>
            <w:shd w:val="clear" w:color="auto" w:fill="BFE4FF"/>
          </w:tcPr>
          <w:p>
            <w:pPr>
              <w:spacing w:after="0"/>
              <w:rPr>
                <w:sz w:val="18"/>
                <w:szCs w:val="18"/>
                <w:color w:val="auto"/>
              </w:rPr>
            </w:pPr>
          </w:p>
        </w:tc>
        <w:tc>
          <w:tcPr>
            <w:tcW w:w="420" w:type="dxa"/>
            <w:vAlign w:val="bottom"/>
            <w:shd w:val="clear" w:color="auto" w:fill="BFE4FF"/>
          </w:tcPr>
          <w:p>
            <w:pPr>
              <w:spacing w:after="0"/>
              <w:rPr>
                <w:sz w:val="18"/>
                <w:szCs w:val="18"/>
                <w:color w:val="auto"/>
              </w:rPr>
            </w:pPr>
          </w:p>
        </w:tc>
      </w:tr>
      <w:tr>
        <w:trPr>
          <w:trHeight w:val="60"/>
        </w:trPr>
        <w:tc>
          <w:tcPr>
            <w:tcW w:w="8120" w:type="dxa"/>
            <w:vAlign w:val="bottom"/>
            <w:shd w:val="clear" w:color="auto" w:fill="BFE4FF"/>
          </w:tcPr>
          <w:p>
            <w:pPr>
              <w:spacing w:after="0"/>
              <w:rPr>
                <w:sz w:val="5"/>
                <w:szCs w:val="5"/>
                <w:color w:val="auto"/>
              </w:rPr>
            </w:pPr>
          </w:p>
        </w:tc>
        <w:tc>
          <w:tcPr>
            <w:tcW w:w="1180" w:type="dxa"/>
            <w:vAlign w:val="bottom"/>
            <w:shd w:val="clear" w:color="auto" w:fill="BFE4FF"/>
          </w:tcPr>
          <w:p>
            <w:pPr>
              <w:spacing w:after="0"/>
              <w:rPr>
                <w:sz w:val="5"/>
                <w:szCs w:val="5"/>
                <w:color w:val="auto"/>
              </w:rPr>
            </w:pPr>
          </w:p>
        </w:tc>
        <w:tc>
          <w:tcPr>
            <w:tcW w:w="440" w:type="dxa"/>
            <w:vAlign w:val="bottom"/>
            <w:shd w:val="clear" w:color="auto" w:fill="BFE4FF"/>
          </w:tcPr>
          <w:p>
            <w:pPr>
              <w:spacing w:after="0"/>
              <w:rPr>
                <w:sz w:val="5"/>
                <w:szCs w:val="5"/>
                <w:color w:val="auto"/>
              </w:rPr>
            </w:pPr>
          </w:p>
        </w:tc>
        <w:tc>
          <w:tcPr>
            <w:tcW w:w="100" w:type="dxa"/>
            <w:vAlign w:val="bottom"/>
            <w:shd w:val="clear" w:color="auto" w:fill="BFE4FF"/>
          </w:tcPr>
          <w:p>
            <w:pPr>
              <w:spacing w:after="0"/>
              <w:rPr>
                <w:sz w:val="5"/>
                <w:szCs w:val="5"/>
                <w:color w:val="auto"/>
              </w:rPr>
            </w:pPr>
          </w:p>
        </w:tc>
        <w:tc>
          <w:tcPr>
            <w:tcW w:w="1160" w:type="dxa"/>
            <w:vAlign w:val="bottom"/>
            <w:shd w:val="clear" w:color="auto" w:fill="BFE4FF"/>
          </w:tcPr>
          <w:p>
            <w:pPr>
              <w:spacing w:after="0"/>
              <w:rPr>
                <w:sz w:val="5"/>
                <w:szCs w:val="5"/>
                <w:color w:val="auto"/>
              </w:rPr>
            </w:pPr>
          </w:p>
        </w:tc>
        <w:tc>
          <w:tcPr>
            <w:tcW w:w="420" w:type="dxa"/>
            <w:vAlign w:val="bottom"/>
            <w:shd w:val="clear" w:color="auto" w:fill="BFE4FF"/>
          </w:tcPr>
          <w:p>
            <w:pPr>
              <w:spacing w:after="0"/>
              <w:rPr>
                <w:sz w:val="5"/>
                <w:szCs w:val="5"/>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180" w:type="dxa"/>
            <w:vAlign w:val="bottom"/>
          </w:tcPr>
          <w:p>
            <w:pPr>
              <w:jc w:val="right"/>
              <w:ind w:right="1004"/>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560</w:t>
            </w:r>
          </w:p>
        </w:tc>
        <w:tc>
          <w:tcPr>
            <w:tcW w:w="100" w:type="dxa"/>
            <w:vAlign w:val="bottom"/>
          </w:tcPr>
          <w:p>
            <w:pPr>
              <w:spacing w:after="0"/>
              <w:rPr>
                <w:sz w:val="20"/>
                <w:szCs w:val="20"/>
                <w:color w:val="auto"/>
              </w:rPr>
            </w:pPr>
          </w:p>
        </w:tc>
        <w:tc>
          <w:tcPr>
            <w:tcW w:w="1160" w:type="dxa"/>
            <w:vAlign w:val="bottom"/>
          </w:tcPr>
          <w:p>
            <w:pPr>
              <w:jc w:val="right"/>
              <w:ind w:right="983"/>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393</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1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75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Restructuring charges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35</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32</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Noncurrent income taxes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Pension and postretirement benefit income</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Depreciation and amortization</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161</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154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Deferred income taxes</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0"/>
              </w:rPr>
              <w:t>(106)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Other, net</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18</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w:t>
            </w:r>
          </w:p>
        </w:tc>
      </w:tr>
      <w:tr>
        <w:trPr>
          <w:trHeight w:val="224"/>
        </w:trPr>
        <w:tc>
          <w:tcPr>
            <w:tcW w:w="8120" w:type="dxa"/>
            <w:vAlign w:val="bottom"/>
          </w:tcPr>
          <w:p>
            <w:pPr>
              <w:ind w:left="180"/>
              <w:spacing w:after="0"/>
              <w:rPr>
                <w:sz w:val="20"/>
                <w:szCs w:val="20"/>
                <w:color w:val="auto"/>
              </w:rPr>
            </w:pPr>
            <w:r>
              <w:rPr>
                <w:rFonts w:ascii="Arial" w:cs="Arial" w:eastAsia="Arial" w:hAnsi="Arial"/>
                <w:sz w:val="16"/>
                <w:szCs w:val="16"/>
                <w:color w:val="auto"/>
              </w:rPr>
              <w:t>Changes in working capital, net of acquisition</w:t>
            </w: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Accounts receivable</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w w:val="90"/>
              </w:rPr>
              <w:t>(113)</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1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Prepaid assets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(100)</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receipts from (payments of) hedging activities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118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660</w:t>
            </w:r>
          </w:p>
        </w:tc>
        <w:tc>
          <w:tcPr>
            <w:tcW w:w="1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667</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1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Purchases of plant assets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w w:val="90"/>
              </w:rPr>
              <w:t>(132)</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(119)</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Business acquired, net of cash acquired</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0"/>
              </w:rPr>
              <w:t>(682)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Other, net</w:t>
            </w:r>
          </w:p>
        </w:tc>
        <w:tc>
          <w:tcPr>
            <w:tcW w:w="118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w:t>
            </w:r>
          </w:p>
        </w:tc>
      </w:tr>
      <w:tr>
        <w:trPr>
          <w:trHeight w:val="231"/>
        </w:trPr>
        <w:tc>
          <w:tcPr>
            <w:tcW w:w="8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(825)</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(132)</w:t>
            </w:r>
          </w:p>
        </w:tc>
      </w:tr>
      <w:tr>
        <w:trPr>
          <w:trHeight w:val="33"/>
        </w:trPr>
        <w:tc>
          <w:tcPr>
            <w:tcW w:w="8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short-term borrowings</w:t>
            </w:r>
          </w:p>
        </w:tc>
        <w:tc>
          <w:tcPr>
            <w:tcW w:w="118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b w:val="1"/>
                <w:bCs w:val="1"/>
                <w:color w:val="auto"/>
              </w:rPr>
              <w:t>379</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Long-term repayments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(61)</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11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0"/>
              </w:rPr>
              <w:t>(216)</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0"/>
              </w:rPr>
              <w:t>(207)</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Treasury stock purchases</w:t>
            </w:r>
          </w:p>
        </w:tc>
        <w:tc>
          <w:tcPr>
            <w:tcW w:w="118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tcBorders>
              <w:bottom w:val="single" w:sz="8" w:color="BFE4FF"/>
            </w:tcBorders>
            <w:shd w:val="clear" w:color="auto" w:fill="BFE4FF"/>
          </w:tcPr>
          <w:p>
            <w:pPr>
              <w:spacing w:after="0"/>
              <w:rPr>
                <w:sz w:val="21"/>
                <w:szCs w:val="21"/>
                <w:color w:val="auto"/>
              </w:rPr>
            </w:pPr>
          </w:p>
        </w:tc>
        <w:tc>
          <w:tcPr>
            <w:tcW w:w="1160" w:type="dxa"/>
            <w:vAlign w:val="bottom"/>
            <w:tcBorders>
              <w:bottom w:val="single" w:sz="8" w:color="BFE4FF"/>
            </w:tcBorders>
            <w:shd w:val="clear" w:color="auto" w:fill="BFE4FF"/>
          </w:tcPr>
          <w:p>
            <w:pPr>
              <w:spacing w:after="0"/>
              <w:rPr>
                <w:sz w:val="21"/>
                <w:szCs w:val="21"/>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(234)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Treasury stock issuances</w:t>
            </w:r>
          </w:p>
        </w:tc>
        <w:tc>
          <w:tcPr>
            <w:tcW w:w="118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rPr>
              <w:t>2</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118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(20)</w:t>
            </w:r>
          </w:p>
        </w:tc>
      </w:tr>
      <w:tr>
        <w:trPr>
          <w:trHeight w:val="231"/>
        </w:trPr>
        <w:tc>
          <w:tcPr>
            <w:tcW w:w="8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38</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(518)</w:t>
            </w:r>
          </w:p>
        </w:tc>
      </w:tr>
      <w:tr>
        <w:trPr>
          <w:trHeight w:val="33"/>
        </w:trPr>
        <w:tc>
          <w:tcPr>
            <w:tcW w:w="8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118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BFE4FF"/>
            </w:tcBorders>
            <w:shd w:val="clear" w:color="auto" w:fill="BFE4FF"/>
          </w:tcPr>
          <w:p>
            <w:pPr>
              <w:spacing w:after="0"/>
              <w:rPr>
                <w:sz w:val="22"/>
                <w:szCs w:val="22"/>
                <w:color w:val="auto"/>
              </w:rPr>
            </w:pPr>
          </w:p>
        </w:tc>
        <w:tc>
          <w:tcPr>
            <w:tcW w:w="1160" w:type="dxa"/>
            <w:vAlign w:val="bottom"/>
            <w:tcBorders>
              <w:bottom w:val="single" w:sz="8" w:color="BFE4FF"/>
            </w:tcBorders>
            <w:shd w:val="clear" w:color="auto" w:fill="BFE4FF"/>
          </w:tcPr>
          <w:p>
            <w:pPr>
              <w:spacing w:after="0"/>
              <w:rPr>
                <w:sz w:val="22"/>
                <w:szCs w:val="22"/>
                <w:color w:val="auto"/>
              </w:rPr>
            </w:pPr>
          </w:p>
        </w:tc>
        <w:tc>
          <w:tcPr>
            <w:tcW w:w="4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(123)</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w:t>
            </w:r>
          </w:p>
        </w:tc>
      </w:tr>
      <w:tr>
        <w:trPr>
          <w:trHeight w:val="33"/>
        </w:trPr>
        <w:tc>
          <w:tcPr>
            <w:tcW w:w="8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18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00" w:type="dxa"/>
            <w:vAlign w:val="bottom"/>
            <w:tcBorders>
              <w:bottom w:val="single" w:sz="8" w:color="BFE4FF"/>
            </w:tcBorders>
            <w:shd w:val="clear" w:color="auto" w:fill="BFE4FF"/>
          </w:tcPr>
          <w:p>
            <w:pPr>
              <w:spacing w:after="0"/>
              <w:rPr>
                <w:sz w:val="23"/>
                <w:szCs w:val="23"/>
                <w:color w:val="auto"/>
              </w:rPr>
            </w:pPr>
          </w:p>
        </w:tc>
        <w:tc>
          <w:tcPr>
            <w:tcW w:w="1160" w:type="dxa"/>
            <w:vAlign w:val="bottom"/>
            <w:tcBorders>
              <w:bottom w:val="single" w:sz="8" w:color="BFE4FF"/>
            </w:tcBorders>
            <w:shd w:val="clear" w:color="auto" w:fill="BFE4FF"/>
          </w:tcPr>
          <w:p>
            <w:pPr>
              <w:spacing w:after="0"/>
              <w:rPr>
                <w:sz w:val="23"/>
                <w:szCs w:val="23"/>
                <w:color w:val="auto"/>
              </w:rPr>
            </w:pPr>
          </w:p>
        </w:tc>
        <w:tc>
          <w:tcPr>
            <w:tcW w:w="4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296</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1180" w:type="dxa"/>
            <w:vAlign w:val="bottom"/>
            <w:tcBorders>
              <w:top w:val="single" w:sz="8" w:color="auto"/>
            </w:tcBorders>
          </w:tcPr>
          <w:p>
            <w:pPr>
              <w:jc w:val="right"/>
              <w:ind w:right="1004"/>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196</w:t>
            </w: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83"/>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309</w:t>
            </w:r>
          </w:p>
        </w:tc>
      </w:tr>
      <w:tr>
        <w:trPr>
          <w:trHeight w:val="33"/>
        </w:trPr>
        <w:tc>
          <w:tcPr>
            <w:tcW w:w="8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
        </w:trPr>
        <w:tc>
          <w:tcPr>
            <w:tcW w:w="8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258"/>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1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2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393</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($.70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29,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2,102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560</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560</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32</w:t>
            </w: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31</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($.70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(211)</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January 28,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1,949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2017, except as described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performing a diagnostic review of our arrangements with customers across our significant businesses, including our practices of offering rebates, refunds, discounts and other price allowances, and trade and consumer promotion programs. We are evaluating our methods of estimating the amount and timing of these various forms of variable consideration. We are continuing to evaluate the impact that the new guidance will have on our consolidated financial statements, as well as which transition method we will use. We will adopt the new guidance in 2019.</w:t>
      </w:r>
    </w:p>
    <w:p>
      <w:pPr>
        <w:spacing w:after="0" w:line="12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2017, the FASB issued guidance that changes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elected to early adopt the guidance in the first quarter of 2018. The retrospective impact of presenting net periodic benefit cost in accordance with the new guidance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52"/>
        </w:trPr>
        <w:tc>
          <w:tcPr>
            <w:tcW w:w="7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3"/>
              </w:rPr>
              <w:t>January 29,</w:t>
            </w:r>
          </w:p>
        </w:tc>
        <w:tc>
          <w:tcPr>
            <w:tcW w:w="220" w:type="dxa"/>
            <w:vAlign w:val="bottom"/>
          </w:tcPr>
          <w:p>
            <w:pPr>
              <w:spacing w:after="0"/>
              <w:rPr>
                <w:sz w:val="13"/>
                <w:szCs w:val="13"/>
                <w:color w:val="auto"/>
              </w:rPr>
            </w:pPr>
          </w:p>
        </w:tc>
        <w:tc>
          <w:tcPr>
            <w:tcW w:w="160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5"/>
              </w:rPr>
              <w:t>January 29,</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2018, the FASB issued guidance that provides entities an option to reclassify the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New disclosures are required regardless of whether an entity elects to reclassify the tax effects. We are currently evaluating the impact that the new guidance will have on our consolidated financial statements.</w:t>
      </w:r>
    </w:p>
    <w:p>
      <w:pPr>
        <w:spacing w:after="0" w:line="12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December 18, 2017, we entered into an agreement to acquire Snyder's-Lance, Inc. (Snyder's-Lance) for $50.00 per share. The closing of the transaction is subject to customary closing conditions and termination rights, including the approval of Snyder's-Lance shareholders. We expect to finance the acquisition through $6,200 of debt, which includes the payoff of Snyder's-Lance indebtedness. We are a party to a bridge facility commitment letter with a group of lenders, which initially provided up to $6,200 under a 364-day senior unsecured bridge term loan credit facility. On December 29, 2017, we entered into a single draw, unsecured, senior term loan facility equal to $1,200 to finance a portion of the Snyder’s-Lance acquisition and reduce the commitment under the bridge facility commitment letter to $5,000. Debt issued under the term loan facility has a maturity date of three years from the initial funding date and will bear interest at the rates specified in the term loan facility, which vary based on the type of loan and certain other customary conditions. The term loan facility contains customary covenants and events of default for credit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facilities of this type. We plan to replace or refinance the remaining $5,000 under the bridge loan facility through an offering of senior unsecured notes. In the three-month period ended January 28, 2018, we recognized transaction costs of $24 associated with the pending acquisition. These costs were recorded in Other expenses / (income).</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12, 2017, we completed the acquisition of Pacific Foods of Oregon, LLC (Pacific Foods) for $689, subject to customary post-closing adjustments. Pacific Foods produces broth, soups, non-dairy beverages and other simple meals. The excess of the purchase price over the estimated fair values of identifiable net assets was recorded as $202 of goodwill. The goodwill is expected to be deductible for tax purposes. The goodwill was primarily attributable to future growth opportunities, anticipated synergies, and intangible assets that did not qualify for separate recognition. The goodwill is included in the Americas Simple Meals and Beverages segment.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three-month period ended January 28, 2018, the contribution of the Pacific Foods acquisition to Net sales was $28. The contribution to Net earnings was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acquired assets and assumed liabilities include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Pacific Foods</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202</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 assets acquired and liabilities assumed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689</w:t>
            </w:r>
          </w:p>
        </w:tc>
      </w:tr>
      <w:tr>
        <w:trPr>
          <w:trHeight w:val="20"/>
        </w:trPr>
        <w:tc>
          <w:tcPr>
            <w:tcW w:w="9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of Pacific Foods consist of $280 in non-amortizable trademarks, and $86 in customer relationships to be amortized over 20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purchase price allocation is preliminary and is subject to the finalization of appraisals, which will be completed in 2018.</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Pacific Foods acquisition had occurred on August 1, 2016:</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3"/>
                <w:szCs w:val="13"/>
                <w:color w:val="auto"/>
              </w:rPr>
            </w:pPr>
          </w:p>
        </w:tc>
        <w:tc>
          <w:tcPr>
            <w:tcW w:w="1000" w:type="dxa"/>
            <w:vAlign w:val="bottom"/>
          </w:tcPr>
          <w:p>
            <w:pPr>
              <w:jc w:val="right"/>
              <w:ind w:right="159"/>
              <w:spacing w:after="0" w:line="153" w:lineRule="exact"/>
              <w:rPr>
                <w:sz w:val="20"/>
                <w:szCs w:val="20"/>
                <w:color w:val="auto"/>
              </w:rPr>
            </w:pPr>
            <w:r>
              <w:rPr>
                <w:rFonts w:ascii="Arial" w:cs="Arial" w:eastAsia="Arial" w:hAnsi="Arial"/>
                <w:sz w:val="14"/>
                <w:szCs w:val="14"/>
                <w:b w:val="1"/>
                <w:bCs w:val="1"/>
                <w:color w:val="auto"/>
                <w:w w:val="95"/>
              </w:rPr>
              <w:t>January 28,</w:t>
            </w:r>
          </w:p>
        </w:tc>
        <w:tc>
          <w:tcPr>
            <w:tcW w:w="260" w:type="dxa"/>
            <w:vAlign w:val="bottom"/>
          </w:tcPr>
          <w:p>
            <w:pPr>
              <w:spacing w:after="0"/>
              <w:rPr>
                <w:sz w:val="13"/>
                <w:szCs w:val="13"/>
                <w:color w:val="auto"/>
              </w:rPr>
            </w:pPr>
          </w:p>
        </w:tc>
        <w:tc>
          <w:tcPr>
            <w:tcW w:w="980" w:type="dxa"/>
            <w:vAlign w:val="bottom"/>
          </w:tcPr>
          <w:p>
            <w:pPr>
              <w:jc w:val="right"/>
              <w:ind w:right="137"/>
              <w:spacing w:after="0" w:line="153" w:lineRule="exact"/>
              <w:rPr>
                <w:sz w:val="20"/>
                <w:szCs w:val="20"/>
                <w:color w:val="auto"/>
              </w:rPr>
            </w:pPr>
            <w:r>
              <w:rPr>
                <w:rFonts w:ascii="Arial" w:cs="Arial" w:eastAsia="Arial" w:hAnsi="Arial"/>
                <w:sz w:val="14"/>
                <w:szCs w:val="14"/>
                <w:b w:val="1"/>
                <w:bCs w:val="1"/>
                <w:color w:val="auto"/>
                <w:w w:val="95"/>
              </w:rPr>
              <w:t>January 29,</w:t>
            </w:r>
          </w:p>
        </w:tc>
      </w:tr>
      <w:tr>
        <w:trPr>
          <w:trHeight w:val="192"/>
        </w:trPr>
        <w:tc>
          <w:tcPr>
            <w:tcW w:w="6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2,210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4,449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4,506</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Net earnings attributable to Campbell Soup Company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9"/>
              <w:spacing w:after="0"/>
              <w:rPr>
                <w:sz w:val="20"/>
                <w:szCs w:val="20"/>
                <w:color w:val="auto"/>
              </w:rPr>
            </w:pPr>
            <w:r>
              <w:rPr>
                <w:rFonts w:ascii="Arial" w:cs="Arial" w:eastAsia="Arial" w:hAnsi="Arial"/>
                <w:sz w:val="18"/>
                <w:szCs w:val="18"/>
                <w:b w:val="1"/>
                <w:bCs w:val="1"/>
                <w:color w:val="auto"/>
              </w:rPr>
              <w:t>285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b w:val="1"/>
                <w:bCs w:val="1"/>
                <w:color w:val="auto"/>
              </w:rPr>
              <w:t>563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394</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earnings per share attributable to Campbell Soup Company - assuming dilution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0.95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1.86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1.28</w:t>
            </w:r>
          </w:p>
        </w:tc>
      </w:tr>
      <w:tr>
        <w:trPr>
          <w:trHeight w:val="27"/>
        </w:trPr>
        <w:tc>
          <w:tcPr>
            <w:tcW w:w="6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Pacific Foods acquisition been completed on August 1, 2016, nor are they indicative of future combined results.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10" w:name="page11"/>
    <w:bookmarkEnd w:id="10"/>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29,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Balance at January 28,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expense of $6 as of January 28, 2018, July 30, 2017, January 29, 2017, and July 31, 2016.</w:t>
      </w:r>
    </w:p>
    <w:p>
      <w:pPr>
        <w:ind w:left="340" w:hanging="332"/>
        <w:spacing w:after="0" w:line="203"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benefit of $8 as of January 28, 2018, $12 as of July 30, 2017, $10 as of January 29, 2017, and $23 as of July 31, 2016.</w:t>
      </w:r>
    </w:p>
    <w:p>
      <w:pPr>
        <w:ind w:left="340" w:right="1740" w:hanging="332"/>
        <w:spacing w:after="0" w:line="319"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8"/>
          <w:szCs w:val="18"/>
          <w:color w:val="auto"/>
        </w:rPr>
        <w:t>Included a tax expense of $25 as of January 28, 2018, $30 as of July 30, 2017, and January 29, 2017, and $35 as of July 31, 2016.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5"/>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4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Details about Accumulated Other Comprehensive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January 28, 2018</w:t>
            </w:r>
          </w:p>
        </w:tc>
        <w:tc>
          <w:tcPr>
            <w:tcW w:w="12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28, 2018</w:t>
            </w:r>
          </w:p>
        </w:tc>
        <w:tc>
          <w:tcPr>
            <w:tcW w:w="10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tcPr>
          <w:p>
            <w:pPr>
              <w:spacing w:after="0"/>
              <w:rPr>
                <w:sz w:val="12"/>
                <w:szCs w:val="12"/>
                <w:color w:val="auto"/>
              </w:rPr>
            </w:pPr>
          </w:p>
        </w:tc>
        <w:tc>
          <w:tcPr>
            <w:tcW w:w="2720" w:type="dxa"/>
            <w:vAlign w:val="bottom"/>
          </w:tcPr>
          <w:p>
            <w:pPr>
              <w:ind w:left="180"/>
              <w:spacing w:after="0" w:line="139" w:lineRule="exact"/>
              <w:rPr>
                <w:sz w:val="20"/>
                <w:szCs w:val="20"/>
                <w:color w:val="auto"/>
              </w:rPr>
            </w:pPr>
            <w:r>
              <w:rPr>
                <w:rFonts w:ascii="Arial" w:cs="Arial" w:eastAsia="Arial" w:hAnsi="Arial"/>
                <w:sz w:val="14"/>
                <w:szCs w:val="14"/>
                <w:b w:val="1"/>
                <w:bCs w:val="1"/>
                <w:color w:val="auto"/>
                <w:w w:val="98"/>
              </w:rPr>
              <w:t>Location of (Gain) Loss Recognized in</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Income (Loss) Components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9"/>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Pension and postretirement benefit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1" w:name="page12"/>
    <w:bookmarkEnd w:id="11"/>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balance at July 30, 2017</w:t>
            </w:r>
            <w:r>
              <w:rPr>
                <w:rFonts w:ascii="Arial" w:cs="Arial" w:eastAsia="Arial" w:hAnsi="Arial"/>
                <w:sz w:val="25"/>
                <w:szCs w:val="25"/>
                <w:color w:val="auto"/>
                <w:vertAlign w:val="superscript"/>
              </w:rPr>
              <w:t>(1)</w:t>
            </w: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Acquisition</w:t>
            </w:r>
          </w:p>
        </w:tc>
        <w:tc>
          <w:tcPr>
            <w:tcW w:w="22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balance at January 28, 2018</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982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2,259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5" w:lineRule="exact"/>
        <w:rPr>
          <w:sz w:val="20"/>
          <w:szCs w:val="20"/>
          <w:color w:val="auto"/>
        </w:rPr>
      </w:pPr>
    </w:p>
    <w:p>
      <w:pPr>
        <w:ind w:left="340" w:hanging="332"/>
        <w:spacing w:after="0" w:line="211"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Campbell Fresh segment includes accumulated impairment charges of $372 as of January 28, 2018, and $297 as of July 30, 2017 related to the Bolthouse Farms carrot and carrot ingredients reporting unit and the Garden Fresh Gourmet reporting unit.</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In 2018, we acquired Pacific Foods for $689 and goodwill related to the acquisition was $202. See Note 3 for additional information.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2018, we performed an interim impairment assessment as of December 31, 2017,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recent performance, we reduced our outlook for future operating margins and discounted cash flows, which resulted in a $75 impairment charge, representing a write-down of all of the remaining goodwill in the reporting unit.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28,</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1,485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Pacific Foods</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 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Amortization of intangible assets was $8 and $10 for the six-month periods ended January 28, 2018, and January 29, 2017, respectively. Amortization expense for the next 5 years is estimated to be $18 in 2018, $20 in 2019 through 2021, and $19 in 2022. Asset useful lives range from 5 to 20 years.</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Due to the factors described above regarding the Bolthouse Farms carrot and carrot ingredients reporting unit, we performed an interim impairment assessment on the trademark in the reporting unit. The fair value of the trademark exceeded the carrying value, which was $48, as of December 31, 2017.</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0" w:right="239" w:bottom="1440" w:gutter="0" w:footer="0" w:header="0"/>
        </w:sectPr>
      </w:pPr>
    </w:p>
    <w:bookmarkStart w:id="12" w:name="page13"/>
    <w:bookmarkEnd w:id="12"/>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 as follows:</w:t>
      </w:r>
    </w:p>
    <w:p>
      <w:pPr>
        <w:spacing w:after="0" w:line="171" w:lineRule="exact"/>
        <w:rPr>
          <w:rFonts w:ascii="Arial" w:cs="Arial" w:eastAsia="Arial" w:hAnsi="Arial"/>
          <w:sz w:val="18"/>
          <w:szCs w:val="18"/>
          <w:b w:val="1"/>
          <w:bCs w:val="1"/>
          <w:color w:val="auto"/>
        </w:rPr>
      </w:pPr>
    </w:p>
    <w:p>
      <w:pPr>
        <w:jc w:val="both"/>
        <w:ind w:left="660" w:hanging="328"/>
        <w:spacing w:after="0" w:line="279" w:lineRule="auto"/>
        <w:tabs>
          <w:tab w:leader="none" w:pos="660" w:val="left"/>
        </w:tabs>
        <w:numPr>
          <w:ilvl w:val="1"/>
          <w:numId w:val="8"/>
        </w:numPr>
        <w:rPr>
          <w:rFonts w:ascii="Arial" w:cs="Arial" w:eastAsia="Arial" w:hAnsi="Arial"/>
          <w:sz w:val="17"/>
          <w:szCs w:val="17"/>
          <w:color w:val="auto"/>
        </w:rPr>
      </w:pPr>
      <w:r>
        <w:rPr>
          <w:rFonts w:ascii="Arial" w:cs="Arial" w:eastAsia="Arial" w:hAnsi="Arial"/>
          <w:sz w:val="17"/>
          <w:szCs w:val="17"/>
          <w:color w:val="auto"/>
        </w:rPr>
        <w:t xml:space="preserve">Americas Simple Meals and Beverages segment includes the retail and food service businesses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 xml:space="preserve">Campbell’s </w:t>
      </w:r>
      <w:r>
        <w:rPr>
          <w:rFonts w:ascii="Arial" w:cs="Arial" w:eastAsia="Arial" w:hAnsi="Arial"/>
          <w:sz w:val="17"/>
          <w:szCs w:val="17"/>
          <w:color w:val="auto"/>
        </w:rPr>
        <w:t>gravies, pasta, beans and dinner sauces;</w:t>
      </w:r>
      <w:r>
        <w:rPr>
          <w:rFonts w:ascii="Arial" w:cs="Arial" w:eastAsia="Arial" w:hAnsi="Arial"/>
          <w:sz w:val="17"/>
          <w:szCs w:val="17"/>
          <w:i w:val="1"/>
          <w:iCs w:val="1"/>
          <w:color w:val="auto"/>
        </w:rPr>
        <w:t xml:space="preserve"> Swanson </w:t>
      </w:r>
      <w:r>
        <w:rPr>
          <w:rFonts w:ascii="Arial" w:cs="Arial" w:eastAsia="Arial" w:hAnsi="Arial"/>
          <w:sz w:val="17"/>
          <w:szCs w:val="17"/>
          <w:color w:val="auto"/>
        </w:rPr>
        <w:t>canned poultry;</w:t>
      </w:r>
      <w:r>
        <w:rPr>
          <w:rFonts w:ascii="Arial" w:cs="Arial" w:eastAsia="Arial" w:hAnsi="Arial"/>
          <w:sz w:val="17"/>
          <w:szCs w:val="17"/>
          <w:i w:val="1"/>
          <w:iCs w:val="1"/>
          <w:color w:val="auto"/>
        </w:rPr>
        <w:t xml:space="preserve"> Plum </w:t>
      </w:r>
      <w:r>
        <w:rPr>
          <w:rFonts w:ascii="Arial" w:cs="Arial" w:eastAsia="Arial" w:hAnsi="Arial"/>
          <w:sz w:val="17"/>
          <w:szCs w:val="17"/>
          <w:color w:val="auto"/>
        </w:rPr>
        <w:t>food and snacks;</w:t>
      </w:r>
      <w:r>
        <w:rPr>
          <w:rFonts w:ascii="Arial" w:cs="Arial" w:eastAsia="Arial" w:hAnsi="Arial"/>
          <w:sz w:val="17"/>
          <w:szCs w:val="17"/>
          <w:i w:val="1"/>
          <w:iCs w:val="1"/>
          <w:color w:val="auto"/>
        </w:rPr>
        <w:t xml:space="preserve"> V8 </w:t>
      </w:r>
      <w:r>
        <w:rPr>
          <w:rFonts w:ascii="Arial" w:cs="Arial" w:eastAsia="Arial" w:hAnsi="Arial"/>
          <w:sz w:val="17"/>
          <w:szCs w:val="17"/>
          <w:color w:val="auto"/>
        </w:rPr>
        <w:t>juices and beverages;</w:t>
      </w:r>
      <w:r>
        <w:rPr>
          <w:rFonts w:ascii="Arial" w:cs="Arial" w:eastAsia="Arial" w:hAnsi="Arial"/>
          <w:sz w:val="17"/>
          <w:szCs w:val="17"/>
          <w:i w:val="1"/>
          <w:iCs w:val="1"/>
          <w:color w:val="auto"/>
        </w:rPr>
        <w:t xml:space="preserve"> Campbell’s </w:t>
      </w:r>
      <w:r>
        <w:rPr>
          <w:rFonts w:ascii="Arial" w:cs="Arial" w:eastAsia="Arial" w:hAnsi="Arial"/>
          <w:sz w:val="17"/>
          <w:szCs w:val="17"/>
          <w:color w:val="auto"/>
        </w:rPr>
        <w:t>tomato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juice; and as of December 12, 2017,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non-dairy beverages and other simple meals;</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 beginning in 2018, the business in Latin America; and</w:t>
      </w:r>
    </w:p>
    <w:p>
      <w:pPr>
        <w:spacing w:after="0" w:line="127"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2018, the business in Latin America was managed as part of the Americas Simple Meals and Beverages segment. Segment results have been adjusted retrospectively to reflect this change.</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January 28,</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January 29,</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January 28,</w:t>
            </w: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1,196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2,414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2,493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4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491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2,180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2,171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4,341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4,373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5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January 28,</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January 29,</w:t>
            </w:r>
          </w:p>
        </w:tc>
        <w:tc>
          <w:tcPr>
            <w:tcW w:w="16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5"/>
              </w:rPr>
              <w:t>January 28,</w:t>
            </w:r>
          </w:p>
        </w:tc>
        <w:tc>
          <w:tcPr>
            <w:tcW w:w="160" w:type="dxa"/>
            <w:vAlign w:val="bottom"/>
          </w:tcPr>
          <w:p>
            <w:pPr>
              <w:spacing w:after="0"/>
              <w:rPr>
                <w:sz w:val="13"/>
                <w:szCs w:val="13"/>
                <w:color w:val="auto"/>
              </w:rPr>
            </w:pPr>
          </w:p>
        </w:tc>
        <w:tc>
          <w:tcPr>
            <w:tcW w:w="980" w:type="dxa"/>
            <w:vAlign w:val="bottom"/>
          </w:tcPr>
          <w:p>
            <w:pPr>
              <w:jc w:val="center"/>
              <w:ind w:right="95"/>
              <w:spacing w:after="0" w:line="153" w:lineRule="exact"/>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610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0"/>
        </w:trPr>
        <w:tc>
          <w:tcPr>
            <w:tcW w:w="65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1"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Represents unallocated items. Pension and postretirement benefit mark-to-market adjustments are included in Corporate. There were gains of $14 in the six-month period ended January 28, 2018, and losses of $20 in the six-month period ended January 29, 2017. Costs related to the implementation of our new organizational structure and cost savings initiatives were $27 in the three-month period ended January 28, 2018, and $44 and $11 in the six-month periods ended January 28, 2018, and January 29, 2017, respectively. Transaction costs of $24 associated with the pending acquisition of Snyder's-Lance were in the three- and six-month periods ended January 28, 2018. Impairment charge of $75 on the intangible assets of the Bolthouse</w:t>
      </w:r>
    </w:p>
    <w:p>
      <w:pPr>
        <w:sectPr>
          <w:pgSz w:w="11900" w:h="16838" w:orient="portrait"/>
          <w:cols w:equalWidth="0" w:num="1">
            <w:col w:w="11420"/>
          </w:cols>
          <w:pgMar w:left="240" w:top="1310"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0" w:right="239" w:bottom="1440" w:gutter="0" w:footer="0" w:header="0"/>
          <w:type w:val="continuous"/>
        </w:sectPr>
      </w:pPr>
    </w:p>
    <w:bookmarkStart w:id="13" w:name="page14"/>
    <w:bookmarkEnd w:id="13"/>
    <w:p>
      <w:pPr>
        <w:jc w:val="both"/>
        <w:ind w:left="340"/>
        <w:spacing w:after="0" w:line="307" w:lineRule="auto"/>
        <w:rPr>
          <w:sz w:val="20"/>
          <w:szCs w:val="20"/>
          <w:color w:val="auto"/>
        </w:rPr>
      </w:pPr>
      <w:r>
        <w:rPr>
          <w:rFonts w:ascii="Arial" w:cs="Arial" w:eastAsia="Arial" w:hAnsi="Arial"/>
          <w:sz w:val="18"/>
          <w:szCs w:val="18"/>
          <w:color w:val="auto"/>
        </w:rPr>
        <w:t>Farms carrot and carrot ingredients reporting unit was included in the three- and six-month periods ended January 28, 2018, and impairment charges of $212 on the intangible assets of the Bolthouse Farms carrot and carrot ingredients reporting unit and the Garden Fresh Gourmet reporting unit were also included in the three- and six-month periods ended January 29, 2017.</w:t>
      </w:r>
    </w:p>
    <w:p>
      <w:pPr>
        <w:ind w:left="340" w:hanging="332"/>
        <w:spacing w:after="0" w:line="194"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3"/>
                <w:szCs w:val="13"/>
                <w:color w:val="auto"/>
              </w:rPr>
            </w:pPr>
          </w:p>
        </w:tc>
        <w:tc>
          <w:tcPr>
            <w:tcW w:w="10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January 29,</w:t>
            </w:r>
          </w:p>
        </w:tc>
      </w:tr>
      <w:tr>
        <w:trPr>
          <w:trHeight w:val="192"/>
        </w:trPr>
        <w:tc>
          <w:tcPr>
            <w:tcW w:w="608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Soup</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6"/>
              <w:spacing w:after="0"/>
              <w:rPr>
                <w:sz w:val="20"/>
                <w:szCs w:val="20"/>
                <w:color w:val="auto"/>
              </w:rPr>
            </w:pPr>
            <w:r>
              <w:rPr>
                <w:rFonts w:ascii="Arial" w:cs="Arial" w:eastAsia="Arial" w:hAnsi="Arial"/>
                <w:sz w:val="18"/>
                <w:szCs w:val="18"/>
                <w:b w:val="1"/>
                <w:bCs w:val="1"/>
                <w:color w:val="auto"/>
              </w:rPr>
              <w:t>814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1,621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1,694</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Baked snacks</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b w:val="1"/>
                <w:bCs w:val="1"/>
                <w:color w:val="auto"/>
              </w:rPr>
              <w:t>690</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1,367</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1,314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b w:val="1"/>
                <w:bCs w:val="1"/>
                <w:color w:val="auto"/>
              </w:rPr>
              <w:t>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865</w:t>
            </w:r>
          </w:p>
        </w:tc>
      </w:tr>
      <w:tr>
        <w:trPr>
          <w:trHeight w:val="27"/>
        </w:trPr>
        <w:tc>
          <w:tcPr>
            <w:tcW w:w="6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180" w:type="dxa"/>
            <w:vAlign w:val="bottom"/>
            <w:tcBorders>
              <w:bottom w:val="single" w:sz="8" w:color="BFE4FF"/>
            </w:tcBorders>
            <w:shd w:val="clear" w:color="auto" w:fill="BFE4FF"/>
          </w:tcPr>
          <w:p>
            <w:pPr>
              <w:spacing w:after="0"/>
              <w:rPr>
                <w:sz w:val="21"/>
                <w:szCs w:val="21"/>
                <w:color w:val="auto"/>
              </w:rPr>
            </w:pPr>
          </w:p>
        </w:tc>
        <w:tc>
          <w:tcPr>
            <w:tcW w:w="10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b w:val="1"/>
                <w:bCs w:val="1"/>
                <w:color w:val="auto"/>
              </w:rPr>
              <w:t>241</w:t>
            </w:r>
          </w:p>
        </w:tc>
        <w:tc>
          <w:tcPr>
            <w:tcW w:w="12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483</w:t>
            </w:r>
          </w:p>
        </w:tc>
        <w:tc>
          <w:tcPr>
            <w:tcW w:w="100" w:type="dxa"/>
            <w:vAlign w:val="bottom"/>
            <w:tcBorders>
              <w:bottom w:val="single" w:sz="8" w:color="BFE4FF"/>
            </w:tcBorders>
            <w:shd w:val="clear" w:color="auto" w:fill="BFE4FF"/>
          </w:tcPr>
          <w:p>
            <w:pPr>
              <w:spacing w:after="0"/>
              <w:rPr>
                <w:sz w:val="21"/>
                <w:szCs w:val="21"/>
                <w:color w:val="auto"/>
              </w:rPr>
            </w:pPr>
          </w:p>
        </w:tc>
        <w:tc>
          <w:tcPr>
            <w:tcW w:w="18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500</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b w:val="1"/>
                <w:bCs w:val="1"/>
                <w:color w:val="auto"/>
              </w:rPr>
              <w:t>2,180</w:t>
            </w:r>
          </w:p>
        </w:tc>
        <w:tc>
          <w:tcPr>
            <w:tcW w:w="12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ind w:right="34"/>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b w:val="1"/>
                <w:bCs w:val="1"/>
                <w:color w:val="auto"/>
              </w:rPr>
              <w:t>4,341</w:t>
            </w:r>
          </w:p>
        </w:tc>
        <w:tc>
          <w:tcPr>
            <w:tcW w:w="100" w:type="dxa"/>
            <w:vAlign w:val="bottom"/>
            <w:tcBorders>
              <w:bottom w:val="single" w:sz="8" w:color="BFE4FF"/>
            </w:tcBorders>
            <w:shd w:val="clear" w:color="auto" w:fill="BFE4FF"/>
          </w:tcPr>
          <w:p>
            <w:pPr>
              <w:spacing w:after="0"/>
              <w:rPr>
                <w:sz w:val="22"/>
                <w:szCs w:val="22"/>
                <w:color w:val="auto"/>
              </w:rPr>
            </w:pP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4,373</w:t>
            </w:r>
          </w:p>
        </w:tc>
      </w:tr>
      <w:tr>
        <w:trPr>
          <w:trHeight w:val="20"/>
        </w:trPr>
        <w:tc>
          <w:tcPr>
            <w:tcW w:w="608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11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support of the new structure, we designed and implemented a global shared services organization. We also streamlined our organizational structure, implemented an initiative to reduce overhead across the organization and are pursuing other initiatives to reduce costs and increase effectiveness.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cost savings initiatives by further optimizing our supply chain network, primarily in North America, continuing to evolve our operating model to drive efficiencies, and more fully integrating our recent acquisitions. We extended the time horizon for the initiatives from 2018 to 2020. Cost estimates for these expanded initiatives, as well as timing for certain activities, are continuing to be developed.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28, 2018</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January 28, 2018</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July 30,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2"/>
              </w:rPr>
              <w:t>July 31, 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August 2, 2015</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0"/>
                <w:szCs w:val="20"/>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27"/>
        </w:trPr>
        <w:tc>
          <w:tcPr>
            <w:tcW w:w="2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521"/>
        </w:trPr>
        <w:tc>
          <w:tcPr>
            <w:tcW w:w="2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53"/>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314" w:right="2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r>
      <w:tr>
        <w:trPr>
          <w:trHeight w:val="192"/>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January 28, 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167</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19</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157</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343</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$515 to $560. We expect to incur substantially all of the costs through 2019. This estimate will be updated as costs for the expanded initiatives are developed.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$170 in severance pay and benefits; approximately $85 in asset impairment and accelerated depreciation; and approximately $260 to $305 in implementation costs and other related costs. We expect these pre-tax costs to be associated with our segments as follows: Americas Simple Meals and Beverages - approximately 39%; Global Biscuits and Snacks - approximately 30%; Campbell Fresh - approximately 3%; and Corporate - approximately 28%.</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aggregate $515 to $560 of pre-tax costs identified to date, we expect approximately $415 to $460 will be cash expenditures. In addition, we expect to invest approximately $250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$37 as of January 28,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January 28,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8"/>
              </w:rPr>
              <w:t>Severance Pay</w:t>
            </w:r>
          </w:p>
        </w:tc>
        <w:tc>
          <w:tcPr>
            <w:tcW w:w="10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Non-Cash</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Other Non-</w:t>
            </w: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Other Related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Cash Exit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w w:val="97"/>
              </w:rPr>
              <w:t>and Benefits</w:t>
            </w:r>
          </w:p>
        </w:tc>
        <w:tc>
          <w:tcPr>
            <w:tcW w:w="10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8"/>
                <w:szCs w:val="8"/>
                <w:b w:val="1"/>
                <w:bCs w:val="1"/>
                <w:color w:val="auto"/>
              </w:rPr>
              <w:t>(3)</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(4)</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(5)</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balance at July 30, 2017</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b w:val="1"/>
                <w:bCs w:val="1"/>
                <w:color w:val="auto"/>
              </w:rPr>
              <w:t>2018 charges</w:t>
            </w: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b w:val="1"/>
                <w:bCs w:val="1"/>
                <w:color w:val="auto"/>
              </w:rPr>
              <w:t>30</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21"/>
                <w:szCs w:val="21"/>
                <w:color w:val="auto"/>
              </w:rPr>
            </w:pPr>
          </w:p>
        </w:tc>
        <w:tc>
          <w:tcPr>
            <w:tcW w:w="1560" w:type="dxa"/>
            <w:vAlign w:val="bottom"/>
          </w:tcPr>
          <w:p>
            <w:pPr>
              <w:jc w:val="right"/>
              <w:ind w:right="64"/>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2018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76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Accrued balance at January 28, 2018</w:t>
            </w:r>
            <w:r>
              <w:rPr>
                <w:rFonts w:ascii="Arial" w:cs="Arial" w:eastAsia="Arial" w:hAnsi="Arial"/>
                <w:sz w:val="25"/>
                <w:szCs w:val="25"/>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$2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Includes $27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2"/>
        </w:numPr>
        <w:rPr>
          <w:rFonts w:ascii="Arial" w:cs="Arial" w:eastAsia="Arial" w:hAnsi="Arial"/>
          <w:sz w:val="24"/>
          <w:szCs w:val="24"/>
          <w:color w:val="auto"/>
          <w:vertAlign w:val="superscript"/>
        </w:rPr>
      </w:pPr>
      <w:r>
        <w:rPr>
          <w:rFonts w:ascii="Arial" w:cs="Arial" w:eastAsia="Arial" w:hAnsi="Arial"/>
          <w:sz w:val="17"/>
          <w:szCs w:val="17"/>
          <w:color w:val="auto"/>
        </w:rPr>
        <w:t>Represents pension termination benefits. See Note 10.</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8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January 28, 2018</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vMerge w:val="restart"/>
          </w:tcPr>
          <w:p>
            <w:pPr>
              <w:spacing w:after="0"/>
              <w:rPr>
                <w:sz w:val="13"/>
                <w:szCs w:val="13"/>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3"/>
              </w:rPr>
              <w:t>Costs Incurred to</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60" w:type="dxa"/>
            <w:vAlign w:val="bottom"/>
            <w:tcBorders>
              <w:bottom w:val="single" w:sz="8" w:color="CCEEFF"/>
            </w:tcBorders>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8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15</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4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5" w:name="page16"/>
    <w:bookmarkEnd w:id="15"/>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January 28, 2018, excludes approximately 2 million stock options that would have been antidilutive. The earnings per share calculation for the six-month period ended January 28, 2018, excludes approximately 1 million stock options that would have been antidilutive. The earnings per share calculation for the three- and six-month periods ended January 29, 2017, excludes less than 1 million stock options that would have been antidilutive.</w:t>
      </w:r>
    </w:p>
    <w:p>
      <w:pPr>
        <w:spacing w:after="0" w:line="13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Tax Cuts and Jobs Act of 2017 (the Act) was enacted into law on December 22, 2017, and made significant changes to corporate taxation. Changes under the Act include:</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Reducing the federal corporate tax rate from 35% to 21% effective January 1,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Eliminating the deduction for domestic manufacturing activities, which impacts us beginning in 2019;</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Repealing the exception for deductibility of performance-based compensation to covered employees, which impacts us beginning in 2019, along with expanding the number of covered employees;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Transitioning to a territorial system for taxation on foreign earnings along with the imposition of a transition tax in 2018 on the deemed repatriation of unremitted foreign earnings;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Limiting the deductibility of interest expense to 30% of adjusted taxable income, which is effective for us beginning in 2019 ;</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Immediate expensing of machinery and equipment placed into service after September 27, 2017; and</w:t>
      </w:r>
    </w:p>
    <w:p>
      <w:pPr>
        <w:spacing w:after="0" w:line="171"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the taxation of multinational companies, including a new minimum tax on Global Intangible Low-Taxed Income, a new Base Erosion Anti-Abuse Tax, and a new U.S. corporate deduction for Foreign-Derived Intangible Income, all of which are effective for us beginning in 2019.</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U.S. Securities and Exchange Commission recently released Staff Accounting Bulletin (SAB) 118, which allows for a measurement period while a company obtains, prepares, and analyzes the information necessary to finalize its accounting for the effects of the Act. Specifically, SAB 118 details a three-step process that should apply to each reporting period:</w:t>
      </w:r>
    </w:p>
    <w:p>
      <w:pPr>
        <w:spacing w:after="0" w:line="10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First, report the effects of the Act for which the accounting is complete;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Second, report provisional amounts for which the accounting is not complete, but a reasonable estimate can be determined;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do not report a provisional amount for which a reasonable estimate cannot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the Act and SAB 118, the following items are reflected in this quarter:</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$183;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$59.</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w:t>
      </w:r>
    </w:p>
    <w:p>
      <w:pPr>
        <w:spacing w:after="0" w:line="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During the first quarter of 2018, we settled a state tax audit which resulted in the recognition of a $15 benefit that impacted the effective tax rate, and a $33 reduction in unrecognized tax benefits. The balance of unrecognized tax benefits as of January 28, 2018, was $32, of which $21 would impact the effective tax rate if recognized. The total amount of unrecognized tax benefits can change due to audit settlements, tax examination activities, statute expirations and the recognition and measurement criteria under accounting for uncertainty in income taxes.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0" w:right="239" w:bottom="1440" w:gutter="0" w:footer="0" w:header="0"/>
        </w:sectPr>
      </w:pPr>
    </w:p>
    <w:bookmarkStart w:id="16" w:name="page17"/>
    <w:bookmarkEnd w:id="16"/>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net benefit expense (income)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900" w:type="dxa"/>
            <w:vAlign w:val="bottom"/>
          </w:tcPr>
          <w:p>
            <w:pPr>
              <w:jc w:val="right"/>
              <w:ind w:right="74"/>
              <w:spacing w:after="0" w:line="153" w:lineRule="exact"/>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6"/>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Amortization of prior service</w:t>
            </w:r>
          </w:p>
        </w:tc>
        <w:tc>
          <w:tcPr>
            <w:tcW w:w="120" w:type="dxa"/>
            <w:vAlign w:val="bottom"/>
          </w:tcPr>
          <w:p>
            <w:pPr>
              <w:spacing w:after="0"/>
              <w:rPr>
                <w:sz w:val="19"/>
                <w:szCs w:val="19"/>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credit</w:t>
            </w: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Net periodic benefit income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7.</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 Beginning in 2018, under the revised FASB guidance adopted in the first quarter, only the service cost component of net periodic benefit expense (income) is eligible for capitalization.</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are making this change to provide a more precise measurement of service cost and interest cost by improving the correlation between projected benefit cash flows and the corresponding spot yield curve rates. This change will not affect the measurement of our benefit obligations. We accounted for this change prospectively in 2018 as a change in accounting estimate. As a result of this change, net periodic benefit income increased by approximately $4 and $8 in the three- and six-month periods ended January 28, 2018, respectively, compared to what the net periodic benefit income would have been under the previous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January 28, 2018, or July 30,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2017,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39% of our consolidated net sales in 2017.</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w:t>
      </w:r>
    </w:p>
    <w:p>
      <w:pPr>
        <w:sectPr>
          <w:pgSz w:w="11900" w:h="16838" w:orient="portrait"/>
          <w:cols w:equalWidth="0" w:num="1">
            <w:col w:w="11420"/>
          </w:cols>
          <w:pgMar w:left="240" w:top="1310"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310" w:right="239" w:bottom="1440" w:gutter="0" w:footer="0" w:header="0"/>
          <w:type w:val="continuous"/>
        </w:sectPr>
      </w:pPr>
    </w:p>
    <w:bookmarkStart w:id="17" w:name="page18"/>
    <w:bookmarkEnd w:id="17"/>
    <w:p>
      <w:pPr>
        <w:jc w:val="both"/>
        <w:spacing w:after="0" w:line="289" w:lineRule="auto"/>
        <w:rPr>
          <w:sz w:val="20"/>
          <w:szCs w:val="20"/>
          <w:color w:val="auto"/>
        </w:rPr>
      </w:pPr>
      <w:r>
        <w:rPr>
          <w:rFonts w:ascii="Arial" w:cs="Arial" w:eastAsia="Arial" w:hAnsi="Arial"/>
          <w:sz w:val="16"/>
          <w:szCs w:val="16"/>
          <w:color w:val="auto"/>
        </w:rPr>
        <w:t>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$70 at January 28, 2018, and $84 at July 30, 2017.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$148 and $336 at January 28, 2018, and July 30, 2017, respectively. There were no cross-currency swap contracts outstanding as of January 28, 2018, or July 30,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designated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At January 28, 2018, and July 30, 2017, we had forward starting interest rate swaps accounted for as cash flow hedges with a notional value of $300, which relate to an anticipated debt issuance in 2018. We settled forward starting interest rate swaps with a notional value of $300 in October 2017 at a loss of $22. The effective portion of the loss was recorded in other comprehensive income (loss) and will be recognized as additional interest expense over the 10-year life of the anticipated debt issuance in 2018. The notional amount of treasury rate lock contracts accounted for as undesignated hedges was $200 at January 28, 2018, which relate to an anticipated debt issuance in 2018.</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Subsequent to January 28, 2018, we entered into additional treasury rate lock contracts which relate to an anticipated debt issuance in 2018 with a notional amount of $2,100 as of February 28, 2018. These instruments are undesignated.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cocoa, natural gas, aluminum, soybean meal, corn,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January 28, 2018, or July 30, 2017. The notional amount of commodity contracts not designated as accounting hedges was $84 at January 28, 2018, and $90 at July 30, 2017.</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$75 at January 28, 2018, and $35 at July 30, 2017. The fair value was not material as of January 28, 2018, and July 30, 2017.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January 28, 2018, and July 30, 2017, were $42 and $43,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4" w:right="239" w:bottom="1440" w:gutter="0" w:footer="0" w:header="0"/>
        </w:sectPr>
      </w:pPr>
    </w:p>
    <w:bookmarkStart w:id="18" w:name="page19"/>
    <w:bookmarkEnd w:id="18"/>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January 28, 2018, and July 30,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Treasury rate lock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1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28, 2018, and July 30, 2017,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January 28, 2018</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January 28, 2018, and July 30, 2017, a cash margin account balance of $1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six-month periods ended January 28, 2018, and January 29, 2017,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center"/>
              <w:ind w:left="32"/>
              <w:spacing w:after="0"/>
              <w:rPr>
                <w:sz w:val="20"/>
                <w:szCs w:val="20"/>
                <w:color w:val="auto"/>
              </w:rPr>
            </w:pPr>
            <w:r>
              <w:rPr>
                <w:rFonts w:ascii="Arial" w:cs="Arial" w:eastAsia="Arial" w:hAnsi="Arial"/>
                <w:sz w:val="14"/>
                <w:szCs w:val="14"/>
                <w:b w:val="1"/>
                <w:bCs w:val="1"/>
                <w:color w:val="auto"/>
                <w:w w:val="92"/>
              </w:rPr>
              <w:t>Total Cash-Flow Hedge</w:t>
            </w:r>
          </w:p>
        </w:tc>
        <w:tc>
          <w:tcPr>
            <w:tcW w:w="400" w:type="dxa"/>
            <w:vAlign w:val="bottom"/>
          </w:tcPr>
          <w:p>
            <w:pPr>
              <w:spacing w:after="0"/>
              <w:rPr>
                <w:sz w:val="14"/>
                <w:szCs w:val="14"/>
                <w:color w:val="auto"/>
              </w:rPr>
            </w:pPr>
          </w:p>
        </w:tc>
      </w:tr>
      <w:tr>
        <w:trPr>
          <w:trHeight w:val="192"/>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32"/>
              <w:spacing w:after="0"/>
              <w:rPr>
                <w:sz w:val="20"/>
                <w:szCs w:val="20"/>
                <w:color w:val="auto"/>
              </w:rPr>
            </w:pPr>
            <w:r>
              <w:rPr>
                <w:rFonts w:ascii="Arial" w:cs="Arial" w:eastAsia="Arial" w:hAnsi="Arial"/>
                <w:sz w:val="14"/>
                <w:szCs w:val="14"/>
                <w:b w:val="1"/>
                <w:bCs w:val="1"/>
                <w:color w:val="auto"/>
              </w:rPr>
              <w:t>OCI Activity</w:t>
            </w:r>
          </w:p>
        </w:tc>
        <w:tc>
          <w:tcPr>
            <w:tcW w:w="400" w:type="dxa"/>
            <w:vAlign w:val="bottom"/>
            <w:tcBorders>
              <w:bottom w:val="single" w:sz="8" w:color="auto"/>
            </w:tcBorders>
          </w:tcPr>
          <w:p>
            <w:pPr>
              <w:spacing w:after="0"/>
              <w:rPr>
                <w:sz w:val="16"/>
                <w:szCs w:val="16"/>
                <w:color w:val="auto"/>
              </w:rPr>
            </w:pPr>
          </w:p>
        </w:tc>
      </w:tr>
      <w:tr>
        <w:trPr>
          <w:trHeight w:val="264"/>
        </w:trPr>
        <w:tc>
          <w:tcPr>
            <w:tcW w:w="64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28, 2018</w:t>
            </w: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January 29, 2017</w:t>
            </w:r>
          </w:p>
        </w:tc>
      </w:tr>
      <w:tr>
        <w:trPr>
          <w:trHeight w:val="202"/>
        </w:trPr>
        <w:tc>
          <w:tcPr>
            <w:tcW w:w="6400" w:type="dxa"/>
            <w:vAlign w:val="bottom"/>
            <w:tcBorders>
              <w:top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940" w:type="dxa"/>
            <w:vAlign w:val="bottom"/>
            <w:gridSpan w:val="4"/>
          </w:tcPr>
          <w:p>
            <w:pPr>
              <w:ind w:left="268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Pr>
          <w:p>
            <w:pPr>
              <w:spacing w:after="0"/>
              <w:rPr>
                <w:sz w:val="17"/>
                <w:szCs w:val="17"/>
                <w:color w:val="auto"/>
              </w:rPr>
            </w:pPr>
          </w:p>
        </w:tc>
        <w:tc>
          <w:tcPr>
            <w:tcW w:w="29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Other expenses / (income)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40" w:type="dxa"/>
            <w:vAlign w:val="bottom"/>
            <w:gridSpan w:val="3"/>
          </w:tcPr>
          <w:p>
            <w:pPr>
              <w:spacing w:after="0"/>
              <w:rPr>
                <w:sz w:val="20"/>
                <w:szCs w:val="20"/>
                <w:color w:val="auto"/>
              </w:rPr>
            </w:pPr>
          </w:p>
        </w:tc>
        <w:tc>
          <w:tcPr>
            <w:tcW w:w="3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0"/>
                <w:szCs w:val="20"/>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67"/>
        </w:trPr>
        <w:tc>
          <w:tcPr>
            <w:tcW w:w="4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Six Months Ended</w:t>
            </w: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2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940" w:type="dxa"/>
            <w:vAlign w:val="bottom"/>
            <w:tcBorders>
              <w:bottom w:val="single" w:sz="8" w:color="CCEEFF"/>
            </w:tcBorders>
            <w:gridSpan w:val="4"/>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29</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280" w:type="dxa"/>
            <w:vAlign w:val="bottom"/>
            <w:tcBorders>
              <w:bottom w:val="single" w:sz="8" w:color="CCEEFF"/>
            </w:tcBorders>
            <w:gridSpan w:val="2"/>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84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940" w:type="dxa"/>
            <w:vAlign w:val="bottom"/>
            <w:tcBorders>
              <w:bottom w:val="single" w:sz="8" w:color="CCEEFF"/>
            </w:tcBorders>
            <w:gridSpan w:val="4"/>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$8.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10"/>
          </w:tcPr>
          <w:p>
            <w:pPr>
              <w:jc w:val="right"/>
              <w:ind w:right="214"/>
              <w:spacing w:after="0"/>
              <w:rPr>
                <w:sz w:val="20"/>
                <w:szCs w:val="20"/>
                <w:color w:val="auto"/>
              </w:rPr>
            </w:pPr>
            <w:r>
              <w:rPr>
                <w:rFonts w:ascii="Arial" w:cs="Arial" w:eastAsia="Arial" w:hAnsi="Arial"/>
                <w:sz w:val="14"/>
                <w:szCs w:val="14"/>
                <w:b w:val="1"/>
                <w:bCs w:val="1"/>
                <w:color w:val="auto"/>
                <w:w w:val="96"/>
              </w:rPr>
              <w:t>Amount of (Gain) Loss Recognized in Earnings on Derivatives</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3"/>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760" w:type="dxa"/>
            <w:vAlign w:val="bottom"/>
            <w:gridSpan w:val="2"/>
          </w:tcPr>
          <w:p>
            <w:pPr>
              <w:ind w:left="6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12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4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900" w:type="dxa"/>
            <w:vAlign w:val="bottom"/>
          </w:tcPr>
          <w:p>
            <w:pPr>
              <w:jc w:val="right"/>
              <w:ind w:right="54"/>
              <w:spacing w:after="0" w:line="153" w:lineRule="exact"/>
              <w:rPr>
                <w:sz w:val="20"/>
                <w:szCs w:val="20"/>
                <w:color w:val="auto"/>
              </w:rPr>
            </w:pPr>
            <w:r>
              <w:rPr>
                <w:rFonts w:ascii="Arial" w:cs="Arial" w:eastAsia="Arial" w:hAnsi="Arial"/>
                <w:sz w:val="14"/>
                <w:szCs w:val="14"/>
                <w:b w:val="1"/>
                <w:bCs w:val="1"/>
                <w:color w:val="auto"/>
                <w:w w:val="95"/>
              </w:rPr>
              <w:t>January 29,</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Administrative expenses</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rate lock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we agreed to make a $125 capital commitment to Acre Venture Partners, L.P.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jc w:val="both"/>
        <w:ind w:right="20"/>
        <w:spacing w:after="0" w:line="277" w:lineRule="auto"/>
        <w:rPr>
          <w:sz w:val="20"/>
          <w:szCs w:val="20"/>
          <w:color w:val="auto"/>
        </w:rPr>
      </w:pPr>
      <w:r>
        <w:rPr>
          <w:rFonts w:ascii="Arial" w:cs="Arial" w:eastAsia="Arial" w:hAnsi="Arial"/>
          <w:sz w:val="18"/>
          <w:szCs w:val="18"/>
          <w:color w:val="auto"/>
        </w:rPr>
        <w:t>a noncontrolling interest. Through January 28, 2018, we funded $71 of the capital commitment. Except for the remaining unfunded capital commitment of $54, we do not have obligations to provide additional financial or other support to Acre.</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$70 and $51 as of January 28, 2018, and July 30, 2017,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January 28, 2018, or July 30, 2017.</w:t>
      </w:r>
    </w:p>
    <w:p>
      <w:pPr>
        <w:spacing w:after="0" w:line="11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January 28, 2018, and July 30, 2017,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7"/>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2"/>
              </w:rPr>
              <w:t>January 28, 2018 Using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lock</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(5)</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(6)</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90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7"/>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4"/>
              <w:spacing w:after="0"/>
              <w:rPr>
                <w:sz w:val="20"/>
                <w:szCs w:val="20"/>
                <w:color w:val="auto"/>
              </w:rPr>
            </w:pPr>
            <w:r>
              <w:rPr>
                <w:rFonts w:ascii="Arial" w:cs="Arial" w:eastAsia="Arial" w:hAnsi="Arial"/>
                <w:sz w:val="18"/>
                <w:szCs w:val="18"/>
                <w:color w:val="auto"/>
              </w:rPr>
              <w:t>6</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2"/>
              </w:rPr>
              <w:t>January 28, 2018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(7)</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135</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129</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Based on U.S. Treasury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Based on observable market transactions of spot currency rates and forward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12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in 2018 or 2017.</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the second quarter of 2018, we performed an interim impairment assessment as of December 31, 2017, and recognized an impairment charge of $75 on goodwill of the Bolthouse Farms carrot and carrot ingredients reporting unit, which represented the remaining carrying value of goodwill.</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was determined based on unobservable Level 3 inputs. The fair value of goodwill was determined based on discounted cash flow analysis that include significant management assumptions such as revenue growth rates, operating margins, weighted average cost of capital, and future economic and market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for additional information on the impairment charge.</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$16 at January 28, 2018, and $8 at July 30, 2017,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$2,516 at January 28, 2018, and $2,582 at July 30, 2017. The carrying value was $2,486 at January 28, 2018, and $2,499 at July 30, 2017. The fair value of long-term debt is principally estimated using Level 2 inputs based on quoted market prices or pricing models using current market rates.</w:t>
      </w:r>
    </w:p>
    <w:p>
      <w:pPr>
        <w:sectPr>
          <w:pgSz w:w="11900" w:h="16838" w:orient="portrait"/>
          <w:cols w:equalWidth="0" w:num="1">
            <w:col w:w="11420"/>
          </w:cols>
          <w:pgMar w:left="240" w:top="137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Share Repurchases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With the pending acquisition of Snyder's-Lance, we suspended our share repurchases in the second quarter of 2018.</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six-month period ended January 28, 2018, we repurchased 2 million shares at a cost of $86. Of this amount, $75 was used to repurchase shares pursuant to our March 2017 publicly announced share repurchase program. Approximately $1,296 remained available under the March 2017 program as of January 28, 2018. During the six-month period ended January 29, 2017, we repurchased 4 million shares at a cost of $234.</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2018, we issued stock options, time-lapse restricted stock units, unrestricted stock, EPS performance restricted stock units and TSR performance restricted stock units. We have not issued strategic performance restricted stock units or special performance restricted stock units in 2018.</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60" w:type="dxa"/>
            <w:vAlign w:val="bottom"/>
          </w:tcPr>
          <w:p>
            <w:pPr>
              <w:spacing w:after="0"/>
              <w:rPr>
                <w:sz w:val="13"/>
                <w:szCs w:val="13"/>
                <w:color w:val="auto"/>
              </w:rPr>
            </w:pPr>
          </w:p>
        </w:tc>
        <w:tc>
          <w:tcPr>
            <w:tcW w:w="9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w w:val="95"/>
              </w:rPr>
              <w:t>January 29,</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41"/>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12</w:t>
            </w: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received from the exercise of stock options was $2 for the six-month period ended January 29, 2017, and is reflected in cash flows from financing activities in the Consolidated Statements of Cash Flows.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as of January 28,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30,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47.19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28,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1,617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January 28,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51.40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the six-month period ended January 29, 2017, was not material.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2018 and 2017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6 years</w:t>
            </w:r>
          </w:p>
        </w:tc>
        <w:tc>
          <w:tcPr>
            <w:tcW w:w="90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$6.67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$7.51</w:t>
            </w:r>
          </w:p>
        </w:tc>
      </w:tr>
      <w:tr>
        <w:trPr>
          <w:trHeight w:val="27"/>
        </w:trPr>
        <w:tc>
          <w:tcPr>
            <w:tcW w:w="9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0" w:right="239" w:bottom="1440" w:gutter="0" w:footer="0" w:header="0"/>
          <w:type w:val="continuous"/>
        </w:sectPr>
      </w:pPr>
    </w:p>
    <w:bookmarkStart w:id="23" w:name="page24"/>
    <w:bookmarkEnd w:id="23"/>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January 28, 2018, total remaining unearned compensation related to nonvested stock options was $3, which will be amortized over the weighted-average remaining service period of 1.1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January 28,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50.34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28,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49.91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150 thousand EPS performance target grants outstanding at January 28, 2018, with a weighted-average grant-date fair value of $49.58.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 actual performance achieved during a three-year period ended July 31, 2016. There were no strategic performance restricted stock units outstanding at January 28, 2018.</w:t>
      </w:r>
    </w:p>
    <w:p>
      <w:pPr>
        <w:spacing w:after="0" w:line="12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28, 2018, total remaining unearned compensation related to nonvested time-lapse restricted stock units and EPS performance restricted stock units was $34, which will be amortized over the weighted-average remaining service period of 1.8 years. The fair value of restricted stock units vested during the six-month periods ended January 28, 2018, and January 29, 2017, was $30, and $51, respectively. The weighted-average grant-date fair value of the restricted stock units granted during the six-month period ended January 29, 2017, was $54.73.</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January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45.71</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28,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46.29</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33" w:right="239" w:bottom="1440" w:gutter="0" w:footer="0" w:header="0"/>
        </w:sectPr>
      </w:pPr>
    </w:p>
    <w:bookmarkStart w:id="24" w:name="page25"/>
    <w:bookmarkEnd w:id="2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As of January 28, 2018, total remaining unearned compensation related to TSR performance restricted stock units was $38, which will be amortized over the weighted-average remaining service period of 2.0 years.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In the first quarter of 2017, recipients of TSR performance restricted stock units earned 75% of the initial grants based upon our TSR ranking in a performance peer group during a three-year period ended July 29, 2016. The fair value of TSR performance restricted stock units vested during the six-month periods ended January 28, 2018, and January 29, 2017, was $38 and $14, respectively. The grant-date fair value of the TSR performance restricted stock units granted during 2017 was $39.53.</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six-month periods ended January 28, 2018, and January 29, 2017, were $4 and $6,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 xml:space="preserve">Four securities class action lawsuits (collectively, the Actions) related to the pending acquisition of Snyder's-Lance have been filed by purported shareholders of Snyder's-Lance. The Actions, captioned </w:t>
      </w:r>
      <w:r>
        <w:rPr>
          <w:rFonts w:ascii="Arial" w:cs="Arial" w:eastAsia="Arial" w:hAnsi="Arial"/>
          <w:sz w:val="17"/>
          <w:szCs w:val="17"/>
          <w:i w:val="1"/>
          <w:iCs w:val="1"/>
          <w:color w:val="auto"/>
        </w:rPr>
        <w:t>Shaev v. Snyder's-Lance, Inc., et al.,</w:t>
      </w:r>
      <w:r>
        <w:rPr>
          <w:rFonts w:ascii="Arial" w:cs="Arial" w:eastAsia="Arial" w:hAnsi="Arial"/>
          <w:sz w:val="17"/>
          <w:szCs w:val="17"/>
          <w:color w:val="auto"/>
        </w:rPr>
        <w:t xml:space="preserve"> No. 3:18-cv-00039 (the </w:t>
      </w:r>
      <w:r>
        <w:rPr>
          <w:rFonts w:ascii="Arial" w:cs="Arial" w:eastAsia="Arial" w:hAnsi="Arial"/>
          <w:sz w:val="17"/>
          <w:szCs w:val="17"/>
          <w:i w:val="1"/>
          <w:iCs w:val="1"/>
          <w:color w:val="auto"/>
        </w:rPr>
        <w:t>Shaev</w:t>
      </w:r>
      <w:r>
        <w:rPr>
          <w:rFonts w:ascii="Arial" w:cs="Arial" w:eastAsia="Arial" w:hAnsi="Arial"/>
          <w:sz w:val="17"/>
          <w:szCs w:val="17"/>
          <w:color w:val="auto"/>
        </w:rPr>
        <w:t xml:space="preserve"> Action), </w:t>
      </w:r>
      <w:r>
        <w:rPr>
          <w:rFonts w:ascii="Arial" w:cs="Arial" w:eastAsia="Arial" w:hAnsi="Arial"/>
          <w:sz w:val="17"/>
          <w:szCs w:val="17"/>
          <w:i w:val="1"/>
          <w:iCs w:val="1"/>
          <w:color w:val="auto"/>
        </w:rPr>
        <w:t xml:space="preserve">Sciabacucchi v. Snyder's-Lance, Inc., et al., </w:t>
      </w:r>
      <w:r>
        <w:rPr>
          <w:rFonts w:ascii="Arial" w:cs="Arial" w:eastAsia="Arial" w:hAnsi="Arial"/>
          <w:sz w:val="17"/>
          <w:szCs w:val="17"/>
          <w:color w:val="auto"/>
        </w:rPr>
        <w:t>No. 3:18-cv-00049-RJC-DCK (the</w:t>
      </w:r>
      <w:r>
        <w:rPr>
          <w:rFonts w:ascii="Arial" w:cs="Arial" w:eastAsia="Arial" w:hAnsi="Arial"/>
          <w:sz w:val="17"/>
          <w:szCs w:val="17"/>
          <w:i w:val="1"/>
          <w:iCs w:val="1"/>
          <w:color w:val="auto"/>
        </w:rPr>
        <w:t xml:space="preserve"> Sciabacucchi </w:t>
      </w:r>
      <w:r>
        <w:rPr>
          <w:rFonts w:ascii="Arial" w:cs="Arial" w:eastAsia="Arial" w:hAnsi="Arial"/>
          <w:sz w:val="17"/>
          <w:szCs w:val="17"/>
          <w:color w:val="auto"/>
        </w:rPr>
        <w:t>Action),</w:t>
      </w:r>
      <w:r>
        <w:rPr>
          <w:rFonts w:ascii="Arial" w:cs="Arial" w:eastAsia="Arial" w:hAnsi="Arial"/>
          <w:sz w:val="17"/>
          <w:szCs w:val="17"/>
          <w:i w:val="1"/>
          <w:iCs w:val="1"/>
          <w:color w:val="auto"/>
        </w:rPr>
        <w:t xml:space="preserve"> Kendall v. Snyder's-Lance, Inc., et al., </w:t>
      </w:r>
      <w:r>
        <w:rPr>
          <w:rFonts w:ascii="Arial" w:cs="Arial" w:eastAsia="Arial" w:hAnsi="Arial"/>
          <w:sz w:val="17"/>
          <w:szCs w:val="17"/>
          <w:color w:val="auto"/>
        </w:rPr>
        <w:t>No. 3:18-cv-00051 (the</w:t>
      </w:r>
      <w:r>
        <w:rPr>
          <w:rFonts w:ascii="Arial" w:cs="Arial" w:eastAsia="Arial" w:hAnsi="Arial"/>
          <w:sz w:val="17"/>
          <w:szCs w:val="17"/>
          <w:i w:val="1"/>
          <w:iCs w:val="1"/>
          <w:color w:val="auto"/>
        </w:rPr>
        <w:t xml:space="preserve"> Kendall </w:t>
      </w:r>
      <w:r>
        <w:rPr>
          <w:rFonts w:ascii="Arial" w:cs="Arial" w:eastAsia="Arial" w:hAnsi="Arial"/>
          <w:sz w:val="17"/>
          <w:szCs w:val="17"/>
          <w:color w:val="auto"/>
        </w:rPr>
        <w:t>Action),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w:t>
      </w:r>
      <w:r>
        <w:rPr>
          <w:rFonts w:ascii="Arial" w:cs="Arial" w:eastAsia="Arial" w:hAnsi="Arial"/>
          <w:sz w:val="17"/>
          <w:szCs w:val="17"/>
          <w:i w:val="1"/>
          <w:iCs w:val="1"/>
          <w:color w:val="auto"/>
        </w:rPr>
        <w:t>Daniel v. Snyder's-Lance, Inc., et al.,</w:t>
      </w:r>
      <w:r>
        <w:rPr>
          <w:rFonts w:ascii="Arial" w:cs="Arial" w:eastAsia="Arial" w:hAnsi="Arial"/>
          <w:sz w:val="17"/>
          <w:szCs w:val="17"/>
          <w:color w:val="auto"/>
        </w:rPr>
        <w:t xml:space="preserve"> No. 3:18-cv-00058 (the </w:t>
      </w:r>
      <w:r>
        <w:rPr>
          <w:rFonts w:ascii="Arial" w:cs="Arial" w:eastAsia="Arial" w:hAnsi="Arial"/>
          <w:sz w:val="17"/>
          <w:szCs w:val="17"/>
          <w:i w:val="1"/>
          <w:iCs w:val="1"/>
          <w:color w:val="auto"/>
        </w:rPr>
        <w:t>Daniel</w:t>
      </w:r>
      <w:r>
        <w:rPr>
          <w:rFonts w:ascii="Arial" w:cs="Arial" w:eastAsia="Arial" w:hAnsi="Arial"/>
          <w:sz w:val="17"/>
          <w:szCs w:val="17"/>
          <w:color w:val="auto"/>
        </w:rPr>
        <w:t xml:space="preserve"> Action), were filed in the United States District Court for the Western District of North Carolina on January 25, 2018, January 29, 2018, January 30, 2018, and January 31, 2018, respectively. The Actions name as defendants Snyder's-Lance and the members of the Snyder’s-Lance board of directors, and allege that the defendants filed a materially incomplete and misleading Schedule 14A in violation of Sections 14(a) and 20(a) of the Securities Exchange Act of 1934, as amended (the Exchange Act), and SEC Rule 14a-9. Additionally, the </w:t>
      </w:r>
      <w:r>
        <w:rPr>
          <w:rFonts w:ascii="Arial" w:cs="Arial" w:eastAsia="Arial" w:hAnsi="Arial"/>
          <w:sz w:val="17"/>
          <w:szCs w:val="17"/>
          <w:i w:val="1"/>
          <w:iCs w:val="1"/>
          <w:color w:val="auto"/>
        </w:rPr>
        <w:t xml:space="preserve">Sciabacucchi </w:t>
      </w:r>
      <w:r>
        <w:rPr>
          <w:rFonts w:ascii="Arial" w:cs="Arial" w:eastAsia="Arial" w:hAnsi="Arial"/>
          <w:sz w:val="17"/>
          <w:szCs w:val="17"/>
          <w:color w:val="auto"/>
        </w:rPr>
        <w:t>Action names Campbell Soup Company as a defendant, and alleges that Campbell Soup Company violated Section 20(a) of the Exchange Act.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w:t>
      </w:r>
      <w:r>
        <w:rPr>
          <w:rFonts w:ascii="Arial" w:cs="Arial" w:eastAsia="Arial" w:hAnsi="Arial"/>
          <w:sz w:val="17"/>
          <w:szCs w:val="17"/>
          <w:i w:val="1"/>
          <w:iCs w:val="1"/>
          <w:color w:val="auto"/>
        </w:rPr>
        <w:t>Kendall</w:t>
      </w:r>
      <w:r>
        <w:rPr>
          <w:rFonts w:ascii="Arial" w:cs="Arial" w:eastAsia="Arial" w:hAnsi="Arial"/>
          <w:sz w:val="17"/>
          <w:szCs w:val="17"/>
          <w:color w:val="auto"/>
        </w:rPr>
        <w:t xml:space="preserve"> Action seeks to enjoin the shareholder vote on the pending acquisition, and the </w:t>
      </w:r>
      <w:r>
        <w:rPr>
          <w:rFonts w:ascii="Arial" w:cs="Arial" w:eastAsia="Arial" w:hAnsi="Arial"/>
          <w:sz w:val="17"/>
          <w:szCs w:val="17"/>
          <w:i w:val="1"/>
          <w:iCs w:val="1"/>
          <w:color w:val="auto"/>
        </w:rPr>
        <w:t>Shaev</w:t>
      </w:r>
      <w:r>
        <w:rPr>
          <w:rFonts w:ascii="Arial" w:cs="Arial" w:eastAsia="Arial" w:hAnsi="Arial"/>
          <w:sz w:val="17"/>
          <w:szCs w:val="17"/>
          <w:color w:val="auto"/>
        </w:rPr>
        <w:t xml:space="preserve">, </w:t>
      </w:r>
      <w:r>
        <w:rPr>
          <w:rFonts w:ascii="Arial" w:cs="Arial" w:eastAsia="Arial" w:hAnsi="Arial"/>
          <w:sz w:val="17"/>
          <w:szCs w:val="17"/>
          <w:i w:val="1"/>
          <w:iCs w:val="1"/>
          <w:color w:val="auto"/>
        </w:rPr>
        <w:t>Sciabacucchi</w:t>
      </w:r>
      <w:r>
        <w:rPr>
          <w:rFonts w:ascii="Arial" w:cs="Arial" w:eastAsia="Arial" w:hAnsi="Arial"/>
          <w:sz w:val="17"/>
          <w:szCs w:val="17"/>
          <w:color w:val="auto"/>
        </w:rPr>
        <w:t xml:space="preserve">, and </w:t>
      </w:r>
      <w:r>
        <w:rPr>
          <w:rFonts w:ascii="Arial" w:cs="Arial" w:eastAsia="Arial" w:hAnsi="Arial"/>
          <w:sz w:val="17"/>
          <w:szCs w:val="17"/>
          <w:i w:val="1"/>
          <w:iCs w:val="1"/>
          <w:color w:val="auto"/>
        </w:rPr>
        <w:t>Daniel</w:t>
      </w:r>
      <w:r>
        <w:rPr>
          <w:rFonts w:ascii="Arial" w:cs="Arial" w:eastAsia="Arial" w:hAnsi="Arial"/>
          <w:sz w:val="17"/>
          <w:szCs w:val="17"/>
          <w:color w:val="auto"/>
        </w:rPr>
        <w:t xml:space="preserve"> Actions seek to enjoin the defendants from proceeding with or consummating the pending acquisition or, in the event the acquisition is consummated, request that the Court issue an order rescinding the acquisition and/or awarding rescissory damages. Additionally, the </w:t>
      </w:r>
      <w:r>
        <w:rPr>
          <w:rFonts w:ascii="Arial" w:cs="Arial" w:eastAsia="Arial" w:hAnsi="Arial"/>
          <w:sz w:val="17"/>
          <w:szCs w:val="17"/>
          <w:i w:val="1"/>
          <w:iCs w:val="1"/>
          <w:color w:val="auto"/>
        </w:rPr>
        <w:t>Shaev</w:t>
      </w:r>
      <w:r>
        <w:rPr>
          <w:rFonts w:ascii="Arial" w:cs="Arial" w:eastAsia="Arial" w:hAnsi="Arial"/>
          <w:sz w:val="17"/>
          <w:szCs w:val="17"/>
          <w:color w:val="auto"/>
        </w:rPr>
        <w:t xml:space="preserve"> and </w:t>
      </w:r>
      <w:r>
        <w:rPr>
          <w:rFonts w:ascii="Arial" w:cs="Arial" w:eastAsia="Arial" w:hAnsi="Arial"/>
          <w:sz w:val="17"/>
          <w:szCs w:val="17"/>
          <w:i w:val="1"/>
          <w:iCs w:val="1"/>
          <w:color w:val="auto"/>
        </w:rPr>
        <w:t>Kendall</w:t>
      </w:r>
      <w:r>
        <w:rPr>
          <w:rFonts w:ascii="Arial" w:cs="Arial" w:eastAsia="Arial" w:hAnsi="Arial"/>
          <w:sz w:val="17"/>
          <w:szCs w:val="17"/>
          <w:color w:val="auto"/>
        </w:rPr>
        <w:t xml:space="preserve"> Actions seek that the Court direct defendants to account for alleged damages, and all the Actions seek attorneys’ and expert fees and expenses. The time for the defendants to move or answer has not yet expired in any of the Actions. We believe the Actions are without merit.</w:t>
      </w:r>
    </w:p>
    <w:p>
      <w:pPr>
        <w:spacing w:after="0" w:line="10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28, 2018.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4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17.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January 28,</w:t>
            </w:r>
          </w:p>
        </w:tc>
        <w:tc>
          <w:tcPr>
            <w:tcW w:w="180" w:type="dxa"/>
            <w:vAlign w:val="bottom"/>
          </w:tcPr>
          <w:p>
            <w:pPr>
              <w:spacing w:after="0"/>
              <w:rPr>
                <w:sz w:val="14"/>
                <w:szCs w:val="14"/>
                <w:color w:val="auto"/>
              </w:rPr>
            </w:pPr>
          </w:p>
        </w:tc>
        <w:tc>
          <w:tcPr>
            <w:tcW w:w="108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392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869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63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1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5"/>
              </w:rPr>
              <w:t>January 28,</w:t>
            </w:r>
          </w:p>
        </w:tc>
        <w:tc>
          <w:tcPr>
            <w:tcW w:w="180" w:type="dxa"/>
            <w:vAlign w:val="bottom"/>
          </w:tcPr>
          <w:p>
            <w:pPr>
              <w:spacing w:after="0"/>
              <w:rPr>
                <w:sz w:val="13"/>
                <w:szCs w:val="13"/>
                <w:color w:val="auto"/>
              </w:rPr>
            </w:pPr>
          </w:p>
        </w:tc>
        <w:tc>
          <w:tcPr>
            <w:tcW w:w="108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Net periodic benefit expense (income) other than the service cost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(gains) / losses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6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(2)</w:t>
            </w: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70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180" w:hanging="172"/>
        <w:spacing w:after="0" w:line="238" w:lineRule="auto"/>
        <w:tabs>
          <w:tab w:leader="none" w:pos="210" w:val="left"/>
        </w:tabs>
        <w:numPr>
          <w:ilvl w:val="0"/>
          <w:numId w:val="21"/>
        </w:numPr>
        <w:rPr>
          <w:rFonts w:ascii="Arial" w:cs="Arial" w:eastAsia="Arial" w:hAnsi="Arial"/>
          <w:sz w:val="24"/>
          <w:szCs w:val="24"/>
          <w:color w:val="auto"/>
          <w:vertAlign w:val="superscript"/>
        </w:rPr>
      </w:pPr>
      <w:r>
        <w:rPr>
          <w:rFonts w:ascii="Arial" w:cs="Arial" w:eastAsia="Arial" w:hAnsi="Arial"/>
          <w:sz w:val="17"/>
          <w:szCs w:val="17"/>
          <w:color w:val="auto"/>
        </w:rPr>
        <w:t>In 2018, we recognized an impairment charge of $75 related to the goodwill of the Bolthouse Farms carrot and carrot ingredients reporting unit. In 2017, we recognized impairment charges of $212 related to the intangible assets of the Bolthouse Farms carrot and carrot ingredients reporting unit and the Garden Fresh Gourmet reporting unit. See Note 5 for additional information.</w:t>
      </w:r>
    </w:p>
    <w:p>
      <w:pPr>
        <w:spacing w:after="0" w:line="114" w:lineRule="exact"/>
        <w:rPr>
          <w:rFonts w:ascii="Arial" w:cs="Arial" w:eastAsia="Arial" w:hAnsi="Arial"/>
          <w:sz w:val="24"/>
          <w:szCs w:val="24"/>
          <w:color w:val="auto"/>
          <w:vertAlign w:val="superscript"/>
        </w:rPr>
      </w:pPr>
    </w:p>
    <w:p>
      <w:pPr>
        <w:ind w:left="200" w:hanging="192"/>
        <w:spacing w:after="0"/>
        <w:tabs>
          <w:tab w:leader="none" w:pos="2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In 2018, we recognized transaction costs of $24 related to the pending acquisition of Snyder's-Lance. See Note 3 for additional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Statements of Cash Flows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900" w:type="dxa"/>
            <w:vAlign w:val="bottom"/>
            <w:vMerge w:val="restart"/>
          </w:tcPr>
          <w:p>
            <w:pPr>
              <w:spacing w:after="0"/>
              <w:rPr>
                <w:sz w:val="20"/>
                <w:szCs w:val="20"/>
                <w:color w:val="auto"/>
              </w:rPr>
            </w:pPr>
            <w:r>
              <w:rPr>
                <w:rFonts w:ascii="Arial" w:cs="Arial" w:eastAsia="Arial" w:hAnsi="Arial"/>
                <w:sz w:val="18"/>
                <w:szCs w:val="18"/>
                <w:b w:val="1"/>
                <w:bCs w:val="1"/>
                <w:color w:val="auto"/>
                <w:w w:val="89"/>
              </w:rPr>
              <w:t>Cash Flows from Operating Activities</w:t>
            </w:r>
          </w:p>
        </w:tc>
        <w:tc>
          <w:tcPr>
            <w:tcW w:w="134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28,</w:t>
            </w:r>
          </w:p>
        </w:tc>
        <w:tc>
          <w:tcPr>
            <w:tcW w:w="180" w:type="dxa"/>
            <w:vAlign w:val="bottom"/>
          </w:tcPr>
          <w:p>
            <w:pPr>
              <w:spacing w:after="0"/>
              <w:rPr>
                <w:sz w:val="13"/>
                <w:szCs w:val="13"/>
                <w:color w:val="auto"/>
              </w:rPr>
            </w:pPr>
          </w:p>
        </w:tc>
        <w:tc>
          <w:tcPr>
            <w:tcW w:w="10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January 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00" w:type="dxa"/>
            <w:vAlign w:val="bottom"/>
            <w:tcBorders>
              <w:bottom w:val="single" w:sz="8" w:color="auto"/>
            </w:tcBorders>
            <w:vMerge w:val="continue"/>
          </w:tcPr>
          <w:p>
            <w:pPr>
              <w:spacing w:after="0"/>
              <w:rPr>
                <w:sz w:val="11"/>
                <w:szCs w:val="11"/>
                <w:color w:val="auto"/>
              </w:rPr>
            </w:pPr>
          </w:p>
        </w:tc>
        <w:tc>
          <w:tcPr>
            <w:tcW w:w="13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95"/>
              <w:spacing w:after="0" w:line="12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jc w:val="right"/>
              <w:ind w:right="394"/>
              <w:spacing w:after="0" w:line="125"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900" w:type="dxa"/>
            <w:vAlign w:val="bottom"/>
            <w:tcBorders>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454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non-cash charges to net earnings</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Non-cash compensation</w:t>
            </w:r>
          </w:p>
        </w:tc>
        <w:tc>
          <w:tcPr>
            <w:tcW w:w="4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35"/>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 costs</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Benefit related payments</w:t>
            </w:r>
          </w:p>
        </w:tc>
        <w:tc>
          <w:tcPr>
            <w:tcW w:w="4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Transaction costs</w:t>
            </w:r>
          </w:p>
        </w:tc>
        <w:tc>
          <w:tcPr>
            <w:tcW w:w="4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4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4540" w:type="dxa"/>
            <w:vAlign w:val="bottom"/>
            <w:tcBorders>
              <w:top w:val="single" w:sz="8" w:color="CCEEFF"/>
              <w:bottom w:val="single" w:sz="8" w:color="CCEEFF"/>
            </w:tcBorders>
            <w:vMerge w:val="restart"/>
          </w:tcPr>
          <w:p>
            <w:pPr>
              <w:jc w:val="right"/>
              <w:ind w:right="2910"/>
              <w:spacing w:after="0"/>
              <w:rPr>
                <w:sz w:val="20"/>
                <w:szCs w:val="20"/>
                <w:color w:val="auto"/>
              </w:rPr>
            </w:pPr>
            <w:r>
              <w:rPr>
                <w:rFonts w:ascii="Arial" w:cs="Arial" w:eastAsia="Arial" w:hAnsi="Arial"/>
                <w:sz w:val="18"/>
                <w:szCs w:val="18"/>
                <w:color w:val="auto"/>
              </w:rPr>
              <w:t>26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are a manufacturer and marketer of high-quality, branded food and beverage products. We manage our businesses in three divisions focused mainly on product categories. The divisions, which represent our operating and reportable segments, are as follows: Americas Simple Meals and Beverages; Global Biscuits and Snacks; and Campbell Fresh. Through the fourth quarter of 2017, our business in Latin America was managed as part of the Americas Simple Meals and Beverages segment. Beginning in 2018, our business in Latin America is managed as part of the Global Biscuits and Snacks segment.</w:t>
      </w:r>
    </w:p>
    <w:p>
      <w:pPr>
        <w:spacing w:after="0" w:line="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of Oregon, LLC (Pacific Foods) for $689 million, subject to customary post-closing adjustments. For additional information on this acquisition, see Note 3 to the Consolidated Financial Statements.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18, 2017, we entered into an agreement to acquire Snyder’s-Lance, Inc. (Snyder's-Lance) for $50.00 per share. We expect to finance the acquisition through the issuance of $6.2 billion of debt, which includes the payoff of Snyder's-Lance indebtedness. The closing of the transaction is subject to customary closing conditions and termination rights, including the approval of Snyder’s-Lance shareholders. For additional information on this pending acquisition, see our Form 8-K filed with the U.S. Securities and Exchange Commission on December 18, 2017, and Note 3 to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adopted new accounting guidance that changes the presentation of net periodic pension cost and net periodic postretirement benefit cost. Certain amounts in the prior year were reclassified to conform to the current presentation. See Note 2 to the Consolidated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Net sales of $2.180 billion were comparable to the year-ago quarter as a benefit from the acquisition of Pacific Foods and the favorable impact from currency translation were offset by lower volume in Americas Simple Meals and Beverages.</w:t>
      </w:r>
    </w:p>
    <w:p>
      <w:pPr>
        <w:spacing w:after="0" w:line="116"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Gross profit, as a percent of sales, decreased to 35.1% from 37.4% in the year-ago quarter. The decrease was primarily due to cost inflation and higher supply chain costs, and unfavorable mix, partially offset by productivity improvements and increased benefits from cost savings initiatives.</w:t>
      </w:r>
    </w:p>
    <w:p>
      <w:pPr>
        <w:spacing w:after="0" w:line="6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Administrative expenses increased 17% to $165 million from $141 million in the year-ago quarter. The increase was primarily due to higher costs related to the implementation of the new organizational structure and cost savings initiatives.</w:t>
      </w:r>
    </w:p>
    <w:p>
      <w:pPr>
        <w:spacing w:after="0" w:line="116"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Other expenses / (income) decreased from expense of $201 million in the year-ago quarter to expense of $70 million in the current quarter. The current quarter included a non-cash impairment charge of $75 million on the intangible assets of the Bolthouse Farms carrot and carrot ingredients reporting unit and transaction costs of $24 million associated with the pending acquisition of Snyder's-Lance. The year-ago quarter included non-cash impairment charges of $212 million on the intangible assets of the Bolthouse Farms carrot and carrot ingredients reporting unit and the Garden Fresh Gourmet reporting unit. For additional information on the impairment, see "Significant Accounting Estimates".</w:t>
      </w:r>
    </w:p>
    <w:p>
      <w:pPr>
        <w:spacing w:after="0" w:line="118"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effective tax rate declined to negative 35.1% in the current quarter, compared to 42.9% in the year-ago quarter. The current quarter included a $124 million net tax benefit related to the remeasurement of deferred tax assets and liabilities and a transition tax on unremitted foreign earnings as a result of the enactment of the Tax Cuts and Jobs Act of 2017 (the Act). See Note 9 to the Consolidated Financial Statements for additional information. After adjusting for this net benefit, the remaining decrease was primarily due to an ongoing lower U.S. federal tax rate as a result of the Act.</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Earnings per share were $.95 in the current quarter, compared to $.33 a year-ago quarter. The current and prior-year quarter included expenses of $.05 and $.58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Year-to-date in 2018, we recognized gains of $14 million in Other expenses / (income) ($10 million after tax, or $.03 per share) associated with mark-to-market adjustments for defined benefit pension and postretirement plans. Year-to-date in 2017, we recognized losses of $20 million in Other expenses / (income) ($13 million after tax, or $.04 per share) associated with mark-to-market adjustments for defined benefit pension and postretirement plans;</w:t>
      </w:r>
    </w:p>
    <w:p>
      <w:pPr>
        <w:sectPr>
          <w:pgSz w:w="11900" w:h="16838" w:orient="portrait"/>
          <w:cols w:equalWidth="0" w:num="1">
            <w:col w:w="11420"/>
          </w:cols>
          <w:pgMar w:left="240" w:top="131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0" w:right="239" w:bottom="1440" w:gutter="0" w:footer="0" w:header="0"/>
          <w:type w:val="continuous"/>
        </w:sectPr>
      </w:pPr>
    </w:p>
    <w:bookmarkStart w:id="27" w:name="page28"/>
    <w:bookmarkEnd w:id="27"/>
    <w:p>
      <w:pPr>
        <w:jc w:val="both"/>
        <w:ind w:left="328" w:hanging="328"/>
        <w:spacing w:after="0" w:line="269"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2015, we implemented a new enterprise design and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the second quarter of 2018, we recorded a pre-tax restructuring charge of $33 million and implementation costs and other related costs of $26 million in Administrative expenses and $1 million in Cost of products sold (aggregate impact of $46 million after tax, or $.15 per share) related to these initiatives. Year-to-date in 2018, we recorded a pre-tax restructuring charge of $35 million and implementation costs and other related costs of $38 million in Administrative expenses and $6 million in Cost of products sold (aggregate impact of $58 million after tax, or $.19 per share) related to these initiatives. Year-to-date in 2017, we recorded implementation costs and other related costs of $11 million in Administrative expenses ($7 million after tax, or $.02 per share) related to these initiatives. See Note 7 to the Consolidated Financial Statements and "Restructuring Charges and Cost Savings Initiatives" for additional information;</w:t>
      </w:r>
    </w:p>
    <w:p>
      <w:pPr>
        <w:spacing w:after="0" w:line="125" w:lineRule="exact"/>
        <w:rPr>
          <w:rFonts w:ascii="Arial" w:cs="Arial" w:eastAsia="Arial" w:hAnsi="Arial"/>
          <w:sz w:val="17"/>
          <w:szCs w:val="17"/>
          <w:color w:val="auto"/>
        </w:rPr>
      </w:pPr>
    </w:p>
    <w:p>
      <w:pPr>
        <w:ind w:left="328" w:hanging="328"/>
        <w:spacing w:after="0" w:line="334" w:lineRule="auto"/>
        <w:tabs>
          <w:tab w:leader="none" w:pos="328"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second quarter of 2018, we announced our intent to acquire Snyder’s-Lance. We incurred transaction costs of $24 million in Other expenses / (income) ($19 million after tax, or $.06 per share) associated with the acquisition, which we expect to close in the first quarter of calendar 2018;</w:t>
      </w:r>
    </w:p>
    <w:p>
      <w:pPr>
        <w:spacing w:after="0" w:line="1" w:lineRule="exact"/>
        <w:rPr>
          <w:rFonts w:ascii="Arial" w:cs="Arial" w:eastAsia="Arial" w:hAnsi="Arial"/>
          <w:sz w:val="16"/>
          <w:szCs w:val="16"/>
          <w:color w:val="auto"/>
        </w:rPr>
      </w:pPr>
    </w:p>
    <w:p>
      <w:pPr>
        <w:jc w:val="both"/>
        <w:ind w:left="328" w:hanging="328"/>
        <w:spacing w:after="0" w:line="270" w:lineRule="auto"/>
        <w:tabs>
          <w:tab w:leader="none" w:pos="328"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the second quarter of 2018, we performed an interim impairment assessment on the intangible assets of the Bolthouse Farms carrot and carrot ingredients reporting unit as operating performance was below expectations. Based on recent performance, we revised our outlook for future earnings and cash flows. We recorded a non-cash impairment charge of $75 million in Other expenses / (income) ($74 million after tax, or $.25 per share). 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We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$.58 per share). The charges are included in Other expenses / (income); and</w:t>
      </w:r>
    </w:p>
    <w:p>
      <w:pPr>
        <w:spacing w:after="0" w:line="123" w:lineRule="exact"/>
        <w:rPr>
          <w:rFonts w:ascii="Arial" w:cs="Arial" w:eastAsia="Arial" w:hAnsi="Arial"/>
          <w:sz w:val="17"/>
          <w:szCs w:val="17"/>
          <w:color w:val="auto"/>
        </w:rPr>
      </w:pPr>
    </w:p>
    <w:p>
      <w:pPr>
        <w:jc w:val="both"/>
        <w:ind w:left="328" w:right="20" w:hanging="328"/>
        <w:spacing w:after="0" w:line="264" w:lineRule="auto"/>
        <w:tabs>
          <w:tab w:leader="none" w:pos="3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second quarter of 2018, we reflected the impact on taxes of the enactment of the Act that was signed into law in December 2017. We recorded a tax benefit of $183 million due to the remeasurement of deferred tax assets and liabilities, and a tax charge of $59 million related to a transition tax on unremitted foreign earnings. The net impact was a tax benefit of $124 million ($.41 per share).</w:t>
      </w: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8"/>
          </w:cols>
          <w:pgMar w:left="572" w:top="1314"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January 28,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January 29, 2017</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Transaction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January 28,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4"/>
              <w:spacing w:after="0"/>
              <w:rPr>
                <w:sz w:val="20"/>
                <w:szCs w:val="20"/>
                <w:color w:val="auto"/>
              </w:rPr>
            </w:pPr>
            <w:r>
              <w:rPr>
                <w:rFonts w:ascii="Arial" w:cs="Arial" w:eastAsia="Arial" w:hAnsi="Arial"/>
                <w:sz w:val="14"/>
                <w:szCs w:val="14"/>
                <w:b w:val="1"/>
                <w:bCs w:val="1"/>
                <w:color w:val="auto"/>
              </w:rPr>
              <w:t>January 29, 2017</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560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line="264" w:lineRule="exact"/>
              <w:rPr>
                <w:sz w:val="20"/>
                <w:szCs w:val="20"/>
                <w:color w:val="auto"/>
              </w:rPr>
            </w:pPr>
            <w:r>
              <w:rPr>
                <w:rFonts w:ascii="Arial" w:cs="Arial" w:eastAsia="Arial" w:hAnsi="Arial"/>
                <w:sz w:val="18"/>
                <w:szCs w:val="18"/>
                <w:color w:val="auto"/>
              </w:rPr>
              <w:t>Impact of items on Net earnings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The sum of the individual per share amounts may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Net earnings attributable to Campbell Soup Company were $285 million ($.95 per share) in the current quarter, compared to $101 million ($.33 per share) in the year-ago quarter. After adjusting for items impacting comparability, earnings increased due to a lower effective tax rate, reflecting the ongoing benefit of a lower U.S. federal tax rate as a result of the Act. Earnings per share also benefited from a reduction in the weighted average diluted shares outstanding, primarily due to share repurchases under our strategic share repurchase program.</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earnings attributable to Campbell Soup Company were $560 million ($1.85 per share) in the six-month period ended January 28, 2018, compared to $393 million ($1.27 per share) in the year-ago period. After adjusting for items impacting comparability, earnings decreased primarily due to a lower gross profit performance, lower sales and higher administrative expenses, partially offset by a lower effective tax rate, lower marketing and selling expenses and an increase in other income. Earnings per share benefited from a reduction in the weighted average diluted shares outstanding, primarily due to share repurchases under our strategic share repurchase program.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28, 2018</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29, 2017</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726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2,180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An analysis of percent change of net sales by reportable segment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Beverages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Americas Simple Meals and Beverages, sales decreased 2% primarily due to declines in U.S. soup and </w:t>
      </w:r>
      <w:r>
        <w:rPr>
          <w:rFonts w:ascii="Arial" w:cs="Arial" w:eastAsia="Arial" w:hAnsi="Arial"/>
          <w:sz w:val="16"/>
          <w:szCs w:val="16"/>
          <w:i w:val="1"/>
          <w:iCs w:val="1"/>
          <w:color w:val="auto"/>
        </w:rPr>
        <w:t>V8</w:t>
      </w:r>
      <w:r>
        <w:rPr>
          <w:rFonts w:ascii="Arial" w:cs="Arial" w:eastAsia="Arial" w:hAnsi="Arial"/>
          <w:sz w:val="16"/>
          <w:szCs w:val="16"/>
          <w:color w:val="auto"/>
        </w:rPr>
        <w:t xml:space="preserve"> beverages, partly offset by the benefit of the acquisition of Pacific Foods and gains in the retail business in Canada. Excluding Pacific Foods, U.S. soup sales decreased 7% due to declines in ready-to-serve soups and condensed soups, while sales of broth were comparable to prior year. The decline in U.S. soup sales was primarily due to a key customer's different promotional approach for soup in 2018. Excluding Pacific Foods, retail consumer takeaway of U.S. soup decreased 3% in the quarter, based on IRI Total U.S. Multi-Outlet data. Changes in retailer inventory levels did not meaningfully impact U.S. soup sales performance in the quarter.</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Global Biscuits and Snacks, sales increased 4%, including a 1% favorable impact from currency translation. Excluding the favorable impact of currency translation, sales increased primarily due to gains in Pepperidge Farm, reflecting growth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 as well as gains in Kelsen cookies in China. Excluding the favorable impact of currency translation, sales of Arnott's biscuits were comparable to prior year. In 2018, we reduced promotional spending as we sought to improve efficiency in Arnott’s.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Campbell Fresh, sales decreased 1% primarily due to sales declines on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Promotional spending increased 1% primarily on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$45 million in 2018 from 2017. As a percent of sales, gross profit was 35.1% in 2018 and 37.4% in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0" w:right="239" w:bottom="1440" w:gutter="0" w:footer="0" w:header="0"/>
        </w:sectPr>
      </w:pPr>
    </w:p>
    <w:bookmarkStart w:id="30" w:name="page31"/>
    <w:bookmarkEnd w:id="30"/>
    <w:p>
      <w:pPr>
        <w:ind w:left="340"/>
        <w:spacing w:after="0"/>
        <w:rPr>
          <w:sz w:val="20"/>
          <w:szCs w:val="20"/>
          <w:color w:val="auto"/>
        </w:rPr>
      </w:pPr>
      <w:r>
        <w:rPr>
          <w:rFonts w:ascii="Arial" w:cs="Arial" w:eastAsia="Arial" w:hAnsi="Arial"/>
          <w:sz w:val="18"/>
          <w:szCs w:val="18"/>
          <w:color w:val="auto"/>
        </w:rPr>
        <w:t>The 2.3% percentage-point overall decrease in gross profit percentage was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Impact of acquisition</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(0.4)</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Lower level of promotional spending</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1.3</w:t>
            </w:r>
          </w:p>
        </w:tc>
        <w:tc>
          <w:tcPr>
            <w:tcW w:w="0" w:type="dxa"/>
            <w:vAlign w:val="bottom"/>
          </w:tcPr>
          <w:p>
            <w:pPr>
              <w:spacing w:after="0"/>
              <w:rPr>
                <w:sz w:val="1"/>
                <w:szCs w:val="1"/>
                <w:color w:val="auto"/>
              </w:rPr>
            </w:pPr>
          </w:p>
        </w:tc>
      </w:tr>
      <w:tr>
        <w:trPr>
          <w:trHeight w:val="237"/>
        </w:trPr>
        <w:tc>
          <w:tcPr>
            <w:tcW w:w="96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7"/>
        </w:trPr>
        <w:tc>
          <w:tcPr>
            <w:tcW w:w="96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20" w:hanging="332"/>
        <w:spacing w:after="0" w:line="216" w:lineRule="auto"/>
        <w:tabs>
          <w:tab w:leader="none" w:pos="3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0.7 of a point from cost savings initiatives, which was more than offset by cost inflation and other factors, including higher transportation and logistics costs and higher carrot costs in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and selling expenses as a percent of sales were 10.5% in 2018 compared to 11.1% in 2017. Marketing and selling expenses decreased 5% in 2018 from 2017. The decrease was primarily due to lower advertising and consumer promotion expenses (approximately 5 percentage points) and increased benefits from cost savings initiatives (approximately 2 percentage points), partially offset by investments in e-commerce (approximately 1 percentage point) and the impact of currency translation (approximately 1 percentage point).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Administrative expenses as a percent of sales were 7.6% in 2018 compared to 6.5% in 2017. Administrative expenses increased 17% in 2018 from 2017.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higher costs related to cost savings initiatives (approximately 16 percentage points).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Other expenses in 2018 included a non-cash impairment charge of $75 million on the intangible assets of the Bolthouse Farms carrot and carrots ingredients reporting unit and $24 million of transaction costs associated with the pending acquisition of Snyder's-Lance. Other expenses in 2017 included non-cash impairment charges of $212 million on the intangible assets of the Bolthouse Farms carrot and carrots ingredients reporting unit and the Garden Fresh Gourmet reporting unit. The 2018 and 2017 impairment charges were recorded as a result of interim impairment assessments on the intangible assets of these reporting units. The remaining change in Other expenses / (income) was primarily due to gains on investments and higher pension and postretirement benefit income in 2018.</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8% from the year-ago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January 28, 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29, 2017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(9)%</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137</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1</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410</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(8)%</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243</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Operating earnings from Americas Simple Meals and Beverages decreased 9%. The decrease was primarily due to a lower gross profit percentage and lower sales volume, partly offset by lower marketing and selling expenses. Gross profit performance</w:t>
      </w:r>
    </w:p>
    <w:p>
      <w:pPr>
        <w:sectPr>
          <w:pgSz w:w="11900" w:h="16838" w:orient="portrait"/>
          <w:cols w:equalWidth="0" w:num="1">
            <w:col w:w="11420"/>
          </w:cols>
          <w:pgMar w:left="240" w:top="1314" w:right="239" w:bottom="1440" w:gutter="0" w:footer="0" w:header="0"/>
        </w:sect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jc w:val="both"/>
        <w:ind w:right="20"/>
        <w:spacing w:after="0" w:line="277" w:lineRule="auto"/>
        <w:rPr>
          <w:sz w:val="20"/>
          <w:szCs w:val="20"/>
          <w:color w:val="auto"/>
        </w:rPr>
      </w:pPr>
      <w:r>
        <w:rPr>
          <w:rFonts w:ascii="Arial" w:cs="Arial" w:eastAsia="Arial" w:hAnsi="Arial"/>
          <w:sz w:val="18"/>
          <w:szCs w:val="18"/>
          <w:color w:val="auto"/>
        </w:rPr>
        <w:t>was impacted by higher transportation and logistics costs, unfavorable mix related to the acquisition of Pacific Foods, which included the impact of purchase accounting adjustments, and lower sales of U.S. soup.</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1%. Excluding the favorable impact of currency translation, earnings were comparable to the prior year as lower advertising and consumer promotion expenses offset a lower gross profit percentage, reflecting higher levels of cost inflation, particularly on butter.</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Campbell Fresh were a loss of $3 million in 2017 and a loss of $11 million in 2018. The decrease was primarily due to a lower gross profit percentage, reflecting an increase in supply chain costs and higher carrot costs attributable to the adverse impact of weather conditions on crop yields.</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Corporate in 2018 included a non-cash impairment charge of $75 million on the intangible assets of the Bolthouse Farms carrot and carrot ingredients reporting unit, costs of $27 million related to the implementation of our new organizational structure and cost savings initiatives and transaction costs of $24 million associated with the pending acquisition of Snyder's-Lance. Corporate in 2017 included non-cash impairment charges of $212 million on the intangible assets of the Bolthouse Farms carrot and carrot ingredients reporting unit and the Garden Fresh Gourmet reporting unit. Excluding these amounts, the remaining decrease in costs was primarily due to gains on investments and higher pension and postretirement benefit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$32 million in 2018 from $29 million in 2017 reflecting higher average interest rates on the debt portfolio and higher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Act was enacted into law on December 22, 2017, and made significant changes to corporate taxation. As a result, the following items are reflected in this quarter:</w:t>
      </w:r>
    </w:p>
    <w:p>
      <w:pPr>
        <w:spacing w:after="0" w:line="89"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$183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$59 million.</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 See Note 9 to the Consolidated Financial Statements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a negative 35.1% in 2018 and 42.9% in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tax rate in 2018 and 2017:</w:t>
      </w:r>
    </w:p>
    <w:p>
      <w:pPr>
        <w:spacing w:after="0" w:line="171" w:lineRule="exact"/>
        <w:rPr>
          <w:sz w:val="20"/>
          <w:szCs w:val="20"/>
          <w:color w:val="auto"/>
        </w:rPr>
      </w:pPr>
    </w:p>
    <w:p>
      <w:pPr>
        <w:ind w:left="820" w:hanging="164"/>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2018, we recognized a $14 million tax benefit on $60 million of restructuring charges, implementation costs and other related costs;</w:t>
      </w:r>
    </w:p>
    <w:p>
      <w:pPr>
        <w:spacing w:after="0" w:line="182" w:lineRule="exact"/>
        <w:rPr>
          <w:rFonts w:ascii="Arial" w:cs="Arial" w:eastAsia="Arial" w:hAnsi="Arial"/>
          <w:sz w:val="17"/>
          <w:szCs w:val="17"/>
          <w:color w:val="auto"/>
        </w:rPr>
      </w:pPr>
    </w:p>
    <w:p>
      <w:pPr>
        <w:ind w:left="820" w:hanging="164"/>
        <w:spacing w:after="0"/>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2018, we recognized a $5 million tax benefit on $24 million of transaction costs associated with the pending acquisition of Snyder's-Lance;</w:t>
      </w:r>
    </w:p>
    <w:p>
      <w:pPr>
        <w:spacing w:after="0" w:line="182" w:lineRule="exact"/>
        <w:rPr>
          <w:rFonts w:ascii="Arial" w:cs="Arial" w:eastAsia="Arial" w:hAnsi="Arial"/>
          <w:sz w:val="17"/>
          <w:szCs w:val="17"/>
          <w:color w:val="auto"/>
        </w:rPr>
      </w:pPr>
    </w:p>
    <w:p>
      <w:pPr>
        <w:jc w:val="both"/>
        <w:ind w:left="820" w:hanging="164"/>
        <w:spacing w:after="0" w:line="286" w:lineRule="auto"/>
        <w:tabs>
          <w:tab w:leader="none" w:pos="8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2018, we recognized a $1 million tax benefit on the $75 million impairment charge on the intangible assets of the Bolthouse Farms carrot and carrot ingredients reporting unit. In 2017, we recognized a $32 million tax benefit on the $212 million impairment charges on the intangible assets of the Bolthouse Farms carrot and carrot ingredients reporting unit and the Garden Fresh Gourmet reporting unit; and</w:t>
      </w:r>
    </w:p>
    <w:p>
      <w:pPr>
        <w:spacing w:after="0" w:line="111" w:lineRule="exact"/>
        <w:rPr>
          <w:rFonts w:ascii="Arial" w:cs="Arial" w:eastAsia="Arial" w:hAnsi="Arial"/>
          <w:sz w:val="17"/>
          <w:szCs w:val="17"/>
          <w:color w:val="auto"/>
        </w:rPr>
      </w:pPr>
    </w:p>
    <w:p>
      <w:pPr>
        <w:ind w:left="820" w:hanging="164"/>
        <w:spacing w:after="0" w:line="277" w:lineRule="auto"/>
        <w:tabs>
          <w:tab w:leader="none" w:pos="8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2018, we recognized a net tax benefit of $124 million related to the enactment of the Act on the remeasurement of deferred tax assets and liabilities and transition tax on unremitted foreign earnings described above.</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tax rate was primarily due to the ongoing benefit of the lower U.S. federal tax rate as a result of the Act.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28, 2018</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29, 2017</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1,435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1,386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4,341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4,373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An analysis of percent change of net sales by reportable segment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(1)</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(1)</w:t>
            </w:r>
          </w:p>
        </w:tc>
        <w:tc>
          <w:tcPr>
            <w:tcW w:w="17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Americas Simple Meals and Beverages, sales decreased 3% primarily due to declines in U.S.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partly offset by the benefit of the Pacific Foods acquisition, gains in the retail business in Canada, including the favorable impact of currency translation, and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Excluding Pacific Foods, sales of U.S. soup declined 8%, driven by declines in condensed soups, ready-to-serve soups and broth. The decline in U.S. soup was primarily due to a key customer’s different promotional approach for soup in 2018.</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Global Biscuits and Snacks, sales increased 4%, including a 1% favorable impact from currency translation. Excluding the favorable impact of currency translation, sales increased primarily due to gains in Pepperidge Farm, reflecting growth in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in cookies, as well as gains of Kelsen cookies in China. Excluding the favorable impact of currency translation, sales of Arnott's biscuits were comparable to the prior year.</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Campbell Fresh, sales decreased 1% primarily due to sales declines in carrots and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partly offset by gains in carrot ingredients.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$113 million in 2018 from 2017. As a percent of sales, gross profit was 35.7% in 2018 and 38.0% in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0"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The 2.3 percentage-point overall decrease in gross profit percentage was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(2.9)%</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Mix</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(0.5)</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Lower level of promotional spending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0.1</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Productivity improvements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1.3</w:t>
            </w:r>
          </w:p>
        </w:tc>
        <w:tc>
          <w:tcPr>
            <w:tcW w:w="0" w:type="dxa"/>
            <w:vAlign w:val="bottom"/>
          </w:tcPr>
          <w:p>
            <w:pPr>
              <w:spacing w:after="0"/>
              <w:rPr>
                <w:sz w:val="1"/>
                <w:szCs w:val="1"/>
                <w:color w:val="auto"/>
              </w:rPr>
            </w:pP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60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0"/>
        </w:trPr>
        <w:tc>
          <w:tcPr>
            <w:tcW w:w="9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2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0.7 of a point from cost savings initiatives, which was more than offset by cost inflation and other factors, including higher transportation and logistics costs and higher carrot costs in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and selling expenses as a percent of sales were 10.3% in 2018 compared to 10.7% in 2017. Marketing and selling expenses decreased 5% in 2018 from 2017. The decrease was primarily due to lower advertising and consumer promotion expenses (approximately 5 percentage points) and increased benefits from cost savings initiatives (approximately 2 percentage points), partially offset by investments in e-commerce (approximately 1 percentage point) and the impact of currency translation (approximately 1 percentage point).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7.2% in 2018 compared to 6.1% in 2017. Administrative expenses increased 18% in 2018 from 2017. The increase was primarily due to higher costs related to cost savings initiatives (approximately 10 percentage points); an increase in information technology costs (approximately 2 percentage points); inflation (approximately 2 percentage points); investments in long-term innovation (approximately 2 percentage points); and the impact of currency translation (approximately 1 percentage point).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Other expenses in 2018 included a non-cash impairment charge of $75 million on the intangible assets of the Bolthouse Farms carrot and carrots ingredients reporting unit and $24 million of transaction costs associated with the pending acquisition of Snyder's-Lance. In addition, 2018 included gains on pension and postretirement benefit mark-to-market adjustments of $14 million. Other expenses in 2017 included non-cash impairment charges of $212 million on the intangible assets of the Bolthouse Farms carrot and carrots ingredients reporting unit and the Garden Fresh Gourmet reporting unit. In addition, 2017 included losses of $20 million on pension and postretirement benefit mark-to-market adjustments. The remaining change in Other expenses / (income) was primarily due to higher pension and postretirement benefit income and gains on investments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9% in 2018 from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January 28, 2018</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29, 2017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5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5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3</w:t>
            </w:r>
          </w:p>
        </w:tc>
      </w:tr>
      <w:tr>
        <w:trPr>
          <w:trHeight w:val="27"/>
        </w:trPr>
        <w:tc>
          <w:tcPr>
            <w:tcW w:w="7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852</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(9)%</w:t>
            </w:r>
          </w:p>
        </w:tc>
      </w:tr>
      <w:tr>
        <w:trPr>
          <w:trHeight w:val="27"/>
        </w:trPr>
        <w:tc>
          <w:tcPr>
            <w:tcW w:w="7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5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Borders>
              <w:bottom w:val="single" w:sz="8" w:color="CCEEFF"/>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500" w:type="dxa"/>
            <w:vAlign w:val="bottom"/>
            <w:tcBorders>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655</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ectPr>
          <w:pgSz w:w="11900" w:h="16838" w:orient="portrait"/>
          <w:cols w:equalWidth="0" w:num="1">
            <w:col w:w="11420"/>
          </w:cols>
          <w:pgMar w:left="240" w:top="13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14" w:right="239" w:bottom="1440" w:gutter="0" w:footer="0" w:header="0"/>
          <w:type w:val="continuous"/>
        </w:sectPr>
      </w:pPr>
    </w:p>
    <w:bookmarkStart w:id="34" w:name="page35"/>
    <w:bookmarkEnd w:id="34"/>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Americas Simple Meals and Beverages decreased 12%. The decrease was primarily due to a lower gross profit percentage and lower sales volume, partly offset by lower marketing and selling expenses.</w:t>
      </w:r>
    </w:p>
    <w:p>
      <w:pPr>
        <w:spacing w:after="0" w:line="114"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8"/>
          <w:szCs w:val="18"/>
          <w:color w:val="auto"/>
        </w:rPr>
        <w:t xml:space="preserve">Operating earnings from Global Biscuits and Snacks increased 3%. The increase was primarily due to </w:t>
      </w:r>
      <w:r>
        <w:rPr>
          <w:rFonts w:ascii="Arial" w:cs="Arial" w:eastAsia="Arial" w:hAnsi="Arial"/>
          <w:sz w:val="19"/>
          <w:szCs w:val="19"/>
          <w:color w:val="auto"/>
        </w:rPr>
        <w:t>h</w:t>
      </w:r>
      <w:r>
        <w:rPr>
          <w:rFonts w:ascii="Arial" w:cs="Arial" w:eastAsia="Arial" w:hAnsi="Arial"/>
          <w:sz w:val="18"/>
          <w:szCs w:val="18"/>
          <w:color w:val="auto"/>
        </w:rPr>
        <w:t>igher sales volume and lower marketing and selling expenses, partly offset by a lower gross profit percentage.</w:t>
      </w:r>
    </w:p>
    <w:p>
      <w:pPr>
        <w:spacing w:after="0" w:line="9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Operating earnings from Campbell Fresh decreased from a loss of $2 million in 2017 to a loss of $17 million in 2018. The decrease was primarily due to a lower gross profit percentage, reflecting higher carrot costs attributable to the adverse impact of weather conditions on crop yields and higher supply chain costs.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Corporate in 2018 included a non-cash impairment charge of $75 million on the intangible assets of the Bolthouse Farms carrot and carrot ingredients reporting unit, a $14 million gain associated with pension and postretirement benefit mark-to-market adjustments, costs of $44 million related to the implementation of our new organizational structure and cost savings initiatives, and transaction costs of $24 million associated with the pending acquisition of Snyder's-Lance. Corporate in 2017 included non-cash impairment charges of $212 million on the intangible assets of the Bolthouse Farms carrot and carrot ingredients reporting unit and the Garden Fresh Gourmet reporting unit, a $20 million loss associated with pension and postretirement benefit mark-to-market adjustments and costs of $11 million related to cost savings initiatives. Excluding these amounts, the remaining decrease in costs was primarily due to higher pension and postretirement benefit income in 2018, partially offset by higher administrative expenses as well as losses on open commodity hedges versus gains in the prior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$63 million in 2018 from $58 million in 2017 reflecting higher average interest rates on the debt portfolio and higher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previously discussed, the Act was enacted into law on December 22, 2017. As a result, the following items are reflected this year:</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$183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$59 million.</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 See Note 9 to the Consolidated Financial Statements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5.6% in 2018 and 35.1% in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tax rate in 2018 and 2017:</w:t>
      </w:r>
    </w:p>
    <w:p>
      <w:pPr>
        <w:spacing w:after="0" w:line="171" w:lineRule="exact"/>
        <w:rPr>
          <w:sz w:val="20"/>
          <w:szCs w:val="20"/>
          <w:color w:val="auto"/>
        </w:rPr>
      </w:pPr>
    </w:p>
    <w:p>
      <w:pPr>
        <w:ind w:left="820" w:hanging="164"/>
        <w:spacing w:after="0" w:line="277"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2018, we recognized tax expense of $4 million on $14 million of pension and postretirement benefit mark-to-market gains. In 2017, we recognized a tax benefit of $7 million on $20 million of pension and postretirement benefit mark-to-market losses;</w:t>
      </w:r>
    </w:p>
    <w:p>
      <w:pPr>
        <w:spacing w:after="0" w:line="116" w:lineRule="exact"/>
        <w:rPr>
          <w:rFonts w:ascii="Arial" w:cs="Arial" w:eastAsia="Arial" w:hAnsi="Arial"/>
          <w:sz w:val="18"/>
          <w:szCs w:val="18"/>
          <w:color w:val="auto"/>
        </w:rPr>
      </w:pPr>
    </w:p>
    <w:p>
      <w:pPr>
        <w:ind w:left="820" w:right="20" w:hanging="164"/>
        <w:spacing w:after="0" w:line="308" w:lineRule="auto"/>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2018, we recognized a $21 million tax benefit on $79 million of restructuring charges, implementation costs and other related costs. In 2017, we recognized a $4 million tax benefit on $11 million of restructuring charges, implementation costs and other related costs;</w:t>
      </w:r>
    </w:p>
    <w:p>
      <w:pPr>
        <w:spacing w:after="0" w:line="92" w:lineRule="exact"/>
        <w:rPr>
          <w:rFonts w:ascii="Arial" w:cs="Arial" w:eastAsia="Arial" w:hAnsi="Arial"/>
          <w:sz w:val="17"/>
          <w:szCs w:val="17"/>
          <w:color w:val="auto"/>
        </w:rPr>
      </w:pPr>
    </w:p>
    <w:p>
      <w:pPr>
        <w:ind w:left="820" w:hanging="164"/>
        <w:spacing w:after="0"/>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2018, we recognized a $5 million tax benefit on $24 million of transaction costs associated with the pending acquisition of Snyder's-Lance;</w:t>
      </w:r>
    </w:p>
    <w:p>
      <w:pPr>
        <w:spacing w:after="0" w:line="182" w:lineRule="exact"/>
        <w:rPr>
          <w:rFonts w:ascii="Arial" w:cs="Arial" w:eastAsia="Arial" w:hAnsi="Arial"/>
          <w:sz w:val="17"/>
          <w:szCs w:val="17"/>
          <w:color w:val="auto"/>
        </w:rPr>
      </w:pPr>
    </w:p>
    <w:p>
      <w:pPr>
        <w:jc w:val="both"/>
        <w:ind w:left="820" w:hanging="164"/>
        <w:spacing w:after="0" w:line="286" w:lineRule="auto"/>
        <w:tabs>
          <w:tab w:leader="none" w:pos="8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 2018, we recognized a $1 million tax benefit on the $75 million impairment charges on the intangible assets of the Bolthouse Farms carrot and carrot ingredients reporting unit. In 2017, we recognized a $32 million tax benefit on the $212 million impairment charges on the intangible assets of the Bolthouse Farms carrot and carrot ingredients reporting unit and the Garden Fresh Gourmet reporting unit; and</w:t>
      </w:r>
    </w:p>
    <w:p>
      <w:pPr>
        <w:spacing w:after="0" w:line="111" w:lineRule="exact"/>
        <w:rPr>
          <w:rFonts w:ascii="Arial" w:cs="Arial" w:eastAsia="Arial" w:hAnsi="Arial"/>
          <w:sz w:val="17"/>
          <w:szCs w:val="17"/>
          <w:color w:val="auto"/>
        </w:rPr>
      </w:pPr>
    </w:p>
    <w:p>
      <w:pPr>
        <w:ind w:left="820" w:hanging="164"/>
        <w:spacing w:after="0"/>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2018, we recognized a net tax benefit of $124 million related to the enactment of the Act as discussed above.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adjusting for the items above, the remaining decrease in the effective tax rate was primarily due to the ongoing benefit of the lower U.S. federal tax rate as a result of the Act and the favorable resolution of a state tax matter in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1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support of the new structure, we designed and implemented a global shared services organization. We also streamlined our organizational structure, implemented an initiative to reduce overhead across the organization and are pursuing other initiatives to reduce costs and increase effectiveness.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cost savings initiatives by further optimizing our supply chain network, primarily in North America, continuing to evolve our operating model to drive efficiencies, and more fully integrating our recent acquisitions. We extended the time horizon for the initiatives from 2018 to 2020. Cost estimates for these expanded initiatives, as well as timing for certain activities, are continuing to be developed.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Six Months Ended</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Year Ended</w:t>
            </w:r>
          </w:p>
        </w:tc>
        <w:tc>
          <w:tcPr>
            <w:tcW w:w="4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28, 2018</w:t>
            </w: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January 29, 2017</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January 28, 2018</w:t>
            </w: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2"/>
              </w:rPr>
              <w:t>July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July 31, 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August 2, 2015</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79</w:t>
            </w:r>
          </w:p>
        </w:tc>
        <w:tc>
          <w:tcPr>
            <w:tcW w:w="100" w:type="dxa"/>
            <w:vAlign w:val="bottom"/>
          </w:tcPr>
          <w:p>
            <w:pPr>
              <w:spacing w:after="0"/>
              <w:rPr>
                <w:sz w:val="20"/>
                <w:szCs w:val="20"/>
                <w:color w:val="auto"/>
              </w:rPr>
            </w:pP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r>
      <w:tr>
        <w:trPr>
          <w:trHeight w:val="67"/>
        </w:trPr>
        <w:tc>
          <w:tcPr>
            <w:tcW w:w="2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78"/>
        </w:trPr>
        <w:tc>
          <w:tcPr>
            <w:tcW w:w="274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360" w:type="dxa"/>
            <w:vAlign w:val="bottom"/>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33"/>
              <w:spacing w:after="0"/>
              <w:rPr>
                <w:sz w:val="20"/>
                <w:szCs w:val="20"/>
                <w:color w:val="auto"/>
              </w:rPr>
            </w:pPr>
            <w:r>
              <w:rPr>
                <w:rFonts w:ascii="Arial" w:cs="Arial" w:eastAsia="Arial" w:hAnsi="Arial"/>
                <w:sz w:val="18"/>
                <w:szCs w:val="18"/>
                <w:b w:val="1"/>
                <w:bCs w:val="1"/>
                <w:color w:val="auto"/>
              </w:rPr>
              <w:t>46</w:t>
            </w:r>
          </w:p>
        </w:tc>
        <w:tc>
          <w:tcPr>
            <w:tcW w:w="120" w:type="dxa"/>
            <w:vAlign w:val="bottom"/>
          </w:tcPr>
          <w:p>
            <w:pPr>
              <w:spacing w:after="0"/>
              <w:rPr>
                <w:sz w:val="20"/>
                <w:szCs w:val="20"/>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67"/>
        </w:trPr>
        <w:tc>
          <w:tcPr>
            <w:tcW w:w="27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r>
      <w:tr>
        <w:trPr>
          <w:trHeight w:val="256"/>
        </w:trPr>
        <w:tc>
          <w:tcPr>
            <w:tcW w:w="2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00" w:type="dxa"/>
            <w:vAlign w:val="bottom"/>
          </w:tcPr>
          <w:p>
            <w:pPr>
              <w:jc w:val="right"/>
              <w:ind w:right="216"/>
              <w:spacing w:after="0"/>
              <w:rPr>
                <w:sz w:val="20"/>
                <w:szCs w:val="20"/>
                <w:color w:val="auto"/>
              </w:rPr>
            </w:pPr>
            <w:r>
              <w:rPr>
                <w:rFonts w:ascii="Arial" w:cs="Arial" w:eastAsia="Arial" w:hAnsi="Arial"/>
                <w:sz w:val="14"/>
                <w:szCs w:val="14"/>
                <w:b w:val="1"/>
                <w:bCs w:val="1"/>
                <w:color w:val="auto"/>
                <w:w w:val="93"/>
              </w:rPr>
              <w:t>Recognized 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January 28, 2018</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9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57"/>
        </w:trPr>
        <w:tc>
          <w:tcPr>
            <w:tcW w:w="98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$515 million to $560 million. This estimate will be updated as costs for the expanded initiatives are developed.</w:t>
      </w:r>
    </w:p>
    <w:p>
      <w:pPr>
        <w:spacing w:after="0" w:line="11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$170 million in severance pay and benefits; approximately $85 million in asset impairment and accelerated depreciation; and approximately $260 million to $305 million in implementation costs and other related costs.We expect these pre-tax costs to be associated with our segments as follows: Americas Simple Meals and Beverages - approximately 39%; Global Biscuits and Snacks - approximately 30%; Campbell Fresh - approximately 3%; and Corporate - approximately 28%.</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the aggregate $515 million to $560 million of pre-tax costs identified to date, we expect approximately $415 million to $460 million will be cash expenditures. In addition, we expect to invest approximately $250 million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$37 million as of January 28, 2018.</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14" w:right="239" w:bottom="1440" w:gutter="0" w:footer="0" w:header="0"/>
          <w:type w:val="continuous"/>
        </w:sectPr>
      </w:pPr>
    </w:p>
    <w:bookmarkStart w:id="36" w:name="page37"/>
    <w:bookmarkEnd w:id="36"/>
    <w:p>
      <w:pPr>
        <w:ind w:left="340"/>
        <w:spacing w:after="0"/>
        <w:rPr>
          <w:sz w:val="20"/>
          <w:szCs w:val="20"/>
          <w:color w:val="auto"/>
        </w:rPr>
      </w:pPr>
      <w:r>
        <w:rPr>
          <w:rFonts w:ascii="Arial" w:cs="Arial" w:eastAsia="Arial" w:hAnsi="Arial"/>
          <w:sz w:val="17"/>
          <w:szCs w:val="17"/>
          <w:color w:val="auto"/>
        </w:rPr>
        <w:t>We expect to incur substantially all of the costs through 2019 and to fund the costs through cash flows from operations and short-term borrowings.</w:t>
      </w:r>
    </w:p>
    <w:p>
      <w:pPr>
        <w:spacing w:after="0" w:line="1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the initiatives for actions that have been identified to date to generate pre-tax savings of $400 million to $410 million in 2018, and once all phases are implemented, to generate annual ongoing savings of approximately $500 million beginning in 2020. In the six-month period ended January 28, 2018, we generated an additional $40 million of pre-tax savings. The annual pre-tax savings generated by the initiatives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3"/>
                <w:szCs w:val="13"/>
                <w:color w:val="auto"/>
              </w:rPr>
            </w:pPr>
          </w:p>
        </w:tc>
        <w:tc>
          <w:tcPr>
            <w:tcW w:w="9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July 30,</w:t>
            </w: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July 31, 2016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2, 2015</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January 28, 2018</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3"/>
              </w:rPr>
              <w:t>Costs Incurred to</w:t>
            </w: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$660 million in 2018, compared to $667 million in 2017. The decline in 2018 was primarily due to higher net payments on hedging activities, partially offset by improvements in working capital requirements.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$1.084 billion as of January 28, 2018, and $495 million as of July 30, 2017. Debt maturing within one year was $1.659 billion as of January 28, 2018, and $1.037 billion as of July 30, 2017.</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$132 million in 2018 compared to $119 million in 2017. Capital expenditures are expected to total approximately $425 million in 2018. Capital expenditures in 2018 included a U.S. warehouse optimization project (approximately $12 million); insourcing manufacturing for certain simple meal products (approximately $8 million); replacement of a Pepperidge Farm refrigeration system (approximately $4 million); and an Australian multi-pack biscuit capacity expansion project (approximately $2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The purchase price was $689 million, subject to customary post-closing adjustments, and was funded through the issuance of commercial paper.</w:t>
      </w:r>
    </w:p>
    <w:p>
      <w:pPr>
        <w:spacing w:after="0" w:line="130" w:lineRule="exact"/>
        <w:rPr>
          <w:sz w:val="20"/>
          <w:szCs w:val="20"/>
          <w:color w:val="auto"/>
        </w:rPr>
      </w:pPr>
    </w:p>
    <w:p>
      <w:pPr>
        <w:jc w:val="both"/>
        <w:ind w:firstLine="324"/>
        <w:spacing w:after="0" w:line="304" w:lineRule="auto"/>
        <w:rPr>
          <w:sz w:val="20"/>
          <w:szCs w:val="20"/>
          <w:color w:val="auto"/>
        </w:rPr>
      </w:pPr>
      <w:r>
        <w:rPr>
          <w:rFonts w:ascii="Arial" w:cs="Arial" w:eastAsia="Arial" w:hAnsi="Arial"/>
          <w:sz w:val="16"/>
          <w:szCs w:val="16"/>
          <w:color w:val="auto"/>
        </w:rPr>
        <w:t xml:space="preserve">On December 18, 2017, we entered into an agreement to acquire Snyder's-Lance for $50.00 per share. The closing of the transaction is subject to customary closing conditions and termination rights, including the approval of Snyder’s-Lance shareholders. We expect to finance the acquisition through $6.2 billion of debt, which includes the payoff of Snyder's-Lance indebtedness. </w:t>
      </w:r>
      <w:r>
        <w:rPr>
          <w:rFonts w:ascii="Arial" w:cs="Arial" w:eastAsia="Arial" w:hAnsi="Arial"/>
          <w:sz w:val="17"/>
          <w:szCs w:val="17"/>
          <w:color w:val="auto"/>
        </w:rPr>
        <w:t>W</w:t>
      </w:r>
      <w:r>
        <w:rPr>
          <w:rFonts w:ascii="Arial" w:cs="Arial" w:eastAsia="Arial" w:hAnsi="Arial"/>
          <w:sz w:val="16"/>
          <w:szCs w:val="16"/>
          <w:color w:val="auto"/>
        </w:rPr>
        <w:t>e are a party to a bridge facility commitment letter with a group of lenders, which initially provided up to $6.2 billion under a 364-day senior unsecured bridge term loan credit facility. On December 29, 2017, we entered into a single draw, unsecured, senior term loan facility equal to $1.2 billion to finance a portion of the Snyder’s-Lance acquisition and reduce the commitment under the bridge facility commitment letter to $5 billion. Debt issued under the term loan facility has a maturity date of three years from the initial funding date and will bear interest at the rates specified in the term loan facility, which vary based on the type of loan and certain other customary conditions. The term loan facility contains customary covenants and events of default for credit facilities of this type. We plan to replace or refinance the remaining $5 billion under the bridge loan facility through an offering of senior unsecured notes. For additional information on the bridge facility commitment letter and the term</w:t>
      </w:r>
    </w:p>
    <w:p>
      <w:pPr>
        <w:sectPr>
          <w:pgSz w:w="11900" w:h="16838" w:orient="portrait"/>
          <w:cols w:equalWidth="0" w:num="1">
            <w:col w:w="11420"/>
          </w:cols>
          <w:pgMar w:left="240" w:top="1314" w:right="239" w:bottom="1440" w:gutter="0" w:footer="0" w:header="0"/>
        </w:sect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7"/>
          <w:szCs w:val="17"/>
          <w:color w:val="auto"/>
        </w:rPr>
        <w:t>loan facility, see our Form 8-Ks respectively filed with the U.S. Securities and Exchange Commission on December 18, 2017, and December 29, 2017.</w:t>
      </w:r>
    </w:p>
    <w:p>
      <w:pPr>
        <w:spacing w:after="0" w:line="18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$216 million in 2018 and $207 million in 2017. We repurchased approximately 2 million shares at a cost of $86 million in 2018 and approximately 4 million shares at a cost of $234 million in 2017. With the pending acquisition of Snyder's-Lance, we suspended our share repurchases in the second quarter of 2018. See Note 14 to the Consolidated Financial Statements for more information.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January 28, 2018, we had $1.659 billion of short-term borrowings due within one year, of which $1.261 billion was comprised of commercial paper borrowings. As of January 28, 2018, we issued $50 million of standby letters of credit. We have a committed revolving credit facility totaling $1.85 billion that matures in December 2021. This U.S. facility remained unused at January 28, 2018, except for $1 million of standby letters of credit that we issued under it. The U.S. facility supports our commercial paper programs and other general corporate purposes. In July 2016, we entered into a Canadian committed revolving credit facility that matures in July 2019. As of January 28, 2018, the total commitment under the Canadian facility was CAD $150 million, or $122 million, and we had borrowings of CAD $142 million, or $115 million, at a rate of 2.47% under this facility. The Canadian facility supports general corporate purposes.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2017,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2017 (2017 Annual Report on Form 10-K). The accounting policies we used in preparing these financial statements are substantially consistent with those we applied in our 2017 Annual Report on Form 10-K, with the exception of the adoption of new guidance that changes the presentation of net periodic pension cost and net periodic postretirement benefit cost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2017 Annual Report on Form 10-K.</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valuation of long-lived assets is an area that requires the use of subjective or complex judgments,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Goodwill and intangible assets deemed to have indefinite lives are not amortized but rather are tested at least annually for impairment, or more often if events or changes in circumstances indicate that more likely than not the carrying amount of the asset may not be recoverable.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Interim Assessment - Second Quarter of 2017</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second quarter of 2017, sales and operating profit performance for Bolthouse Farms carrot and carrot ingredients were well below our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years.We also lowered our average margin expectations due in part to cost volatility, which had been higher than expected. Based upon the business performance in the second quarter of 2017, our reduced near-term outlook, and reduced expectations for sales, operating margins and discounted cash flows, we performed an interim impairment assessment as of December 31, 2016, which resulted in a $127 million impairment charge on goodwill and $20 million on a trademark in the reporting unit.</w:t>
      </w:r>
    </w:p>
    <w:p>
      <w:pPr>
        <w:spacing w:after="0" w:line="1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acquired Garden Fresh Gourmet on June 29, 2015. During 2017, sales and operating profit performance for Garden Fresh Gourmet, which is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14"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as of December 31, 2016, which resulted in a $64 million impairment charge on goodwill and $1 million on a trademark in the reporting unit.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Interim Assessment - Second Quarter of 2018</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second quarter of 2018, we performed an interim impairment assessment as of December 31, 2017,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recent performance, we reduced our outlook for future operating margins and discounted cash flows, which resulted in a $75 million impairment charge, representing a write-down of all of the remaining goodwill in the reporting unit. The fair value of the trademark exceeded the carrying value, which was $48 million, as of December 31, 2017. We will continue to monitor the performance of the business.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acquired Plum on June 13, 2013. The business is a reporting unit within Americas Simple Meals and Beverages segment. In 2018, sales and operating performance were well below expectations due in part to competitive pressure and reduced margins. Based on the recent performance, in the second quarter we reduced our outlook for future sales, operating margins and discounted cash flows and performed an interim impairment assessment. As of the interim assessment, the fair value of the trademark exceeded the carrying value by approximately 15%, and the fair value of the reporting unit exceeded the carrying value by less than 10%. As of December 31, 2017, the carrying value of the trademark was $115 million and the carrying value of goodwill was $128 million. We will continue to invest in innovation on this business. We are focused on improving profitability by pursuing various supply chain initiatives. We will continue to monitor the performance of the business.</w:t>
      </w:r>
    </w:p>
    <w:p>
      <w:pPr>
        <w:spacing w:after="0" w:line="1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28, 2018, the carrying value of goodwill was $2.259 billion. Holding all other assumptions used in the 2018 interim fair value measurement constant, changes in the assumptions below would reduce fair value of the Plum reporting unit and result in impairment charges of approximately:</w:t>
      </w:r>
    </w:p>
    <w:p>
      <w:pPr>
        <w:sectPr>
          <w:pgSz w:w="11900" w:h="16838" w:orient="portrait"/>
          <w:cols w:equalWidth="0" w:num="1">
            <w:col w:w="11420"/>
          </w:cols>
          <w:pgMar w:left="240" w:top="1314" w:right="239" w:bottom="1440" w:gutter="0" w:footer="0" w:header="0"/>
        </w:sectPr>
      </w:pPr>
    </w:p>
    <w:p>
      <w:pPr>
        <w:spacing w:after="0" w:line="3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increase in the weighted-average cost of capital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EBITDA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margin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9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Earnings before interest, taxes, depreciation and amortization.</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6"/>
          <w:szCs w:val="16"/>
          <w:color w:val="auto"/>
        </w:rPr>
        <w:t>If assumptions are not achieved or market conditions decline, potential impairment charges could result.</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left="429"/>
        <w:spacing w:after="0"/>
        <w:rPr>
          <w:sz w:val="20"/>
          <w:szCs w:val="20"/>
          <w:color w:val="auto"/>
        </w:rPr>
      </w:pPr>
      <w:r>
        <w:rPr>
          <w:rFonts w:ascii="Arial" w:cs="Arial" w:eastAsia="Arial" w:hAnsi="Arial"/>
          <w:sz w:val="14"/>
          <w:szCs w:val="14"/>
          <w:b w:val="1"/>
          <w:bCs w:val="1"/>
          <w:color w:val="auto"/>
        </w:rPr>
        <w:t>Plum</w:t>
      </w:r>
    </w:p>
    <w:p>
      <w:pPr>
        <w:spacing w:after="0" w:line="212" w:lineRule="exact"/>
        <w:rPr>
          <w:sz w:val="20"/>
          <w:szCs w:val="20"/>
          <w:color w:val="auto"/>
        </w:rPr>
      </w:pPr>
    </w:p>
    <w:p>
      <w:pPr>
        <w:ind w:left="889" w:hanging="889"/>
        <w:spacing w:after="0"/>
        <w:tabs>
          <w:tab w:leader="none" w:pos="8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(55)</w:t>
      </w:r>
    </w:p>
    <w:p>
      <w:pPr>
        <w:spacing w:after="0" w:line="248" w:lineRule="exact"/>
        <w:rPr>
          <w:sz w:val="20"/>
          <w:szCs w:val="20"/>
          <w:color w:val="auto"/>
        </w:rPr>
      </w:pPr>
    </w:p>
    <w:p>
      <w:pPr>
        <w:ind w:left="889" w:hanging="889"/>
        <w:spacing w:after="0"/>
        <w:tabs>
          <w:tab w:leader="none" w:pos="8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(10)</w:t>
      </w:r>
    </w:p>
    <w:p>
      <w:pPr>
        <w:spacing w:after="0" w:line="248" w:lineRule="exact"/>
        <w:rPr>
          <w:rFonts w:ascii="Arial" w:cs="Arial" w:eastAsia="Arial" w:hAnsi="Arial"/>
          <w:sz w:val="16"/>
          <w:szCs w:val="16"/>
          <w:color w:val="auto"/>
        </w:rPr>
      </w:pPr>
    </w:p>
    <w:p>
      <w:pPr>
        <w:ind w:left="889" w:hanging="889"/>
        <w:spacing w:after="0"/>
        <w:tabs>
          <w:tab w:leader="none" w:pos="889" w:val="left"/>
        </w:tabs>
        <w:numPr>
          <w:ilvl w:val="0"/>
          <w:numId w:val="40"/>
        </w:numPr>
        <w:rPr>
          <w:rFonts w:ascii="Arial" w:cs="Arial" w:eastAsia="Arial" w:hAnsi="Arial"/>
          <w:sz w:val="16"/>
          <w:szCs w:val="16"/>
          <w:color w:val="auto"/>
        </w:rPr>
      </w:pPr>
      <w:r>
        <w:rPr>
          <w:rFonts w:ascii="Arial" w:cs="Arial" w:eastAsia="Arial" w:hAnsi="Arial"/>
          <w:sz w:val="16"/>
          <w:szCs w:val="16"/>
          <w:color w:val="auto"/>
        </w:rPr>
        <w:t>(25)</w:t>
      </w:r>
    </w:p>
    <w:p>
      <w:pPr>
        <w:spacing w:after="0" w:line="1085" w:lineRule="exact"/>
        <w:rPr>
          <w:sz w:val="20"/>
          <w:szCs w:val="20"/>
          <w:color w:val="auto"/>
        </w:rPr>
      </w:pPr>
    </w:p>
    <w:p>
      <w:pPr>
        <w:sectPr>
          <w:pgSz w:w="11900" w:h="16838" w:orient="portrait"/>
          <w:cols w:equalWidth="0" w:num="2">
            <w:col w:w="9471" w:space="720"/>
            <w:col w:w="1229"/>
          </w:cols>
          <w:pgMar w:left="240" w:top="1314" w:right="239" w:bottom="1440" w:gutter="0" w:footer="0" w:header="0"/>
          <w:type w:val="continuous"/>
        </w:sectPr>
      </w:pPr>
    </w:p>
    <w:p>
      <w:pPr>
        <w:jc w:val="both"/>
        <w:ind w:firstLine="324"/>
        <w:spacing w:after="0" w:line="264" w:lineRule="auto"/>
        <w:rPr>
          <w:sz w:val="20"/>
          <w:szCs w:val="20"/>
          <w:color w:val="auto"/>
        </w:rPr>
      </w:pPr>
      <w:r>
        <w:rPr>
          <w:rFonts w:ascii="Arial" w:cs="Arial" w:eastAsia="Arial" w:hAnsi="Arial"/>
          <w:sz w:val="18"/>
          <w:szCs w:val="18"/>
          <w:color w:val="auto"/>
        </w:rPr>
        <w:t>As of January 28, 2018, the carrying value of indefinite-lived trademarks was $1.2 billion. Holding all other assumptions used in the 2018 interim fair value measurement constant, changes in the weighted-average cost of capital assumption would reduce fair value of the trademarks and result in impairment charges of approximately:</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6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0"/>
              </w:rPr>
              <w:t>Bolthouse Farms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tcPr>
          <w:p>
            <w:pPr>
              <w:spacing w:after="0"/>
              <w:rPr>
                <w:sz w:val="12"/>
                <w:szCs w:val="12"/>
                <w:color w:val="auto"/>
              </w:rPr>
            </w:pPr>
          </w:p>
        </w:tc>
        <w:tc>
          <w:tcPr>
            <w:tcW w:w="16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Carrot and Carrot</w:t>
            </w: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6"/>
                <w:szCs w:val="16"/>
                <w:color w:val="auto"/>
              </w:rPr>
            </w:pPr>
          </w:p>
        </w:tc>
        <w:tc>
          <w:tcPr>
            <w:tcW w:w="146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Ingredients</w:t>
            </w:r>
          </w:p>
        </w:tc>
        <w:tc>
          <w:tcPr>
            <w:tcW w:w="9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Plum</w:t>
            </w:r>
          </w:p>
        </w:tc>
        <w:tc>
          <w:tcPr>
            <w:tcW w:w="0" w:type="dxa"/>
            <w:vAlign w:val="bottom"/>
          </w:tcPr>
          <w:p>
            <w:pPr>
              <w:spacing w:after="0"/>
              <w:rPr>
                <w:sz w:val="1"/>
                <w:szCs w:val="1"/>
                <w:color w:val="auto"/>
              </w:rPr>
            </w:pPr>
          </w:p>
        </w:tc>
      </w:tr>
      <w:tr>
        <w:trPr>
          <w:trHeight w:val="87"/>
        </w:trPr>
        <w:tc>
          <w:tcPr>
            <w:tcW w:w="880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46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1"/>
        </w:trPr>
        <w:tc>
          <w:tcPr>
            <w:tcW w:w="880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460" w:type="dxa"/>
            <w:vAlign w:val="bottom"/>
            <w:gridSpan w:val="3"/>
            <w:vMerge w:val="continue"/>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assumptions are not achieved or market conditions decline, potential impairment charges could result.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the Consolidated Financial Statements for additional information on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ectPr>
          <w:pgSz w:w="11900" w:h="16838" w:orient="portrait"/>
          <w:cols w:equalWidth="0" w:num="1">
            <w:col w:w="11420"/>
          </w:cols>
          <w:pgMar w:left="240" w:top="1314"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14"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and similar expressions. One can also identify forward-looking statements by the fact that they do not relate strictly to historical or current facts.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2017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continue to increase their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ability to complete and to realize the projected benefits of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conditions to the completion of the Snyder’s-Lance acquisition, including obtaining Snyder’s-Lance shareholder approval, may not be satisfied;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long-term financing for the Snyder’s-Lance acquisition may not be available on favorable terms, or at all;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closing of the Snyder’s-Lance acquisition may not occur or may be delayed, either as a result of litigation related to the acquisition or otherwise;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achieve the anticipated benefits of the Snyder’s-Lance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completing the Snyder’s-Lance acquisition may distract our management from other important matters;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10" w:right="239" w:bottom="1440" w:gutter="0" w:footer="0" w:header="0"/>
          <w:type w:val="continuous"/>
        </w:sectPr>
      </w:pPr>
    </w:p>
    <w:bookmarkStart w:id="40" w:name="page41"/>
    <w:bookmarkEnd w:id="40"/>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information regarding our exposure to certain market risk, see Item 7A, Quantitative and Qualitative Disclosure About Market Risk, in the 2017 Annual Report on Form 10-K. There have been no significant changes in our portfolio of financial instruments or market risk exposures from the 2017 year-end other than utilizing treasury rate lock contracts to lock in the rate related to the anticipated debt issuances. As of January 28, 2018, 30-year treasury rate lock contracts with a notional value of $200 million were outstanding. The average rate to be paid on these rate locks is 2.90%. Subsequent to January 28, 2018, we entered into 5, 10 and 30-year treasury rate lock contracts with notional values of $600 million, $1 billion and $500 million, respectively as of February 28, 2018. The average rate to be paid on the 5, 10 and 30-year rate locks is 2.65%, 2.80% and 3.09%,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January 28, 2018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January 28,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14"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16 to the Consolidated Financial Statements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disclosure modifies the discussion of risks and uncertainties previously disclosed in our Annual Report on Form 10-K for the year ended July 30, 2017. These risks and uncertainties, along with those previously disclosed, could materially adversely affect our business, financial condition and results of operations. Additional risks and uncertainties that are not presently known to us or that we deem immaterial may also impair our business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the Snyder's-Lance, Inc. (Snyder's-Lance) Acquisition</w:t>
      </w:r>
    </w:p>
    <w:p>
      <w:pPr>
        <w:spacing w:after="0" w:line="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Snyder's-Lance acquisition is subject to certain closing conditions that, if not satisfied or waived, could delay closing or prevent it from occurring at all</w:t>
      </w:r>
    </w:p>
    <w:p>
      <w:pPr>
        <w:spacing w:after="0" w:line="3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Snyder's-Lance acquisition is subject to closing conditions, including approval of the transaction by the affirmative vote of the holders of at least 75% of the outstanding shares of the common stock of Snyder's-Lance. If any condition to the acquisition is not satisfied or waived, the completion of the acquisition could be significantly delayed, or may not occur at all. We and Snyder's-Lance may also terminate the merger agreement under certain circumstances, and we may be required, in certain circumstances, to pay a termination fee of $198.6 million. For additional information, see our Form 8-K filed with the U.S. Securities and Exchange Commission on December 18, 2017. There are also several pending lawsuits seeking, among other things, to enjoin the acquisition. See Note 16 to the Consolidated Financial Statements for additional information on these lawsuits. If we do not complete the acquisition, or if the closing is significantly delayed, our business or financial results may be adversely affected.</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anticipated benefits of acquiring Snyder's-Lance may not be fully realized</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that the acquisition of Snyder's-Lance will result in various benefits including, among other things, cost savings, cost synergies, a strengthened market position and revenue opportunities. Achieving these anticipated benefits is subject to uncertainties, including whether we integrate in an efficient and effective manner, and general competitive factors in the marketplace. Integrating Snyder's-Lance will be a complex, time-consuming and expensive process. We may experience unanticipated difficulties or expenses related to the integration, including:</w:t>
      </w:r>
    </w:p>
    <w:p>
      <w:pPr>
        <w:spacing w:after="0" w:line="144" w:lineRule="exact"/>
        <w:rPr>
          <w:sz w:val="20"/>
          <w:szCs w:val="20"/>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management's attention from ongoing business concerns;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a larger combined business;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finalizing the integration of Snyder's-Lance's past acquisitions to the extent not yet completed;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perceived adverse changes in product offerings to consumers, whether or not these changes actually occur;</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retention of key suppliers and customers of Snyder's-Lance;</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attracting new business and operational relationships;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retaining and integrating key employees and maintaining employee morale;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unforeseen expenses or delays.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After the acquisition, we may seek to combine certain operations, functions, systems and processes, which we may be unsuccessful or delayed in implementing. While we have assumed that a certain level of expenses would be incurred in connection with the Snyder's-Lance acquisition, transaction costs, acquisition-related costs, costs for synergies and integration costs may be more than anticipated. In addition, there are many factors beyond our control and the control of Snyder's-Lance that could affect the total amount or the timing of these expenses. Although we expect that the elimination of duplicative costs and realization of other efficiencies related to the integration of the businesses will offset incremental costs over time, any net benefit may not be achieved in the near term or at all. The failure to effectively address any of these risks, or any other risks related to the integration of the Snyder's-Lance acquisition, may adversely affect our business or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will incur substantial indebtedness to finance the acquisition of Snyder's-Lance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closing of the acquisition of Snyder's-Lance and the payoff of Snyder's-Lance indebtedness, we expect to incur approximately $6.2 billion of indebtedness through a combination of senior unsecured notes and senior unsecured term loans. This substantial level of indebtedness may have important consequences to our business, including, but not limited to:</w:t>
      </w:r>
    </w:p>
    <w:p>
      <w:pPr>
        <w:sectPr>
          <w:pgSz w:w="11900" w:h="16838" w:orient="portrait"/>
          <w:cols w:equalWidth="0" w:num="1">
            <w:col w:w="11420"/>
          </w:cols>
          <w:pgMar w:left="240" w:top="1229"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29" w:right="239" w:bottom="1440" w:gutter="0" w:footer="0" w:header="0"/>
          <w:type w:val="continuous"/>
        </w:sectPr>
      </w:pPr>
    </w:p>
    <w:bookmarkStart w:id="42" w:name="page43"/>
    <w:bookmarkEnd w:id="42"/>
    <w:p>
      <w:pPr>
        <w:ind w:left="720" w:hanging="388"/>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our debt service obligations, making it more difficult for us to satisfy our obligations;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our exposure to fluctuations in interest rates;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subjecting us to financial and other covenants, the non-compliance with which could result in an event of default;</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including undertaking significant capital projects;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placing us at a competitive disadvantage as compared to our competitors, to the extent that they are not as highly leveraged; and</w:t>
      </w:r>
    </w:p>
    <w:p>
      <w:pPr>
        <w:spacing w:after="0" w:line="198" w:lineRule="exact"/>
        <w:rPr>
          <w:rFonts w:ascii="Arial" w:cs="Arial" w:eastAsia="Arial" w:hAnsi="Arial"/>
          <w:sz w:val="18"/>
          <w:szCs w:val="18"/>
          <w:color w:val="auto"/>
        </w:rPr>
      </w:pPr>
    </w:p>
    <w:p>
      <w:pPr>
        <w:ind w:left="720" w:hanging="388"/>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restricting us from pursuing certain business opportunities, including other acquisitions.</w:t>
      </w:r>
    </w:p>
    <w:p>
      <w:pPr>
        <w:spacing w:after="0" w:line="10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addition, we regularly access the commercial paper markets for working capital needs and other general corporate purposes. We expect our credit ratings to be downgraded following our acquisition of Snyder's-Lance. A downgrade in our credit ratings may increase our borrowing costs and adversely affect our ability to issue commercial paper. If our credit ratings are further downgraded or put on watch for a potential downgrade beyond what we expect in connection with the acquisition, we may not be able to sell additional debt securities or borrow money in the amounts and on the terms that might be available if our credit ratings were maintained. Disruptions in the commercial paper market or other effects of volatile economic conditions on the credit markets may also reduce the amount of commercial paper that we can issue and raise our borrowing costs for both short- and long-term debt offerings. There can be no assurance that we will have access to the capital markets on terms we find acceptable. Limitations on our ability to access the capital markets, a reduction in our liquidity or an increase in our borrowing costs may adversely affect our business or financial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4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Index to Exhibits, which immediately precedes the signature page, is incorporated by reference into this Report.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1400"/>
          </w:cols>
          <w:pgMar w:left="240" w:top="131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2(b)</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spacing w:after="0" w:line="264"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Agreement and Plan of Merger, dated December 18, 2017, by and among Campbell Soup Company, Twist Merger Sub, Inc. and Snyder's-</w:t>
        </w:r>
      </w:hyperlink>
      <w:hyperlink r:id="rId13">
        <w:r>
          <w:rPr>
            <w:rFonts w:ascii="Arial" w:cs="Arial" w:eastAsia="Arial" w:hAnsi="Arial"/>
            <w:sz w:val="18"/>
            <w:szCs w:val="18"/>
            <w:u w:val="single" w:color="auto"/>
            <w:color w:val="0000FF"/>
          </w:rPr>
          <w:t>Lance, Inc. is incorporated by reference to Exhibit 2.1 to Campbell's Form 8-K (SEC file number 1-3822) filed with the SEC on December</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18, 2017.</w:t>
        </w:r>
      </w:hyperlink>
    </w:p>
    <w:p>
      <w:pPr>
        <w:spacing w:after="0" w:line="370" w:lineRule="exact"/>
        <w:rPr>
          <w:rFonts w:ascii="Arial" w:cs="Arial" w:eastAsia="Arial" w:hAnsi="Arial"/>
          <w:sz w:val="18"/>
          <w:szCs w:val="18"/>
          <w:u w:val="single" w:color="auto"/>
          <w:color w:val="0000FF"/>
        </w:rPr>
      </w:pPr>
    </w:p>
    <w:p>
      <w:pPr>
        <w:ind w:right="40"/>
        <w:spacing w:after="0" w:line="291" w:lineRule="auto"/>
        <w:rPr>
          <w:rFonts w:ascii="Arial" w:cs="Arial" w:eastAsia="Arial" w:hAnsi="Arial"/>
          <w:sz w:val="16"/>
          <w:szCs w:val="16"/>
          <w:u w:val="single" w:color="auto"/>
          <w:color w:val="0000FF"/>
        </w:rPr>
      </w:pPr>
      <w:hyperlink r:id="rId14">
        <w:r>
          <w:rPr>
            <w:rFonts w:ascii="Arial" w:cs="Arial" w:eastAsia="Arial" w:hAnsi="Arial"/>
            <w:sz w:val="16"/>
            <w:szCs w:val="16"/>
            <w:u w:val="single" w:color="auto"/>
            <w:color w:val="0000FF"/>
          </w:rPr>
          <w:t>Voting Agreement, dated December 18, 2017, by and among, Campbell Soup Company, the Patricia A. Warehime Revocable Deed of Trust,</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Warehime 2016 GRAT #1, the Warehime 2017 GRAT #2, the Warehime 2012 Dynasty Trust for the benefit of Susan A. Rupp, the</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Warehime 2012 Dynasty Trust for the benefit of Katherine A. Mininger, the Warehime 2012 Dynasty Trust for the benefit of Elizabeth A.</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Warehime, the Michael &amp; Patricia Warehime 1995 Irrevocable Trust for the benefit of Daughters, the Michael A. Warehime 2010 Trust for</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the benefit of Margaret Anne Mininger, the Michael A. Warehime 2010 Trust for the benefit of Harrison Michael Rupp, the Michael A.</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Warehime 2010 Trust for the benefit of Sophie Ann Mininger and the Michael A. Warehime Trust for the benefit of Evan Michael Rupp is</w:t>
        </w:r>
      </w:hyperlink>
      <w:r>
        <w:rPr>
          <w:rFonts w:ascii="Arial" w:cs="Arial" w:eastAsia="Arial" w:hAnsi="Arial"/>
          <w:sz w:val="16"/>
          <w:szCs w:val="16"/>
          <w:u w:val="single" w:color="auto"/>
          <w:color w:val="0000FF"/>
        </w:rPr>
        <w:t xml:space="preserve"> </w:t>
      </w:r>
      <w:hyperlink r:id="rId14">
        <w:r>
          <w:rPr>
            <w:rFonts w:ascii="Arial" w:cs="Arial" w:eastAsia="Arial" w:hAnsi="Arial"/>
            <w:sz w:val="16"/>
            <w:szCs w:val="16"/>
            <w:u w:val="single" w:color="auto"/>
            <w:color w:val="0000FF"/>
          </w:rPr>
          <w:t>incorporated by reference to Exhibit 2.2 to Campbell's Form 8-K (SEC filed number 1-3822) filed with the SEC on December 18, 2017.</w:t>
        </w:r>
      </w:hyperlink>
    </w:p>
    <w:p>
      <w:pPr>
        <w:spacing w:after="0" w:line="200" w:lineRule="exact"/>
        <w:rPr>
          <w:rFonts w:ascii="Arial" w:cs="Arial" w:eastAsia="Arial" w:hAnsi="Arial"/>
          <w:sz w:val="16"/>
          <w:szCs w:val="16"/>
          <w:u w:val="single" w:color="auto"/>
          <w:color w:val="0000FF"/>
        </w:rPr>
      </w:pPr>
    </w:p>
    <w:p>
      <w:pPr>
        <w:sectPr>
          <w:pgSz w:w="11900" w:h="16838" w:orient="portrait"/>
          <w:cols w:equalWidth="0" w:num="2">
            <w:col w:w="540" w:space="720"/>
            <w:col w:w="10140"/>
          </w:cols>
          <w:pgMar w:left="240" w:top="1310" w:right="259" w:bottom="1440" w:gutter="0" w:footer="0" w:header="0"/>
          <w:type w:val="continuous"/>
        </w:sectPr>
      </w:pPr>
    </w:p>
    <w:p>
      <w:pPr>
        <w:spacing w:after="0" w:line="200" w:lineRule="exact"/>
        <w:rPr>
          <w:rFonts w:ascii="Arial" w:cs="Arial" w:eastAsia="Arial" w:hAnsi="Arial"/>
          <w:sz w:val="16"/>
          <w:szCs w:val="16"/>
          <w:u w:val="single" w:color="auto"/>
          <w:color w:val="0000FF"/>
        </w:rPr>
      </w:pPr>
    </w:p>
    <w:p>
      <w:pPr>
        <w:spacing w:after="0" w:line="280"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8"/>
          <w:szCs w:val="18"/>
          <w:color w:val="auto"/>
        </w:rPr>
        <w:t>10</w:t>
      </w:r>
    </w:p>
    <w:p>
      <w:pPr>
        <w:spacing w:after="0" w:line="200" w:lineRule="exact"/>
        <w:rPr>
          <w:rFonts w:ascii="Arial" w:cs="Arial" w:eastAsia="Arial" w:hAnsi="Arial"/>
          <w:sz w:val="16"/>
          <w:szCs w:val="16"/>
          <w:u w:val="single" w:color="auto"/>
          <w:color w:val="0000FF"/>
        </w:rPr>
      </w:pPr>
    </w:p>
    <w:p>
      <w:pPr>
        <w:spacing w:after="0" w:line="322"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31(a)</w:t>
      </w:r>
    </w:p>
    <w:p>
      <w:pPr>
        <w:spacing w:after="0" w:line="221"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31(b)</w:t>
      </w:r>
    </w:p>
    <w:p>
      <w:pPr>
        <w:spacing w:after="0" w:line="221"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32(a)</w:t>
      </w:r>
    </w:p>
    <w:p>
      <w:pPr>
        <w:spacing w:after="0" w:line="221"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6"/>
          <w:szCs w:val="16"/>
          <w:color w:val="auto"/>
        </w:rPr>
        <w:t>32(b)</w:t>
      </w:r>
    </w:p>
    <w:p>
      <w:pPr>
        <w:spacing w:after="0" w:line="200" w:lineRule="exact"/>
        <w:rPr>
          <w:rFonts w:ascii="Arial" w:cs="Arial" w:eastAsia="Arial" w:hAnsi="Arial"/>
          <w:sz w:val="16"/>
          <w:szCs w:val="16"/>
          <w:u w:val="single" w:color="auto"/>
          <w:color w:val="0000FF"/>
        </w:rPr>
      </w:pPr>
    </w:p>
    <w:p>
      <w:pPr>
        <w:spacing w:after="0" w:line="237" w:lineRule="exact"/>
        <w:rPr>
          <w:rFonts w:ascii="Arial" w:cs="Arial" w:eastAsia="Arial" w:hAnsi="Arial"/>
          <w:sz w:val="16"/>
          <w:szCs w:val="16"/>
          <w:u w:val="single" w:color="auto"/>
          <w:color w:val="0000FF"/>
        </w:rPr>
      </w:pPr>
    </w:p>
    <w:p>
      <w:pPr>
        <w:ind w:left="120"/>
        <w:spacing w:after="0"/>
        <w:rPr>
          <w:sz w:val="20"/>
          <w:szCs w:val="20"/>
          <w:color w:val="auto"/>
        </w:rPr>
      </w:pPr>
      <w:r>
        <w:rPr>
          <w:rFonts w:ascii="Arial" w:cs="Arial" w:eastAsia="Arial" w:hAnsi="Arial"/>
          <w:sz w:val="18"/>
          <w:szCs w:val="18"/>
          <w:color w:val="auto"/>
        </w:rPr>
        <w:t>99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36" w:lineRule="exact"/>
        <w:rPr>
          <w:rFonts w:ascii="Arial" w:cs="Arial" w:eastAsia="Arial" w:hAnsi="Arial"/>
          <w:sz w:val="16"/>
          <w:szCs w:val="16"/>
          <w:u w:val="single" w:color="auto"/>
          <w:color w:val="0000FF"/>
        </w:rPr>
      </w:pPr>
    </w:p>
    <w:p>
      <w:pPr>
        <w:jc w:val="both"/>
        <w:ind w:right="100"/>
        <w:spacing w:after="0" w:line="264"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Three-Year Term Loan Credit Agreement, dated December 29, 2017, by and among Campbell Soup Company, Credit Suisse AG, Cayman</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Islands Branch, as administrative agent, and the other lenders named therein, is incorporated by reference to Exhibit 10 to Campbell's Form</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8-K (SEC file number 1-3822) filed with the SEC on December 29, 2017.</w:t>
        </w:r>
      </w:hyperlink>
    </w:p>
    <w:p>
      <w:pPr>
        <w:spacing w:after="0" w:line="370"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 of Denise M. Morrison pursuant to Rule 13a-14(a).</w:t>
        </w:r>
      </w:hyperlink>
    </w:p>
    <w:p>
      <w:pPr>
        <w:spacing w:after="0" w:line="19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of Anthony P. DiSilvestro pursuant to Rule 13a-14(a).</w:t>
        </w:r>
      </w:hyperlink>
    </w:p>
    <w:p>
      <w:pPr>
        <w:spacing w:after="0" w:line="19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Denise M. Morrison pursuant to 18 U.S.C. Section 1350.</w:t>
        </w:r>
      </w:hyperlink>
    </w:p>
    <w:p>
      <w:pPr>
        <w:spacing w:after="0" w:line="198"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Anthony P. DiSilvestro pursuant to 18 U.S.C. Section 1350.</w:t>
        </w:r>
      </w:hyperlink>
    </w:p>
    <w:p>
      <w:pPr>
        <w:spacing w:after="0" w:line="198" w:lineRule="exact"/>
        <w:rPr>
          <w:rFonts w:ascii="Arial" w:cs="Arial" w:eastAsia="Arial" w:hAnsi="Arial"/>
          <w:sz w:val="18"/>
          <w:szCs w:val="18"/>
          <w:u w:val="single" w:color="auto"/>
          <w:color w:val="0000FF"/>
        </w:rPr>
      </w:pPr>
    </w:p>
    <w:p>
      <w:pPr>
        <w:jc w:val="both"/>
        <w:ind w:right="20"/>
        <w:spacing w:after="0" w:line="264"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Bridge Commitment Letter, dated December 18, 2017, by and among Campbell Soup Company, Credit Suisse Securities (USA) LLC and</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Credit Suisse AG is incorporated by reference to Exhibit 99.3 to Campbell's Form 8-K (SEC file number 1-3822) filed with the SEC on</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December 18, 2017.</w:t>
        </w:r>
      </w:hyperlink>
    </w:p>
    <w:p>
      <w:pPr>
        <w:spacing w:after="0" w:line="19" w:lineRule="exact"/>
        <w:rPr>
          <w:rFonts w:ascii="Arial" w:cs="Arial" w:eastAsia="Arial" w:hAnsi="Arial"/>
          <w:sz w:val="18"/>
          <w:szCs w:val="18"/>
          <w:u w:val="single" w:color="auto"/>
          <w:color w:val="0000FF"/>
        </w:rPr>
      </w:pPr>
    </w:p>
    <w:p>
      <w:pPr>
        <w:sectPr>
          <w:pgSz w:w="11900" w:h="16838" w:orient="portrait"/>
          <w:cols w:equalWidth="0" w:num="2">
            <w:col w:w="540" w:space="720"/>
            <w:col w:w="10140"/>
          </w:cols>
          <w:pgMar w:left="240" w:top="1310" w:right="259" w:bottom="1440"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314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314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3140" w:type="dxa"/>
            <w:vAlign w:val="bottom"/>
          </w:tcPr>
          <w:p>
            <w:pPr>
              <w:ind w:left="240"/>
              <w:spacing w:after="0"/>
              <w:rPr>
                <w:sz w:val="20"/>
                <w:szCs w:val="20"/>
                <w:color w:val="auto"/>
              </w:rPr>
            </w:pPr>
            <w:r>
              <w:rPr>
                <w:rFonts w:ascii="Arial" w:cs="Arial" w:eastAsia="Arial" w:hAnsi="Arial"/>
                <w:sz w:val="18"/>
                <w:szCs w:val="18"/>
                <w:color w:val="auto"/>
                <w:w w:val="94"/>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3140" w:type="dxa"/>
            <w:vAlign w:val="bottom"/>
          </w:tcPr>
          <w:p>
            <w:pPr>
              <w:ind w:left="240"/>
              <w:spacing w:after="0"/>
              <w:rPr>
                <w:sz w:val="20"/>
                <w:szCs w:val="20"/>
                <w:color w:val="auto"/>
              </w:rPr>
            </w:pPr>
            <w:r>
              <w:rPr>
                <w:rFonts w:ascii="Arial" w:cs="Arial" w:eastAsia="Arial" w:hAnsi="Arial"/>
                <w:sz w:val="18"/>
                <w:szCs w:val="18"/>
                <w:color w:val="auto"/>
                <w:w w:val="98"/>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314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3140" w:type="dxa"/>
            <w:vAlign w:val="bottom"/>
          </w:tcPr>
          <w:p>
            <w:pPr>
              <w:ind w:left="240"/>
              <w:spacing w:after="0"/>
              <w:rPr>
                <w:sz w:val="20"/>
                <w:szCs w:val="20"/>
                <w:color w:val="auto"/>
              </w:rPr>
            </w:pPr>
            <w:r>
              <w:rPr>
                <w:rFonts w:ascii="Arial" w:cs="Arial" w:eastAsia="Arial" w:hAnsi="Arial"/>
                <w:sz w:val="18"/>
                <w:szCs w:val="18"/>
                <w:color w:val="auto"/>
                <w:w w:val="90"/>
              </w:rPr>
              <w:t>XBRL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69"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00"/>
          </w:cols>
          <w:pgMar w:left="240" w:top="1310" w:right="259" w:bottom="1440" w:gutter="0" w:footer="0" w:header="0"/>
          <w:type w:val="continuous"/>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5, 2018</w:t>
      </w:r>
    </w:p>
    <w:p>
      <w:pPr>
        <w:spacing w:after="0" w:line="16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29"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2018</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28, 2018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5,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28, 2018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5,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1."/>
      <w:numFmt w:val="decimal"/>
      <w:start w:val="2"/>
    </w:lvl>
  </w:abstractNum>
  <w:abstractNum w:abstractNumId="2">
    <w:nsid w:val="189A769B"/>
    <w:multiLevelType w:val="hybridMultilevel"/>
    <w:lvl w:ilvl="0">
      <w:lvlJc w:val="left"/>
      <w:lvlText w:val="%1."/>
      <w:numFmt w:val="decimal"/>
      <w:start w:val="3"/>
    </w:lvl>
  </w:abstractNum>
  <w:abstractNum w:abstractNumId="3">
    <w:nsid w:val="54E49EB4"/>
    <w:multiLevelType w:val="hybridMultilevel"/>
    <w:lvl w:ilvl="0">
      <w:lvlJc w:val="left"/>
      <w:lvlText w:val="%1."/>
      <w:numFmt w:val="decimal"/>
      <w:start w:val="4"/>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5"/>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6"/>
    </w:lvl>
    <w:lvl w:ilvl="1">
      <w:lvlJc w:val="left"/>
      <w:lvlText w:val="•"/>
      <w:numFmt w:val="bullet"/>
      <w:start w:val="1"/>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1."/>
      <w:numFmt w:val="decimal"/>
      <w:start w:val="7"/>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8"/>
    </w:lvl>
  </w:abstractNum>
  <w:abstractNum w:abstractNumId="13">
    <w:nsid w:val="6CEAF087"/>
    <w:multiLevelType w:val="hybridMultilevel"/>
    <w:lvl w:ilvl="0">
      <w:lvlJc w:val="left"/>
      <w:lvlText w:val="%1."/>
      <w:numFmt w:val="decimal"/>
      <w:start w:val="9"/>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0"/>
    </w:lvl>
  </w:abstractNum>
  <w:abstractNum w:abstractNumId="18">
    <w:nsid w:val="419AC241"/>
    <w:multiLevelType w:val="hybridMultilevel"/>
    <w:lvl w:ilvl="0">
      <w:lvlJc w:val="left"/>
      <w:lvlText w:val="%1."/>
      <w:numFmt w:val="decimal"/>
      <w:start w:val="13"/>
    </w:lvl>
    <w:lvl w:ilvl="1">
      <w:lvlJc w:val="left"/>
      <w:lvlText w:val="•"/>
      <w:numFmt w:val="bullet"/>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2"/>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13" Type="http://schemas.openxmlformats.org/officeDocument/2006/relationships/hyperlink" Target="http://www.sec.gov/Archives/edgar/data/16732/000095015917000274/ex2-1.htm" TargetMode="External"/><Relationship Id="rId14" Type="http://schemas.openxmlformats.org/officeDocument/2006/relationships/hyperlink" Target="http://www.sec.gov/Archives/edgar/data/16732/000095015917000274/ex2-2.htm" TargetMode="External"/><Relationship Id="rId15" Type="http://schemas.openxmlformats.org/officeDocument/2006/relationships/hyperlink" Target="http://www.sec.gov/Archives/edgar/data/16732/000095015917000282/ex10.htm" TargetMode="External"/><Relationship Id="rId16" Type="http://schemas.openxmlformats.org/officeDocument/2006/relationships/hyperlink" Target="http://www.sec.gov/Archives/edgar/data/16732/000095015917000274/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2019-12-29T00:22:55Z</dcterms:created>
  <dcterms:modified xsi:type="dcterms:W3CDTF">2019-12-29T00:22:55Z</dcterms:modified>
</cp:coreProperties>
</file>