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ind w:left="3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711" w:right="239" w:bottom="1440" w:gutter="0" w:footer="0" w:header="0"/>
        </w:sectPr>
      </w:pPr>
    </w:p>
    <w:p>
      <w:pPr>
        <w:spacing w:after="0" w:line="353"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For the Fiscal Year Ended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August 2, 2015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Commission File Number</w:t>
      </w:r>
    </w:p>
    <w:p>
      <w:pPr>
        <w:spacing w:after="0" w:line="50"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22860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60" w:space="720"/>
            <w:col w:w="4140"/>
          </w:cols>
          <w:pgMar w:left="240" w:top="711"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420"/>
          </w:cols>
          <w:pgMar w:left="240" w:top="711" w:right="239" w:bottom="1440" w:gutter="0" w:footer="0" w:header="0"/>
          <w:type w:val="continuous"/>
        </w:sectPr>
      </w:pPr>
    </w:p>
    <w:p>
      <w:pPr>
        <w:spacing w:after="0" w:line="29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20" w:space="720"/>
            <w:col w:w="3380"/>
          </w:cols>
          <w:pgMar w:left="240" w:top="711" w:right="239" w:bottom="1440" w:gutter="0" w:footer="0" w:header="0"/>
          <w:type w:val="continuous"/>
        </w:sectPr>
      </w:pPr>
    </w:p>
    <w:p>
      <w:pPr>
        <w:ind w:left="21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20" w:space="720"/>
            <w:col w:w="4180"/>
          </w:cols>
          <w:pgMar w:left="240" w:top="71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711" w:right="239" w:bottom="1440" w:gutter="0" w:footer="0" w:header="0"/>
          <w:type w:val="continuous"/>
        </w:sectPr>
      </w:pP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711" w:right="239" w:bottom="1440" w:gutter="0" w:footer="0" w:header="0"/>
          <w:type w:val="continuous"/>
        </w:sectPr>
      </w:pPr>
    </w:p>
    <w:p>
      <w:pPr>
        <w:spacing w:after="0" w:line="194"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200" w:lineRule="exact"/>
        <w:rPr>
          <w:sz w:val="24"/>
          <w:szCs w:val="24"/>
          <w:color w:val="auto"/>
        </w:rPr>
      </w:pPr>
    </w:p>
    <w:p>
      <w:pPr>
        <w:sectPr>
          <w:pgSz w:w="11900" w:h="16838" w:orient="portrait"/>
          <w:cols w:equalWidth="0" w:num="2">
            <w:col w:w="6080" w:space="720"/>
            <w:col w:w="4620"/>
          </w:cols>
          <w:pgMar w:left="240" w:top="711" w:right="239" w:bottom="1440" w:gutter="0" w:footer="0" w:header="0"/>
          <w:type w:val="continuous"/>
        </w:sectPr>
      </w:pPr>
    </w:p>
    <w:p>
      <w:pPr>
        <w:spacing w:after="0" w:line="12"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09" w:lineRule="exact"/>
        <w:rPr>
          <w:sz w:val="24"/>
          <w:szCs w:val="24"/>
          <w:color w:val="auto"/>
        </w:rPr>
      </w:pPr>
    </w:p>
    <w:p>
      <w:pPr>
        <w:sectPr>
          <w:pgSz w:w="11900" w:h="16838" w:orient="portrait"/>
          <w:cols w:equalWidth="0" w:num="2">
            <w:col w:w="6880" w:space="720"/>
            <w:col w:w="3820"/>
          </w:cols>
          <w:pgMar w:left="240" w:top="711" w:right="239" w:bottom="1440" w:gutter="0" w:footer="0" w:header="0"/>
          <w:type w:val="continuous"/>
        </w:sectPr>
      </w:pPr>
    </w:p>
    <w:p>
      <w:pPr>
        <w:jc w:val="center"/>
        <w:ind w:right="14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67" w:lineRule="exact"/>
        <w:rPr>
          <w:sz w:val="24"/>
          <w:szCs w:val="24"/>
          <w:color w:val="auto"/>
        </w:rPr>
      </w:pPr>
    </w:p>
    <w:p>
      <w:pPr>
        <w:ind w:left="340" w:right="1780"/>
        <w:spacing w:after="0" w:line="35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R Yes o No Indicate by check mark if the registrant is not required to file reports pursuant to Section 13 or 15(d) of the Act. o Yes R No</w:t>
      </w:r>
    </w:p>
    <w:p>
      <w:pPr>
        <w:spacing w:after="0" w:line="1"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R Yes o No</w:t>
      </w:r>
    </w:p>
    <w:p>
      <w:pPr>
        <w:spacing w:after="0" w:line="1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R Yes o No</w:t>
      </w:r>
    </w:p>
    <w:p>
      <w:pPr>
        <w:spacing w:after="0" w:line="1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R</w:t>
      </w:r>
    </w:p>
    <w:p>
      <w:pPr>
        <w:spacing w:after="0" w:line="19"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11" w:right="239" w:bottom="1440" w:gutter="0" w:footer="0" w:header="0"/>
          <w:type w:val="continuous"/>
        </w:sectPr>
      </w:pPr>
    </w:p>
    <w:p>
      <w:pPr>
        <w:spacing w:after="0" w:line="84"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Non-accelerated filer o</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Smaller reporting company o</w:t>
      </w:r>
    </w:p>
    <w:p>
      <w:pPr>
        <w:spacing w:after="0" w:line="491" w:lineRule="exact"/>
        <w:rPr>
          <w:sz w:val="24"/>
          <w:szCs w:val="24"/>
          <w:color w:val="auto"/>
        </w:rPr>
      </w:pPr>
    </w:p>
    <w:p>
      <w:pPr>
        <w:sectPr>
          <w:pgSz w:w="11900" w:h="16838" w:orient="portrait"/>
          <w:cols w:equalWidth="0" w:num="4">
            <w:col w:w="2760" w:space="720"/>
            <w:col w:w="1740" w:space="720"/>
            <w:col w:w="1940" w:space="720"/>
            <w:col w:w="2820"/>
          </w:cols>
          <w:pgMar w:left="240" w:top="711"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R No</w:t>
      </w:r>
    </w:p>
    <w:p>
      <w:pPr>
        <w:spacing w:after="0" w:line="6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30, 2015 (the last business day of the registrant’s most recently completed second fiscal quarter), the aggregate market value of capital stock held by non-affiliates of the registrant was approximately $8,888,874,209. There were 309,777,647 shares of capital stock outstanding as of September 15, 2015.</w:t>
      </w:r>
    </w:p>
    <w:p>
      <w:pPr>
        <w:spacing w:after="0" w:line="19"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Portions of the Registrant’s Proxy Statement for the Annual Meeting of Shareholders to be held on November 18, 2015,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7"/>
                <w:szCs w:val="17"/>
                <w:color w:val="auto"/>
              </w:rPr>
            </w:pPr>
          </w:p>
        </w:tc>
      </w:tr>
      <w:tr>
        <w:trPr>
          <w:trHeight w:val="615"/>
        </w:trPr>
        <w:tc>
          <w:tcPr>
            <w:tcW w:w="4720" w:type="dxa"/>
            <w:vAlign w:val="bottom"/>
          </w:tcPr>
          <w:p>
            <w:pPr>
              <w:spacing w:after="0"/>
              <w:rPr>
                <w:sz w:val="20"/>
                <w:szCs w:val="20"/>
                <w:color w:val="auto"/>
              </w:rPr>
            </w:pPr>
            <w:r>
              <w:rPr>
                <w:rFonts w:ascii="Arial" w:cs="Arial" w:eastAsia="Arial" w:hAnsi="Arial"/>
                <w:sz w:val="18"/>
                <w:szCs w:val="18"/>
                <w:color w:val="0000FF"/>
              </w:rPr>
              <w:t>PART I</w:t>
            </w:r>
          </w:p>
        </w:tc>
        <w:tc>
          <w:tcPr>
            <w:tcW w:w="19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540" w:type="dxa"/>
            <w:vAlign w:val="bottom"/>
          </w:tcPr>
          <w:p>
            <w:pPr>
              <w:ind w:left="36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5">
              <w:r>
                <w:rPr>
                  <w:rFonts w:ascii="Arial" w:cs="Arial" w:eastAsia="Arial" w:hAnsi="Arial"/>
                  <w:sz w:val="18"/>
                  <w:szCs w:val="18"/>
                  <w:color w:val="0000EE"/>
                </w:rPr>
                <w:t>Item 1A. Risk Factors</w:t>
              </w:r>
            </w:hyperlink>
          </w:p>
        </w:tc>
        <w:tc>
          <w:tcPr>
            <w:tcW w:w="540" w:type="dxa"/>
            <w:vAlign w:val="bottom"/>
          </w:tcPr>
          <w:p>
            <w:pPr>
              <w:ind w:left="360"/>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1B. Unresolved Staff Comments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3. Legal Proceedings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4. Mine Safety Disclosures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Executive Officers of the Company</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11</w:t>
              </w:r>
            </w:hyperlink>
          </w:p>
        </w:tc>
      </w:tr>
      <w:tr>
        <w:trPr>
          <w:trHeight w:val="270"/>
        </w:trPr>
        <w:tc>
          <w:tcPr>
            <w:tcW w:w="9460" w:type="dxa"/>
            <w:vAlign w:val="bottom"/>
            <w:gridSpan w:val="3"/>
          </w:tcPr>
          <w:p>
            <w:pPr>
              <w:spacing w:after="0"/>
              <w:rPr>
                <w:sz w:val="20"/>
                <w:szCs w:val="20"/>
                <w:color w:val="auto"/>
              </w:rPr>
            </w:pPr>
            <w:r>
              <w:rPr>
                <w:rFonts w:ascii="Arial" w:cs="Arial" w:eastAsia="Arial" w:hAnsi="Arial"/>
                <w:sz w:val="18"/>
                <w:szCs w:val="18"/>
                <w:color w:val="0000FF"/>
              </w:rPr>
              <w:t>PART II</w:t>
            </w:r>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5. Market for Registrant’s Capital Stock, Related Shareholder Matters and Issuer Purchases of Equity Securities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2">
              <w:r>
                <w:rPr>
                  <w:rFonts w:ascii="Arial" w:cs="Arial" w:eastAsia="Arial" w:hAnsi="Arial"/>
                  <w:sz w:val="18"/>
                  <w:szCs w:val="18"/>
                  <w:color w:val="0000EE"/>
                </w:rPr>
                <w:t>Item 6. Selected Financial Data</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4">
              <w:r>
                <w:rPr>
                  <w:rFonts w:ascii="Arial" w:cs="Arial" w:eastAsia="Arial" w:hAnsi="Arial"/>
                  <w:sz w:val="18"/>
                  <w:szCs w:val="18"/>
                  <w:color w:val="0000EE"/>
                </w:rPr>
                <w:t>Item 7. Management's Discussion and Analysis of Financial Condition and Results of Operations</w:t>
              </w:r>
            </w:hyperlink>
          </w:p>
        </w:tc>
        <w:tc>
          <w:tcPr>
            <w:tcW w:w="540" w:type="dxa"/>
            <w:vAlign w:val="bottom"/>
          </w:tcPr>
          <w:p>
            <w:pPr>
              <w:ind w:left="36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2">
              <w:r>
                <w:rPr>
                  <w:rFonts w:ascii="Arial" w:cs="Arial" w:eastAsia="Arial" w:hAnsi="Arial"/>
                  <w:sz w:val="18"/>
                  <w:szCs w:val="18"/>
                  <w:color w:val="0000EE"/>
                </w:rPr>
                <w:t>Item 7A. Quantitative and Qualitative Disclosure about Market Risk</w:t>
              </w:r>
            </w:hyperlink>
          </w:p>
        </w:tc>
        <w:tc>
          <w:tcPr>
            <w:tcW w:w="540" w:type="dxa"/>
            <w:vAlign w:val="bottom"/>
          </w:tcPr>
          <w:p>
            <w:pPr>
              <w:ind w:left="36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2">
              <w:r>
                <w:rPr>
                  <w:rFonts w:ascii="Arial" w:cs="Arial" w:eastAsia="Arial" w:hAnsi="Arial"/>
                  <w:sz w:val="18"/>
                  <w:szCs w:val="18"/>
                  <w:color w:val="0000EE"/>
                </w:rPr>
                <w:t>Item 8. Financial Statements and Supplementary Data</w:t>
              </w:r>
            </w:hyperlink>
          </w:p>
        </w:tc>
        <w:tc>
          <w:tcPr>
            <w:tcW w:w="540" w:type="dxa"/>
            <w:vAlign w:val="bottom"/>
          </w:tcPr>
          <w:p>
            <w:pPr>
              <w:ind w:left="36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9. Changes in and Disagreements with Accountants on Accounting and Financial Disclosure</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9A. Controls and Procedures</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9B. Other Information</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70"/>
        </w:trPr>
        <w:tc>
          <w:tcPr>
            <w:tcW w:w="9460" w:type="dxa"/>
            <w:vAlign w:val="bottom"/>
            <w:gridSpan w:val="3"/>
          </w:tcPr>
          <w:p>
            <w:pPr>
              <w:spacing w:after="0"/>
              <w:rPr>
                <w:sz w:val="20"/>
                <w:szCs w:val="20"/>
                <w:color w:val="auto"/>
              </w:rPr>
            </w:pPr>
            <w:r>
              <w:rPr>
                <w:rFonts w:ascii="Arial" w:cs="Arial" w:eastAsia="Arial" w:hAnsi="Arial"/>
                <w:sz w:val="18"/>
                <w:szCs w:val="18"/>
                <w:color w:val="0000FF"/>
              </w:rPr>
              <w:t>PART III</w:t>
            </w:r>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10. Directors, Executive Officers and Corporate Governance</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11. Executive Compensation</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12. Security Ownership of Certain Beneficial Owners and Management and Related Shareholder Matters</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79</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9">
              <w:r>
                <w:rPr>
                  <w:rFonts w:ascii="Arial" w:cs="Arial" w:eastAsia="Arial" w:hAnsi="Arial"/>
                  <w:sz w:val="18"/>
                  <w:szCs w:val="18"/>
                  <w:color w:val="0000EE"/>
                </w:rPr>
                <w:t>Item 13. Certain Relationships and Related Transactions, and Director Independence</w:t>
              </w:r>
            </w:hyperlink>
          </w:p>
        </w:tc>
        <w:tc>
          <w:tcPr>
            <w:tcW w:w="540" w:type="dxa"/>
            <w:vAlign w:val="bottom"/>
          </w:tcPr>
          <w:p>
            <w:pPr>
              <w:ind w:left="36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9">
              <w:r>
                <w:rPr>
                  <w:rFonts w:ascii="Arial" w:cs="Arial" w:eastAsia="Arial" w:hAnsi="Arial"/>
                  <w:sz w:val="18"/>
                  <w:szCs w:val="18"/>
                  <w:color w:val="0000EE"/>
                </w:rPr>
                <w:t>Item 14. Principal Accounting Fees and Services</w:t>
              </w:r>
            </w:hyperlink>
          </w:p>
        </w:tc>
        <w:tc>
          <w:tcPr>
            <w:tcW w:w="540" w:type="dxa"/>
            <w:vAlign w:val="bottom"/>
          </w:tcPr>
          <w:p>
            <w:pPr>
              <w:ind w:left="36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270"/>
        </w:trPr>
        <w:tc>
          <w:tcPr>
            <w:tcW w:w="946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 xml:space="preserve">PART </w:t>
              </w:r>
            </w:hyperlink>
            <w:r>
              <w:rPr>
                <w:rFonts w:ascii="Arial" w:cs="Arial" w:eastAsia="Arial" w:hAnsi="Arial"/>
                <w:sz w:val="18"/>
                <w:szCs w:val="18"/>
                <w:color w:val="0000FF"/>
              </w:rPr>
              <w:t>IV</w:t>
            </w:r>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9">
              <w:r>
                <w:rPr>
                  <w:rFonts w:ascii="Arial" w:cs="Arial" w:eastAsia="Arial" w:hAnsi="Arial"/>
                  <w:sz w:val="18"/>
                  <w:szCs w:val="18"/>
                  <w:color w:val="0000EE"/>
                </w:rPr>
                <w:t>Item 15. Exhibits and Financial Statement Schedules</w:t>
              </w:r>
            </w:hyperlink>
          </w:p>
        </w:tc>
        <w:tc>
          <w:tcPr>
            <w:tcW w:w="540" w:type="dxa"/>
            <w:vAlign w:val="bottom"/>
          </w:tcPr>
          <w:p>
            <w:pPr>
              <w:ind w:left="36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540" w:type="dxa"/>
            <w:vAlign w:val="bottom"/>
          </w:tcPr>
          <w:p>
            <w:pPr>
              <w:ind w:left="360"/>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83</w:t>
              </w:r>
            </w:hyperlink>
          </w:p>
        </w:tc>
      </w:tr>
      <w:tr>
        <w:trPr>
          <w:trHeight w:val="702"/>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 manufacturer and marketer of high-quality, branded convenience food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long-term goal is to build shareholder value by driving sustainable, profitable net sales growth. Guided by our purpose - “Real Food That Matters For Life’s Moments,” we expect to deliver this goal by executing against a dual strategy of strengthening our core businesses while also expanding into faster-growing spaces. We have made a number of enterprise design and portfolio changes over the past several years in support of this strategy, including the following:</w:t>
      </w:r>
    </w:p>
    <w:p>
      <w:pPr>
        <w:spacing w:after="0" w:line="133" w:lineRule="exact"/>
        <w:rPr>
          <w:sz w:val="20"/>
          <w:szCs w:val="20"/>
          <w:color w:val="auto"/>
        </w:rPr>
      </w:pPr>
    </w:p>
    <w:p>
      <w:pPr>
        <w:jc w:val="both"/>
        <w:ind w:left="500" w:hanging="168"/>
        <w:spacing w:after="0" w:line="264"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7" w:lineRule="exact"/>
        <w:rPr>
          <w:rFonts w:ascii="Arial" w:cs="Arial" w:eastAsia="Arial" w:hAnsi="Arial"/>
          <w:sz w:val="18"/>
          <w:szCs w:val="18"/>
          <w:color w:val="auto"/>
        </w:rPr>
      </w:pPr>
    </w:p>
    <w:p>
      <w:pPr>
        <w:jc w:val="both"/>
        <w:ind w:left="500" w:hanging="168"/>
        <w:spacing w:after="0" w:line="257"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support of the new enterprise design, we designed and implemented a new Integrated Global Services (IGS) organization to deliver shared services across the company. IGS, which became effective at the beginning of 2016, is expected to reduce costs while increasing our efficiency and effectiveness. We are also pursuing other initiatives to reduce costs and increase effectiveness, such as streamlining our organizational structure and adopting zero-based budgeting over time. See "Management’s Discussion and Analysis of Financial Condition and Results of Operations" for additional information on these initiatives.</w:t>
      </w:r>
    </w:p>
    <w:p>
      <w:pPr>
        <w:spacing w:after="0" w:line="134" w:lineRule="exact"/>
        <w:rPr>
          <w:rFonts w:ascii="Arial" w:cs="Arial" w:eastAsia="Arial" w:hAnsi="Arial"/>
          <w:sz w:val="18"/>
          <w:szCs w:val="18"/>
          <w:color w:val="auto"/>
        </w:rPr>
      </w:pPr>
    </w:p>
    <w:p>
      <w:pPr>
        <w:jc w:val="both"/>
        <w:ind w:left="500" w:hanging="168"/>
        <w:spacing w:after="0" w:line="297"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2013, we acquired Bolthouse Farms and Plum. In 2014, we acquired Kelsen and divested our European simple meals business. Most recently, on June 29, 2015, we completed the acquisition of the assets of Garden Fresh Gourmet for approximately $230 million. Garden Fresh Gourmet is a provider of refrigerated salsa in North America, and it also produces hummus, dips and tortilla chips. We funded the Garden Fresh Gourmet acquisition through the issuance of commercial paper. See Note 3 to the Consolidated Financial Statements for additional information on our recent acquisitions, and Note 4 to the Consolidated Financial Statements for additional information on our divestiture of the European simple meals business.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dual strategy of strengthening our core businesses while also expanding into faster-growing spaces,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Reportable Segments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Through the fourth quarter of 2015, we reported the results of our operations in the following reportable segments: U.S. Simple Meals; Global Baking and Snacking; International Simple Meals and Beverages; U.S. Beverages; and Bolthouse and Foodservice. During this period, we had 11 operating segments based on product type and geographic location, and we aggregated the operating segments into the appropriate reportable segment based on similar economic characteristics, products, production processes, types or classes of customers, distribution methods and regulatory environment. See also Note 7 to the Consolidated Financial Statements. The 2015 reportable segments are discussed in greater detail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Simple Meals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The U.S. Simple Meals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gravies, pasta, beans and dinner sauces;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canned poultry; and </w:t>
      </w:r>
      <w:r>
        <w:rPr>
          <w:rFonts w:ascii="Arial" w:cs="Arial" w:eastAsia="Arial" w:hAnsi="Arial"/>
          <w:sz w:val="17"/>
          <w:szCs w:val="17"/>
          <w:i w:val="1"/>
          <w:iCs w:val="1"/>
          <w:color w:val="auto"/>
        </w:rPr>
        <w:t>Plum</w:t>
      </w:r>
      <w:r>
        <w:rPr>
          <w:rFonts w:ascii="Arial" w:cs="Arial" w:eastAsia="Arial" w:hAnsi="Arial"/>
          <w:sz w:val="17"/>
          <w:szCs w:val="17"/>
          <w:color w:val="auto"/>
        </w:rPr>
        <w:t xml:space="preserve"> food and snacks.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Baking and Snacking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Global Baking and Snacking segment aggregates the following operating segments: Pepperidge Farm cookies, crackers, bakery and frozen products in U.S. retail; Arnott’s biscuits in Australia and Asia Pacific; and Kelsen cookies globally.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Simple Meals and Beverages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International Simple Meals and Beverages segment aggregates the following operating segments: the retail business in Canada and the simple meals and beverages business in Asia Pacific, Latin America and China. See “Background” and Note 4 to the Consolidated Financial Statements for information on the sale of the European simple meals business, which was historically</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ind w:right="1500"/>
        <w:spacing w:after="0" w:line="438" w:lineRule="auto"/>
        <w:rPr>
          <w:sz w:val="20"/>
          <w:szCs w:val="20"/>
          <w:color w:val="auto"/>
        </w:rPr>
      </w:pPr>
      <w:r>
        <w:rPr>
          <w:rFonts w:ascii="Arial" w:cs="Arial" w:eastAsia="Arial" w:hAnsi="Arial"/>
          <w:sz w:val="18"/>
          <w:szCs w:val="18"/>
          <w:color w:val="auto"/>
        </w:rPr>
        <w:t xml:space="preserve">included in this segment. The results of operations of the European simple meals business have been reflected as discontinued operations. </w:t>
      </w:r>
      <w:r>
        <w:rPr>
          <w:rFonts w:ascii="Arial" w:cs="Arial" w:eastAsia="Arial" w:hAnsi="Arial"/>
          <w:sz w:val="18"/>
          <w:szCs w:val="18"/>
          <w:b w:val="1"/>
          <w:bCs w:val="1"/>
          <w:color w:val="auto"/>
        </w:rPr>
        <w:t>U.S. Beverages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U.S. Beverages segment represents the U.S. retail beverages business, including the following products: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Bolthouse and Foodservice</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Bolthouse and Foodservice comprises the Bolthouse Farms carrot products operating segment (Farms), including fresh carrots, juice concentrate and fiber; the Bolthouse Farms refrigerated beverages and refrigerated salad dressings operating segment (CPG); the North America Foodservice operating segment; and as of June 29, 2015, the Garden Fresh Gourmet operating segment. The North America Foodservice operating segment represents the distribution of products such as soup, specialty entrées, beverage products, other prepared foods and Pepperidge Farm products through various food service channels in the U.S. and Canada. None of these operating segments meets the criteria for aggregation nor the thresholds for separate disclosure.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Reportable Segments in 2016</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discussed above, we recently announced plans to organize our businesses into three divisions: Americas Simple Meals and Beverages, Global Biscuits and Snacks, and Campbell Fresh. At the beginning of 2016, we implemented this new enterprise design, and we are now managing our operations under the design. Accordingly, we will modify our segment reporting as appropriate in future filings.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Ingredients and Packaging</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ingredient and packaging materials required for the manufacture of our food products are purchased from various suppliers. These items are subject to fluctuations in price attributable to a number of factors, including changes in crop size, cattle cycles, disease, product scarcity, demand for raw materials, commodity market speculation, energy costs, currency fluctuations, government-sponsored agricultural programs, import and export requirements, drought and other weather conditions (including the potential effects of climate change)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at a peak during the late fall and decline during the winter and spring. Since many ingredients of suitable quality are available in sufficient quantities only at certain seasons, we make commitments for the purchase of such ingredients during their respective seasons. At this time, we do not anticipate any material restrictions on the availability of ingredients or packaging that would have a significant impact on our businesses. For information on the impact of inflation, see “Management’s Discussion and Analysis of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most of our markets, sales and merchandising activities are conducted through our own sales force and our third-party broker and distributor partners. In the U.S., Canada and Latin America, our products are generally resold to consumers in retail food chains, mass discounters, mass merchandisers, club stores, convenience stores, drug stores, dollar stores and other retail, commercial and non-commercial establishments. In the Asia Pacific region, our products are generally resold to consumers through retail food chains, convenience stores and other retail, commercial and non-commercial establishments. We make shipments promptly after receipt and acceptance of orders.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five largest customers accounted for approximately 38% of our consolidated net sales from continuing operations in 2015, 35% in 2014 and 36% in 2013. Our largest customer, Wal-Mart Stores, Inc. and its affiliates, accounted for approximately 20% of our consolidated net sales in 2015 and 19% in 2014 and 2013. All of our reportable segments sold products to Wal-Mart Stores, Inc. or its affiliates. No other customer accounted for 10% or more of our consolidated net sales.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As of September 15, 2015, we owned over 3,700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7"/>
          <w:szCs w:val="17"/>
          <w:i w:val="1"/>
          <w:iCs w:val="1"/>
          <w:color w:val="auto"/>
        </w:rPr>
        <w:t>Arnott's, Bolthouse Farms, Campbell's, Garden Fresh Gourmet, Goldfish, Kjeldsens,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Pace, Pepperidge Farm, Plum, Prego, Swanson, </w:t>
      </w:r>
      <w:r>
        <w:rPr>
          <w:rFonts w:ascii="Arial" w:cs="Arial" w:eastAsia="Arial" w:hAnsi="Arial"/>
          <w:sz w:val="17"/>
          <w:szCs w:val="17"/>
          <w:color w:val="auto"/>
        </w:rPr>
        <w:t>and</w:t>
      </w:r>
      <w:r>
        <w:rPr>
          <w:rFonts w:ascii="Arial" w:cs="Arial" w:eastAsia="Arial" w:hAnsi="Arial"/>
          <w:sz w:val="17"/>
          <w:szCs w:val="17"/>
          <w:i w:val="1"/>
          <w:iCs w:val="1"/>
          <w:color w:val="auto"/>
        </w:rPr>
        <w:t xml:space="preserve"> V8, </w:t>
      </w:r>
      <w:r>
        <w:rPr>
          <w:rFonts w:ascii="Arial" w:cs="Arial" w:eastAsia="Arial" w:hAnsi="Arial"/>
          <w:sz w:val="17"/>
          <w:szCs w:val="17"/>
          <w:color w:val="auto"/>
        </w:rPr>
        <w:t>are protected by trademark law in the major markets where they are used. In addition, some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are sold under brands that have been licensed from third parties.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and proprietary trade secrets, technology, know-how, processes, and other intellectual property rights that are not registered.</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14"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experience worldwide competition in all of our principal products. This competition arises from numerous competitors of varying sizes across multiple food and beverage categories, and includes producers of generic and private label products, as well as other branded food and beverage manufacturers. All of these competitors vie for trade merchandising support and consumer dollars. The number of competitors cannot be reliably estimated. The principal areas of competition are brand recognition, taste, quality, price, advertising, promotion, convenience and service.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relating to our cash and working capital items,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2015, our aggregate capital expenditures were $380 million. We expect to spend approximately $350 million for capital projects in 2016. Major 2016 capital projects include an ongoing Bolthouse Farms beverage and salad dressing capacity expansion project, an ongoing North American warehouse capacity expansion project, a new Australian multi-pack biscuit capacity expansion project and a new refrigeration replacement project at our Virginia, Australia, plant.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fiscal years, our expenditures on research and development activities relating to new products and the improvement and maintenance of existing products were $113 million in 2015, $121 million in 2014, and $128 million in 2013. The decrease from 2014 to 2015 was primarily due to savings from cost reduction and restructuring initiatives. The decrease from 2013 to 2014 was primarily due to lower incentive compensation costs and cost savings from restructuring initiatives, partially offset by the impact of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requirements for the operation and design of our facilities that meet or exceed applicable environmental rules and regulations. Of our $380 million in capital expenditures made during 2015, approximately $12 million was for compliance with environmental laws and regulations in the U.S. We further estimate that approximately $10 million of the capital expenditures anticipated during 2016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including the recently-enacted regulations in the U.S. to limit carbon dioxide emissions from electric utilities,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Demand for our products is somewhat seasonal, with the fall and winter months usually accounting for the highest sales volume due primarily to demand for our soup products. Sales of Kelsen products are also highest in the fall and winter months due primarily to holiday gift giving. Demand for our other products is generally evenly distributed throughout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August 2, 2015, we had approximately 18,600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information for our reportable segments and geographic areas is found in Note 7 to the Consolidated Financial Statements. For risks attendant to our foreign operations, see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this website (under the “Investor Center — Financial Information — SEC Filings” caption) all of our reports (including amendments) filed or furnished pursuant to Section 13(a) or 15(d) of the Securities Exchange Act of 1934,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5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1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operate in the highly competitive food industry and experience international competition in all of our principal products. The principal areas of competition are brand recognition, taste, quality, price, advertising, promotion, convenience and service. A number of our primary competitors have substantial financial, marketing and other resources. A strong competitive response from one or more of these competitors to our marketplace efforts, or a consumer shift towards private label offerings, could result in us reducing pricing, increasing marketing or other expenditures, and/or losing market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are dependent on strengthening our core businesses while diversifying into faster-growing spaces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strategy is focused on strengthening our core businesses while diversifying our portfolio into faster-growing spaces. Our core businesses are concentrated in slower-growing center-store categories in traditional mass and grocery channels. Factors that may impact our success include:</w:t>
      </w:r>
    </w:p>
    <w:p>
      <w:pPr>
        <w:spacing w:after="0" w:line="120"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and capitalize on faster-growing spaces;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identify and capitalize on customer or consumer trends, including those related to new or improved products or packaging or to our existing products;</w:t>
      </w:r>
    </w:p>
    <w:p>
      <w:pPr>
        <w:spacing w:after="0" w:line="143"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design and implement effective retail execution plans;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design and implement effective advertising and marketing programs, including digital programs;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or maintain sufficient shelf space at retailers;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underlying growth rates of the categories in which we compete.</w:t>
      </w:r>
    </w:p>
    <w:p>
      <w:pPr>
        <w:spacing w:after="0" w:line="185" w:lineRule="exact"/>
        <w:rPr>
          <w:sz w:val="20"/>
          <w:szCs w:val="20"/>
          <w:color w:val="auto"/>
        </w:rPr>
      </w:pPr>
    </w:p>
    <w:p>
      <w:pPr>
        <w:ind w:right="180"/>
        <w:spacing w:after="0" w:line="438" w:lineRule="auto"/>
        <w:rPr>
          <w:sz w:val="20"/>
          <w:szCs w:val="20"/>
          <w:color w:val="auto"/>
        </w:rPr>
      </w:pPr>
      <w:r>
        <w:rPr>
          <w:rFonts w:ascii="Arial" w:cs="Arial" w:eastAsia="Arial" w:hAnsi="Arial"/>
          <w:sz w:val="18"/>
          <w:szCs w:val="18"/>
          <w:color w:val="auto"/>
        </w:rPr>
        <w:t xml:space="preserve">If we are not successful in addressing theses factors, our strategy may not be successful and/or our business or financial results may be negatively impacted. </w:t>
      </w:r>
      <w:r>
        <w:rPr>
          <w:rFonts w:ascii="Arial" w:cs="Arial" w:eastAsia="Arial" w:hAnsi="Arial"/>
          <w:sz w:val="18"/>
          <w:szCs w:val="18"/>
          <w:b w:val="1"/>
          <w:bCs w:val="1"/>
          <w:color w:val="auto"/>
        </w:rPr>
        <w:t>We may not realize anticipated benefits from our cost reduction, organizational design or other initiatives</w:t>
      </w:r>
    </w:p>
    <w:p>
      <w:pPr>
        <w:spacing w:after="0" w:line="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recently implemented a new enterprise design focused mainly on product categories. We are also pursuing related initiatives to reduce costs and increase effectiveness, such as streamlining our organization and adopting zero-based budgeting over time. The success of these initiatives presents significant organizational challenges and in some cases may require extensive negotiations with third parties, such as suppliers and other business partners. As a result, we may not realize all or part of the anticipated cost savings or other benefits from the initiatives. Other events and circumstances, such as financial or strategic difficulties, delays or unexpected costs, may also adversely impact our ability to realize all or part of the anticipated cost savings or other benefits, or cause us not to realize the anticipated cost savings or other benefits on the expected timetable. If we are unable to realize the anticipated cost savings, our ability to fund other initiatives may be adversely affected. In addition, the initiatives may not advance our strategy as expected. Finally, the complexity of the initiatives will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customers, and impact employee morale.</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time-to-time, we may also implement other supply chain, information technology or related initiatives. Our success is partly dependent upon properly executing, and realizing cost savings or other benefits from, these additional initiatives, which are often complex.</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Any failure to implement our cost reduction, organizational design or other initiatives in accordance with our plans could adversely affect our business or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the failure to execute acquisitions and divestitures successfully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ability to meet our objectives with respect to the acquisition of new businesses or the divestiture of existing businesses may depend in part on our ability to identify suitable buyers and sellers, negotiate favorable financial terms and other contractual terms, and obtain all necessary regulatory approvals. Potential risks of acquisitions also include:</w:t>
      </w:r>
    </w:p>
    <w:p>
      <w:pPr>
        <w:spacing w:after="0" w:line="154"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integrate acquired businesses efficiently into our existing operations;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 of key employees and/or customers of acquired businesses;</w:t>
      </w:r>
    </w:p>
    <w:p>
      <w:pPr>
        <w:sectPr>
          <w:pgSz w:w="11900" w:h="16838" w:orient="portrait"/>
          <w:cols w:equalWidth="0" w:num="1">
            <w:col w:w="11420"/>
          </w:cols>
          <w:pgMar w:left="240" w:top="1229"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assumption of unknown liabilities;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implement promptly an effective control environment;</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impairment charges if purchase assumptions are not achieved or market conditions decline;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Acquisitions outside the U.S. may present unique challenges and increase our exposure to risks associated with foreign operations, including foreign currency risks and risks associated with local regulatory regimes. For divestitures, potential risks may also include the inability to separate divested businesses or business units from us effectively and efficiently and to reduce or eliminate associated overhead costs. Our business or financial results may be negatively affected if acquisitions or divestitures are not successfully implemented or completed.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manufacture and/or sell our products may be impaired by damage or disruption to our manufacturing or distribution capabilities, or to the capabilities of our suppliers or contract manufacturers, due to factors that are hard to predict or beyond our control, such as adverse weather conditions, natural disasters, fire, terrorism, pandemics, strikes or other events. Production of the agricultural commodities used in our business may also be adversely affected by drought, water scarcity, temperature extremes, scarcity of suitable agricultural land, crop disease and/or crop pests. Failure to take adequate steps to mitigate the likelihood or potential impact of such events, or to effectively manage such events if they occur, may adversely affect our business or financial results, particularly in circumstances where a product is sourced from a single supplier or location. Disputes with significant suppliers or contract manufacturers, including disputes regarding pricing or performance, may also adversely affect our ability to manufacture and/or sell our products, as well as our business or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non-U.S. operations pose additional risks to our business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approximately 21% of our consolidated net sales from continuing operations were generated outside of the U.S. Sales outside the U.S. are expected to continue to represent a significant portion of consolidated net sales. Our business or financial performance may be adversely affected due to the risks of doing business in markets outside of the U.S., including but not limited to the following:</w:t>
      </w:r>
    </w:p>
    <w:p>
      <w:pPr>
        <w:spacing w:after="0" w:line="154"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and import restrictions;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complying with a wide variety of laws, treaties and regulations, including anti-corruption laws and regulations such as the U.S. Foreign Corrupt Practices 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designing and implementing an effective control environment across diverse regions and employee 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foreign tax treaties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 including the possibility of civil unrest, armed hostilities or terrorist 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possible nationalization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enforcing remedies and protecting intellectual property in various jurisdictions;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countries outside of the U.S., including potentially negative tax consequences.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hold assets and incur liabilities, generate revenue, and pay expenses in a variety of currencies other than the U.S. dollar, primarily the Australian dollar and the Canadian dollar.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negatively affect the value of these items in our consolidated financial statements, even if their value has not changed in their local currency.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 relationships with our customers, suppliers and creditors. In addition, changes in tax or interest rates in the U.S. or other nations, whether due to recession, financial and credit market disruptions or other reasons, could impact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regulatory-based claims could adversely affect our business or financial results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manufacture and marketing of food products is extensively regulated. The primary areas of regulation include the processing, packaging, storage, distribution, marketing, advertising, labeling, quality and safety of our food products, as well as</w:t>
      </w:r>
    </w:p>
    <w:p>
      <w:pPr>
        <w:sectPr>
          <w:pgSz w:w="11900" w:h="16838" w:orient="portrait"/>
          <w:cols w:equalWidth="0" w:num="1">
            <w:col w:w="11420"/>
          </w:cols>
          <w:pgMar w:left="240" w:top="134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41" w:right="239" w:bottom="1440" w:gutter="0" w:footer="0" w:header="0"/>
          <w:type w:val="continuous"/>
        </w:sectPr>
      </w:pPr>
    </w:p>
    <w:bookmarkStart w:id="7" w:name="page8"/>
    <w:bookmarkEnd w:id="7"/>
    <w:p>
      <w:pPr>
        <w:jc w:val="both"/>
        <w:spacing w:after="0" w:line="271" w:lineRule="auto"/>
        <w:rPr>
          <w:sz w:val="20"/>
          <w:szCs w:val="20"/>
          <w:color w:val="auto"/>
        </w:rPr>
      </w:pPr>
      <w:r>
        <w:rPr>
          <w:rFonts w:ascii="Arial" w:cs="Arial" w:eastAsia="Arial" w:hAnsi="Arial"/>
          <w:sz w:val="17"/>
          <w:szCs w:val="17"/>
          <w:color w:val="auto"/>
        </w:rPr>
        <w:t>the health and safety of our employees and the protection of the environment. In the U.S., we are subject to regulation by various government agencies, including the Food and Drug Administration, the U.S. Department of Agriculture, the Federal Trade Commission, the Occupational Safety and Health Administration and the Environmental Protection Agency, as well as various state and local agencies. We are also regulated by similar agencies outside the U.S. Changes in regulatory requirements (such as proposed labeling requirements), or evolving interpretations of existing regulatory requirements, may result in increased compliance cost, capital expenditures and other financial obligations that could adversely affect our business or financial results. In addition, the marketing of food products has come under increased scrutiny in recent years, and the food industry has been subject to an increasing number of legal proceedings and claims relating to alleged false or deceptive marketing under federal, state and foreign laws or regulations. Legal proceedings or claims related to our marketing could damage our reputation and/or could adversely affect our business or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by increases in the price of raw and packaging materials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raw and packaging materials used in our business include tomato paste, grains, beef, poultry, vegetables, steel, glass, paper and resin. Many of these materials are subject to price fluctuations from a number of factors, including crop size, cattle cycles, disease, product scarcity, demand for raw materials, commodity market speculation, energy costs, currency fluctuations, government-sponsored agricultural programs, import and export requirements, drought and other weather conditions (including the potential effects of climate change). To the extent any of these factors result in an increase in raw and packaging material prices, we may not be able to offset such increases through productivity or price increases or through our commodity hedging activity.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the global climate or extreme weather conditions could adversely affect our business or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business or financial results could be adversely affected by changing global temperatures or weather patterns or by extreme or unusual weather conditions. Adverse changes in the global climate or extreme or unusual weather conditions could:</w:t>
      </w:r>
    </w:p>
    <w:p>
      <w:pPr>
        <w:spacing w:after="0" w:line="116"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unfavorably impact the cost or availability of raw or packaging materials, especially if such events have a negative impact on agricultural productivity or on the supply of water;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 our ability, or the ability of our suppliers or contract manufacturers, to manufacture or distribute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 the retail operations of our customers;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unfavorably impact the demand for, or the consumer's ability to purchase, our products.</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addition, there is growing concern that the release of carbon dioxide and other greenhouse gases into the atmosphere may be impacting global temperatures and weather patterns and contributing to extreme or unusual weather conditions. This growing concern may result in more regional, federal, and/or global legal and regulatory requirements to reduce or mitigate the effects of greenhouse gases. Adoption of such additional regulation may result in increased compliance costs, capital expenditures, and other financial obligations that could adversely affect our business or financial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increases may not be sufficient to cover increased costs, or may result in declines in sales volume due to pricing elasticity in the marketplace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intend to pass along to customers some or all cost increases in raw and packaging materials and other inputs through increases in the selling prices of, or decreases in the packaging sizes of, some of our products. Higher product prices or smaller packaging sizes may result in reductions in sales volume. To the extent the price increases or packaging size decreases are not sufficient to offset increased raw and packaging materials and other input costs, and/or if they result in significant decreases in sales volume, our business results and financial condition may be adversely affected.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changing customer landscape and the increased significance of some of our customers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businesses are largely concentrated in the traditional retail grocery trade. In recent years, alternative retail grocery channels, such as dollar stores, drug stores, club stores and Internet-based retailers, have increased their market share. This trend towards alternative channels is expected to continue in the future. If we are not successful in pursuing our strategy to expand sales in alternative retail grocery channels, our business or financial results may be adversely impacted. In addition, consolidations in the traditional retail grocery trade have produced large, sophisticated customers with increased buying power and negotiating strength who may seek lower prices, increased promotional programs funded by their suppliers or more favorable terms. These customers may use more of their shelf space for their private label products. If we are unable to use our scale, marketing expertise, product innovation and category leadership positions to respond to these customer dynamics, our business or financial results could be negatively impacted.</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our five largest customers accounted for approximately 38% of our consolidated net sales, with the largest customer, Wal-Mart Stores, Inc. and its affiliates, accounting for approximately 20% of our consolidated net sales. Disruption of sales to any of these customers, or to any of our other large customers, for an extended period of time could adversely affect our business or financial results.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4" w:right="2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if consumers are injured</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need to recall some of our products if they become adulterated or if they are mislabeled, and we may also be liable if the consumption of any of our products causes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Such a loss of confidence could occur even in the absence of a recall or a major product liability claim.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inadequacies in, or security breaches of, our information technology systems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information technology systems are critically important to our operations. We rely on our information technology systems (some of which are outsourced to third parties) to manage the data, communications and business processes for all of our functions, including our marketing, sales, manufacturing, logistics, customer service, accounting and administrative functions. If we do not allocate and effectively manage the resources necessary to build, sustain and protect an appropriate technology infrastructure, our business or financial results could be negatively impacted. Furthermore, our information technology systems may be vulnerable to material security breaches (including the access to or acquisition of customer, consumer or other confidential data), cyber-based attacks or other material system failures. If we are unable to prevent material failures, our operations may be impacted, and we may suffer other negative consequences such as reputational damage, litigation, remediation costs and/or penalties under various data privacy laws and regulations.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negatively impacted if consumers do not maintain their favorable perception of our brands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based in large part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and/or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negatively impacted.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negatively affect our financial results and net worth</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August 2, 2015, we had goodwill of $2.3 billion and other indefinite-lived intangible assets of $960 million.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goodwill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An impairment of the carrying value of goodwill or other indefinite-lived intangible assets could negatively affect our financial results and net worth.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proceedings or claims</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party to a variety of legal proceedings and claims arising out of the normal course of business. Since litigation is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In addition, our reputation could be damaged by allegations made in legal proceeding or claims (even if untrue). In the event we are unable to successfully defend ourselves against these proceedings or claims, or if our assessment of the materiality of these proceedings or claims proves inaccurate, our business or financial results may be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increased liabilities and costs related to our defined benefit pension plans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sponsor a number of defined benefit pension plans for employees in the U.S. and various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w:t>
      </w:r>
    </w:p>
    <w:p>
      <w:pPr>
        <w:sectPr>
          <w:pgSz w:w="11900" w:h="16838" w:orient="portrait"/>
          <w:cols w:equalWidth="0" w:num="1">
            <w:col w:w="11420"/>
          </w:cols>
          <w:pgMar w:left="240" w:top="131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10" w:right="239" w:bottom="1440" w:gutter="0" w:footer="0" w:header="0"/>
          <w:type w:val="continuous"/>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funding requirements of the plans and the funded status as recorded on the balance sheet. A significant increase in our obligations or future funding requirements could have a material adverse effect on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Manufacturing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Inside the U.S.</w:t>
            </w:r>
          </w:p>
        </w:tc>
        <w:tc>
          <w:tcPr>
            <w:tcW w:w="3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California</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Michigan</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Texas</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Bakersfield (BFS)</w:t>
            </w:r>
          </w:p>
        </w:tc>
        <w:tc>
          <w:tcPr>
            <w:tcW w:w="3380" w:type="dxa"/>
            <w:vAlign w:val="bottom"/>
          </w:tcPr>
          <w:p>
            <w:pPr>
              <w:ind w:left="220"/>
              <w:spacing w:after="0"/>
              <w:rPr>
                <w:sz w:val="20"/>
                <w:szCs w:val="20"/>
                <w:color w:val="auto"/>
              </w:rPr>
            </w:pPr>
            <w:r>
              <w:rPr>
                <w:rFonts w:ascii="Arial" w:cs="Arial" w:eastAsia="Arial" w:hAnsi="Arial"/>
                <w:sz w:val="18"/>
                <w:szCs w:val="18"/>
                <w:color w:val="auto"/>
              </w:rPr>
              <w:t>Ferndale (BFS)</w:t>
            </w:r>
          </w:p>
        </w:tc>
        <w:tc>
          <w:tcPr>
            <w:tcW w:w="2900" w:type="dxa"/>
            <w:vAlign w:val="bottom"/>
          </w:tcPr>
          <w:p>
            <w:pPr>
              <w:ind w:left="620"/>
              <w:spacing w:after="0"/>
              <w:rPr>
                <w:sz w:val="20"/>
                <w:szCs w:val="20"/>
                <w:color w:val="auto"/>
              </w:rPr>
            </w:pPr>
            <w:r>
              <w:rPr>
                <w:rFonts w:ascii="Arial" w:cs="Arial" w:eastAsia="Arial" w:hAnsi="Arial"/>
                <w:sz w:val="18"/>
                <w:szCs w:val="18"/>
                <w:color w:val="auto"/>
                <w:w w:val="93"/>
              </w:rPr>
              <w:t>Paris (USSM/USB/ISMB/BFS)</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Dixon (USSM/USB)</w:t>
            </w:r>
          </w:p>
        </w:tc>
        <w:tc>
          <w:tcPr>
            <w:tcW w:w="3380" w:type="dxa"/>
            <w:vAlign w:val="bottom"/>
          </w:tcPr>
          <w:p>
            <w:pPr>
              <w:ind w:left="220"/>
              <w:spacing w:after="0"/>
              <w:rPr>
                <w:sz w:val="20"/>
                <w:szCs w:val="20"/>
                <w:color w:val="auto"/>
              </w:rPr>
            </w:pPr>
            <w:r>
              <w:rPr>
                <w:rFonts w:ascii="Arial" w:cs="Arial" w:eastAsia="Arial" w:hAnsi="Arial"/>
                <w:sz w:val="18"/>
                <w:szCs w:val="18"/>
                <w:color w:val="auto"/>
              </w:rPr>
              <w:t>Grand Rapids (BFS)</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Utah</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Stockton (USSM/USB)</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New Jersey</w:t>
            </w:r>
          </w:p>
        </w:tc>
        <w:tc>
          <w:tcPr>
            <w:tcW w:w="2900" w:type="dxa"/>
            <w:vAlign w:val="bottom"/>
          </w:tcPr>
          <w:p>
            <w:pPr>
              <w:ind w:left="620"/>
              <w:spacing w:after="0"/>
              <w:rPr>
                <w:sz w:val="20"/>
                <w:szCs w:val="20"/>
                <w:color w:val="auto"/>
              </w:rPr>
            </w:pPr>
            <w:r>
              <w:rPr>
                <w:rFonts w:ascii="Arial" w:cs="Arial" w:eastAsia="Arial" w:hAnsi="Arial"/>
                <w:sz w:val="18"/>
                <w:szCs w:val="18"/>
                <w:color w:val="auto"/>
              </w:rPr>
              <w:t>Richmond (GBS)</w:t>
            </w: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Connecticut</w:t>
            </w:r>
          </w:p>
        </w:tc>
        <w:tc>
          <w:tcPr>
            <w:tcW w:w="3380" w:type="dxa"/>
            <w:vAlign w:val="bottom"/>
          </w:tcPr>
          <w:p>
            <w:pPr>
              <w:ind w:left="220"/>
              <w:spacing w:after="0"/>
              <w:rPr>
                <w:sz w:val="20"/>
                <w:szCs w:val="20"/>
                <w:color w:val="auto"/>
              </w:rPr>
            </w:pPr>
            <w:r>
              <w:rPr>
                <w:rFonts w:ascii="Arial" w:cs="Arial" w:eastAsia="Arial" w:hAnsi="Arial"/>
                <w:sz w:val="18"/>
                <w:szCs w:val="18"/>
                <w:color w:val="auto"/>
              </w:rPr>
              <w:t>East Brunswick (GBS)</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Washington</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Bloomfield (GBS)</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North Carolina</w:t>
            </w:r>
          </w:p>
        </w:tc>
        <w:tc>
          <w:tcPr>
            <w:tcW w:w="2900" w:type="dxa"/>
            <w:vAlign w:val="bottom"/>
          </w:tcPr>
          <w:p>
            <w:pPr>
              <w:ind w:left="620"/>
              <w:spacing w:after="0"/>
              <w:rPr>
                <w:sz w:val="20"/>
                <w:szCs w:val="20"/>
                <w:color w:val="auto"/>
              </w:rPr>
            </w:pPr>
            <w:r>
              <w:rPr>
                <w:rFonts w:ascii="Arial" w:cs="Arial" w:eastAsia="Arial" w:hAnsi="Arial"/>
                <w:sz w:val="18"/>
                <w:szCs w:val="18"/>
                <w:color w:val="auto"/>
              </w:rPr>
              <w:t>Everett (BFS)</w:t>
            </w: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Florida</w:t>
            </w:r>
          </w:p>
        </w:tc>
        <w:tc>
          <w:tcPr>
            <w:tcW w:w="3380" w:type="dxa"/>
            <w:vAlign w:val="bottom"/>
          </w:tcPr>
          <w:p>
            <w:pPr>
              <w:ind w:left="220"/>
              <w:spacing w:after="0"/>
              <w:rPr>
                <w:sz w:val="20"/>
                <w:szCs w:val="20"/>
                <w:color w:val="auto"/>
              </w:rPr>
            </w:pPr>
            <w:r>
              <w:rPr>
                <w:rFonts w:ascii="Arial" w:cs="Arial" w:eastAsia="Arial" w:hAnsi="Arial"/>
                <w:sz w:val="18"/>
                <w:szCs w:val="18"/>
                <w:color w:val="auto"/>
              </w:rPr>
              <w:t>Maxton (USSM/ISMB)</w:t>
            </w:r>
          </w:p>
        </w:tc>
        <w:tc>
          <w:tcPr>
            <w:tcW w:w="2900" w:type="dxa"/>
            <w:vAlign w:val="bottom"/>
          </w:tcPr>
          <w:p>
            <w:pPr>
              <w:ind w:left="620"/>
              <w:spacing w:after="0"/>
              <w:rPr>
                <w:sz w:val="20"/>
                <w:szCs w:val="20"/>
                <w:color w:val="auto"/>
              </w:rPr>
            </w:pPr>
            <w:r>
              <w:rPr>
                <w:rFonts w:ascii="Arial" w:cs="Arial" w:eastAsia="Arial" w:hAnsi="Arial"/>
                <w:sz w:val="18"/>
                <w:szCs w:val="18"/>
                <w:color w:val="auto"/>
              </w:rPr>
              <w:t>Prosser (BFS)</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Lakeland (GBS)</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Ohio</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Wisconsin</w:t>
            </w: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Illinois</w:t>
            </w:r>
          </w:p>
        </w:tc>
        <w:tc>
          <w:tcPr>
            <w:tcW w:w="3380" w:type="dxa"/>
            <w:vAlign w:val="bottom"/>
          </w:tcPr>
          <w:p>
            <w:pPr>
              <w:ind w:left="220"/>
              <w:spacing w:after="0"/>
              <w:rPr>
                <w:sz w:val="20"/>
                <w:szCs w:val="20"/>
                <w:color w:val="auto"/>
              </w:rPr>
            </w:pPr>
            <w:r>
              <w:rPr>
                <w:rFonts w:ascii="Arial" w:cs="Arial" w:eastAsia="Arial" w:hAnsi="Arial"/>
                <w:sz w:val="18"/>
                <w:szCs w:val="18"/>
                <w:color w:val="auto"/>
              </w:rPr>
              <w:t>Napoleon (USSM/USB/BFS/ISMB)</w:t>
            </w:r>
          </w:p>
        </w:tc>
        <w:tc>
          <w:tcPr>
            <w:tcW w:w="2900" w:type="dxa"/>
            <w:vAlign w:val="bottom"/>
          </w:tcPr>
          <w:p>
            <w:pPr>
              <w:ind w:left="620"/>
              <w:spacing w:after="0"/>
              <w:rPr>
                <w:sz w:val="20"/>
                <w:szCs w:val="20"/>
                <w:color w:val="auto"/>
              </w:rPr>
            </w:pPr>
            <w:r>
              <w:rPr>
                <w:rFonts w:ascii="Arial" w:cs="Arial" w:eastAsia="Arial" w:hAnsi="Arial"/>
                <w:sz w:val="18"/>
                <w:szCs w:val="18"/>
                <w:color w:val="auto"/>
              </w:rPr>
              <w:t>Milwaukee (USSM)</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Downers Grove (GBS)</w:t>
            </w:r>
          </w:p>
        </w:tc>
        <w:tc>
          <w:tcPr>
            <w:tcW w:w="3380" w:type="dxa"/>
            <w:vAlign w:val="bottom"/>
          </w:tcPr>
          <w:p>
            <w:pPr>
              <w:ind w:left="220"/>
              <w:spacing w:after="0"/>
              <w:rPr>
                <w:sz w:val="20"/>
                <w:szCs w:val="20"/>
                <w:color w:val="auto"/>
              </w:rPr>
            </w:pPr>
            <w:r>
              <w:rPr>
                <w:rFonts w:ascii="Arial" w:cs="Arial" w:eastAsia="Arial" w:hAnsi="Arial"/>
                <w:sz w:val="18"/>
                <w:szCs w:val="18"/>
                <w:color w:val="auto"/>
              </w:rPr>
              <w:t>Willard (GBS)</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Pennsylvania</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Denver (GBS)</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Downingtown (GBS/BFS)</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38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Outside the U.S.</w:t>
            </w:r>
          </w:p>
        </w:tc>
        <w:tc>
          <w:tcPr>
            <w:tcW w:w="33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Australia</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Canada</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Indonesia</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Huntingwood (GBS)</w:t>
            </w:r>
          </w:p>
        </w:tc>
        <w:tc>
          <w:tcPr>
            <w:tcW w:w="3380" w:type="dxa"/>
            <w:vAlign w:val="bottom"/>
          </w:tcPr>
          <w:p>
            <w:pPr>
              <w:ind w:left="220"/>
              <w:spacing w:after="0"/>
              <w:rPr>
                <w:sz w:val="20"/>
                <w:szCs w:val="20"/>
                <w:color w:val="auto"/>
              </w:rPr>
            </w:pPr>
            <w:r>
              <w:rPr>
                <w:rFonts w:ascii="Arial" w:cs="Arial" w:eastAsia="Arial" w:hAnsi="Arial"/>
                <w:sz w:val="18"/>
                <w:szCs w:val="18"/>
                <w:color w:val="auto"/>
              </w:rPr>
              <w:t>Toronto (USSM/ISMB/BFS)</w:t>
            </w:r>
          </w:p>
        </w:tc>
        <w:tc>
          <w:tcPr>
            <w:tcW w:w="2900" w:type="dxa"/>
            <w:vAlign w:val="bottom"/>
          </w:tcPr>
          <w:p>
            <w:pPr>
              <w:ind w:left="620"/>
              <w:spacing w:after="0"/>
              <w:rPr>
                <w:sz w:val="20"/>
                <w:szCs w:val="20"/>
                <w:color w:val="auto"/>
              </w:rPr>
            </w:pPr>
            <w:r>
              <w:rPr>
                <w:rFonts w:ascii="Arial" w:cs="Arial" w:eastAsia="Arial" w:hAnsi="Arial"/>
                <w:sz w:val="18"/>
                <w:szCs w:val="18"/>
                <w:color w:val="auto"/>
              </w:rPr>
              <w:t>Jawa Barat (GBS)</w:t>
            </w:r>
          </w:p>
        </w:tc>
        <w:tc>
          <w:tcPr>
            <w:tcW w:w="0" w:type="dxa"/>
            <w:vAlign w:val="bottom"/>
          </w:tcPr>
          <w:p>
            <w:pPr>
              <w:spacing w:after="0"/>
              <w:rPr>
                <w:sz w:val="1"/>
                <w:szCs w:val="1"/>
                <w:color w:val="auto"/>
              </w:rPr>
            </w:pPr>
          </w:p>
        </w:tc>
      </w:tr>
      <w:tr>
        <w:trPr>
          <w:trHeight w:val="270"/>
        </w:trPr>
        <w:tc>
          <w:tcPr>
            <w:tcW w:w="3800" w:type="dxa"/>
            <w:vAlign w:val="bottom"/>
          </w:tcPr>
          <w:p>
            <w:pPr>
              <w:ind w:left="340"/>
              <w:spacing w:after="0"/>
              <w:rPr>
                <w:sz w:val="20"/>
                <w:szCs w:val="20"/>
                <w:color w:val="auto"/>
              </w:rPr>
            </w:pPr>
            <w:r>
              <w:rPr>
                <w:rFonts w:ascii="Arial" w:cs="Arial" w:eastAsia="Arial" w:hAnsi="Arial"/>
                <w:sz w:val="18"/>
                <w:szCs w:val="18"/>
                <w:color w:val="auto"/>
              </w:rPr>
              <w:t>Marleston (GBS)</w:t>
            </w:r>
          </w:p>
        </w:tc>
        <w:tc>
          <w:tcPr>
            <w:tcW w:w="33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Denmark</w:t>
            </w:r>
          </w:p>
        </w:tc>
        <w:tc>
          <w:tcPr>
            <w:tcW w:w="2900" w:type="dxa"/>
            <w:vAlign w:val="bottom"/>
          </w:tcPr>
          <w:p>
            <w:pPr>
              <w:ind w:left="540"/>
              <w:spacing w:after="0"/>
              <w:rPr>
                <w:sz w:val="20"/>
                <w:szCs w:val="20"/>
                <w:color w:val="auto"/>
              </w:rPr>
            </w:pPr>
            <w:r>
              <w:rPr>
                <w:rFonts w:ascii="Arial" w:cs="Arial" w:eastAsia="Arial" w:hAnsi="Arial"/>
                <w:sz w:val="18"/>
                <w:szCs w:val="18"/>
                <w:b w:val="1"/>
                <w:bCs w:val="1"/>
                <w:i w:val="1"/>
                <w:iCs w:val="1"/>
                <w:color w:val="auto"/>
              </w:rPr>
              <w:t>Malaysia</w:t>
            </w:r>
          </w:p>
        </w:tc>
        <w:tc>
          <w:tcPr>
            <w:tcW w:w="0" w:type="dxa"/>
            <w:vAlign w:val="bottom"/>
          </w:tcPr>
          <w:p>
            <w:pPr>
              <w:spacing w:after="0"/>
              <w:rPr>
                <w:sz w:val="1"/>
                <w:szCs w:val="1"/>
                <w:color w:val="auto"/>
              </w:rPr>
            </w:pPr>
          </w:p>
        </w:tc>
      </w:tr>
      <w:tr>
        <w:trPr>
          <w:trHeight w:val="351"/>
        </w:trPr>
        <w:tc>
          <w:tcPr>
            <w:tcW w:w="3800" w:type="dxa"/>
            <w:vAlign w:val="bottom"/>
            <w:vMerge w:val="restart"/>
          </w:tcPr>
          <w:p>
            <w:pPr>
              <w:ind w:left="340"/>
              <w:spacing w:after="0"/>
              <w:rPr>
                <w:sz w:val="20"/>
                <w:szCs w:val="20"/>
                <w:color w:val="auto"/>
              </w:rPr>
            </w:pPr>
            <w:r>
              <w:rPr>
                <w:rFonts w:ascii="Arial" w:cs="Arial" w:eastAsia="Arial" w:hAnsi="Arial"/>
                <w:sz w:val="18"/>
                <w:szCs w:val="18"/>
                <w:color w:val="auto"/>
              </w:rPr>
              <w:t>Shepparton (ISMB)</w:t>
            </w:r>
          </w:p>
        </w:tc>
        <w:tc>
          <w:tcPr>
            <w:tcW w:w="3380" w:type="dxa"/>
            <w:vAlign w:val="bottom"/>
          </w:tcPr>
          <w:p>
            <w:pPr>
              <w:ind w:left="220"/>
              <w:spacing w:after="0"/>
              <w:rPr>
                <w:sz w:val="20"/>
                <w:szCs w:val="20"/>
                <w:color w:val="auto"/>
              </w:rPr>
            </w:pPr>
            <w:r>
              <w:rPr>
                <w:rFonts w:ascii="Arial" w:cs="Arial" w:eastAsia="Arial" w:hAnsi="Arial"/>
                <w:sz w:val="18"/>
                <w:szCs w:val="18"/>
                <w:color w:val="auto"/>
              </w:rPr>
              <w:t>Nørre Snede (GBS)</w:t>
            </w:r>
          </w:p>
        </w:tc>
        <w:tc>
          <w:tcPr>
            <w:tcW w:w="2900" w:type="dxa"/>
            <w:vAlign w:val="bottom"/>
            <w:vMerge w:val="restart"/>
          </w:tcPr>
          <w:p>
            <w:pPr>
              <w:ind w:left="620"/>
              <w:spacing w:after="0"/>
              <w:rPr>
                <w:sz w:val="20"/>
                <w:szCs w:val="20"/>
                <w:color w:val="auto"/>
              </w:rPr>
            </w:pPr>
            <w:r>
              <w:rPr>
                <w:rFonts w:ascii="Arial" w:cs="Arial" w:eastAsia="Arial" w:hAnsi="Arial"/>
                <w:sz w:val="18"/>
                <w:szCs w:val="18"/>
                <w:color w:val="auto"/>
                <w:w w:val="95"/>
              </w:rPr>
              <w:t>Selangor Darul Ehsan (ISMB)</w:t>
            </w:r>
          </w:p>
        </w:tc>
        <w:tc>
          <w:tcPr>
            <w:tcW w:w="0" w:type="dxa"/>
            <w:vAlign w:val="bottom"/>
          </w:tcPr>
          <w:p>
            <w:pPr>
              <w:spacing w:after="0"/>
              <w:rPr>
                <w:sz w:val="1"/>
                <w:szCs w:val="1"/>
                <w:color w:val="auto"/>
              </w:rPr>
            </w:pPr>
          </w:p>
        </w:tc>
      </w:tr>
      <w:tr>
        <w:trPr>
          <w:trHeight w:val="81"/>
        </w:trPr>
        <w:tc>
          <w:tcPr>
            <w:tcW w:w="380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00" w:type="dxa"/>
            <w:vAlign w:val="bottom"/>
            <w:vMerge w:val="restart"/>
          </w:tcPr>
          <w:p>
            <w:pPr>
              <w:ind w:left="340"/>
              <w:spacing w:after="0"/>
              <w:rPr>
                <w:sz w:val="20"/>
                <w:szCs w:val="20"/>
                <w:color w:val="auto"/>
              </w:rPr>
            </w:pPr>
            <w:r>
              <w:rPr>
                <w:rFonts w:ascii="Arial" w:cs="Arial" w:eastAsia="Arial" w:hAnsi="Arial"/>
                <w:sz w:val="18"/>
                <w:szCs w:val="18"/>
                <w:color w:val="auto"/>
              </w:rPr>
              <w:t>Virginia (GBS)</w:t>
            </w:r>
          </w:p>
        </w:tc>
        <w:tc>
          <w:tcPr>
            <w:tcW w:w="3380" w:type="dxa"/>
            <w:vAlign w:val="bottom"/>
          </w:tcPr>
          <w:p>
            <w:pPr>
              <w:ind w:left="220"/>
              <w:spacing w:after="0"/>
              <w:rPr>
                <w:sz w:val="20"/>
                <w:szCs w:val="20"/>
                <w:color w:val="auto"/>
              </w:rPr>
            </w:pPr>
            <w:r>
              <w:rPr>
                <w:rFonts w:ascii="Arial" w:cs="Arial" w:eastAsia="Arial" w:hAnsi="Arial"/>
                <w:sz w:val="18"/>
                <w:szCs w:val="18"/>
                <w:color w:val="auto"/>
              </w:rPr>
              <w:t>Ribe (GBS)</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0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6"/>
                <w:szCs w:val="16"/>
                <w:color w:val="auto"/>
              </w:rPr>
              <w:t>____________________________________</w:t>
            </w:r>
          </w:p>
        </w:tc>
        <w:tc>
          <w:tcPr>
            <w:tcW w:w="3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USSM - U.S. Simple Meals</w:t>
            </w: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GBS - Global Baking and Snacking</w:t>
            </w: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4"/>
              </w:rPr>
              <w:t>ISMB - International Simple Meals and Beverages</w:t>
            </w: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USB - U.S. Beverages</w:t>
            </w:r>
          </w:p>
        </w:tc>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BFS - Bolthouse and Foodservice</w:t>
            </w:r>
          </w:p>
        </w:tc>
        <w:tc>
          <w:tcPr>
            <w:tcW w:w="3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the foregoing manufacturing facilities is company-owned, except the Selangor Darul Ehsan, Malaysia, and the East Brunswick, New Jersey, facilities, which are leased. We also maintain executive offices in Norwalk, Connecticut; Santa Monica, California; Emeryville, California; Toronto, Canada; Nørre Snede, Denmark; and North Strathfield, Australia.</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manufacturing and processing plants are well maintained and are generally adequate to support the current operations of the businesses.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list of executive officers as of September 15, 2015, is included as an item in Part III of this Form 10-K:</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Appointed</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3440" w:type="dxa"/>
            <w:vAlign w:val="bottom"/>
          </w:tcPr>
          <w:p>
            <w:pPr>
              <w:spacing w:after="0"/>
              <w:rPr>
                <w:sz w:val="12"/>
                <w:szCs w:val="12"/>
                <w:color w:val="auto"/>
              </w:rPr>
            </w:pPr>
          </w:p>
        </w:tc>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Present Title</w:t>
            </w:r>
          </w:p>
        </w:tc>
        <w:tc>
          <w:tcPr>
            <w:tcW w:w="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344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Officer</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 R. Alexander</w:t>
            </w: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2009</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Carlos J. Barroso</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David B. Biegger</w:t>
            </w: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2014</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Ed Carolan</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Adam G. Ciongoli</w:t>
            </w: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 and General Counsel</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Anthony P. DiSilvestro</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 Chief Financial Officer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2004</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T. Dunn</w:t>
            </w: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Luca Mignini</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Denise M. Morrison</w:t>
            </w: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2003</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Robert W. Morrissey</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and Chief Human Resources Officer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1"/>
                <w:szCs w:val="21"/>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Michael P. Senackerib</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2012</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Carlos J. Barroso served as President and Founder of CJB and Associates, LLC, an R&amp;D consulting firm (2009 - 2013), and Senior Vice President of R&amp;D, Pepsico Global Foods (2008 - 2009), of PepsiCo, Inc. prior to joining us in 2013. Adam G. Ciongoli served as Executive Vice President and General Counsel of Lincoln Financial Group (2012 - 2015) and Group General Counsel and Secretary of Willis Group Holdings, PLC (2007 - 2012) prior to joining us in 2015. Jeffrey T. Dunn served as President of Bolthouse Farms from 2008 until his promotion to Senior Vice President in 2015. Luca Mignini served as Chief Executive Officer of the Findus Italy division of IGLO Group (2010 - 2012) prior to joining us in 2013. Michael P. Senackerib served as Senior Vice President and Chief Marketing Officer of Hertz Global Holdings, Inc. and The Hertz Corporation (2008 - 2011) prior to joining us in 2012. We have employed Mark R. Alexander, David B. Biegger, Ed Carolan, Anthony P. DiSilvestro, Denise M. Morrison and Robert W. Morrissey in an executive or managerial capacity for at least five years.</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Prior to Mr. Dunn's tenure with Bolthouse Farms, he was Chief Executive Officer of Ubiquity Brands, LLC. Ubiquity Brands was the parent company of Jay Foods, Inc., a maker of salty snack foods, that voluntarily filed for bankruptcy under Chapter 11 of the U.S. Bankruptcy Code in October 2007.</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no family relationship among any of our executive officers or between any such officer and any director that is first cousin or closer. All of the executive officers were elected at the November 2014 meeting of the Board of Directors, except Ed Carolan was appointed an executive officer at the March 2015 meeting with the appointment effective as of April 1, 2015, Adam G. Ciongoli was appointed an executive officer at the June 2015 meeting with the appointment effective as of July 13, 2015, and Jeff Dunn was appointed an executive officer at the January 2015 meeting with the appointment effective as of February 1, 2015.</w:t>
      </w:r>
    </w:p>
    <w:p>
      <w:pPr>
        <w:spacing w:after="0" w:line="13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Capital Stock, Related Shareholder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Capital Stock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 stock is listed and principally traded on the New York Stock Exchange. On September 15, 2015, there were 21,102 holders of record of our capital stock. Market price and dividend information with respect to our capital stock are set forth in Note 21 to the Consolidated Financial Statements. Future dividends will be dependent upon future earnings, financial requirements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30, 2010, in each of our stock, the S&amp;P 500 and the S&amp;P Packaged Foods Group, and that all dividends were reinvested. The total cumulative dollar returns shown on the graph represent the value that such investments would have had on July 31, 2015.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0"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791845</wp:posOffset>
            </wp:positionV>
            <wp:extent cx="5257165" cy="3430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25716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hanging="92"/>
        <w:spacing w:after="0"/>
        <w:tabs>
          <w:tab w:leader="none" w:pos="10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Stock appreciation plus dividend reinvestment.</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8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160</w:t>
            </w:r>
          </w:p>
        </w:tc>
      </w:tr>
      <w:tr>
        <w:trPr>
          <w:trHeight w:val="243"/>
        </w:trPr>
        <w:tc>
          <w:tcPr>
            <w:tcW w:w="5820" w:type="dxa"/>
            <w:vAlign w:val="bottom"/>
          </w:tcPr>
          <w:p>
            <w:pPr>
              <w:ind w:left="20"/>
              <w:spacing w:after="0"/>
              <w:rPr>
                <w:sz w:val="20"/>
                <w:szCs w:val="20"/>
                <w:color w:val="auto"/>
              </w:rPr>
            </w:pPr>
            <w:r>
              <w:rPr>
                <w:rFonts w:ascii="Arial" w:cs="Arial" w:eastAsia="Arial" w:hAnsi="Arial"/>
                <w:sz w:val="18"/>
                <w:szCs w:val="18"/>
                <w:color w:val="auto"/>
              </w:rPr>
              <w:t>S&amp;P 500</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131</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164</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190</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212</w:t>
            </w:r>
          </w:p>
        </w:tc>
      </w:tr>
      <w:tr>
        <w:trPr>
          <w:trHeight w:val="27"/>
        </w:trPr>
        <w:tc>
          <w:tcPr>
            <w:tcW w:w="5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131</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178</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235</w:t>
            </w:r>
          </w:p>
        </w:tc>
      </w:tr>
      <w:tr>
        <w:trPr>
          <w:trHeight w:val="27"/>
        </w:trPr>
        <w:tc>
          <w:tcPr>
            <w:tcW w:w="58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5/4/15 - 5/31/15</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378,000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$46.12</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378,000</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$582</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6/1/15 - 6/30/15</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380,000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$47.63 </w:t>
            </w:r>
            <w:r>
              <w:rPr>
                <w:rFonts w:ascii="Arial" w:cs="Arial" w:eastAsia="Arial" w:hAnsi="Arial"/>
                <w:sz w:val="25"/>
                <w:szCs w:val="25"/>
                <w:color w:val="auto"/>
                <w:vertAlign w:val="superscript"/>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350,000</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$565</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7/1/15 - 8/2/15</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335,300</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(5)</w:t>
            </w:r>
          </w:p>
        </w:tc>
        <w:tc>
          <w:tcPr>
            <w:tcW w:w="1480" w:type="dxa"/>
            <w:vAlign w:val="bottom"/>
            <w:gridSpan w:val="2"/>
            <w:shd w:val="clear" w:color="auto" w:fill="CCEEFF"/>
          </w:tcPr>
          <w:p>
            <w:pPr>
              <w:ind w:left="620"/>
              <w:spacing w:after="0" w:line="270" w:lineRule="exact"/>
              <w:rPr>
                <w:sz w:val="20"/>
                <w:szCs w:val="20"/>
                <w:color w:val="auto"/>
              </w:rPr>
            </w:pPr>
            <w:r>
              <w:rPr>
                <w:rFonts w:ascii="Arial" w:cs="Arial" w:eastAsia="Arial" w:hAnsi="Arial"/>
                <w:sz w:val="18"/>
                <w:szCs w:val="18"/>
                <w:color w:val="auto"/>
              </w:rPr>
              <w:t xml:space="preserve">$47.51 </w:t>
            </w:r>
            <w:r>
              <w:rPr>
                <w:rFonts w:ascii="Arial" w:cs="Arial" w:eastAsia="Arial" w:hAnsi="Arial"/>
                <w:sz w:val="25"/>
                <w:szCs w:val="25"/>
                <w:color w:val="auto"/>
                <w:vertAlign w:val="superscript"/>
              </w:rPr>
              <w:t>(5)</w:t>
            </w: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325,300</w:t>
            </w:r>
          </w:p>
        </w:tc>
        <w:tc>
          <w:tcPr>
            <w:tcW w:w="34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1,093,300</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$47.07</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1,053,300</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40,000 shares repurchased in open-market transactions to offset the dilutive impact to existing shareholders of issuances under stock compensation plans.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54"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the fourth quarter of 2015, we had a publicly announced strategic share repurchase program. Under this program, which was announced on June 23, 2011, our Board of Directors authorized the purchase of up to $1 billion of our stock. The program has no expiration date. We also expect to continue our longstanding practice, under separate authorization, of purchasing shares sufficient to offset shares issued under our incentive compensation plans.</w:t>
      </w:r>
    </w:p>
    <w:p>
      <w:pPr>
        <w:spacing w:after="0" w:line="29" w:lineRule="exact"/>
        <w:rPr>
          <w:rFonts w:ascii="Arial" w:cs="Arial" w:eastAsia="Arial" w:hAnsi="Arial"/>
          <w:sz w:val="22"/>
          <w:szCs w:val="22"/>
          <w:color w:val="auto"/>
          <w:vertAlign w:val="superscript"/>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30,000 shares repurchased in open-market transactions at an average price of $47.63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10,000 shares repurchased in open-market transactions at an average price of $47.50 to offset the dilutive impact to existing shareholders of issuances under stock compensation plans.</w:t>
      </w:r>
    </w:p>
    <w:p>
      <w:pPr>
        <w:sectPr>
          <w:pgSz w:w="11900" w:h="16838" w:orient="portrait"/>
          <w:cols w:equalWidth="0" w:num="1">
            <w:col w:w="11420"/>
          </w:cols>
          <w:pgMar w:left="240" w:top="144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4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FIVE-YEAR REVIEW — CONSOLIDATED</w:t>
      </w: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2015</w:t>
            </w:r>
            <w:r>
              <w:rPr>
                <w:rFonts w:ascii="Arial" w:cs="Arial" w:eastAsia="Arial" w:hAnsi="Arial"/>
                <w:sz w:val="8"/>
                <w:szCs w:val="8"/>
                <w:b w:val="1"/>
                <w:bCs w:val="1"/>
                <w:color w:val="auto"/>
                <w:w w:val="97"/>
              </w:rPr>
              <w:t>(1)</w:t>
            </w:r>
          </w:p>
        </w:tc>
        <w:tc>
          <w:tcPr>
            <w:tcW w:w="24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2014</w:t>
            </w:r>
            <w:r>
              <w:rPr>
                <w:rFonts w:ascii="Arial" w:cs="Arial" w:eastAsia="Arial" w:hAnsi="Arial"/>
                <w:sz w:val="8"/>
                <w:szCs w:val="8"/>
                <w:b w:val="1"/>
                <w:bCs w:val="1"/>
                <w:color w:val="auto"/>
                <w:w w:val="97"/>
              </w:rPr>
              <w:t>(2)</w:t>
            </w:r>
          </w:p>
        </w:tc>
        <w:tc>
          <w:tcPr>
            <w:tcW w:w="220" w:type="dxa"/>
            <w:vAlign w:val="bottom"/>
          </w:tcPr>
          <w:p>
            <w:pPr>
              <w:spacing w:after="0"/>
              <w:rPr>
                <w:sz w:val="14"/>
                <w:szCs w:val="14"/>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2013</w:t>
            </w:r>
            <w:r>
              <w:rPr>
                <w:rFonts w:ascii="Arial" w:cs="Arial" w:eastAsia="Arial" w:hAnsi="Arial"/>
                <w:sz w:val="8"/>
                <w:szCs w:val="8"/>
                <w:b w:val="1"/>
                <w:bCs w:val="1"/>
                <w:color w:val="auto"/>
                <w:w w:val="97"/>
              </w:rPr>
              <w:t>(3)</w:t>
            </w:r>
          </w:p>
        </w:tc>
        <w:tc>
          <w:tcPr>
            <w:tcW w:w="20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2012</w:t>
            </w:r>
            <w:r>
              <w:rPr>
                <w:rFonts w:ascii="Arial" w:cs="Arial" w:eastAsia="Arial" w:hAnsi="Arial"/>
                <w:sz w:val="8"/>
                <w:szCs w:val="8"/>
                <w:b w:val="1"/>
                <w:bCs w:val="1"/>
                <w:color w:val="auto"/>
                <w:w w:val="97"/>
              </w:rPr>
              <w:t>(4)</w:t>
            </w:r>
          </w:p>
        </w:tc>
        <w:tc>
          <w:tcPr>
            <w:tcW w:w="220" w:type="dxa"/>
            <w:vAlign w:val="bottom"/>
          </w:tcPr>
          <w:p>
            <w:pPr>
              <w:spacing w:after="0"/>
              <w:rPr>
                <w:sz w:val="14"/>
                <w:szCs w:val="14"/>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2011</w:t>
            </w:r>
            <w:r>
              <w:rPr>
                <w:rFonts w:ascii="Arial" w:cs="Arial" w:eastAsia="Arial" w:hAnsi="Arial"/>
                <w:sz w:val="8"/>
                <w:szCs w:val="8"/>
                <w:b w:val="1"/>
                <w:bCs w:val="1"/>
                <w:color w:val="auto"/>
                <w:w w:val="97"/>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65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8,082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8,052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7,175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7,143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1,095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1,192</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1,080</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1,155</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990</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1,073</w:t>
            </w:r>
          </w:p>
        </w:tc>
        <w:tc>
          <w:tcPr>
            <w:tcW w:w="2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680</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724</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691</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Plant assets -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2,347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2,260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8,089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8,113</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8,323</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4,095</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4,015</w:t>
            </w:r>
          </w:p>
        </w:tc>
        <w:tc>
          <w:tcPr>
            <w:tcW w:w="2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4,453</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2,790</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1,376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1,210</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Earnings from continuing operations attributable to Campbell Soup Company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6560" w:type="dxa"/>
            <w:vAlign w:val="bottom"/>
            <w:gridSpan w:val="3"/>
          </w:tcPr>
          <w:p>
            <w:pPr>
              <w:ind w:left="40"/>
              <w:spacing w:after="0"/>
              <w:rPr>
                <w:sz w:val="20"/>
                <w:szCs w:val="20"/>
                <w:color w:val="auto"/>
              </w:rPr>
            </w:pPr>
            <w:r>
              <w:rPr>
                <w:rFonts w:ascii="Arial" w:cs="Arial" w:eastAsia="Arial" w:hAnsi="Arial"/>
                <w:sz w:val="18"/>
                <w:szCs w:val="18"/>
                <w:color w:val="auto"/>
                <w:w w:val="92"/>
              </w:rPr>
              <w:t>Earnings from continuing operations attributable to Campbell Soup Company - assuming</w:t>
            </w:r>
          </w:p>
        </w:tc>
        <w:tc>
          <w:tcPr>
            <w:tcW w:w="1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2.21</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dilution</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20"/>
                <w:szCs w:val="20"/>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2.17</w:t>
            </w:r>
          </w:p>
        </w:tc>
        <w:tc>
          <w:tcPr>
            <w:tcW w:w="20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 - basic</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 - assuming dilution</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2.21</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1.248</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Statistics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312</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660" w:type="dxa"/>
            <w:vAlign w:val="bottom"/>
          </w:tcPr>
          <w:p>
            <w:pPr>
              <w:jc w:val="right"/>
              <w:ind w:right="71"/>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313</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(All per share amounts below are on a diluted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2014 fiscal year consisted of 53 weeks. All other periods had 52 weeks.</w:t>
      </w:r>
    </w:p>
    <w:p>
      <w:pPr>
        <w:spacing w:after="0" w:line="90" w:lineRule="exact"/>
        <w:rPr>
          <w:sz w:val="20"/>
          <w:szCs w:val="20"/>
          <w:color w:val="auto"/>
        </w:rPr>
      </w:pPr>
    </w:p>
    <w:p>
      <w:pPr>
        <w:ind w:left="340" w:hanging="332"/>
        <w:spacing w:after="0" w:line="21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2015 earnings from continuing operations attributable to Campbell Soup Company were impacted by a restructuring charge and administrative expenses of $78 million ($.25 per share) associated with restructuring and cost savings initiatives in 2015.</w:t>
      </w:r>
    </w:p>
    <w:p>
      <w:pPr>
        <w:spacing w:after="0" w:line="1" w:lineRule="exact"/>
        <w:rPr>
          <w:rFonts w:ascii="Arial" w:cs="Arial" w:eastAsia="Arial" w:hAnsi="Arial"/>
          <w:sz w:val="25"/>
          <w:szCs w:val="25"/>
          <w:color w:val="auto"/>
          <w:vertAlign w:val="superscript"/>
        </w:rPr>
      </w:pPr>
    </w:p>
    <w:p>
      <w:pPr>
        <w:jc w:val="both"/>
        <w:ind w:left="340" w:hanging="332"/>
        <w:spacing w:after="0" w:line="248"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2014 earnings from continuing operations attributable to Campbell Soup Company were impacted by the following: a restructuring charge and related costs of $36 million ($.11 per share) associated with restructuring initiatives in 2014 and 2013; pension settlement charges of $14 million ($.04 per share) associated with a U.S. pension plan; a loss of $6 million ($.02 per share) on foreign exchange forward contracts used to hedge the proceeds from the sale of the European simple meals business; $7 million ($.02 per share) tax expense associated with the sale of the European simple meals business; and the estimated impact of the additional week of $25 million ($.08 per share). Earnings from discontinued operations included a gain of $72 million ($.23 per share) on the sale of the European simple meals business.</w:t>
      </w:r>
    </w:p>
    <w:p>
      <w:pPr>
        <w:spacing w:after="0" w:line="1" w:lineRule="exact"/>
        <w:rPr>
          <w:rFonts w:ascii="Arial" w:cs="Arial" w:eastAsia="Arial" w:hAnsi="Arial"/>
          <w:sz w:val="24"/>
          <w:szCs w:val="24"/>
          <w:color w:val="auto"/>
          <w:vertAlign w:val="superscript"/>
        </w:rPr>
      </w:pPr>
    </w:p>
    <w:p>
      <w:pPr>
        <w:jc w:val="both"/>
        <w:ind w:left="340" w:hanging="332"/>
        <w:spacing w:after="0" w:line="23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2013 earnings from continuing operations attributable to Campbell Soup Company were impacted by the following: a restructuring charge and related costs of $90 million ($.28 per share) associated with restructuring initiatives in 2013 and $7 million ($.02 per share) of transaction costs related to the acquisition of Bolthouse Farms. Earnings from discontinued operations were impacted by an impairment charge on the intangible assets of the simple meals business in Europe of $263 million ($.83 per share) and tax expense of $18 million ($.06 per share) representing taxes on the difference between the book value and tax basis of the business.</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2012 earnings from continuing operations attributable to Campbell Soup Company were impacted by the following: a restructuring charge of $4 million ($.01 per share) associated with the 2011 initiatives and $3 million ($.01 per share) of</w:t>
      </w:r>
    </w:p>
    <w:p>
      <w:pPr>
        <w:sectPr>
          <w:pgSz w:w="11900" w:h="16838" w:orient="portrait"/>
          <w:cols w:equalWidth="0" w:num="1">
            <w:col w:w="11420"/>
          </w:cols>
          <w:pgMar w:left="240" w:top="131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0" w:right="239" w:bottom="1440" w:gutter="0" w:footer="0" w:header="0"/>
          <w:type w:val="continuous"/>
        </w:sectPr>
      </w:pPr>
    </w:p>
    <w:bookmarkStart w:id="13" w:name="page14"/>
    <w:bookmarkEnd w:id="13"/>
    <w:p>
      <w:pPr>
        <w:ind w:left="340"/>
        <w:spacing w:after="0" w:line="282" w:lineRule="auto"/>
        <w:rPr>
          <w:sz w:val="20"/>
          <w:szCs w:val="20"/>
          <w:color w:val="auto"/>
        </w:rPr>
      </w:pPr>
      <w:r>
        <w:rPr>
          <w:rFonts w:ascii="Arial" w:cs="Arial" w:eastAsia="Arial" w:hAnsi="Arial"/>
          <w:sz w:val="18"/>
          <w:szCs w:val="18"/>
          <w:color w:val="auto"/>
        </w:rPr>
        <w:t>transaction costs related to the acquisition of Bolthouse Farms. Earnings from discontinued operations included a restructuring charge of $2 million ($.01 per share) associated with the 2011 initiatives.</w:t>
      </w:r>
    </w:p>
    <w:p>
      <w:pPr>
        <w:spacing w:after="0" w:line="1" w:lineRule="exact"/>
        <w:rPr>
          <w:sz w:val="20"/>
          <w:szCs w:val="20"/>
          <w:color w:val="auto"/>
        </w:rPr>
      </w:pPr>
    </w:p>
    <w:p>
      <w:pPr>
        <w:jc w:val="both"/>
        <w:ind w:left="340" w:hanging="332"/>
        <w:spacing w:after="0" w:line="226"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2011 earnings from continuing operations attributable to Campbell Soup Company were impacted by a restructuring charge of $39 million ($.12 per share) associated with initiatives announced in June 2011. Earnings from discontinued operations included a restructuring charge of $2 million associated with the initiatives.</w:t>
      </w:r>
    </w:p>
    <w:p>
      <w:pPr>
        <w:spacing w:after="0" w:line="20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Five-Year Review should be read in conjunction with the Notes to Consolidated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"us","our" and the "company" refer to Campbell Soup Company and its consolidated subsidiaries.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manufacturer and marketer of high-quality, branded convenience food products. Through 2015, we reported the results of operations in the following reportable segments: U.S. Simple Meals; Global Baking and Snacking; International Simple Meals and Beverages; U.S. Beverages; and Bolthouse and Foodservice.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2013, we acquired Bolthouse Farms and Plum. In 2014, we acquired Kelsen and divested our European simple meals business. Most recently, on June 29, 2015, we completed the acquisition of the assets of Garden Fresh Gourmet for $232 million, subject to post-closing adjustments. Garden Fresh Gourmet is a provider of refrigerated salsa in North America, and it also produces hummus, dips and tortilla chips. See Note 3 to the Consolidated Financial Statements for additional information on our recent acquisitions, and Note 4 to the Consolidated Financial Statements for additional information on our divestiture of the European simple meals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Strategies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long-term goal is to build shareholder value by driving sustainable, profitable net sales growth. Guided by our purpose - “Real Food That Matters For Life’s Moments,” we expect to deliver this goal by executing against a dual strategy of strengthening our core businesses while also expanding into faster-growing spaces.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Enterprise Design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recently implemented a new enterprise design that better aligns with our dual strategy. Under the new design, which we fully implemented at the beginning of 2016, our businesses are now organized in three divisions focused mainly on product categories. Each division also has a defined portfolio role. The new divisions and their portfolio roles are:</w:t>
      </w:r>
    </w:p>
    <w:p>
      <w:pPr>
        <w:spacing w:after="0" w:line="127" w:lineRule="exact"/>
        <w:rPr>
          <w:sz w:val="20"/>
          <w:szCs w:val="20"/>
          <w:color w:val="auto"/>
        </w:rPr>
      </w:pPr>
    </w:p>
    <w:p>
      <w:pPr>
        <w:jc w:val="both"/>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Americas Simple Meals and Beverages is our largest division. We expect to manage this division for moderate growth, consistent with the categories in which we operate, and for margin expansion. Americas Simple Meals and Beverages, which includes U.S. soup, will serve as a key economic engine for many years to come.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Biscuits and Snacks is focused on expanding in developed and developing markets while improving margins. This division unifies our Pepperidge Farm, Arnott’s and Kelsen businesses around the world.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Campbell Fresh includes Bolthouse Farms, Garden Fresh Gourmet and our refrigerated soup business. We plan to make focused investments in this division to accelerate sales growth and to expand into new categories in packaged fresh.</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support of our new enterprise design, we designed and implemented a new Integrated Global Services (IGS) organization to deliver shared services across the company. IGS became effective at the beginning of 2016 and is a key element in our efforts to reduce costs while also increasing our efficiency and effectiveness. We are also pursuing other initiatives to reduce costs, such as streamlining our organizational structure and adopting zero-based budgeting over time. In total, we expect the new IGS organization and our other cost savings initiatives to generate approximately $250 million in annual cost savings by the end of fiscal 2018. These savings are above and beyond our existing enabler program. See "Restructuring Charges and Cost Savings Initiatives" for additional information on these initiatives.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Dual Strategy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this new enterprise design in place, we plan to pursue our dual strategy by:</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greater transparency about the food we make;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embracing digital marketing and e-commerce to connect with consumers and customers in new ways;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focus on health and wellbeing;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our presence in developing markets.</w:t>
      </w:r>
    </w:p>
    <w:p>
      <w:pPr>
        <w:sectPr>
          <w:pgSz w:w="11900" w:h="16838" w:orient="portrait"/>
          <w:cols w:equalWidth="0" w:num="1">
            <w:col w:w="11420"/>
          </w:cols>
          <w:pgMar w:left="240" w:top="1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Providing Greater Product Transparency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our </w:t>
      </w:r>
      <w:r>
        <w:rPr>
          <w:rFonts w:ascii="Arial" w:cs="Arial" w:eastAsia="Arial" w:hAnsi="Arial"/>
          <w:sz w:val="18"/>
          <w:szCs w:val="18"/>
          <w:u w:val="single" w:color="auto"/>
          <w:color w:val="0563C1"/>
        </w:rPr>
        <w:t>www.whatsinmyfood.com</w:t>
      </w:r>
      <w:r>
        <w:rPr>
          <w:rFonts w:ascii="Arial" w:cs="Arial" w:eastAsia="Arial" w:hAnsi="Arial"/>
          <w:sz w:val="18"/>
          <w:szCs w:val="18"/>
          <w:color w:val="auto"/>
        </w:rPr>
        <w:t xml:space="preserve"> website, we are providing consumers with a wide range of detail about how some of our foods and beverages are made and the choices behind the ingredients we use in those products. Initially focused on some of our top U.S. products, such as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Tomato and Chicken Noodle soups, we plan to expand this site to include all of our major products in the U.S. and Canada in 2016, with designs to expand globally over the next three fiscal years. We anticipate this enhanced transparency will lead to, or accelerate, changes in our products, including our continued efforts to remove many artificial ingredients where feasible.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Embracing Digital Marketing and E-Commerce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plan to complement the growing consumer shift to digital and mobile technologies by focusing a larger percentage of our marketing efforts on digital marketing and e-commerce. For example, in 2016 we expect to spend a larger portion of our overall media budget on digital media, while reducing our spending on traditional television media. We also plan to continue our focus on e-commerce capabilities in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Increasing Focus on Health and Wellbeing</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Capitalizing on recent consumer and retailer trends towards fresh and/or healthy products, we plan to increase our focus on our fresh and packaged fresh products. While other parts of our business will continue to provide shelf-stable products that are appealing to health-conscious consumers, our new Campbell Fresh division has a diverse portfolio of fresh and packaged fresh offerings that should help retailers attract these important customers. We expect the Campbell Fresh division to provide us with the needed scale to better compete in the growing perimeter of traditional retail outlets. The recent acquisition of Garden Fresh Gourmet, which provides refrigerated salsa, hummus and dips, as well as tortilla chips, compliments Campbell Fresh’s existing portfolio.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Expanding Presence in Developing Markets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we plan to continue to focus on expanding our presence in developing markets, especially our Global Biscuits and Snacks business in Asia. Our new enterprise design unifies all of our biscuit and snacks brands under a single integrated division - Global Biscuits and Snacks. We expect this new structure to help unlock the value of our biscuit and snack brands and to provide a platform to extend these brands across both faster growing developing markets, as well as our existing developed markets.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support these four imperatives, we will continue to evaluate external development opportunities, ranging from acquisitions to strategic alliances such as joint ventures and other strategic partnerships.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Executive Summary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were 53 weeks in 2014. There were 52 weeks in 2015 and 2013.</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decreased 2% in 2015 to $8.082 billion, primarily due to the impact of currency translation and one less week compared to the prior year, partly offset by higher selling prices.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as a percent of sales, decreased to 34.7% from 35.1% a year ago. The decrease was primarily due to cost inflation and increased supply chain costs, partly offset by productivity improvements and higher selling prices.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Administrative expenses increased 3% to $593 million from $573 million a year ago. The current year included $22 million of costs related to the implementation of the new organizational structure and cost reduction initiatives, and higher incentive compensation costs, partially offset by savings from cost reduction and restructuring initiatives.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per share from continuing operations were $2.21 in 2015, compared to $2.33 a year ago. The current and prior year included expenses of $.25 and $.20 per share, respectively, from items impacting comparability as discussed below. The additional week contributed approximately $.08 per share to earnings from continuing operations in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 attributable to Campbell Soup Company - 2015 Compared with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2015, we incurred charges associated with our initiatives to implement a new enterprise design, to reduce costs and to streamline our organizational structure. We recorded a pre-tax restructuring charge of $102 million related to these initiatives. We also incurred pre-tax charges of $22 million recorded in Administrative expenses related to the implementation of the new organizational structure and cost reduction initiatives (aggregate impact of $78 million after tax, or $.25 per share). See Note 8 to the Consolidated Financial Statements and "Restructuring Charges and Cost Savings Initiatives" for additional information;</w:t>
      </w:r>
    </w:p>
    <w:p>
      <w:pPr>
        <w:spacing w:after="0" w:line="13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2014, we recognized pre-tax pension settlement charges in Cost of products sold of $22 million ($14 million after tax, or $.04 per share) associated with a U.S. pension plan. The settlements resulted from the level of lump sum distributions from the plan's assets in 2014, primarily due to the closure of the facility in Sacramento, California;</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jc w:val="both"/>
        <w:ind w:left="660" w:hanging="328"/>
        <w:spacing w:after="0" w:line="31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October 28, 2013, we completed the sale of our simple meals business in Europe. In 2014, we recorded a loss of $9 million ($6 million after tax, or $.02 per share) on foreign exchange forward contracts used to hedge the proceeds from the sale of our European simple meals business. The loss was included in Other expenses. In addition, we recorded tax expense of $7 million ($.02 per share) associated with the sale of the business;</w:t>
      </w:r>
    </w:p>
    <w:p>
      <w:pPr>
        <w:spacing w:after="0" w:line="92" w:lineRule="exact"/>
        <w:rPr>
          <w:rFonts w:ascii="Arial" w:cs="Arial" w:eastAsia="Arial" w:hAnsi="Arial"/>
          <w:sz w:val="16"/>
          <w:szCs w:val="16"/>
          <w:color w:val="auto"/>
        </w:rPr>
      </w:pPr>
    </w:p>
    <w:p>
      <w:pPr>
        <w:jc w:val="both"/>
        <w:ind w:left="660" w:hanging="328"/>
        <w:spacing w:after="0" w:line="30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2014, we recorded a pre-tax restructuring charge of $54 million ($33 million after tax, or $.10 per share) associated with initiatives to streamline our salaried workforce in North America and our workforce in the Asia Pacific region; restructure manufacturing and streamline operations for our soup and broth business in China; improve supply chain efficiency in Australia; and reduce overhead across the organization. See Note 8 to the Consolidated Financial Statements and "Restructuring Charges and Cost Savings Initiatives" for additional information; and</w:t>
      </w:r>
    </w:p>
    <w:p>
      <w:pPr>
        <w:spacing w:after="0" w:line="100" w:lineRule="exact"/>
        <w:rPr>
          <w:rFonts w:ascii="Arial" w:cs="Arial" w:eastAsia="Arial" w:hAnsi="Arial"/>
          <w:sz w:val="16"/>
          <w:szCs w:val="16"/>
          <w:color w:val="auto"/>
        </w:rPr>
      </w:pPr>
    </w:p>
    <w:p>
      <w:pPr>
        <w:jc w:val="both"/>
        <w:ind w:left="660" w:hanging="328"/>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2013, we implemented several initiatives to improve our U.S. supply chain cost structure and increase asset utilization across our U.S. thermal plant network; expand access to manufacturing and distribution capabilities in Mexico; improve our Pepperidge Farm bakery supply chain cost structure; and reduce overhead in North America. In 2014, we recorded a pre-tax restructuring charge of $1 million and restructuring-related costs of $3 million in Cost of products sold (aggregate impact of $3 million after tax, or $.01 per share) related to the 2013 initiatives. See Note 8 to the Consolidated Financial Statements and "Restructuring Charges and Cost Savings Initiatives" for additional information.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and related costs/implementation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Pension settlement charges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foreign exchange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expense associated with sale of business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The sum of the individual per share amounts may not add due to rounding.</w:t>
      </w:r>
    </w:p>
    <w:p>
      <w:pPr>
        <w:spacing w:after="0" w:line="8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7"/>
          <w:szCs w:val="17"/>
          <w:color w:val="auto"/>
        </w:rPr>
        <w:t>Earnings from continuing operations were $691 million ($2.21 per share) in 2015, compared to $737 million ($2.33 per share) in 2014. The additional week contributed approximately $25 million ($.08 per share) to earnings from continuing operations in 2014. After adjusting for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and other items impacting comparability, earnings decreased primarily due to a lower gross margin percentage and the impact of currency translation, partially offset by an increase in sales on a constant currency basis, lower marketing and selling expenses, lower interest expense and a lower effective tax rate. Currency translation had a negative impact of $.06 on earnings per share in the current year. Earnings per share benefited from a reduction in the weighted average diluted shares outstanding, primarily due to share repurchases under our strategic share repurchase program.</w:t>
      </w:r>
    </w:p>
    <w:p>
      <w:pPr>
        <w:spacing w:after="0" w:line="142" w:lineRule="exact"/>
        <w:rPr>
          <w:sz w:val="20"/>
          <w:szCs w:val="20"/>
          <w:color w:val="auto"/>
        </w:rPr>
      </w:pPr>
    </w:p>
    <w:p>
      <w:pPr>
        <w:ind w:right="2020" w:firstLine="324"/>
        <w:spacing w:after="0" w:line="493" w:lineRule="auto"/>
        <w:rPr>
          <w:sz w:val="20"/>
          <w:szCs w:val="20"/>
          <w:color w:val="auto"/>
        </w:rPr>
      </w:pPr>
      <w:r>
        <w:rPr>
          <w:rFonts w:ascii="Arial" w:cs="Arial" w:eastAsia="Arial" w:hAnsi="Arial"/>
          <w:sz w:val="16"/>
          <w:szCs w:val="16"/>
          <w:color w:val="auto"/>
        </w:rPr>
        <w:t xml:space="preserve">We sold our European simple meals business on October 28, 2013. See "Discontinued Operations" for additional information. </w:t>
      </w:r>
      <w:r>
        <w:rPr>
          <w:rFonts w:ascii="Arial" w:cs="Arial" w:eastAsia="Arial" w:hAnsi="Arial"/>
          <w:sz w:val="16"/>
          <w:szCs w:val="16"/>
          <w:b w:val="1"/>
          <w:bCs w:val="1"/>
          <w:i w:val="1"/>
          <w:iCs w:val="1"/>
          <w:color w:val="auto"/>
        </w:rPr>
        <w:t>Earnings from continuing operations attributable to Campbell Soup Company - 2014 Compared with 2013</w:t>
      </w:r>
    </w:p>
    <w:p>
      <w:pPr>
        <w:jc w:val="both"/>
        <w:ind w:firstLine="324"/>
        <w:spacing w:after="0" w:line="277" w:lineRule="auto"/>
        <w:rPr>
          <w:sz w:val="20"/>
          <w:szCs w:val="20"/>
          <w:color w:val="auto"/>
        </w:rPr>
      </w:pPr>
      <w:r>
        <w:rPr>
          <w:rFonts w:ascii="Arial" w:cs="Arial" w:eastAsia="Arial" w:hAnsi="Arial"/>
          <w:sz w:val="18"/>
          <w:szCs w:val="18"/>
          <w:color w:val="auto"/>
        </w:rPr>
        <w:t>In addition to the 2014 items that impacted comparability of Earnings from continuing operations previously disclosed, the following items impacted the comparability of earnings and earnings per share:</w:t>
      </w:r>
    </w:p>
    <w:p>
      <w:pPr>
        <w:spacing w:after="0" w:line="116" w:lineRule="exact"/>
        <w:rPr>
          <w:sz w:val="20"/>
          <w:szCs w:val="20"/>
          <w:color w:val="auto"/>
        </w:rPr>
      </w:pPr>
    </w:p>
    <w:p>
      <w:pPr>
        <w:jc w:val="both"/>
        <w:ind w:left="660" w:hanging="328"/>
        <w:spacing w:after="0" w:line="29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2013, we implemented several initiatives to improve our U.S. supply chain cost structure and increase asset utilization across our U.S. thermal plant network; expand access to manufacturing and distribution capabilities in Mexico; improve our Pepperidge Farm bakery supply chain cost structure; and reduce overhead in North America. In 2013, we recorded a pre-tax restructuring charge of $51 million and restructuring-related costs of $91 million in Cost of products sold (aggregate impact of $90 million after tax, or $.28 per share) related to the 2013 initiatives. See Note 8 to the Consolidated Financial Statements and "Restructuring Charges and Cost Savings Initiatives" for additional information; and</w:t>
      </w:r>
    </w:p>
    <w:p>
      <w:pPr>
        <w:spacing w:after="0" w:line="10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2013, we incurred pre-tax transaction costs of $10 million ($7 million after tax, or $.02 per share) associated with the acquisition of Bolthouse Farms, which closed on August 6, 2012. The costs were included in Other expenses.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4"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and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Pension settlement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foreign exchange forward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expense associated with sale of business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transaction costs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line="264" w:lineRule="exact"/>
              <w:rPr>
                <w:sz w:val="20"/>
                <w:szCs w:val="20"/>
                <w:color w:val="auto"/>
              </w:rPr>
            </w:pPr>
            <w:r>
              <w:rPr>
                <w:rFonts w:ascii="Arial" w:cs="Arial" w:eastAsia="Arial" w:hAnsi="Arial"/>
                <w:sz w:val="18"/>
                <w:szCs w:val="18"/>
                <w:color w:val="auto"/>
              </w:rPr>
              <w:t>Impact of items on earnings from continuing operations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sum of the individual per share amounts may not add due to rounding.</w:t>
      </w:r>
    </w:p>
    <w:p>
      <w:pPr>
        <w:spacing w:after="0" w:line="83" w:lineRule="exact"/>
        <w:rPr>
          <w:sz w:val="20"/>
          <w:szCs w:val="20"/>
          <w:color w:val="auto"/>
        </w:rPr>
      </w:pPr>
    </w:p>
    <w:p>
      <w:pPr>
        <w:jc w:val="both"/>
        <w:ind w:firstLine="324"/>
        <w:spacing w:after="0"/>
        <w:rPr>
          <w:sz w:val="20"/>
          <w:szCs w:val="20"/>
          <w:color w:val="auto"/>
        </w:rPr>
      </w:pPr>
      <w:r>
        <w:rPr>
          <w:rFonts w:ascii="Arial" w:cs="Arial" w:eastAsia="Arial" w:hAnsi="Arial"/>
          <w:sz w:val="17"/>
          <w:szCs w:val="17"/>
          <w:color w:val="auto"/>
        </w:rPr>
        <w:t>Earnings from continuing operations were $737 million ($2.33 per share) in 2014, compared to $689 million ($2.17 per share) in 2013. After adjusting for items impacting comparability, earnings increased primarily due to lower administrative expenses, the benefit of the additional week and lower marketing expenses, partly offset by a lower gross margin percentage, lower sales (excluding the impact of acquisitions and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and a higher effective tax rate. The additional week contributed approximately $25 million ($.08 per share) to earnings from continuing operations in 2014.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 attributable to noncontrolling interests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own a 60% controlling interest in a joint venture formed with Swire Pacific Limited to support the development of our soup and broth business in China. The joint venture began operations on January 31, 2011. In 2014, together with our joint venture partner, we agreed to restructure manufacturing and streamline operations for our soup and broth business in China. The after-tax restructuring charge attributable to the noncontrolling interest was $5 million.</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own a 70% controlling interest in a Malaysian food products manufacturing company.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ind w:left="253"/>
              <w:spacing w:after="0"/>
              <w:rPr>
                <w:sz w:val="20"/>
                <w:szCs w:val="20"/>
                <w:color w:val="auto"/>
              </w:rPr>
            </w:pPr>
            <w:r>
              <w:rPr>
                <w:rFonts w:ascii="Arial" w:cs="Arial" w:eastAsia="Arial" w:hAnsi="Arial"/>
                <w:sz w:val="14"/>
                <w:szCs w:val="14"/>
                <w:b w:val="1"/>
                <w:bCs w:val="1"/>
                <w:color w:val="auto"/>
                <w:w w:val="93"/>
              </w:rPr>
              <w:t>2015/2014</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2014/2013</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2,930</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3"/>
            <w:shd w:val="clear" w:color="auto" w:fill="CCEEFF"/>
          </w:tcPr>
          <w:p>
            <w:pPr>
              <w:jc w:val="center"/>
              <w:ind w:left="353"/>
              <w:spacing w:after="0"/>
              <w:rPr>
                <w:sz w:val="20"/>
                <w:szCs w:val="20"/>
                <w:color w:val="auto"/>
              </w:rPr>
            </w:pPr>
            <w:r>
              <w:rPr>
                <w:rFonts w:ascii="Arial" w:cs="Arial" w:eastAsia="Arial" w:hAnsi="Arial"/>
                <w:sz w:val="18"/>
                <w:szCs w:val="18"/>
                <w:color w:val="auto"/>
                <w:w w:val="92"/>
              </w:rPr>
              <w:t>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Global Baking and Snacking</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2,375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2,273</w:t>
            </w:r>
          </w:p>
        </w:tc>
        <w:tc>
          <w:tcPr>
            <w:tcW w:w="100" w:type="dxa"/>
            <w:vAlign w:val="bottom"/>
          </w:tcPr>
          <w:p>
            <w:pPr>
              <w:spacing w:after="0"/>
              <w:rPr>
                <w:sz w:val="21"/>
                <w:szCs w:val="21"/>
                <w:color w:val="auto"/>
              </w:rPr>
            </w:pPr>
          </w:p>
        </w:tc>
        <w:tc>
          <w:tcPr>
            <w:tcW w:w="1040" w:type="dxa"/>
            <w:vAlign w:val="bottom"/>
          </w:tcPr>
          <w:p>
            <w:pPr>
              <w:jc w:val="center"/>
              <w:ind w:left="253"/>
              <w:spacing w:after="0"/>
              <w:rPr>
                <w:sz w:val="20"/>
                <w:szCs w:val="20"/>
                <w:color w:val="auto"/>
              </w:rPr>
            </w:pPr>
            <w:r>
              <w:rPr>
                <w:rFonts w:ascii="Arial" w:cs="Arial" w:eastAsia="Arial" w:hAnsi="Arial"/>
                <w:sz w:val="18"/>
                <w:szCs w:val="18"/>
                <w:color w:val="auto"/>
                <w:w w:val="99"/>
              </w:rPr>
              <w:t>(3)</w:t>
            </w:r>
          </w:p>
        </w:tc>
        <w:tc>
          <w:tcPr>
            <w:tcW w:w="1800" w:type="dxa"/>
            <w:vAlign w:val="bottom"/>
            <w:gridSpan w:val="3"/>
          </w:tcPr>
          <w:p>
            <w:pPr>
              <w:jc w:val="center"/>
              <w:ind w:left="353"/>
              <w:spacing w:after="0"/>
              <w:rPr>
                <w:sz w:val="20"/>
                <w:szCs w:val="20"/>
                <w:color w:val="auto"/>
              </w:rPr>
            </w:pPr>
            <w:r>
              <w:rPr>
                <w:rFonts w:ascii="Arial" w:cs="Arial" w:eastAsia="Arial" w:hAnsi="Arial"/>
                <w:sz w:val="18"/>
                <w:szCs w:val="18"/>
                <w:color w:val="auto"/>
                <w:w w:val="79"/>
              </w:rPr>
              <w:t>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3"/>
              </w:rPr>
              <w:t>(10)</w:t>
            </w:r>
          </w:p>
        </w:tc>
        <w:tc>
          <w:tcPr>
            <w:tcW w:w="1800" w:type="dxa"/>
            <w:vAlign w:val="bottom"/>
            <w:tcBorders>
              <w:bottom w:val="single" w:sz="8" w:color="CCEEFF"/>
            </w:tcBorders>
            <w:gridSpan w:val="3"/>
            <w:shd w:val="clear" w:color="auto" w:fill="CCEEFF"/>
          </w:tcPr>
          <w:p>
            <w:pPr>
              <w:jc w:val="center"/>
              <w:ind w:left="333"/>
              <w:spacing w:after="0"/>
              <w:rPr>
                <w:sz w:val="20"/>
                <w:szCs w:val="20"/>
                <w:color w:val="auto"/>
              </w:rPr>
            </w:pPr>
            <w:r>
              <w:rPr>
                <w:rFonts w:ascii="Arial" w:cs="Arial" w:eastAsia="Arial" w:hAnsi="Arial"/>
                <w:sz w:val="18"/>
                <w:szCs w:val="18"/>
                <w:color w:val="auto"/>
                <w:w w:val="93"/>
              </w:rPr>
              <w:t>(10)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U.S. Beverages</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b w:val="1"/>
                <w:bCs w:val="1"/>
                <w:color w:val="auto"/>
              </w:rPr>
              <w:t>689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040" w:type="dxa"/>
            <w:vAlign w:val="bottom"/>
          </w:tcPr>
          <w:p>
            <w:pPr>
              <w:jc w:val="center"/>
              <w:ind w:left="253"/>
              <w:spacing w:after="0"/>
              <w:rPr>
                <w:sz w:val="20"/>
                <w:szCs w:val="20"/>
                <w:color w:val="auto"/>
              </w:rPr>
            </w:pPr>
            <w:r>
              <w:rPr>
                <w:rFonts w:ascii="Arial" w:cs="Arial" w:eastAsia="Arial" w:hAnsi="Arial"/>
                <w:sz w:val="18"/>
                <w:szCs w:val="18"/>
                <w:color w:val="auto"/>
                <w:w w:val="99"/>
              </w:rPr>
              <w:t>(5)</w:t>
            </w:r>
          </w:p>
        </w:tc>
        <w:tc>
          <w:tcPr>
            <w:tcW w:w="1800" w:type="dxa"/>
            <w:vAlign w:val="bottom"/>
            <w:gridSpan w:val="3"/>
          </w:tcPr>
          <w:p>
            <w:pPr>
              <w:jc w:val="center"/>
              <w:ind w:left="353"/>
              <w:spacing w:after="0"/>
              <w:rPr>
                <w:sz w:val="20"/>
                <w:szCs w:val="20"/>
                <w:color w:val="auto"/>
              </w:rPr>
            </w:pPr>
            <w:r>
              <w:rPr>
                <w:rFonts w:ascii="Arial" w:cs="Arial" w:eastAsia="Arial" w:hAnsi="Arial"/>
                <w:sz w:val="18"/>
                <w:szCs w:val="18"/>
                <w:color w:val="auto"/>
                <w:w w:val="90"/>
              </w:rPr>
              <w:t>(3)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253"/>
              <w:spacing w:after="0"/>
              <w:rPr>
                <w:sz w:val="20"/>
                <w:szCs w:val="20"/>
                <w:color w:val="auto"/>
              </w:rPr>
            </w:pPr>
            <w:r>
              <w:rPr>
                <w:rFonts w:ascii="Arial" w:cs="Arial" w:eastAsia="Arial" w:hAnsi="Arial"/>
                <w:sz w:val="18"/>
                <w:szCs w:val="18"/>
                <w:color w:val="auto"/>
                <w:w w:val="99"/>
              </w:rPr>
              <w:t>1</w:t>
            </w:r>
          </w:p>
        </w:tc>
        <w:tc>
          <w:tcPr>
            <w:tcW w:w="1800" w:type="dxa"/>
            <w:vAlign w:val="bottom"/>
            <w:tcBorders>
              <w:bottom w:val="single" w:sz="8" w:color="CCEEFF"/>
            </w:tcBorders>
            <w:gridSpan w:val="3"/>
            <w:shd w:val="clear" w:color="auto" w:fill="CCEEFF"/>
          </w:tcPr>
          <w:p>
            <w:pPr>
              <w:jc w:val="center"/>
              <w:ind w:left="353"/>
              <w:spacing w:after="0"/>
              <w:rPr>
                <w:sz w:val="20"/>
                <w:szCs w:val="20"/>
                <w:color w:val="auto"/>
              </w:rPr>
            </w:pPr>
            <w:r>
              <w:rPr>
                <w:rFonts w:ascii="Arial" w:cs="Arial" w:eastAsia="Arial" w:hAnsi="Arial"/>
                <w:sz w:val="18"/>
                <w:szCs w:val="18"/>
                <w:color w:val="auto"/>
                <w:w w:val="79"/>
              </w:rPr>
              <w:t>5</w:t>
            </w: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8,082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8,268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center"/>
              <w:ind w:left="233"/>
              <w:spacing w:after="0"/>
              <w:rPr>
                <w:sz w:val="20"/>
                <w:szCs w:val="20"/>
                <w:color w:val="auto"/>
              </w:rPr>
            </w:pPr>
            <w:r>
              <w:rPr>
                <w:rFonts w:ascii="Arial" w:cs="Arial" w:eastAsia="Arial" w:hAnsi="Arial"/>
                <w:sz w:val="18"/>
                <w:szCs w:val="18"/>
                <w:color w:val="auto"/>
                <w:w w:val="94"/>
              </w:rPr>
              <w:t>(2)%</w:t>
            </w: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w:t>
            </w: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17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314" w:right="2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U.S.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Global</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Baking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Bolthouse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2015 versus 2014</w:t>
            </w: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Simple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240" w:type="dxa"/>
            <w:vAlign w:val="bottom"/>
            <w:gridSpan w:val="2"/>
          </w:tcPr>
          <w:p>
            <w:pPr>
              <w:spacing w:after="0"/>
              <w:rPr>
                <w:sz w:val="11"/>
                <w:szCs w:val="11"/>
                <w:color w:val="auto"/>
              </w:rPr>
            </w:pPr>
          </w:p>
        </w:tc>
        <w:tc>
          <w:tcPr>
            <w:tcW w:w="112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2"/>
              </w:rPr>
              <w:t>Meals</w:t>
            </w:r>
          </w:p>
        </w:tc>
        <w:tc>
          <w:tcPr>
            <w:tcW w:w="138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Snacking</w:t>
            </w:r>
          </w:p>
        </w:tc>
        <w:tc>
          <w:tcPr>
            <w:tcW w:w="138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 xml:space="preserve">Beverages </w:t>
            </w:r>
            <w:r>
              <w:rPr>
                <w:rFonts w:ascii="Arial" w:cs="Arial" w:eastAsia="Arial" w:hAnsi="Arial"/>
                <w:sz w:val="8"/>
                <w:szCs w:val="8"/>
                <w:b w:val="1"/>
                <w:bCs w:val="1"/>
                <w:color w:val="auto"/>
                <w:w w:val="89"/>
              </w:rPr>
              <w:t>(3)</w:t>
            </w:r>
          </w:p>
        </w:tc>
        <w:tc>
          <w:tcPr>
            <w:tcW w:w="13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7"/>
              </w:rPr>
              <w:t>Beverages</w:t>
            </w:r>
          </w:p>
        </w:tc>
        <w:tc>
          <w:tcPr>
            <w:tcW w:w="13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 xml:space="preserve">Foodservice </w:t>
            </w:r>
            <w:r>
              <w:rPr>
                <w:rFonts w:ascii="Arial" w:cs="Arial" w:eastAsia="Arial" w:hAnsi="Arial"/>
                <w:sz w:val="8"/>
                <w:szCs w:val="8"/>
                <w:b w:val="1"/>
                <w:bCs w:val="1"/>
                <w:color w:val="auto"/>
                <w:w w:val="89"/>
              </w:rPr>
              <w:t>(3)</w:t>
            </w:r>
          </w:p>
        </w:tc>
        <w:tc>
          <w:tcPr>
            <w:tcW w:w="12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 xml:space="preserve">Total </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Price and Sales Allowances</w:t>
            </w:r>
          </w:p>
        </w:tc>
        <w:tc>
          <w:tcPr>
            <w:tcW w:w="1000" w:type="dxa"/>
            <w:vAlign w:val="bottom"/>
          </w:tcPr>
          <w:p>
            <w:pPr>
              <w:jc w:val="center"/>
              <w:ind w:right="155"/>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Currency</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Net Accounting</w:t>
            </w:r>
            <w:r>
              <w:rPr>
                <w:rFonts w:ascii="Arial" w:cs="Arial" w:eastAsia="Arial" w:hAnsi="Arial"/>
                <w:sz w:val="25"/>
                <w:szCs w:val="25"/>
                <w:color w:val="auto"/>
                <w:vertAlign w:val="superscript"/>
              </w:rPr>
              <w:t>(2)</w:t>
            </w: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Acquisitions</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Estimated Impact of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U.S.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Global</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Baking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Bolthouse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2014 versus 2013</w:t>
            </w: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Simple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240" w:type="dxa"/>
            <w:vAlign w:val="bottom"/>
            <w:gridSpan w:val="2"/>
          </w:tcPr>
          <w:p>
            <w:pPr>
              <w:spacing w:after="0"/>
              <w:rPr>
                <w:sz w:val="11"/>
                <w:szCs w:val="11"/>
                <w:color w:val="auto"/>
              </w:rPr>
            </w:pPr>
          </w:p>
        </w:tc>
        <w:tc>
          <w:tcPr>
            <w:tcW w:w="1120" w:type="dxa"/>
            <w:vAlign w:val="bottom"/>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2"/>
              </w:rPr>
              <w:t>Meals</w:t>
            </w:r>
          </w:p>
        </w:tc>
        <w:tc>
          <w:tcPr>
            <w:tcW w:w="138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Snacking</w:t>
            </w:r>
          </w:p>
        </w:tc>
        <w:tc>
          <w:tcPr>
            <w:tcW w:w="138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7"/>
              </w:rPr>
              <w:t>Beverages</w:t>
            </w:r>
          </w:p>
        </w:tc>
        <w:tc>
          <w:tcPr>
            <w:tcW w:w="13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 xml:space="preserve">Beverages </w:t>
            </w:r>
            <w:r>
              <w:rPr>
                <w:rFonts w:ascii="Arial" w:cs="Arial" w:eastAsia="Arial" w:hAnsi="Arial"/>
                <w:sz w:val="8"/>
                <w:szCs w:val="8"/>
                <w:b w:val="1"/>
                <w:bCs w:val="1"/>
                <w:color w:val="auto"/>
                <w:w w:val="92"/>
              </w:rPr>
              <w:t>(3)</w:t>
            </w:r>
          </w:p>
        </w:tc>
        <w:tc>
          <w:tcPr>
            <w:tcW w:w="136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Foodservice</w:t>
            </w:r>
          </w:p>
        </w:tc>
        <w:tc>
          <w:tcPr>
            <w:tcW w:w="12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Price and Sales Allowances</w:t>
            </w:r>
          </w:p>
        </w:tc>
        <w:tc>
          <w:tcPr>
            <w:tcW w:w="1000" w:type="dxa"/>
            <w:vAlign w:val="bottom"/>
          </w:tcPr>
          <w:p>
            <w:pPr>
              <w:jc w:val="center"/>
              <w:ind w:right="155"/>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Decreased/(Increased) Promotional</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80" w:type="dxa"/>
            <w:vAlign w:val="bottom"/>
            <w:gridSpan w:val="4"/>
            <w:shd w:val="clear" w:color="auto" w:fill="CCEEFF"/>
          </w:tcPr>
          <w:p>
            <w:pPr>
              <w:ind w:left="40"/>
              <w:spacing w:after="0" w:line="257" w:lineRule="exact"/>
              <w:rPr>
                <w:sz w:val="20"/>
                <w:szCs w:val="20"/>
                <w:color w:val="auto"/>
              </w:rPr>
            </w:pPr>
            <w:r>
              <w:rPr>
                <w:rFonts w:ascii="Arial" w:cs="Arial" w:eastAsia="Arial" w:hAnsi="Arial"/>
                <w:sz w:val="18"/>
                <w:szCs w:val="18"/>
                <w:color w:val="auto"/>
              </w:rPr>
              <w:t>Spending</w:t>
            </w:r>
            <w:r>
              <w:rPr>
                <w:rFonts w:ascii="Arial" w:cs="Arial" w:eastAsia="Arial" w:hAnsi="Arial"/>
                <w:sz w:val="25"/>
                <w:szCs w:val="25"/>
                <w:color w:val="auto"/>
                <w:vertAlign w:val="superscript"/>
              </w:rPr>
              <w:t>(1)</w:t>
            </w:r>
          </w:p>
        </w:tc>
        <w:tc>
          <w:tcPr>
            <w:tcW w:w="100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43"/>
        </w:trPr>
        <w:tc>
          <w:tcPr>
            <w:tcW w:w="3580" w:type="dxa"/>
            <w:vAlign w:val="bottom"/>
            <w:gridSpan w:val="4"/>
          </w:tcPr>
          <w:p>
            <w:pPr>
              <w:ind w:left="40"/>
              <w:spacing w:after="0"/>
              <w:rPr>
                <w:sz w:val="20"/>
                <w:szCs w:val="20"/>
                <w:color w:val="auto"/>
              </w:rPr>
            </w:pPr>
            <w:r>
              <w:rPr>
                <w:rFonts w:ascii="Arial" w:cs="Arial" w:eastAsia="Arial" w:hAnsi="Arial"/>
                <w:sz w:val="18"/>
                <w:szCs w:val="18"/>
                <w:color w:val="auto"/>
              </w:rPr>
              <w:t>Currency</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Net Accounting</w:t>
            </w:r>
            <w:r>
              <w:rPr>
                <w:rFonts w:ascii="Arial" w:cs="Arial" w:eastAsia="Arial" w:hAnsi="Arial"/>
                <w:sz w:val="25"/>
                <w:szCs w:val="25"/>
                <w:color w:val="auto"/>
                <w:vertAlign w:val="superscript"/>
              </w:rPr>
              <w:t>(2)</w:t>
            </w: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80" w:type="dxa"/>
            <w:vAlign w:val="bottom"/>
            <w:gridSpan w:val="4"/>
          </w:tcPr>
          <w:p>
            <w:pPr>
              <w:spacing w:after="0"/>
              <w:rPr>
                <w:sz w:val="20"/>
                <w:szCs w:val="20"/>
                <w:color w:val="auto"/>
              </w:rPr>
            </w:pPr>
            <w:r>
              <w:rPr>
                <w:rFonts w:ascii="Arial" w:cs="Arial" w:eastAsia="Arial" w:hAnsi="Arial"/>
                <w:sz w:val="18"/>
                <w:szCs w:val="18"/>
                <w:color w:val="auto"/>
              </w:rPr>
              <w:t>Acquisitions</w:t>
            </w:r>
          </w:p>
        </w:tc>
        <w:tc>
          <w:tcPr>
            <w:tcW w:w="1000" w:type="dxa"/>
            <w:vAlign w:val="bottom"/>
          </w:tcPr>
          <w:p>
            <w:pPr>
              <w:jc w:val="center"/>
              <w:ind w:right="155"/>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Estimated Impact of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w:t>
            </w:r>
          </w:p>
        </w:tc>
        <w:tc>
          <w:tcPr>
            <w:tcW w:w="100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right="155"/>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gridSpan w:val="3"/>
          </w:tcPr>
          <w:p>
            <w:pPr>
              <w:spacing w:after="0" w:line="177" w:lineRule="exact"/>
              <w:rPr>
                <w:sz w:val="20"/>
                <w:szCs w:val="20"/>
                <w:color w:val="auto"/>
              </w:rPr>
            </w:pPr>
            <w:r>
              <w:rPr>
                <w:rFonts w:ascii="Arial" w:cs="Arial" w:eastAsia="Arial" w:hAnsi="Arial"/>
                <w:sz w:val="16"/>
                <w:szCs w:val="16"/>
                <w:color w:val="auto"/>
                <w:w w:val="88"/>
              </w:rPr>
              <w:t>__________________________________________</w:t>
            </w: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right="20" w:hanging="332"/>
        <w:spacing w:after="0" w:line="208"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Beginning in 2014, revenue in Mexico is presented on a net accounting basis in connection with a new business model under which the cost of certain services provided by our suppliers is netted against revenue.</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Sum of the individual amounts does not add due to rounding.</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2015, U.S. Simple Meals sales were comparable to the year-ago period. U.S. soup sales declined 3%, with 1% due to the impact of the 53</w:t>
      </w:r>
      <w:r>
        <w:rPr>
          <w:rFonts w:ascii="Arial" w:cs="Arial" w:eastAsia="Arial" w:hAnsi="Arial"/>
          <w:sz w:val="22"/>
          <w:szCs w:val="22"/>
          <w:color w:val="auto"/>
          <w:vertAlign w:val="superscript"/>
        </w:rPr>
        <w:t>rd</w:t>
      </w:r>
      <w:r>
        <w:rPr>
          <w:rFonts w:ascii="Arial" w:cs="Arial" w:eastAsia="Arial" w:hAnsi="Arial"/>
          <w:sz w:val="16"/>
          <w:szCs w:val="16"/>
          <w:color w:val="auto"/>
        </w:rPr>
        <w:t>week.</w:t>
      </w:r>
    </w:p>
    <w:p>
      <w:pPr>
        <w:spacing w:after="0"/>
        <w:rPr>
          <w:sz w:val="20"/>
          <w:szCs w:val="20"/>
          <w:color w:val="auto"/>
        </w:rPr>
      </w:pPr>
      <w:r>
        <w:rPr>
          <w:rFonts w:ascii="Arial" w:cs="Arial" w:eastAsia="Arial" w:hAnsi="Arial"/>
          <w:sz w:val="18"/>
          <w:szCs w:val="18"/>
          <w:color w:val="auto"/>
        </w:rPr>
        <w:t>Further details of U.S. soup include:</w:t>
      </w:r>
    </w:p>
    <w:p>
      <w:pPr>
        <w:spacing w:after="0" w:line="155"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Sales of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soups decreased 3%, with declines in both eating and cooking varieties. Lower volumes were partially offset by higher selling prices and reduced promotional spending.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ready-to-serve soups decreased 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Broth sales increased 3% due to gains in aseptically-packaged broth, partially offset by declines in canned broth.</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Sales of other simple meals increased 5%, primarily due to growth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dinner sauces, partially offset by lower sales in other simple meal products.</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2014, U.S. Simple Meals sales increased 3%. U.S. soup sales decreased 1%. Excluding the benefit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U.S. soup sales decreased 2%.</w:t>
      </w:r>
    </w:p>
    <w:p>
      <w:pPr>
        <w:spacing w:after="0"/>
        <w:rPr>
          <w:sz w:val="20"/>
          <w:szCs w:val="20"/>
          <w:color w:val="auto"/>
        </w:rPr>
      </w:pPr>
      <w:r>
        <w:rPr>
          <w:rFonts w:ascii="Arial" w:cs="Arial" w:eastAsia="Arial" w:hAnsi="Arial"/>
          <w:sz w:val="18"/>
          <w:szCs w:val="18"/>
          <w:color w:val="auto"/>
        </w:rPr>
        <w:t>Further details of U.S. soup, excluding the benefit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include:</w:t>
      </w:r>
    </w:p>
    <w:p>
      <w:pPr>
        <w:spacing w:after="0" w:line="75"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Sales of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soups decreased 3%, with declines in eating varieties partially offset by gains in cooking varieties. Lower volumes and increased promotional spending were partly offset by higher selling prices.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ready-to-serve soups decreased 6%, primarily due to declines in canned and microwavable soup varieties.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Broth sales increased 8%, primarily due to more effective marketing programs, innovation and distribution gains.</w:t>
      </w:r>
    </w:p>
    <w:p>
      <w:pPr>
        <w:spacing w:after="0" w:line="9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Sales of other simple meals increased 15%, primarily due to the acquisition of Plum in June 2013, which contributed 9 points of growth. Excluding the impact of the acquisition and the benefit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sales increased due to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which benefited from the launch of Alfredo sauces;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dinner sauces, which benefited from the introduction in 2014 of</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Slow Cooker Sauces; partially offset by declines in</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canned gravy products.</w:t>
      </w:r>
    </w:p>
    <w:p>
      <w:pPr>
        <w:sectPr>
          <w:pgSz w:w="11900" w:h="16838" w:orient="portrait"/>
          <w:cols w:equalWidth="0" w:num="1">
            <w:col w:w="11420"/>
          </w:cols>
          <w:pgMar w:left="240" w:top="131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jc w:val="both"/>
        <w:ind w:firstLine="324"/>
        <w:spacing w:after="0" w:line="232" w:lineRule="auto"/>
        <w:rPr>
          <w:sz w:val="20"/>
          <w:szCs w:val="20"/>
          <w:color w:val="auto"/>
        </w:rPr>
      </w:pPr>
      <w:r>
        <w:rPr>
          <w:rFonts w:ascii="Arial" w:cs="Arial" w:eastAsia="Arial" w:hAnsi="Arial"/>
          <w:sz w:val="18"/>
          <w:szCs w:val="18"/>
          <w:color w:val="auto"/>
        </w:rPr>
        <w:t>In 2015, Global Baking and Snacking sales decreased 3%. In Arnott's, sales decreased due to the impact of currency translation. Excluding the impact of currency translation, sales of Arnott's products increased due to volume gains and higher selling prices in Australia and Indonesia. Pepperidge Farm sales declined primarily due to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week. Excluding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week, Pepperidge Farm sales increased due to gains in fresh bakery, and crackers and cookies, partially offset by declines in frozen products.</w:t>
      </w:r>
    </w:p>
    <w:p>
      <w:pPr>
        <w:spacing w:after="0" w:line="148"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In 2014, Global Baking and Snacking sales increased 7%. The acquisition of Kelsen contributed $193 million to sales, or 8 points of growth. Excluding the impact of the acquisition and the benefit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sales decreased primarily due to the impact of currency translation. Excluding the benefit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Pepperidge Farm sales increased slightly with growth in fresh bakery and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partially offset by declines in adult cracker varieties and frozen products. In fresh bakery, sales increased due to gains in sandwich bread and rolls. In Arnott's, sales decreased primarily due to the impact of currency translation and sales declines in Australia in savory and chocolate varieties, partially offset by strong gains in Indonesia and the benefit of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2014, we increased trade spending in Arnott's and Pepperidge Farm to remain competitive.</w:t>
      </w:r>
    </w:p>
    <w:p>
      <w:pPr>
        <w:spacing w:after="0" w:line="15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In 2015, International Simple Meals and Beverages sales decreased 10%. In Canada, sales decreased due to the impact of currency translation and declines in beverages, partially offset by gains in baked snacks. In the Asia Pacific region, sales declined due to the impact of currency translation and the 53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week. In Latin America, sales declined due in part to the impact of presenting revenue on a net basis and currency translation.</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International Simple Meals and Beverages sales decreased 10%. In Canada, sales decreased due to the impact of currency translation and declines in beverages, partly offset by gains in snacks. In Latin America, sales declined due to the impact of presenting revenue on a net basis and lower selling prices in Mexico. In the Asia Pacific region, sales decreased primarily due to the impact of currency translation and declines in Australia, primarily in soup, partially offset by gains in Malaysia.</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2015, U.S. Beverages, sales decreased 5%, primarily due to declines in </w:t>
      </w:r>
      <w:r>
        <w:rPr>
          <w:rFonts w:ascii="Arial" w:cs="Arial" w:eastAsia="Arial" w:hAnsi="Arial"/>
          <w:sz w:val="18"/>
          <w:szCs w:val="18"/>
          <w:i w:val="1"/>
          <w:iCs w:val="1"/>
          <w:color w:val="auto"/>
        </w:rPr>
        <w:t>V8 V-Fusion</w:t>
      </w:r>
      <w:r>
        <w:rPr>
          <w:rFonts w:ascii="Arial" w:cs="Arial" w:eastAsia="Arial" w:hAnsi="Arial"/>
          <w:sz w:val="18"/>
          <w:szCs w:val="18"/>
          <w:color w:val="auto"/>
        </w:rPr>
        <w:t xml:space="preserve"> beverages and </w:t>
      </w:r>
      <w:r>
        <w:rPr>
          <w:rFonts w:ascii="Arial" w:cs="Arial" w:eastAsia="Arial" w:hAnsi="Arial"/>
          <w:sz w:val="18"/>
          <w:szCs w:val="18"/>
          <w:i w:val="1"/>
          <w:iCs w:val="1"/>
          <w:color w:val="auto"/>
        </w:rPr>
        <w:t>V8</w:t>
      </w:r>
      <w:r>
        <w:rPr>
          <w:rFonts w:ascii="Arial" w:cs="Arial" w:eastAsia="Arial" w:hAnsi="Arial"/>
          <w:sz w:val="18"/>
          <w:szCs w:val="18"/>
          <w:color w:val="auto"/>
        </w:rPr>
        <w:t xml:space="preserve"> vegetable juice, partially offset by gains in </w:t>
      </w:r>
      <w:r>
        <w:rPr>
          <w:rFonts w:ascii="Arial" w:cs="Arial" w:eastAsia="Arial" w:hAnsi="Arial"/>
          <w:sz w:val="18"/>
          <w:szCs w:val="18"/>
          <w:i w:val="1"/>
          <w:iCs w:val="1"/>
          <w:color w:val="auto"/>
        </w:rPr>
        <w:t>V8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Splash </w:t>
      </w:r>
      <w:r>
        <w:rPr>
          <w:rFonts w:ascii="Arial" w:cs="Arial" w:eastAsia="Arial" w:hAnsi="Arial"/>
          <w:sz w:val="18"/>
          <w:szCs w:val="18"/>
          <w:color w:val="auto"/>
        </w:rPr>
        <w:t>beverages. U.S. Beverages continued to be under pressure from category weakness in shelf-stable juices, as well as from competition from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beverages and packaged fresh juices.</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 xml:space="preserve">In 2014, U.S. Beverages sales decreased 3%, primarily from declines in </w:t>
      </w:r>
      <w:r>
        <w:rPr>
          <w:rFonts w:ascii="Arial" w:cs="Arial" w:eastAsia="Arial" w:hAnsi="Arial"/>
          <w:sz w:val="17"/>
          <w:szCs w:val="17"/>
          <w:i w:val="1"/>
          <w:iCs w:val="1"/>
          <w:color w:val="auto"/>
        </w:rPr>
        <w:t>V8 V-Fusion</w:t>
      </w:r>
      <w:r>
        <w:rPr>
          <w:rFonts w:ascii="Arial" w:cs="Arial" w:eastAsia="Arial" w:hAnsi="Arial"/>
          <w:sz w:val="17"/>
          <w:szCs w:val="17"/>
          <w:color w:val="auto"/>
        </w:rPr>
        <w:t xml:space="preserve"> multi-serve beverages and softness in single-serve beverages, due in part to the transition in 2014 to a new distribution network for the immediate consumption channel. U.S. Beverages continued to be under pressure from category weakness in shelf-stable juices, as well as from competition from specialty beverages and packaged fresh juices.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2015, Bolthouse and Foodservice sales increased 1%, primarily due to gains in Bolthouse premium refrigerated beverages and salad dressings; and the acquisition of Garden Fresh Gourmet, which was acquired on June 29, 2015; partially offset by declines in Bolthouse carrots, juice concentrate and fiber. North America Foodservice sales were comparable, as volume gains and higher selling prices were offset by the impact of currency translation and the 53</w:t>
      </w:r>
      <w:r>
        <w:rPr>
          <w:rFonts w:ascii="Arial" w:cs="Arial" w:eastAsia="Arial" w:hAnsi="Arial"/>
          <w:sz w:val="25"/>
          <w:szCs w:val="25"/>
          <w:color w:val="auto"/>
          <w:vertAlign w:val="superscript"/>
        </w:rPr>
        <w:t>rd</w:t>
      </w:r>
      <w:r>
        <w:rPr>
          <w:rFonts w:ascii="Arial" w:cs="Arial" w:eastAsia="Arial" w:hAnsi="Arial"/>
          <w:sz w:val="18"/>
          <w:szCs w:val="18"/>
          <w:color w:val="auto"/>
        </w:rPr>
        <w:t>week.</w:t>
      </w:r>
    </w:p>
    <w:p>
      <w:pPr>
        <w:spacing w:after="0" w:line="3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 2014, Bolthouse and Foodservice sales increased 5%. The increase was due in part to the benefit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and the additional week of Bolthouse sales in 2014 as the business was acquired one week into 2013. Excluding the additional week of Bolthouse in 2014 and the benefit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segment sales increased as gains in Bolthouse beverages and salad dressings were partially offset by declines in North America Foodservice. The North America Foodservice decline was due to volume declines in fresh soup sold at retail perimeter and the impact of currency translation.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$93 million in 2015 from 2014 and decreased by $14 million in 2014 from 2013. As a percent of sales, gross profit was 34.7% in 2015, 35.1% in 2014 and 36.2% in 2013.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0.4 and 1.1 percentage-point decreases in gross margin percentage in 2015 and 2014, respectively, were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inflation, supply chain costs and other factors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(0.3)</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(1.1)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Reduction in restructuring-related costs</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 (including Plum recall in 2014)</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Pension settlement charges in 2014</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0.3</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Productivity improvements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See Note 11 to the Consolidated Financial Statements for additional information on the pension settlement charges.</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Marketing and selling expenses as a percent of sales were 10.9% in 2015, 11.3% in 2014 and 11.8% in 2013. Marketing and selling expenses decreased 6% in 2015 from 2014. The decrease was primarily due to the impact of currency translation (approximately 2 percentage points); lower advertising and consumer promotion expenses (approximately 2 percentage points); lower marketing overhead expenses (approximately 1 percentage point); and and lower selling expenses (approximately 1 percentage point). The decline in advertising expenses was primarily in U.S. Simple Meals and U.S. Beverages, partially offset by an increase in Global Baking and Snacking. Marketing and selling expenses decreased 1% in 2014 from 2013. The decrease was primarily due to lower advertising and consumer promotion expenses (approximately 2 percentage points); the impact of currency translation (approximately 1 percentage point); lower marketing overhead expenses (approximately 1 percentage point); and lower selling expenses (approximately 1 percentage point), partially offset by the impact of acquisitions (approximately 4 percentage points).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Administrative expenses as a percent of sales were 7.3% in 2015, 6.9% in 2014 and 8.4% in 2013. Administrative expenses increased 3% in 2015 from 2014. The increase was primarily due to costs of $22 million in 2015 related to the implementation of the new organizational structure and cost reduction initiatives (approximately 4 percentage points) and higher incentive compensation costs (approximately 4 percentage points), partially offset by savings from cost reduction and restructuring initiatives (approximately 3 percentage points) and the impact of currency translation (approximately 2 percentage points). Administrative expenses decreased 15% in 2014 from 2013. The decrease was primarily due to lower incentive compensation costs (approximately 13 percentage points); cost savings from restructuring initiatives (approximately 3 percentage points); and lower pension and other benefit expenses (approximately 2 percentage points), partially offset by the impact of acquisitions (approximately 3 percentage points).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expenses decreased $8 million, or 7%, in 2015 from 2014. The decrease was primarily due to savings from cost reduction and restructuring initiatives (approximately 7 percentage points). Research and development expenses decreased $7 million, or 5%, in 2014 from 2013. The decrease was primarily due to lower incentive compensation costs (approximately 4 percentage points) and cost savings from restructuring initiatives (approximately 3 percentage points), partially offset by the impact of acquisitions (approximately 3 percentage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Expenses/(Income)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expenses in 2015 included $17 million of amortization of intangible assets and an impairment charge of $6 million related to minor trademarks used in the Global Baking and Snacking segment. The impairment charge was recorded as a result of our annual review of intangible assets. Other expenses in 2014 included a loss of $9 million on foreign exchange forward contracts used to hedge the proceeds from the sale of the European simple meals business and $18 million of amortization of intangible assets. Other expenses in 2013 included $10 million of transaction costs associated with the acquisition of Bolthouse Farms and $14 million of amortization of intangible assets.</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5% in 2015 from 2014. Segment operating earnings were comparable in 2014 and 2013.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2015/2014</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2014/2013</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Global Baking and Snacking</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5</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U.S. Beverages</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21"/>
                <w:szCs w:val="21"/>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w:t>
            </w:r>
          </w:p>
        </w:tc>
      </w:tr>
      <w:tr>
        <w:trPr>
          <w:trHeight w:val="237"/>
        </w:trPr>
        <w:tc>
          <w:tcPr>
            <w:tcW w:w="5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1,327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5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8"/>
          <w:szCs w:val="18"/>
          <w:color w:val="auto"/>
        </w:rPr>
        <w:t>Earnings from U.S. Simple Meals decreased 5% in 2015 versus 2014. The decrease was due to cost inflation and higher supply chain costs, and the impact of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partially offset by productivity improvements, lower marketing expenses, higher selling prices and the benefit of lapping the Plum recall in the prior year.</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U.S. Simple Meals decreased 2% in 2014 versus 2013. The decrease was primarily due to a lower gross margin percentage and expenses related to the Plum product recall in November 2013, partly offset by lower administrative expenses, lower marketing expenses and the benefit of the additional week.</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Earnings from Global Baking and Snacking increased 5% in 2015 versus 2014. The increase was primarily due to productivity improvements, higher selling prices and sales volume gains, partially offset by cost inflation and higher supply chain costs, increased marketing expenses and the impact of currency translation. The operating earnings increase reflected improvement in Kelsen due to lapping the negative impact of purchase accounting in 2014 and growth in Pepperidge Farm, partly offset by lower earnings in Arnott's, which were impacted by currency translation.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Global Baking and Snacking increased 5% in 2014 versus 2013. Operating earnings increased primarily due to lower administrative expenses, the Kelsen acquisition, lower marketing expenses and the benefit of the additional week, partially offset by a lower gross margin percentage and the impact of currency translation. The operating earnings increase reflected growth in Pepperidge Farm and the addition of Kelsen's operating results, partly offset by lower earnings in Arnott’s.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International Simple Meals and Beverages decreased 25% in 2015 versus 2014. The decrease was primarily due to the adverse impact of currency movements on input costs and the impact of currency translation.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International Simple Meals and Beverages decreased 2% in 2014 versus 2013. The decrease in operating earnings was primarily due to lower sales volume and the impact of currency translation, partly offset by lower administrative expenses, a higher gross margin percentage and lower selling expenses.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U.S. Beverages decreased 11% in 2015 versus 2014, primarily due to a lower gross margin percentage and sales volume declines, partially offset by a reduction in marketing expenses.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Earnings from U.S. Beverages increased 6% in 2014 versus 2013, primarily due to lower administrative and marketing expenses, partly offset by a lower gross margin percentage and sales volume declines.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Earnings from Bolthouse and Foodservice decreased 9% in 2015 versus 2014. The decrease was primarily due to a lower gross margin percentage in Bolthouse carrots, juice concentrate and fiber, reflecting higher carrot costs due in part to adverse weather, partly offset by an improvement in gross margin percentage in Bolthouse premium refrigerated beverages and salad dressings, reflecting lower promotional spending.</w:t>
      </w:r>
    </w:p>
    <w:p>
      <w:pPr>
        <w:spacing w:after="0" w:line="111" w:lineRule="exact"/>
        <w:rPr>
          <w:sz w:val="20"/>
          <w:szCs w:val="20"/>
          <w:color w:val="auto"/>
        </w:rPr>
      </w:pPr>
    </w:p>
    <w:p>
      <w:pPr>
        <w:jc w:val="both"/>
        <w:ind w:right="20" w:firstLine="324"/>
        <w:spacing w:after="0" w:line="326" w:lineRule="auto"/>
        <w:rPr>
          <w:sz w:val="20"/>
          <w:szCs w:val="20"/>
          <w:color w:val="auto"/>
        </w:rPr>
      </w:pPr>
      <w:r>
        <w:rPr>
          <w:rFonts w:ascii="Arial" w:cs="Arial" w:eastAsia="Arial" w:hAnsi="Arial"/>
          <w:sz w:val="16"/>
          <w:szCs w:val="16"/>
          <w:color w:val="auto"/>
        </w:rPr>
        <w:t>Earnings from Bolthouse and Foodservice increased 1% in 2014 versus 2013. The increase was primarily due to lower administrative expenses, the increase in sales and the benefit of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partly offset by a lower gross margin percentage and increased marketing investment for Bolthouse Farms.</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Unallocated corporate expenses in 2015 included costs of $22 million related to the implementation of our new organizational structure and cost reduction initiatives. Unallocated corporate expenses in 2014 included pension settlement charges of $22 million</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jc w:val="both"/>
        <w:spacing w:after="0" w:line="255" w:lineRule="auto"/>
        <w:rPr>
          <w:sz w:val="20"/>
          <w:szCs w:val="20"/>
          <w:color w:val="auto"/>
        </w:rPr>
      </w:pPr>
      <w:r>
        <w:rPr>
          <w:rFonts w:ascii="Arial" w:cs="Arial" w:eastAsia="Arial" w:hAnsi="Arial"/>
          <w:sz w:val="18"/>
          <w:szCs w:val="18"/>
          <w:color w:val="auto"/>
        </w:rPr>
        <w:t>associated with a U.S. pension plan. The settlements resulted from the level of lump sum distributions from the plan's assets in 2014, primarily due to the closure of the facility in Sacramento, California. In addition, 2014 included a $9 million loss on foreign exchange forward contracts related to the sale of the European simple meals business and $3 million of restructuring-related costs. The remaining change was primarily due to lower losses on open commodity hedges in 2015. Unallocated corporate expenses in 2013 included $91 million of restructuring-related costs and $10 million of transaction costs associated with the Bolthouse Farms acquisition. The remaining decrease in expenses in 2014 from 2013 was primarily due to lower incentive compensation costs and gains on foreign exchange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to $108 million in 2015 from $122 million in 2014, reflecting lower average levels of debt.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decreased to $122 million in 2014 from $135 million in 2013, reflecting lower interest rates on the debt portfolio. Interest income decreased to $3 million from $10 million in 2013, primarily due to lower levels of cash and cash equivalents.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effective tax rate was 30.2% in 2015, 32.3% in 2014 and 28.8% in 2013. In 2015, we recognized a tax benefit of $46 million on $124 million of restructuring charges and implementation costs. In 2014, we recognized a tax benefit of $8 million on $22 million of pension settlement charges associated with a U.S. pension plan. In addition, 2014 also included a tax benefit of $17 million on $58 million of restructuring charges and related costs, a tax expense of $7 million associated with the sale of the European simple meals business and a tax benefit of $3 million on a loss of $9 million on foreign exchange forward contracts used to hedge the proceeds from the sale of the business. After adjusting for items impacting comparability, the remaining decrease in the effective rate in 2015 was primarily due to the favorable resolution of an intercompany pricing agreement between the U.S. and Canada.</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2013, we recognized a tax benefit of $55 million on $152 million of restructuring charges and related costs and acquisition transaction costs. After adjusting for items impacting comparability, the remaining increase in the effective rate in 2014 was primarily due to the 2013 rate benefiting from lower taxes on foreign earnings and the favorable settlement of state tax matters.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support of the new enterprise design, we designed and implemented a new IGS organization to deliver shared services across the company. IGS, which became effective at the beginning of 2016, is expected to reduce costs while increasing our efficiency and effectiveness. We are also pursuing other initiatives to reduce costs and increase effectiveness, such as streamlining our organizational structure and adopting zero-based budgeting over time.</w:t>
      </w:r>
    </w:p>
    <w:p>
      <w:pPr>
        <w:spacing w:after="0" w:line="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July 31, 2015, with some remaining beyond July 31. We also implemented an initiative to reduce overhead across the organization by eliminating approximately 230 positions. In 2015, we recorded a restructuring charge of $102 million related to these initiatives.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we incurred charges of $22 million recorded in Administrative expenses related to the implementation of the new organizational structure and cost reduction initiatives.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after-tax impact of restructuring charges and implementation and other costs recorded in 2015 was $78 million, or $.25 per share. A summary of the pre-tax costs associated with the 2015 initiatives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2"/>
                <w:szCs w:val="12"/>
                <w:color w:val="auto"/>
              </w:rPr>
            </w:pPr>
          </w:p>
        </w:tc>
        <w:tc>
          <w:tcPr>
            <w:tcW w:w="13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1"/>
              </w:rPr>
              <w:t>August 2, 2015</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Implementation and other costs</w:t>
            </w:r>
          </w:p>
        </w:tc>
        <w:tc>
          <w:tcPr>
            <w:tcW w:w="2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estimated pre-tax costs for the 2015 initiatives are approximately $250 million to $325 million. We expect the costs to consist of approximately $150 million to $163 million in severance pay and benefits, and approximately $100 million to $162 million in implementation and other costs.We expect the total pre-tax costs related to the 2015 initiatives will be associated with</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spacing w:after="0" w:line="342" w:lineRule="auto"/>
        <w:rPr>
          <w:sz w:val="20"/>
          <w:szCs w:val="20"/>
          <w:color w:val="auto"/>
        </w:rPr>
      </w:pPr>
      <w:r>
        <w:rPr>
          <w:rFonts w:ascii="Arial" w:cs="Arial" w:eastAsia="Arial" w:hAnsi="Arial"/>
          <w:sz w:val="16"/>
          <w:szCs w:val="16"/>
          <w:color w:val="auto"/>
        </w:rPr>
        <w:t>segments as follows: U.S. Simple Meals - approximately 21%; Global Baking and Snacking - approximately 28%; International Simple Meals and Beverages - approximately 6%; U.S. Beverages - approximately 5%; Bolthouse and Foodservice - approximately 5%; and Corporate - approximately 35%.</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expect substantially all costs to be cash expenditures, except for $7 million of non-cash postretirement and pension curtailment costs. We expect to incur the costs through 2018, and fund the costs through cash and short-term borrowings.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expect the 2015 initiatives to generate pre-tax savings of approximately $145 million in 2016, and once fully implemented, annual ongoing savings of approximately $250 million beginning in 2018. In 2015, pre-tax savings were $85 million.</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and implementation and other costs because we evaluate segment performance excluding such charges. A summary of the pre-tax costs incurred to date associated with segments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U.S.</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Global</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11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Bolthouse and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Simple</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Baking and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2"/>
                <w:szCs w:val="12"/>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Meals</w:t>
            </w:r>
          </w:p>
        </w:tc>
        <w:tc>
          <w:tcPr>
            <w:tcW w:w="14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Snacking</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and Beverages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Foodservice</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Implementation and other costs</w:t>
            </w:r>
          </w:p>
        </w:tc>
        <w:tc>
          <w:tcPr>
            <w:tcW w:w="1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restructured manufacturing and streamlined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Australia, we implemented an initiative to improve supply chain efficiency by relocating production from our biscuit plant in Marleston to Huntingwood. The relocation will continue through 2017 and will result in the elimination of approximately 90 positions.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were completed in 2015.</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recorded a restructuring charge of $54 million ($33 million after tax, or $.10 per share, in earnings from continuing operations attributable to Campbell Soup Company) related to the 2014 initiatives.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Program</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fourth quarter of 2015, we incurred substantially all of the costs related to the 2014 initiatives. Of the aggregate $54 million of pre-tax costs, approximately $41 million represented cash expenditures. In addition, we expect to invest approximately $6 million in capital expenditures, primarily to relocate biscuit production and packaging capabilities, of which we invested approximately $3 million as of August 2, 2015. We do not expect the remaining cash outflows related to these restructuring initiatives to have a material adverse impact on our liquidity.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2014 initiatives generated pre-tax savings of approximately $26 million in 2014 and $57 million in 2015. We expect to generate annual ongoing savings of approximately $65 million beginning in 2016.</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operating results do not include restructuring charges because we evaluate segment performance excluding such charges. The total pre-tax costs of $54 million associated with segments were as follows: U.S. Simple Meals - $8 million; Global Baking and Snacking - $23 million; International Simple Meals and Beverages - $18 million; U.S. Beverages - $2 million; Bolthouse and Foodservice - $2 million; and Corporate - $1 million.</w:t>
      </w:r>
    </w:p>
    <w:p>
      <w:pPr>
        <w:sectPr>
          <w:pgSz w:w="11900" w:h="16838" w:orient="portrait"/>
          <w:cols w:equalWidth="0" w:num="1">
            <w:col w:w="11420"/>
          </w:cols>
          <w:pgMar w:left="240" w:top="1233"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33"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2013 initiatives include:</w:t>
      </w:r>
    </w:p>
    <w:p>
      <w:pPr>
        <w:spacing w:after="0" w:line="157" w:lineRule="exact"/>
        <w:rPr>
          <w:sz w:val="20"/>
          <w:szCs w:val="20"/>
          <w:color w:val="auto"/>
        </w:rPr>
      </w:pPr>
    </w:p>
    <w:p>
      <w:pPr>
        <w:jc w:val="both"/>
        <w:ind w:left="66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 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13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streamlined our salaried workforce in U.S. Simple Meals, North America Foodservice and U.S. Beverages by approximately 70 positions. This action was substantially completed in August 2013.</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2014, we recorded a restructuring charge of $1 million related to the 2013 initiatives. In addition, we recorded approximately $3 million of costs related to the 2013 initiatives in Cost of products sold, representing other exit costs. The aggregate after-tax impact of restructuring charges and related costs recorded in 2014 was $3 million, or $.01 per share. In 2013, we recorded a restructuring charge of $51 million. In addition, we recorded approximately $91 million of costs related to these initiatives in 2013 in Cost of products sold, representing accelerated depreciation and other exit costs. The aggregate after-tax impact of restructuring charges and related costs recorded in 2013 was $90 million, or $.28 per share.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2013 initiatives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 Program</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99</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146</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the fourth quarter of 2015, we substantially completed the 2013 initiatives. Of the aggregate $146 million of pre-tax costs, approximately $43 million represented cash expenditures. In addition, we invested approximately $30 million in capital expenditures as of August 2, 2015, primarily to relocate and refurbish a beverage filling and packaging line, and relocate bread production.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Beginning in 2015, the 2013 initiatives generated annual ongoing pre-tax savings of approximately $40 million. In 2014, savings were approximately $30 million.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operating results do not include restructuring charges and related costs because we evaluate segment performance excluding such charges. The total pre-tax costs of $146 million associated with segments were as follows: U.S. Simple Meals - $90 million; Global Baking and Snacking - $14 million; International Simple Meals and Beverages - $9 million; U.S. Beverages - $31 million; and Bolthouse and Foodservice - $2 million.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to the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2013,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recognized a pre-tax gain of $141 million ($72 million after tax, or $.23 per share) in 2014.</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reflected the results of the European simple meals business as discontinued operations in the Consolidated Statements of Earnings. The business was historically included in the International Simple Meals and Beverages segment.</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r>
      <w:tr>
        <w:trPr>
          <w:trHeight w:val="275"/>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0"/>
        </w:trPr>
        <w:tc>
          <w:tcPr>
            <w:tcW w:w="8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Impairment on the European simple meals business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 before taxes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8"/>
                <w:szCs w:val="18"/>
                <w:color w:val="auto"/>
              </w:rPr>
              <w:t>Earnings (loss) before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0"/>
                <w:szCs w:val="20"/>
                <w:color w:val="auto"/>
              </w:rPr>
            </w:pPr>
          </w:p>
        </w:tc>
      </w:tr>
      <w:tr>
        <w:trPr>
          <w:trHeight w:val="27"/>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r>
      <w:tr>
        <w:trPr>
          <w:trHeight w:val="27"/>
        </w:trPr>
        <w:tc>
          <w:tcPr>
            <w:tcW w:w="8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In the fourth quarter of 2013, we recorded an impairment charge on the intangible assets of this business of $396 million ($263 million after tax, or $.83 per share). In addition, we recorded $18 million in tax expense ($.06 per share) representing taxes on the difference between the book value and tax basis of the business. See also Notes 4 and 6 to the Consolidated Financial Statements for additional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generated cash from operations of $1.182 billion in 2015, compared to $899 million in 2014. The increase in 2015 was primarily due to lower working capital requirements, taxes paid in 2014 on the divestiture of the European simple meals business and lower pension contributions in 2015, partially offset by lower cash earnings.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generated cash from operations of $899 million in 2014, compared to $1.019 billion in 2013. The decrease in 2014 was primarily due to lower cash earnings and taxes paid on the divestiture of the European simple meals business, partly offset by lower working capital requirements.</w:t>
      </w:r>
    </w:p>
    <w:p>
      <w:pPr>
        <w:spacing w:after="0" w:line="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Capital expenditures were $380 million in 2015, $347 million in 2014 and $336 million in 2013. Capital expenditures are expected to total approximately $350 million in 2016. Capital expenditures in 2015 included a cracker capacity expansion at Pepperidge Farm (approximately $36 million); a Bolthouse Farms beverage and salad dressing capacity expansion project (approximately $33 million); the ongoing initiative to simplify the soup-making process in North America (also known as the soup common platform initiative) (approximately $30 million); a Bolthouse Farms warehouse capacity expansion project (approximately $13 million); biscuit capacity expansion in Indonesia (approximately $13 million); continued enhancement of our corporate headquarters (approximately $12 million); and aseptic broth capacity expansion (approximately $6 million). Capital expenditures in 2014 included capacity expansion at Pepperidge Farm (approximately $48 million); the ongoing soup common platform initiative in North America (approximately $22 million); broth capacity expansion (approximately $15 million); continued enhancement of our corporate headquarters (approximately $12 million); a flexible beverage production line for Bolthouse Farms (approximately $11 million); the refurbishment of a beverage filling and packaging line for the U.S. Beverages business (approximately $10 million); the packing automation and capacity expansion projects at one of our Australian biscuit plants (approximately $10 million); and an advanced planning system in North America (approximately $4 million). Capital expenditures in 2013 included the soup capacity expansion project for the North America Foodservice business (approximately $42 million); capacity expansion at Pepperidge Farm (approximately $38 million); the ongoing soup common platform initiative in North America (approximately $20 million); the packing automation and capacity expansion projects at one of our Australian biscuit plants (approximately $19 million); and an advanced planning system in North America (approximately $11 million).</w:t>
      </w:r>
    </w:p>
    <w:p>
      <w:pPr>
        <w:spacing w:after="0" w:line="1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The purchase price was $232 million, subject to post-closing adjustments, and was funded through the issuance of commercial paper.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8, 2013, we completed the acquisition of Kelsen. The final all-cash purchase price was $331 million and was funded through the issuance of commercial paper.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13, 2013, we completed the acquisition of Plum. The final all-cash purchase price was $249 million, and was funded through the issuance of commercial paper.</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2015, we issued $300 million of 3.30% notes that mature on March 19, 2025. Interest on the notes is due semi-annually on March 19 and September 19, commencing on September 19, 2015. The notes may be redeemed in whole, or in part, at our option at any time at the applicable redemption price. In certain circumstances, we may be required to repurchase some or</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all of the notes upon a change in control of our company and a downgrade of the notes below investment grade. The net proceeds were used for general corporate purposes.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borrowings in 2013 included:</w:t>
      </w:r>
    </w:p>
    <w:p>
      <w:pPr>
        <w:spacing w:after="0" w:line="171"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 million floating rate notes that matured on August 1, 2014. Interest on the notes was based on 3-month U.S. dollar LIBOR plus 0.30%. Interest was payable quarterly and commenced on November 1, 2012;</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$450 million of 2.50% notes that mature on August 2, 2022. Interest is payable semi-annually and commenced on February 2, 2013. We may redeem the notes in whole or in part at any time at a redemption price of 100% of the principal amount plus accrued interest or an amount designed to ensure that the note holders are not penalized by the early redemption; and</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 million of 3.80% notes that mature on August 2, 2042. Interest is payable semi-annually and commenced on February 2, 2013. We may redeem the notes in whole or in part at any time at a redemption price of 100% of the principal amount plus accrued interest or an amount designed to ensure that the note holders are not penalized by the early redemption.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from these issuances were used to fund the acquisition of Bolthouse Farms in 2013 for $1.561 billion. The balance of the purchase price was funded through the issuance of commercial paper.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Dividend payments were $394 million in 2015, $391 million in 2014 and $367 million in 2013. Annual dividends declared were $1.248 per share in 2015 and 2014 and $1.16 per share in 2013. The 2015 fourth quarter rate was $.312 per share.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repurchased approximately 5 million shares at a cost of $244 million in 2015, approximately 2 million shares at a cost of $76 million in 2014, and approximately 4 million shares at a cost of $153 million in 2013. In June 2011, our Board of Directors authorized the purchase of up to $1 billion of our stock. Of the amount spent in 2015, $200 million was used to repurchase shares pursuant to our June 2011 publicly announced share repurchase program. Approximately $550 million remained available to repurchase shares under our June 2011 repurchase program as of August 2, 2015. The program has no expiration date. We also expect to continue our longstanding practice, under separate authorization, of purchasing shares sufficient to offset shares issued under incentive compensation plans. See “Market for Registrant's Capital Stock, Related Shareholder Matters and Issuer Purchases of Equity Securities” for more information.</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August 2, 2015, we had $1.543 billion of short-term borrowings due within one year, of which $1.532 billion was comprised of commercial paper borrowings. As of August 2, 2015, we issued $50 million of standby letters of credit. We have a committed revolving credit facility totaling $2.2 billion that matures in December 2018. This facility remained unused at August 2, 2015, except for $3 million of standby letters of credit that we issued under it. This revolving credit facility supports our commercial paper programs and other general corporate purposes. We may also increase the commitment under the credit facility up to an additional $500 million, upon the agreement of either existing lenders or of additional banks not currently parties to the existing credit agreements.</w:t>
      </w:r>
    </w:p>
    <w:p>
      <w:pPr>
        <w:spacing w:after="0" w:line="1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2013, we completed the sale of our European simple meals business to Soppa Investments S.à r.l., an affiliate of CVC Capital Partners, for €400 million, or $548 million. The sale price was subject to certain post-closing adjustments, which resulted in a $14 million reduction of proceeds. We used the proceeds from the sale to pay taxes on the sale, to reduce debt and for other general corporate purposes.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registration statement with the Securities and Exchange Commission that registered an indeterminate amount of debt securities. Under the registration statement, we may issue debt securities,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summarizes our obligations and commitments to make future payments under certain contractual obligations as of August 2, 2015. For additional information on debt, see Note 13 to the Consolidated Financial Statements. Operating leases are primarily entered into for warehouse and office facilities and certain equipment.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19 to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2017-2018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2019-2020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4,103</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1,543</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402</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cash obligations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w w:val="89"/>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Excludes unamortized net discount/premium on debt issuances. For additional information on debt obligations, see Note 13 to the Consolidated Financial Statements.</w:t>
      </w:r>
    </w:p>
    <w:p>
      <w:pPr>
        <w:spacing w:after="0" w:line="1" w:lineRule="exact"/>
        <w:rPr>
          <w:rFonts w:ascii="Arial" w:cs="Arial" w:eastAsia="Arial" w:hAnsi="Arial"/>
          <w:sz w:val="25"/>
          <w:szCs w:val="25"/>
          <w:color w:val="auto"/>
          <w:vertAlign w:val="superscript"/>
        </w:rPr>
      </w:pPr>
    </w:p>
    <w:p>
      <w:pPr>
        <w:ind w:left="340" w:hanging="332"/>
        <w:spacing w:after="0" w:line="209"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Interest payments for short-term borrowings are calculated based on par values and rates of contractually obligated issuances at fiscal year end. Interest payments on long-term debt are based on principal amounts and fixed coupon rates at fiscal year end.</w:t>
      </w:r>
    </w:p>
    <w:p>
      <w:pPr>
        <w:spacing w:after="0" w:line="1" w:lineRule="exact"/>
        <w:rPr>
          <w:rFonts w:ascii="Arial" w:cs="Arial" w:eastAsia="Arial" w:hAnsi="Arial"/>
          <w:sz w:val="25"/>
          <w:szCs w:val="25"/>
          <w:color w:val="auto"/>
          <w:vertAlign w:val="superscript"/>
        </w:rPr>
      </w:pPr>
    </w:p>
    <w:p>
      <w:pPr>
        <w:ind w:left="340" w:hanging="332"/>
        <w:spacing w:after="0" w:line="220"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Represents payments of cross-currency swaps, forward exchange contracts, commodity contracts and deferred compensation hedges. Contractual payments for cross-currency swaps represent future discounted cash payments based on forward interest and spot foreign exchange rates.</w:t>
      </w:r>
    </w:p>
    <w:p>
      <w:pPr>
        <w:jc w:val="both"/>
        <w:ind w:left="340" w:hanging="332"/>
        <w:spacing w:after="0" w:line="221"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11 to the Consolidated Financial Statements. For additional information on unrecognized tax benefits, see Note 12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guarantee approximately 2,000 bank loans to Pepperidge Farm independent sales distributors by third-party financial institutions used to purchase distribution routes. The maximum potential amount of the future payments under existing guarantees we could be required to make is $192 million. Our guarantees are indirectly secured by the distribution routes. We do not believe that it is probable that we will be required to make guarantee payments as a result of defaults on the bank loans guaranteed. See also Note 18 to the Consolidated Financial Statements for information on 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2015, inflation in cost of products sold was higher than 2014, and 2014 was higher than 2013. We continue to use a number of strategies to mitigate the effects of cost inflation including increasing prices, commodity hedging and pursuing cost productivity initiatives such as global procurement strategies and capital investments that improve the efficiency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International operations, which accounted for 21% of 2015 net sales, are concentrated principally in Australia and Canada. We manage our foreign currency exposures by borrowing in various foreign currencies and utilizing cross-currency swaps and forward contracts. We enter into cross-currency swaps and forward contracts for periods consistent with related underlying exposures, and the contracts do not constitute positions independent of those exposures. We do not enter into contracts for speculative purposes and do not use leveraged instruments.</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aluminum, natural gas, cocoa, butter, corn and cheese, which impact the cost of raw materials.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August 2, 2015. Fair values included herein have been determined based on quoted market prices or pricing models using current market rates. The information presented below should be read in conjunction with Notes 13 through 15 to the Consolidated Financial Statements.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86" w:right="239" w:bottom="1440" w:gutter="0" w:footer="0" w:header="0"/>
        </w:sectPr>
      </w:pPr>
    </w:p>
    <w:bookmarkStart w:id="27" w:name="page28"/>
    <w:bookmarkEnd w:id="27"/>
    <w:p>
      <w:pPr>
        <w:jc w:val="both"/>
        <w:ind w:firstLine="324"/>
        <w:spacing w:after="0" w:line="286" w:lineRule="auto"/>
        <w:rPr>
          <w:sz w:val="20"/>
          <w:szCs w:val="20"/>
          <w:color w:val="auto"/>
        </w:rPr>
      </w:pPr>
      <w:r>
        <w:rPr>
          <w:rFonts w:ascii="Arial" w:cs="Arial" w:eastAsia="Arial" w:hAnsi="Arial"/>
          <w:sz w:val="17"/>
          <w:szCs w:val="17"/>
          <w:color w:val="auto"/>
        </w:rPr>
        <w:t>The following table presents principal cash flows and related interest rates by fiscal year of maturity for debt obligations. Interest rates disclosed on variable-rate debt represent the weighted-average rates at August 2, 2015. Notional amounts and related interest rates of interest rate swaps are presented by fiscal year of maturity. For the swaps, variable rates are the weighted-average forward rates for the term of each contract.</w:t>
      </w: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Expected Fiscal Year of Maturity</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right"/>
              <w:ind w:right="14"/>
              <w:spacing w:after="0" w:line="133"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65"/>
        </w:trPr>
        <w:tc>
          <w:tcPr>
            <w:tcW w:w="2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5"/>
                <w:szCs w:val="5"/>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5"/>
                <w:szCs w:val="15"/>
                <w:b w:val="1"/>
                <w:bCs w:val="1"/>
                <w:color w:val="auto"/>
              </w:rPr>
              <w:t>Debt</w:t>
            </w:r>
            <w:r>
              <w:rPr>
                <w:rFonts w:ascii="Arial" w:cs="Arial" w:eastAsia="Arial" w:hAnsi="Arial"/>
                <w:sz w:val="21"/>
                <w:szCs w:val="21"/>
                <w:b w:val="1"/>
                <w:bCs w:val="1"/>
                <w:color w:val="auto"/>
                <w:vertAlign w:val="superscript"/>
              </w:rPr>
              <w:t>(1)</w:t>
            </w: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960" w:type="dxa"/>
            <w:vAlign w:val="bottom"/>
            <w:gridSpan w:val="4"/>
          </w:tcPr>
          <w:p>
            <w:pPr>
              <w:ind w:left="40"/>
              <w:spacing w:after="0"/>
              <w:rPr>
                <w:sz w:val="20"/>
                <w:szCs w:val="20"/>
                <w:color w:val="auto"/>
              </w:rPr>
            </w:pPr>
            <w:r>
              <w:rPr>
                <w:rFonts w:ascii="Arial" w:cs="Arial" w:eastAsia="Arial" w:hAnsi="Arial"/>
                <w:sz w:val="18"/>
                <w:szCs w:val="18"/>
                <w:color w:val="auto"/>
              </w:rPr>
              <w:t>Fixed rate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2,570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6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Variable rate</w:t>
            </w:r>
            <w:r>
              <w:rPr>
                <w:rFonts w:ascii="Arial" w:cs="Arial" w:eastAsia="Arial" w:hAnsi="Arial"/>
                <w:sz w:val="25"/>
                <w:szCs w:val="25"/>
                <w:color w:val="auto"/>
                <w:vertAlign w:val="superscript"/>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5"/>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Interest Rate Swaps</w:t>
            </w: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Cash-flow swaps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Variable to fixed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Average pay rate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rPr>
              <w:t>Average receive rate</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Excludes unamortized net premium/discount on debt issuances.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Represents $1.532 billion of USD borrowings and $1 million equivalent of borrowings in other currencies.</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August 3, 2014, fixed-rate debt of approximately $2.57 billion with an average interest rate of 3.94% and variable-rate debt of approximately $1.45 billion with an average interest rate of 0.42% were outstanding. As of August 3, 2014, we had swapped $250 million of variable-rate debt to fixed. The average rate to be received on these swaps was 2.73%, and the average rate to be paid was estimated to be 2.18% over the remaining life of the swaps. The swaps matured in 2015.</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exposed to foreign exchange risk related to our international operations, including non-functional currency intercompany debt and net investments in subsidiaries. The following table summarizes the cross-currency swaps outstanding as of August 2, 2015, which hedge such exposures. The notional amount of each currency and the related weighted-average forward interest rate are presented in the Cross-Currency Swaps table.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3220" w:type="dxa"/>
            <w:vAlign w:val="bottom"/>
            <w:gridSpan w:val="2"/>
          </w:tcPr>
          <w:p>
            <w:pPr>
              <w:jc w:val="center"/>
              <w:ind w:left="1313"/>
              <w:spacing w:after="0"/>
              <w:rPr>
                <w:sz w:val="20"/>
                <w:szCs w:val="20"/>
                <w:color w:val="auto"/>
              </w:rPr>
            </w:pPr>
            <w:r>
              <w:rPr>
                <w:rFonts w:ascii="Arial" w:cs="Arial" w:eastAsia="Arial" w:hAnsi="Arial"/>
                <w:sz w:val="14"/>
                <w:szCs w:val="14"/>
                <w:b w:val="1"/>
                <w:bCs w:val="1"/>
                <w:color w:val="auto"/>
                <w:w w:val="94"/>
              </w:rPr>
              <w:t>Fiscal Year of Expiration</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Interest Rate</w:t>
            </w:r>
          </w:p>
        </w:tc>
        <w:tc>
          <w:tcPr>
            <w:tcW w:w="24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Value</w:t>
            </w:r>
          </w:p>
        </w:tc>
        <w:tc>
          <w:tcPr>
            <w:tcW w:w="300" w:type="dxa"/>
            <w:vAlign w:val="bottom"/>
          </w:tcPr>
          <w:p>
            <w:pPr>
              <w:spacing w:after="0"/>
              <w:rPr>
                <w:sz w:val="16"/>
                <w:szCs w:val="16"/>
                <w:color w:val="auto"/>
              </w:rPr>
            </w:pPr>
          </w:p>
        </w:tc>
        <w:tc>
          <w:tcPr>
            <w:tcW w:w="1300" w:type="dxa"/>
            <w:vAlign w:val="bottom"/>
          </w:tcPr>
          <w:p>
            <w:pPr>
              <w:jc w:val="right"/>
              <w:ind w:right="3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3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variable CAD</w:t>
            </w:r>
          </w:p>
        </w:tc>
        <w:tc>
          <w:tcPr>
            <w:tcW w:w="3120" w:type="dxa"/>
            <w:vAlign w:val="bottom"/>
            <w:tcBorders>
              <w:top w:val="single" w:sz="8" w:color="auto"/>
              <w:bottom w:val="single" w:sz="8" w:color="CCEEFF"/>
            </w:tcBorders>
            <w:shd w:val="clear" w:color="auto" w:fill="CCEEFF"/>
          </w:tcPr>
          <w:p>
            <w:pPr>
              <w:jc w:val="center"/>
              <w:ind w:left="1433"/>
              <w:spacing w:after="0"/>
              <w:rPr>
                <w:sz w:val="20"/>
                <w:szCs w:val="20"/>
                <w:color w:val="auto"/>
              </w:rPr>
            </w:pPr>
            <w:r>
              <w:rPr>
                <w:rFonts w:ascii="Arial" w:cs="Arial" w:eastAsia="Arial" w:hAnsi="Arial"/>
                <w:sz w:val="18"/>
                <w:szCs w:val="18"/>
                <w:color w:val="auto"/>
                <w:w w:val="89"/>
              </w:rPr>
              <w:t>2016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Receive variable USD</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variable CAD</w:t>
            </w:r>
          </w:p>
        </w:tc>
        <w:tc>
          <w:tcPr>
            <w:tcW w:w="3120" w:type="dxa"/>
            <w:vAlign w:val="bottom"/>
            <w:tcBorders>
              <w:bottom w:val="single" w:sz="8" w:color="CCEEFF"/>
            </w:tcBorders>
            <w:shd w:val="clear" w:color="auto" w:fill="CCEEFF"/>
          </w:tcPr>
          <w:p>
            <w:pPr>
              <w:jc w:val="center"/>
              <w:ind w:left="1433"/>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Receive variable USD</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variable AUD</w:t>
            </w:r>
          </w:p>
        </w:tc>
        <w:tc>
          <w:tcPr>
            <w:tcW w:w="3120" w:type="dxa"/>
            <w:vAlign w:val="bottom"/>
            <w:tcBorders>
              <w:bottom w:val="single" w:sz="8" w:color="CCEEFF"/>
            </w:tcBorders>
            <w:shd w:val="clear" w:color="auto" w:fill="CCEEFF"/>
          </w:tcPr>
          <w:p>
            <w:pPr>
              <w:jc w:val="center"/>
              <w:ind w:left="1433"/>
              <w:spacing w:after="0"/>
              <w:rPr>
                <w:sz w:val="20"/>
                <w:szCs w:val="20"/>
                <w:color w:val="auto"/>
              </w:rPr>
            </w:pPr>
            <w:r>
              <w:rPr>
                <w:rFonts w:ascii="Arial" w:cs="Arial" w:eastAsia="Arial" w:hAnsi="Arial"/>
                <w:sz w:val="18"/>
                <w:szCs w:val="18"/>
                <w:color w:val="auto"/>
                <w:w w:val="89"/>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Receive variable USD</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variable CAD</w:t>
            </w:r>
          </w:p>
        </w:tc>
        <w:tc>
          <w:tcPr>
            <w:tcW w:w="3120" w:type="dxa"/>
            <w:vAlign w:val="bottom"/>
            <w:tcBorders>
              <w:bottom w:val="single" w:sz="8" w:color="CCEEFF"/>
            </w:tcBorders>
            <w:shd w:val="clear" w:color="auto" w:fill="CCEEFF"/>
          </w:tcPr>
          <w:p>
            <w:pPr>
              <w:jc w:val="center"/>
              <w:ind w:left="1433"/>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Receive variable USD</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 variable CAD</w:t>
            </w:r>
          </w:p>
        </w:tc>
        <w:tc>
          <w:tcPr>
            <w:tcW w:w="3120" w:type="dxa"/>
            <w:vAlign w:val="bottom"/>
            <w:tcBorders>
              <w:bottom w:val="single" w:sz="8" w:color="CCEEFF"/>
            </w:tcBorders>
            <w:shd w:val="clear" w:color="auto" w:fill="CCEEFF"/>
          </w:tcPr>
          <w:p>
            <w:pPr>
              <w:jc w:val="center"/>
              <w:ind w:left="1433"/>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Receive variable USD</w:t>
            </w:r>
          </w:p>
        </w:tc>
        <w:tc>
          <w:tcPr>
            <w:tcW w:w="3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cross-currency swap contracts outstanding at August 3, 2014, represented two pay variable AUD/receive variable USD swaps with notional values totaling $86 million and five pay variable CAD/receive variable USD swaps with notional values totaling $273 million. The aggregate notional value of these swap contracts was $359 million as of August 3, 2014, and the aggregate fair value of these swap contracts was a loss of $6 million as of August 3, 2014.</w:t>
      </w:r>
    </w:p>
    <w:p>
      <w:pPr>
        <w:spacing w:after="0" w:line="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also exposed to foreign exchange risk as a result of transactions in currencies other than the functional currency of certain subsidiaries, including subsidiary debt. We utilize foreign exchange forward purchase and sale contracts to hedge these exposures. The following table summarizes the foreign exchange forward contracts outstanding and the related weighted-average contract exchange rates as of August 2, 2015.</w:t>
      </w:r>
    </w:p>
    <w:p>
      <w:pPr>
        <w:sectPr>
          <w:pgSz w:w="11900" w:h="16838" w:orient="portrait"/>
          <w:cols w:equalWidth="0" w:num="1">
            <w:col w:w="11420"/>
          </w:cols>
          <w:pgMar w:left="240" w:top="1314"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1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Forward Exchange Contracts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2"/>
                <w:szCs w:val="12"/>
                <w:color w:val="auto"/>
              </w:rPr>
            </w:pP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 Value</w:t>
            </w: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(currency paid/ currency</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USD/Pay CAD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Receive DKK/Pay USD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0.1564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Receive AUD/Pay NZD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Receive USD/Pay AUD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1.2418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an additional number of smaller contracts to purchase or sell various other currencies with a notional value of $7 million as of August 2, 2015. The aggregate fair value of all contracts was a gain of $10 million as of August 2, 2015. The total notional value of forward exchange contracts outstanding was $260 million, and the aggregate fair value was a loss of $1 million as of August 3, 2014.</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enter into commodity futures, options and swap contracts to reduce the volatility of price fluctuations for commodities. The notional value of these contracts was $95 million, and the aggregate fair value of these contracts was a loss of $9 million as of August 2, 2015. The notional value of these contracts was $146 million, and the aggregate fair value of these contracts was a loss of $9 million as of August 3, 2014.</w:t>
      </w:r>
    </w:p>
    <w:p>
      <w:pPr>
        <w:spacing w:after="0" w:line="11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 notional value of the contract that is linked to the total return on our capital stock was $17 million at August 2, 2015, and $25 million at August 3, 2014. The average forward interest rate applicable to this contract, which expires in April 2016, was 0.80% at August 2, 2015. The notional value of the contract that is linked to the return on the Standard &amp; Poor's 500 Index was $24 million at August 2, 2015, and $22 million at August 3, 2014. The average forward interest rate applicable to this contract, which expires in March 2016, was 0.79% at August 2, 2015. The notional value of the contract that is linked to the total return of the iShares MSCI EAFE Index was $8 million at August 2, 2015, and $9 million at August 3, 2014. The average forward interest rate applicable to this contract, which expires in March 2016, was 0.71% at August 2, 2015. The fair value of these contracts was a $1 million gain at August 2, 2015, and a $3 million loss at August 3, 2014.</w:t>
      </w:r>
    </w:p>
    <w:p>
      <w:pPr>
        <w:spacing w:after="0" w:line="1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Trade and consumer promotion programs — </w:t>
      </w:r>
      <w:r>
        <w:rPr>
          <w:rFonts w:ascii="Arial" w:cs="Arial" w:eastAsia="Arial" w:hAnsi="Arial"/>
          <w:sz w:val="17"/>
          <w:szCs w:val="17"/>
          <w:color w:val="auto"/>
        </w:rPr>
        <w:t>We offer various sales incentive programs to customers and consumers, such as feature price discounts, in-store display incentives, cooperative advertising programs, new product introduction fees, and coupons. The mix between promotion programs, which are classified as reductions in revenue,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Typically, programs that are offered have a very short duration. Historically, the difference between actual experience compared to estimated redemptions and performance has not been significant to the quarterly or annual financial statements. However, actual expenses may differ if the level of redemption rates and performance were to vary from estimates.</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analyses are used to determine if impairment exists. If impairment is determined to exist, the loss is calculated based on estimated fair value.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two-step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two-step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The amount of the impairment is the difference between the carrying value of the goodwill and the “implied” fair value, which is calculated as if the reporting unit had just been acquired and accounted for as a business combination.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fair value is less than the carrying value, the asset is reduced to fair value.</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August 2, 2015, the carrying value of goodwill was $2,344 million. Recent acquisitions include Garden Fresh Gourmet on June 29, 2015, Kelsen in 2014, and Plum and Bolthouse Farms in 2013. As of August 2, 2015, goodwill related to the acquisitions was as follows: Garden Fresh Gourmet - $116 million, Kelsen - $115 million, Plum - $128 million and Bolthouse Farms - $692 million. As of the 2015 measurement, the estimated fair value of each reporting unit significantly exceeded the carrying value, excluding the recent acquisitions. Holding all other assumptions used in the 2015 fair value measurement constant, a 100-basis-point increase in the weighted average cost of capital would not result in the carrying value of any reporting unit, excluding the recent acquisitions, to be in excess of the fair value. Because the Garden Fresh Gourmet acquisition closed on June 29, 2015, the carrying value represents fair value. With respect to the 2013 and 2014 acquisitions, the fair value exceeded the carrying value by at least 7% and as a result, holding all other assumptions used in the 2015 fair value measurement constant, a 100-basis-point increase in the weighted average cost of capital would result in the carrying value to be in excess of the fair value. The fair value was based on significant management assumptions. If assumptions are not achieved or market conditions decline, potential impairment charges could result.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August 2, 2015, the carrying value of indefinite-lived trademarks was $960 million. As of August 2, 2015, trademarks related to the acquisitions in 2013 through 2015 were as follows: Garden Fresh Gourmet - $38 million, Kelsen - $120 million, Plum - $115 million and Bolthouse Farms - $383 million. Excluding the Garden Fresh Gourmet trademark acquired on June 29, 2015, holding all other assumptions used in the 2015 measurement constant, a 100-basis-point increase in the weighted average cost of capital would reduce the fair value of trademarks, and result in an impairment charge of approximately $20 million.</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2015, as part of our annual review of intangible assets, we recognized an impairment charge of $6 million on minor trademarks used in the Global Baking and Snacking segment. The trademarks were determined to be impaired as a result of a decrease in the fair value of the brands, resulting from reduced expectations for future sales and discounted cash flows in comparison to the prior year.</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fourth quarter of 2013, as part of our annual review of intangible assets, we recorded an impairment charge of $360 million on goodwill and $36 million on trademarks for the simple meals business in Europe. The impairment was attributable to a combination of factors, including the existence of a firm offer to purchase the business; a revised future outlook for the business, with reduced expectations for future sales and discounted cash flows, given the economic uncertainty in the region; future investments required to maintain performance; and management's assumptions on the weighted average cost of capital. On October 28, 2013, we completed the sale of our European simple meals business. We have reflected the results of the business as discontinued operations in the Consolidated Statements of Earnings. The business was historically included in the International Simple Meals and Beverages segment. See Note 4 to the Consolidated Financial Statements for additional information on discontinued operations.</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6 to the Consolidated Financial Statements for additional information on goodwill and 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benefits is dependent on various actuarial assumptions, including discount rates, expected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return on plan assets, compensation increases, turnover rates and health care trend rates. Independent actuaries, in accordance with accounting principles generally accepted in the United States, perform the required calculations to determine expense. Actual results that differ from the actuarial assumptions are generally accumulated and amortized over future periods.</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The value of plan assets, used in the calculation of pension expense, is determined on a calculated method that recognizes 20% of the difference between the actual fair value of assets and the expected calculated method. Gains and losses resulting from differences between actual experience and the assumptions are determined at each measurement date. If the net gain or loss exceeds 10% of the greater of plan assets or liabilities, a portion is amortized into earnings in the following year.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pension and postretirement expense was $80 million in 2015, $109 million in 2014 and $130 million in 2013.</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Discount rate for benefit obligations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4.19%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4.33%</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4.82%</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7.62%</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Postretirement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Initial health care trend rate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7.75%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8.25%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8.25%</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Ultimate health care trend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Estimated sensitivities to annual net periodic pension cost are as follows: a 50-basis-point reduction in the discount rate would increase expense by approximately $14 million; a 50-basis-point reduction in the estimated return on assets assumption would increase expense by approximately $11 million. A one-percentage-point increase in assumed health care costs would increase postretirement service and interest cost by approximately $1 million.</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contributions were made to U.S. pension plans in 2015. We contributed $35 million and $75 million, respectively, to U.S. pension plans in 2014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2013. Contributions to non-U.S. plans were $5 million in 2015 and $12 million in 2014 and 2013. We do not expect to contribute to the U.S. pension plans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2016. Contributions to non-U.S. plans are expected to be approximately $5 million in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11 to the Consolidated Financial Statements for additional information on pension and postretirement expenses.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effective tax rate reflects statutory tax rates, tax planning opportunities available in the various jurisdictions in which we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Notes 1 and 12 to the Consolidated Financial Statements for further discussion on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127"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changes in consumer demand for our products;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in the marketplace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achieve sales and earnings guidance, which is based on assumptions about sales volume, product mix, the development and success of new products, the impact of marketing, promotional and pricing actions, product costs and currency;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practices and increased significance of certain of our key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new or changing inventory management practices by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fluctuations in the supply of and inflation in energy,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completing and integrating acquisitions, divestitures and other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uncertainties of litigation;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changes in currency exchange rates, tax rates, interest rates, debt and equity markets, inflation rates, economic conditions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unforeseen business disruptions in one or more of our markets due to political instability, civil disobedience, armed hostilities,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06"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2013</w:t>
            </w:r>
          </w:p>
        </w:tc>
      </w:tr>
      <w:tr>
        <w:trPr>
          <w:trHeight w:val="250"/>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52 weeks</w:t>
            </w: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53 weeks</w:t>
            </w:r>
          </w:p>
        </w:tc>
        <w:tc>
          <w:tcPr>
            <w:tcW w:w="200" w:type="dxa"/>
            <w:vAlign w:val="bottom"/>
          </w:tcPr>
          <w:p>
            <w:pPr>
              <w:spacing w:after="0"/>
              <w:rPr>
                <w:sz w:val="21"/>
                <w:szCs w:val="21"/>
                <w:color w:val="auto"/>
              </w:rPr>
            </w:pPr>
          </w:p>
        </w:tc>
        <w:tc>
          <w:tcPr>
            <w:tcW w:w="900" w:type="dxa"/>
            <w:vAlign w:val="bottom"/>
          </w:tcPr>
          <w:p>
            <w:pPr>
              <w:jc w:val="right"/>
              <w:ind w:right="191"/>
              <w:spacing w:after="0"/>
              <w:rPr>
                <w:sz w:val="20"/>
                <w:szCs w:val="20"/>
                <w:color w:val="auto"/>
              </w:rPr>
            </w:pPr>
            <w:r>
              <w:rPr>
                <w:rFonts w:ascii="Arial" w:cs="Arial" w:eastAsia="Arial" w:hAnsi="Arial"/>
                <w:sz w:val="14"/>
                <w:szCs w:val="14"/>
                <w:b w:val="1"/>
                <w:bCs w:val="1"/>
                <w:color w:val="auto"/>
                <w:w w:val="97"/>
              </w:rPr>
              <w:t>52 weeks</w:t>
            </w:r>
          </w:p>
        </w:tc>
      </w:tr>
      <w:tr>
        <w:trPr>
          <w:trHeight w:val="275"/>
        </w:trPr>
        <w:tc>
          <w:tcPr>
            <w:tcW w:w="7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8,082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8,052</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5,140</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878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947</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51</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6,972</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1,192</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1,080</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r>
      <w:tr>
        <w:trPr>
          <w:trHeight w:val="243"/>
        </w:trPr>
        <w:tc>
          <w:tcPr>
            <w:tcW w:w="738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8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7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3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314</w:t>
            </w:r>
          </w:p>
        </w:tc>
      </w:tr>
      <w:tr>
        <w:trPr>
          <w:trHeight w:val="67"/>
        </w:trPr>
        <w:tc>
          <w:tcPr>
            <w:tcW w:w="7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31"/>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738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2.17</w:t>
            </w:r>
          </w:p>
        </w:tc>
      </w:tr>
      <w:tr>
        <w:trPr>
          <w:trHeight w:val="27"/>
        </w:trPr>
        <w:tc>
          <w:tcPr>
            <w:tcW w:w="7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w:t>
            </w:r>
          </w:p>
        </w:tc>
      </w:tr>
      <w:tr>
        <w:trPr>
          <w:trHeight w:val="67"/>
        </w:trPr>
        <w:tc>
          <w:tcPr>
            <w:tcW w:w="7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380" w:type="dxa"/>
            <w:vAlign w:val="bottom"/>
          </w:tcPr>
          <w:p>
            <w:pPr>
              <w:spacing w:after="0"/>
              <w:rPr>
                <w:sz w:val="20"/>
                <w:szCs w:val="20"/>
                <w:color w:val="auto"/>
              </w:rPr>
            </w:pPr>
            <w:r>
              <w:rPr>
                <w:rFonts w:ascii="Arial" w:cs="Arial" w:eastAsia="Arial" w:hAnsi="Arial"/>
                <w:sz w:val="18"/>
                <w:szCs w:val="18"/>
                <w:color w:val="auto"/>
              </w:rPr>
              <w:t>The sum of the individual per share amounts may not add due to rounding.</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738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240" w:top="1310" w:right="7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(324)</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5"/>
              </w:rPr>
              <w:t>Reclassification of currency translation</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adjustments realized upon disposal of</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business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Unrealized gains (losses) arising during</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6"/>
              </w:rPr>
              <w:t>Reclassification adjustment for (gains)</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losses included in net earnings</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Pension and other postretirement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benefits: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7"/>
              </w:rPr>
              <w:t>Net actuarial gain (loss) arising during</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the period</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9"/>
              </w:rPr>
              <w:t>Reclassification of prior service credit</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Reclassification of net actuarial loss</w:t>
            </w:r>
          </w:p>
        </w:tc>
        <w:tc>
          <w:tcPr>
            <w:tcW w:w="140" w:type="dxa"/>
            <w:vAlign w:val="bottom"/>
          </w:tcPr>
          <w:p>
            <w:pPr>
              <w:spacing w:after="0"/>
              <w:rPr>
                <w:sz w:val="19"/>
                <w:szCs w:val="19"/>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350</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w w:val="95"/>
              </w:rPr>
              <w:t>attributable to Campbell Soup Company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9" w:right="239"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jc w:val="right"/>
              <w:ind w:right="351"/>
              <w:spacing w:after="0"/>
              <w:rPr>
                <w:sz w:val="20"/>
                <w:szCs w:val="20"/>
                <w:color w:val="auto"/>
              </w:rPr>
            </w:pPr>
            <w:r>
              <w:rPr>
                <w:rFonts w:ascii="Arial" w:cs="Arial" w:eastAsia="Arial" w:hAnsi="Arial"/>
                <w:sz w:val="14"/>
                <w:szCs w:val="14"/>
                <w:b w:val="1"/>
                <w:bCs w:val="1"/>
                <w:color w:val="auto"/>
              </w:rPr>
              <w:t>August 2,</w:t>
            </w:r>
          </w:p>
        </w:tc>
        <w:tc>
          <w:tcPr>
            <w:tcW w:w="300" w:type="dxa"/>
            <w:vAlign w:val="bottom"/>
          </w:tcPr>
          <w:p>
            <w:pPr>
              <w:spacing w:after="0"/>
              <w:rPr>
                <w:sz w:val="14"/>
                <w:szCs w:val="14"/>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August 3,</w:t>
            </w:r>
          </w:p>
        </w:tc>
      </w:tr>
      <w:tr>
        <w:trPr>
          <w:trHeight w:val="192"/>
        </w:trPr>
        <w:tc>
          <w:tcPr>
            <w:tcW w:w="69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253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993</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2,092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2,100</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2,347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2,344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2,433</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1,205</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8,089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1,543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Payable to suppliers and others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544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527</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589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Dividend payable</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101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1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2,806</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2,989</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2,552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505</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850</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6,713</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6,510</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authorized 40 shares; none issued</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Earnings retained in the business</w:t>
            </w:r>
          </w:p>
        </w:tc>
        <w:tc>
          <w:tcPr>
            <w:tcW w:w="170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b w:val="1"/>
                <w:bCs w:val="1"/>
                <w:color w:val="auto"/>
              </w:rPr>
              <w:t>2,494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2,198</w:t>
            </w:r>
          </w:p>
        </w:tc>
      </w:tr>
      <w:tr>
        <w:trPr>
          <w:trHeight w:val="27"/>
        </w:trPr>
        <w:tc>
          <w:tcPr>
            <w:tcW w:w="6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stock in treasury, at cost</w:t>
            </w:r>
          </w:p>
        </w:tc>
        <w:tc>
          <w:tcPr>
            <w:tcW w:w="17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7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(909)</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1,380</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7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1,376</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8,089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8,113</w:t>
            </w:r>
          </w:p>
        </w:tc>
      </w:tr>
      <w:tr>
        <w:trPr>
          <w:trHeight w:val="27"/>
        </w:trPr>
        <w:tc>
          <w:tcPr>
            <w:tcW w:w="6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80"/>
          </w:cols>
          <w:pgMar w:left="240" w:top="1229" w:right="379" w:bottom="1440" w:gutter="0" w:footer="0" w:header="0"/>
        </w:sectPr>
      </w:pPr>
    </w:p>
    <w:bookmarkStart w:id="35" w:name="page36"/>
    <w:bookmarkEnd w:id="35"/>
    <w:p>
      <w:pPr>
        <w:jc w:val="center"/>
        <w:ind w:right="-105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52 weeks</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53 weeks</w:t>
            </w:r>
          </w:p>
        </w:tc>
        <w:tc>
          <w:tcPr>
            <w:tcW w:w="200" w:type="dxa"/>
            <w:vAlign w:val="bottom"/>
          </w:tcPr>
          <w:p>
            <w:pPr>
              <w:spacing w:after="0"/>
              <w:rPr>
                <w:sz w:val="21"/>
                <w:szCs w:val="21"/>
                <w:color w:val="auto"/>
              </w:rPr>
            </w:pPr>
          </w:p>
        </w:tc>
        <w:tc>
          <w:tcPr>
            <w:tcW w:w="920" w:type="dxa"/>
            <w:vAlign w:val="bottom"/>
          </w:tcPr>
          <w:p>
            <w:pPr>
              <w:jc w:val="right"/>
              <w:ind w:right="199"/>
              <w:spacing w:after="0"/>
              <w:rPr>
                <w:sz w:val="20"/>
                <w:szCs w:val="20"/>
                <w:color w:val="auto"/>
              </w:rPr>
            </w:pPr>
            <w:r>
              <w:rPr>
                <w:rFonts w:ascii="Arial" w:cs="Arial" w:eastAsia="Arial" w:hAnsi="Arial"/>
                <w:sz w:val="14"/>
                <w:szCs w:val="14"/>
                <w:b w:val="1"/>
                <w:bCs w:val="1"/>
                <w:color w:val="auto"/>
              </w:rPr>
              <w:t>52 weeks</w:t>
            </w:r>
          </w:p>
        </w:tc>
      </w:tr>
      <w:tr>
        <w:trPr>
          <w:trHeight w:val="21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60"/>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earnings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Impairment charge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Gain on sale of business</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24"/>
        </w:trPr>
        <w:tc>
          <w:tcPr>
            <w:tcW w:w="6740" w:type="dxa"/>
            <w:vAlign w:val="bottom"/>
          </w:tcPr>
          <w:p>
            <w:pPr>
              <w:ind w:left="180"/>
              <w:spacing w:after="0"/>
              <w:rPr>
                <w:sz w:val="20"/>
                <w:szCs w:val="20"/>
                <w:color w:val="auto"/>
              </w:rPr>
            </w:pPr>
            <w:r>
              <w:rPr>
                <w:rFonts w:ascii="Arial" w:cs="Arial" w:eastAsia="Arial" w:hAnsi="Arial"/>
                <w:sz w:val="16"/>
                <w:szCs w:val="16"/>
                <w:color w:val="auto"/>
              </w:rPr>
              <w:t>Changes in working capital, net of acquisitions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assets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fund contributions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Receipts from (payments of) hedging activities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1"/>
        </w:trPr>
        <w:tc>
          <w:tcPr>
            <w:tcW w:w="674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1,182</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1,019</w:t>
            </w:r>
          </w:p>
        </w:tc>
      </w:tr>
      <w:tr>
        <w:trPr>
          <w:trHeight w:val="33"/>
        </w:trPr>
        <w:tc>
          <w:tcPr>
            <w:tcW w:w="6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plant assets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plant assets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Businesses acquired, net of cash acquired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 of business, net of cash divested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6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r>
      <w:tr>
        <w:trPr>
          <w:trHeight w:val="217"/>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Long-term borrowings (repayments)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purchases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Treasury stock issuances</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on 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1"/>
        </w:trPr>
        <w:tc>
          <w:tcPr>
            <w:tcW w:w="674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w:t>
            </w:r>
          </w:p>
        </w:tc>
      </w:tr>
      <w:tr>
        <w:trPr>
          <w:trHeight w:val="33"/>
        </w:trPr>
        <w:tc>
          <w:tcPr>
            <w:tcW w:w="6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1"/>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beginning of period</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end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31"/>
        </w:trPr>
        <w:tc>
          <w:tcPr>
            <w:tcW w:w="6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6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8"/>
        </w:trPr>
        <w:tc>
          <w:tcPr>
            <w:tcW w:w="674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360"/>
          </w:cols>
          <w:pgMar w:left="240" w:top="1229" w:right="1299" w:bottom="1440" w:gutter="0" w:footer="0" w:header="0"/>
        </w:sectPr>
      </w:pPr>
    </w:p>
    <w:p>
      <w:pPr>
        <w:spacing w:after="0" w:line="2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360"/>
          </w:cols>
          <w:pgMar w:left="240" w:top="1229" w:right="129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640" w:type="dxa"/>
            <w:vAlign w:val="bottom"/>
            <w:gridSpan w:val="4"/>
          </w:tcPr>
          <w:p>
            <w:pPr>
              <w:ind w:left="580"/>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29, 2012</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211</w:t>
            </w: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($1.16 per share)</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retired</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8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219</w:t>
            </w: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7,907</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(7,899)</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28, 2013</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362</w:t>
            </w: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1,772</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818</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($1.248 per share)</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74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August 3, 2014</w:t>
            </w: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323</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330</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2,198</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r>
        <w:trPr>
          <w:trHeight w:val="139"/>
        </w:trPr>
        <w:tc>
          <w:tcPr>
            <w:tcW w:w="24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Contribution from noncontrolling</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interest</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691</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691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(340)</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Dividends ($1.248 per share)</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(395)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44</w:t>
            </w:r>
          </w:p>
        </w:tc>
        <w:tc>
          <w:tcPr>
            <w:tcW w:w="24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August 2, 2015</w:t>
            </w: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2,494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1,376</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9"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10-K, unless otherwise stated, the terms "we," "us", "our" and the "company" refer to Campbell Soup Company and its consolidated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 manufacturer and marketer of high-quality, branded convenience food products.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The consolidated financial statements include our accounts and entities in which we maintain a controlling financial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transactions are eliminated in consolidation. Certain amounts in prior-year financial statements were reclassified to conform to the current-year presentation. Our fiscal year ends on the Sunday nearest July 31. There were 52 weeks in 2015 and 2013, and 53 weeks in 2014.</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Revenues are recognized when the earnings process is complete. This occurs when products are shipped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agreements, title and risk of loss transfer to customers, collection is probable and pricing is fixed or determinable. Revenues are recognized net of provisions for returns, discounts and allowances. Certain sales promotion expenses, such as feature price discounts, in-store display incentives, cooperative advertising programs, new product introduction fees and coupon redemption costs, are classified as a reduction of sales. The recognition of costs for promotion programs involves the use of judgment related to performance and redemption estimates. Estimates are made based on historical experience and other factors. Costs are recognized either upon sale or when the incentive is offered, based on the program. Revenues are presented on a net basis for arrangements under which suppliers perform certain additional services.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market.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 Goodwill and intangible assets deemed to have indefinite lives are not amortized but rather are tested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two-step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two-step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The amount of the impairment is the difference between the carrying value of the goodwill and the “implied” fair value, which is calculated as if the reporting unit had just been acquired and accounted for as a business combination.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fair value is less than the carrying value, the asset is reduced to fair value.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on intangible assets and impairment charges recognized in 2013 and 2015.</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Derivative Financial Instruments </w:t>
      </w:r>
      <w:r>
        <w:rPr>
          <w:rFonts w:ascii="Arial" w:cs="Arial" w:eastAsia="Arial" w:hAnsi="Arial"/>
          <w:sz w:val="16"/>
          <w:szCs w:val="16"/>
          <w:color w:val="auto"/>
        </w:rPr>
        <w:t>— We use derivative financial instruments primarily for purposes of hedging exposures to fluctuations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9" w:right="239" w:bottom="1440" w:gutter="0" w:footer="0" w:header="0"/>
        </w:sectPr>
      </w:pPr>
    </w:p>
    <w:bookmarkStart w:id="38" w:name="page39"/>
    <w:bookmarkEnd w:id="38"/>
    <w:p>
      <w:pPr>
        <w:jc w:val="both"/>
        <w:ind w:firstLine="324"/>
        <w:spacing w:after="0" w:line="276" w:lineRule="auto"/>
        <w:rPr>
          <w:sz w:val="20"/>
          <w:szCs w:val="20"/>
          <w:color w:val="auto"/>
        </w:rPr>
      </w:pPr>
      <w:r>
        <w:rPr>
          <w:rFonts w:ascii="Arial" w:cs="Arial" w:eastAsia="Arial" w:hAnsi="Arial"/>
          <w:sz w:val="17"/>
          <w:szCs w:val="17"/>
          <w:color w:val="auto"/>
        </w:rPr>
        <w:t>All derivatives are recognized on the balance sheet at fair value. For derivatives that qualify for hedge accounting, on the date the derivative contract is entered into, we designate the derivative as a hedge of the fair value of a recognized asset or liability or a firm commitment (fair-value hedge), a hedge of a forecasted transaction or of the variability of cash flows to be received or paid related to a recognized asset or liability (cash-flow hedge), or a hedge of a net investment in a foreign operation. Some derivatives may also be considered natural hedging instruments (changes in fair value act as economic offsets to changes in fair value of the underlying hedged item) and are not designated for hedge accounting.</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the fair value of a fair-value hedge, along with the gain or loss on the underlying hedged asset or liability (including losses or gains on firm commitments), are recorded in current-period earnings. The effective portion of gains and losses on cash-flow hedges are recorded in other comprehensive income (loss), until earnings are affected by the variability of cash flows. If the hedge is no longer effective, all changes in the fair value of the derivative are included in earnings each period until the instrument matures. If a derivative is used as a hedge of a net investment in a foreign operation, its changes in fair value, to the extent effective as a hedge, are recorded in other comprehensive income (loss). Any ineffective portion of designated hedges is recognized in current-period earnings. Changes in the fair value of derivatives that are not designated for hedge accounting are recognized in current-period earnings.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recognized for the future impact of differences between the financial statement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11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2011, the Financial Accounting Standards Board (FASB) issued guidance related to disclosures about offsetting (netting) of assets and liabilities in the statement of financial position. The guidance requires entities to disclose gross information and net information about both instruments and transactions that are offset in the statement of financial position, and instruments and transactions subject to an agreement similar to a master netting arrangement. The scope includes financial instruments and derivative instruments. In January 2013, the FASB issued an amendment to the guidance to limit the scope of the new balance sheet offsetting disclosures to derivatives, repurchase agreements, and securities lending transactions to the extent that they are offset in the financial statements or subject to an enforceable master netting arrangement or similar arrangement. The disclosures were required for fiscal years, and interim periods within those years, beginning on or after January 1, 2013. We adopted the guidance in 2014. The adoption resulted in additional disclosures, but did not have an impact on our consolidated financial statements. See Note 14.</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2012, the FASB issued revised guidance intended to simplify how an entity tests indefinite-lived intangible assets for impairment. The amendments will allow an entity first to assess qualitative factors to determine whether it is necessary to perform a quantitative impairment test. An entity will no longer be required to calculate the fair value of an indefinite-lived intangible asset and perform the quantitative test unless the entity determines, based on a qualitative assessment, that it is more likely than not that its fair value is less than its carrying amount. The amendments were effective for annual and interim indefinite-lived intangible asset impairment tests performed for fiscal years beginning after September 15, 2012. We adopted the guidance in 2014. The adoption did not have an impact on our consolidated financial statements.</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2013, the FASB issued guidance for the recognition, measurement, and disclosure of certain obligations resulting from joint and several liability arrangements for which the total amount is fixed. Such obligations may include debt arrangements, legal settlements, and other contractual arrangements. The guidance was effective for fiscal years, and interim periods within those years, beginning after December 15, 2013, and should be applied retrospectively to all prior periods presented for those obligations within scope that existed as of the beginning of the fiscal year of adoption. We adopted the guidance in 2015. The adoption did not have an impact on our consolidated financial statements.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2013, the FASB issued guidance on the accounting for the cumulative translation adjustment upon derecognition of certain subsidiaries or groups of assets within a foreign entity or of an investment in a foreign entity. The guidance was effective prospectively for fiscal years, and interim periods within those years, beginning after December 15, 2013. We adopted the guidance in 2015. The adoption did not have an impact on our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4" w:right="239" w:bottom="1440" w:gutter="0" w:footer="0" w:header="0"/>
        </w:sectPr>
      </w:pPr>
    </w:p>
    <w:bookmarkStart w:id="39" w:name="page40"/>
    <w:bookmarkEnd w:id="39"/>
    <w:p>
      <w:pPr>
        <w:jc w:val="both"/>
        <w:ind w:firstLine="324"/>
        <w:spacing w:after="0" w:line="273" w:lineRule="auto"/>
        <w:rPr>
          <w:sz w:val="20"/>
          <w:szCs w:val="20"/>
          <w:color w:val="auto"/>
        </w:rPr>
      </w:pPr>
      <w:r>
        <w:rPr>
          <w:rFonts w:ascii="Arial" w:cs="Arial" w:eastAsia="Arial" w:hAnsi="Arial"/>
          <w:sz w:val="17"/>
          <w:szCs w:val="17"/>
          <w:color w:val="auto"/>
        </w:rPr>
        <w:t>In July 2013, the FASB issued guidance on the presentation of an unrecognized tax benefit when a net operating loss carryforward, a similar tax loss, or a tax credit carryforward exists. The guidance requires the netting of unrecognized tax benefits (UTBs) against a deferred tax asset for a loss or other carryforward that would apply in settlement of uncertain tax positions. Under the new standard, UTBs will be netted against all available same-jurisdiction loss or other tax carryforwards that would be utilized, rather than only against carryforwards that are created by the UTBs. The guidance was effective for fiscal years, and interim periods within those years, beginning after December 15, 2013, and should be applied prospectively to all UTBs that exist at the effective date. We adopted the guidance in 2015. The adoption did not have a material impact on our consolidated financial statements.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2014, the FASB issued revised guidance that modifies the criteria for determining which disposals can be presented as discontinued operations and requires additional disclosures. The guidance is effective for fiscal years beginning on or after December 15, 2014, and interim periods within those years. Early adoption is permitted. We will prospectively apply the guidance to applicable transactions.</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that requires debt issuance costs to be presented in the balance sheet as a reduction from the carrying value of the associated debt liability, consistent with the presentation of a debt discount. The guidance must be applied on a retrospective basis and is effective for fiscal years beginning after December 15, 2015, and interim periods within those years. Early adoption is permitted. We do not expect the adoption to have a material impact on our consolidated financial statements.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April 2015, the FASB issued guidance intended to provide a practical expedient for the measurement date of defined benefit plan assets and obligations. The practical expedient allows employers with fiscal year-end dates that do not fall on a calendar month-end to measure pension and postretirement benefit plan assets and obligations as of the calendar month-end date closest to the fiscal year-end.The guidance is effective for fiscal years beginning on or after December 15, 2015, and interim periods within those years. Early adoption is permitted. We adopted the guidance in connection with our 2015 measurement. The adoption did not have a material impact on our consolidated financial statements.</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to clarify the accounting for fees paid by a customer in a cloud computing arrangement. The guidance is effective for fiscal years beginning on or after December 15, 2015, and interim periods within those years. Early adoption is permitted. The new guidance should be applied either prospectively to all arrangements entered into or materially modified after the effective date or retrospectively.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May 2015, the FASB issued guidance that eliminates the requirement to categorize investments measured using the net asset value (NAV) practical expedient in the fair value hierarchy table. Entities will be required to disclose the fair value of investments measured using the NAV practical expedient so that financial statement users can reconcile amounts reported in the fair value hierarchy table to amounts reported on the balance sheet. The new guidance will be applied retrospectively and is effective for fiscal years beginning after December 15, 2015, and interim periods within those fiscal years. Early adoption is permitted. We adopted the guidance in 2015 and modified our disclosures in Note 11.</w:t>
      </w:r>
    </w:p>
    <w:p>
      <w:pPr>
        <w:spacing w:after="0" w:line="13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for $232, subject to post-closing adjustments. Garden Fresh Gourmet is a provider of refrigerated salsa in North America, and it is also produces hummus, dips and tortilla chips.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$116 of goodwill. The goodwill is expected to be deductible for tax purposes. The goodwill was primarily attributable to future growth opportunities, anticipated synergies, and intangible assets that did not qualify for separate recognition. The goodwill is included in the Bolthouse and Foodservice segment.</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acquisition of Garden Fresh Gourmet contributed $10 to Net sales and resulted in a decrease of $1 to Net earnings from June 29, 2015, through August 2,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14" w:right="239" w:bottom="1440" w:gutter="0" w:footer="0" w:header="0"/>
        </w:sectPr>
      </w:pPr>
    </w:p>
    <w:bookmarkStart w:id="40" w:name="page41"/>
    <w:bookmarkEnd w:id="40"/>
    <w:p>
      <w:pPr>
        <w:jc w:val="both"/>
        <w:ind w:firstLine="324"/>
        <w:spacing w:after="0" w:line="277" w:lineRule="auto"/>
        <w:rPr>
          <w:sz w:val="20"/>
          <w:szCs w:val="20"/>
          <w:color w:val="auto"/>
        </w:rPr>
      </w:pPr>
      <w:r>
        <w:rPr>
          <w:rFonts w:ascii="Arial" w:cs="Arial" w:eastAsia="Arial" w:hAnsi="Arial"/>
          <w:sz w:val="18"/>
          <w:szCs w:val="18"/>
          <w:color w:val="auto"/>
        </w:rPr>
        <w:t xml:space="preserve">On August 8, 2013, we completed the acquisition of Kelsen. The final all-cash purchase price was $331. Kelsen is a producer of quality baked snacks that are sold in approximately 85 countries around the world. Its primary brands include </w:t>
      </w:r>
      <w:r>
        <w:rPr>
          <w:rFonts w:ascii="Arial" w:cs="Arial" w:eastAsia="Arial" w:hAnsi="Arial"/>
          <w:sz w:val="18"/>
          <w:szCs w:val="18"/>
          <w:i w:val="1"/>
          <w:iCs w:val="1"/>
          <w:color w:val="auto"/>
        </w:rPr>
        <w:t>Kjeldsens</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 Dansk</w:t>
      </w:r>
      <w:r>
        <w:rPr>
          <w:rFonts w:ascii="Arial" w:cs="Arial" w:eastAsia="Arial" w:hAnsi="Arial"/>
          <w:sz w:val="18"/>
          <w:szCs w:val="18"/>
          <w:color w:val="auto"/>
        </w:rPr>
        <w: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$140 of goodwill. The goodwill is not expected to be deductible for tax purposes. The goodwill was primarily attributable to future growth opportunities and intangible assets that did not qualify for separate recognition. The goodwill is included in the Global Baking and Snacking segment.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of Kelsen contributed $193 to Net sales and $8 to Net earnings from August 8, 2013, through August 3, 2014.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13, 2013, we completed the acquisition of Plum. The final all-cash purchase price was $249. Plum is a leading provider of premium, organic foods and snacks that serve the nutritional needs of babies, toddlers and children.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acquisition of Plum contributed $88 to Net sales and resulted in a decrease of $19 to Net earnings for 2014. The 2014 results included $11of after-tax costs incurred from a voluntary product recall (see Note 20 for additional details). The acquisition also contributed $14 to Net sales and resulted in a decrease of $2 to Net earnings from June 13, 2013, through July 28, 2013.</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$128 of goodwill. The goodwill is not expected to be deductible for tax purposes. The goodwill was primarily attributable to future growth opportunities and intangible assets that did not qualify for separate recognition. The goodwill is included in the U.S. Simple Meals segment.</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6, 2012, we completed the acquisition of Bolthouse Farms from a fund managed by Madison Dearborn Partners, LLC, a private equity firm, for $1,550 in cash, subject to customary purchase price adjustments. On August 6, 2012, the preliminary purchase price adjustments resulted in an increase in the purchase price of $20. In the third quarter of 2013, the purchase price adjustments were finalized and reduced to $11. Bolthouse Farms is a vertically integrated food and beverage company focused on developing, manufacturing and marketing fresh carrots and proprietary, high value-added products.</w:t>
      </w:r>
    </w:p>
    <w:p>
      <w:pPr>
        <w:spacing w:after="0" w:line="10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The acquisition of Bolthouse Farms contributed $756 to Net sales and $18 to Net earnings from August 6, 2012 through July 28, 2013. The company incurred transaction costs of $10 ($7 after tax) in the first quarter of 2013 related to this acquisition. The costs were recorded in Other expenses/(income).</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$692 of goodwill. Of this amount, $284 is expected to be deductible for tax purposes. The goodwill was primarily attributable to future growth opportunities and any intangible assets that did not qualify for separate recognition. The goodwill is included in the Bolthouse and Foodservice segment.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acquired assets and assumed liabilities include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Garden Fresh</w:t>
            </w:r>
          </w:p>
        </w:tc>
        <w:tc>
          <w:tcPr>
            <w:tcW w:w="200" w:type="dxa"/>
            <w:vAlign w:val="bottom"/>
          </w:tcPr>
          <w:p>
            <w:pPr>
              <w:spacing w:after="0"/>
              <w:rPr>
                <w:sz w:val="14"/>
                <w:szCs w:val="14"/>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Kelsen</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Plum</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w w:val="90"/>
              </w:rPr>
              <w:t>Bolthouse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Gourmet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Farms</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60" w:type="dxa"/>
            <w:vAlign w:val="bottom"/>
            <w:tcBorders>
              <w:bottom w:val="single" w:sz="8" w:color="CCEEFF"/>
            </w:tcBorders>
            <w:gridSpan w:val="2"/>
            <w:shd w:val="clear" w:color="auto" w:fill="CCEEFF"/>
          </w:tcPr>
          <w:p>
            <w:pPr>
              <w:ind w:left="292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 acquired and liabilities assumed</w:t>
            </w:r>
          </w:p>
        </w:tc>
        <w:tc>
          <w:tcPr>
            <w:tcW w:w="3060" w:type="dxa"/>
            <w:vAlign w:val="bottom"/>
            <w:gridSpan w:val="2"/>
            <w:shd w:val="clear" w:color="auto" w:fill="CCEEFF"/>
          </w:tcPr>
          <w:p>
            <w:pPr>
              <w:ind w:left="29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41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4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41" w:name="page42"/>
    <w:bookmarkEnd w:id="41"/>
    <w:p>
      <w:pPr>
        <w:jc w:val="both"/>
        <w:ind w:firstLine="324"/>
        <w:spacing w:after="0" w:line="308" w:lineRule="auto"/>
        <w:rPr>
          <w:sz w:val="20"/>
          <w:szCs w:val="20"/>
          <w:color w:val="auto"/>
        </w:rPr>
      </w:pPr>
      <w:r>
        <w:rPr>
          <w:rFonts w:ascii="Arial" w:cs="Arial" w:eastAsia="Arial" w:hAnsi="Arial"/>
          <w:sz w:val="17"/>
          <w:szCs w:val="17"/>
          <w:color w:val="auto"/>
        </w:rPr>
        <w:t>The identifiable intangible assets of Garden Fresh Gourmet consist of $38 in non-amortizable trademarks, and $48 in customer relationships to be amortized over 20 years. The purchase price allocation is preliminary and is subject to the finalization of appraisals, which will be completed in 2016.</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identifiable intangible assets of Kelsen consist of $147 in non-amortizable trademarks, $4 in amortizable trademarks to be amortized over 10 years and $22 in customer relationships to be amortized over 10 to 15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identifiable intangible assets of Plum consist of $115 in non-amortizable trademarks and $18 in customer relationships to be amortized over 15 years.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identifiable intangible assets of Bolthouse consist of:</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Value</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Non-amortizable</w:t>
            </w:r>
          </w:p>
        </w:tc>
        <w:tc>
          <w:tcPr>
            <w:tcW w:w="120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383</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Amortizable</w:t>
            </w:r>
          </w:p>
        </w:tc>
        <w:tc>
          <w:tcPr>
            <w:tcW w:w="700" w:type="dxa"/>
            <w:vAlign w:val="bottom"/>
          </w:tcPr>
          <w:p>
            <w:pPr>
              <w:jc w:val="center"/>
              <w:ind w:left="273"/>
              <w:spacing w:after="0"/>
              <w:rPr>
                <w:sz w:val="20"/>
                <w:szCs w:val="20"/>
                <w:color w:val="auto"/>
              </w:rPr>
            </w:pPr>
            <w:r>
              <w:rPr>
                <w:rFonts w:ascii="Arial" w:cs="Arial" w:eastAsia="Arial" w:hAnsi="Arial"/>
                <w:sz w:val="18"/>
                <w:szCs w:val="18"/>
                <w:color w:val="auto"/>
                <w:w w:val="89"/>
              </w:rPr>
              <w:t>20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132</w:t>
            </w:r>
          </w:p>
        </w:tc>
      </w:tr>
      <w:tr>
        <w:trPr>
          <w:trHeight w:val="27"/>
        </w:trPr>
        <w:tc>
          <w:tcPr>
            <w:tcW w:w="7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Distributor relationship</w:t>
            </w:r>
          </w:p>
        </w:tc>
        <w:tc>
          <w:tcPr>
            <w:tcW w:w="20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Amortizable</w:t>
            </w:r>
          </w:p>
        </w:tc>
        <w:tc>
          <w:tcPr>
            <w:tcW w:w="70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79"/>
              </w:rPr>
              <w:t>7</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Technology and patents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Amortizable</w:t>
            </w:r>
          </w:p>
        </w:tc>
        <w:tc>
          <w:tcPr>
            <w:tcW w:w="700" w:type="dxa"/>
            <w:vAlign w:val="bottom"/>
          </w:tcPr>
          <w:p>
            <w:pPr>
              <w:ind w:left="40"/>
              <w:spacing w:after="0"/>
              <w:rPr>
                <w:sz w:val="20"/>
                <w:szCs w:val="20"/>
                <w:color w:val="auto"/>
              </w:rPr>
            </w:pPr>
            <w:r>
              <w:rPr>
                <w:rFonts w:ascii="Arial" w:cs="Arial" w:eastAsia="Arial" w:hAnsi="Arial"/>
                <w:sz w:val="18"/>
                <w:szCs w:val="18"/>
                <w:color w:val="auto"/>
              </w:rPr>
              <w:t>9   to</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w:t>
            </w:r>
          </w:p>
        </w:tc>
      </w:tr>
      <w:tr>
        <w:trPr>
          <w:trHeight w:val="27"/>
        </w:trPr>
        <w:tc>
          <w:tcPr>
            <w:tcW w:w="7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Formula and recipes</w:t>
            </w:r>
          </w:p>
        </w:tc>
        <w:tc>
          <w:tcPr>
            <w:tcW w:w="20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Amortizable</w:t>
            </w:r>
          </w:p>
        </w:tc>
        <w:tc>
          <w:tcPr>
            <w:tcW w:w="700" w:type="dxa"/>
            <w:vAlign w:val="bottom"/>
            <w:tcBorders>
              <w:bottom w:val="single" w:sz="8" w:color="CCEEFF"/>
            </w:tcBorders>
            <w:shd w:val="clear" w:color="auto" w:fill="CCEEFF"/>
          </w:tcPr>
          <w:p>
            <w:pPr>
              <w:jc w:val="center"/>
              <w:ind w:left="293"/>
              <w:spacing w:after="0"/>
              <w:rPr>
                <w:sz w:val="20"/>
                <w:szCs w:val="20"/>
                <w:color w:val="auto"/>
              </w:rPr>
            </w:pPr>
            <w:r>
              <w:rPr>
                <w:rFonts w:ascii="Arial" w:cs="Arial" w:eastAsia="Arial" w:hAnsi="Arial"/>
                <w:sz w:val="18"/>
                <w:szCs w:val="18"/>
                <w:color w:val="auto"/>
                <w:w w:val="79"/>
              </w:rPr>
              <w:t>5</w:t>
            </w: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r>
      <w:tr>
        <w:trPr>
          <w:trHeight w:val="237"/>
        </w:trPr>
        <w:tc>
          <w:tcPr>
            <w:tcW w:w="7040" w:type="dxa"/>
            <w:vAlign w:val="bottom"/>
          </w:tcPr>
          <w:p>
            <w:pPr>
              <w:ind w:left="260"/>
              <w:spacing w:after="0"/>
              <w:rPr>
                <w:sz w:val="20"/>
                <w:szCs w:val="20"/>
                <w:color w:val="auto"/>
              </w:rPr>
            </w:pPr>
            <w:r>
              <w:rPr>
                <w:rFonts w:ascii="Arial" w:cs="Arial" w:eastAsia="Arial" w:hAnsi="Arial"/>
                <w:sz w:val="18"/>
                <w:szCs w:val="18"/>
                <w:color w:val="auto"/>
              </w:rPr>
              <w:t>Total identifiable intangible assets</w:t>
            </w: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580</w:t>
            </w:r>
          </w:p>
        </w:tc>
      </w:tr>
      <w:tr>
        <w:trPr>
          <w:trHeight w:val="27"/>
        </w:trPr>
        <w:tc>
          <w:tcPr>
            <w:tcW w:w="70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unaudited summary information is presented on a consolidated pro forma basis as if the Garden Fresh Gourmet acquisition had occurred on July 29, 2013, the Kelsen acquisition had occurred on July 30, 2012, and the Plum and Bolthouse acquisitions been completed on August 1, 2011: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2013</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684</w:t>
            </w:r>
          </w:p>
        </w:tc>
      </w:tr>
      <w:tr>
        <w:trPr>
          <w:trHeight w:val="27"/>
        </w:trPr>
        <w:tc>
          <w:tcPr>
            <w:tcW w:w="8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Earnings per share from continuing operations attributable to Campbell Soup Company - assuming dilution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r>
      <w:tr>
        <w:trPr>
          <w:trHeight w:val="27"/>
        </w:trPr>
        <w:tc>
          <w:tcPr>
            <w:tcW w:w="8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pro forma amounts include transaction costs,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Garden Fresh Gourmet acquisition been completed on July 29, 2013, the Kelsen acquisition been completed on July 30, 2012, and the Plum and Bolthouse acquisitions been completed on August 1, 2011, nor are they indicative of future combined results.</w:t>
      </w:r>
    </w:p>
    <w:p>
      <w:pPr>
        <w:spacing w:after="0" w:line="9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On October 28, 2013, we completed the sale of our European simple meals business to Soppa Investments S.à r.l., an affiliate of CVC Capital Partners. The all-cash preliminary sale price was €400, or $548, and was subject to certain post-closing adjustments, which resulted in a $14 reduction of proceeds. We recognized a pre-tax gain of $141 ($72 after tax, or $.23 per share) in 2014. The European business included </w:t>
      </w:r>
      <w:r>
        <w:rPr>
          <w:rFonts w:ascii="Arial" w:cs="Arial" w:eastAsia="Arial" w:hAnsi="Arial"/>
          <w:sz w:val="16"/>
          <w:szCs w:val="16"/>
          <w:i w:val="1"/>
          <w:iCs w:val="1"/>
          <w:color w:val="auto"/>
        </w:rPr>
        <w:t>Erasco</w:t>
      </w:r>
      <w:r>
        <w:rPr>
          <w:rFonts w:ascii="Arial" w:cs="Arial" w:eastAsia="Arial" w:hAnsi="Arial"/>
          <w:sz w:val="16"/>
          <w:szCs w:val="16"/>
          <w:color w:val="auto"/>
        </w:rPr>
        <w:t xml:space="preserve"> and </w:t>
      </w:r>
      <w:r>
        <w:rPr>
          <w:rFonts w:ascii="Arial" w:cs="Arial" w:eastAsia="Arial" w:hAnsi="Arial"/>
          <w:sz w:val="16"/>
          <w:szCs w:val="16"/>
          <w:i w:val="1"/>
          <w:iCs w:val="1"/>
          <w:color w:val="auto"/>
        </w:rPr>
        <w:t>Heisse Tasse</w:t>
      </w:r>
      <w:r>
        <w:rPr>
          <w:rFonts w:ascii="Arial" w:cs="Arial" w:eastAsia="Arial" w:hAnsi="Arial"/>
          <w:sz w:val="16"/>
          <w:szCs w:val="16"/>
          <w:color w:val="auto"/>
        </w:rPr>
        <w:t xml:space="preserve"> soups in Germany; </w:t>
      </w:r>
      <w:r>
        <w:rPr>
          <w:rFonts w:ascii="Arial" w:cs="Arial" w:eastAsia="Arial" w:hAnsi="Arial"/>
          <w:sz w:val="16"/>
          <w:szCs w:val="16"/>
          <w:i w:val="1"/>
          <w:iCs w:val="1"/>
          <w:color w:val="auto"/>
        </w:rPr>
        <w:t xml:space="preserve">Liebig </w:t>
      </w:r>
      <w:r>
        <w:rPr>
          <w:rFonts w:ascii="Arial" w:cs="Arial" w:eastAsia="Arial" w:hAnsi="Arial"/>
          <w:sz w:val="16"/>
          <w:szCs w:val="16"/>
          <w:color w:val="auto"/>
        </w:rPr>
        <w:t>and</w:t>
      </w:r>
      <w:r>
        <w:rPr>
          <w:rFonts w:ascii="Arial" w:cs="Arial" w:eastAsia="Arial" w:hAnsi="Arial"/>
          <w:sz w:val="16"/>
          <w:szCs w:val="16"/>
          <w:i w:val="1"/>
          <w:iCs w:val="1"/>
          <w:color w:val="auto"/>
        </w:rPr>
        <w:t xml:space="preserve"> Royco </w:t>
      </w:r>
      <w:r>
        <w:rPr>
          <w:rFonts w:ascii="Arial" w:cs="Arial" w:eastAsia="Arial" w:hAnsi="Arial"/>
          <w:sz w:val="16"/>
          <w:szCs w:val="16"/>
          <w:color w:val="auto"/>
        </w:rPr>
        <w:t>soups in France;</w:t>
      </w:r>
      <w:r>
        <w:rPr>
          <w:rFonts w:ascii="Arial" w:cs="Arial" w:eastAsia="Arial" w:hAnsi="Arial"/>
          <w:sz w:val="16"/>
          <w:szCs w:val="16"/>
          <w:i w:val="1"/>
          <w:iCs w:val="1"/>
          <w:color w:val="auto"/>
        </w:rPr>
        <w:t xml:space="preserve"> Devos Lemmens </w:t>
      </w:r>
      <w:r>
        <w:rPr>
          <w:rFonts w:ascii="Arial" w:cs="Arial" w:eastAsia="Arial" w:hAnsi="Arial"/>
          <w:sz w:val="16"/>
          <w:szCs w:val="16"/>
          <w:color w:val="auto"/>
        </w:rPr>
        <w:t>mayonnaise and cold sauces and</w:t>
      </w:r>
      <w:r>
        <w:rPr>
          <w:rFonts w:ascii="Arial" w:cs="Arial" w:eastAsia="Arial" w:hAnsi="Arial"/>
          <w:sz w:val="16"/>
          <w:szCs w:val="16"/>
          <w:i w:val="1"/>
          <w:iCs w:val="1"/>
          <w:color w:val="auto"/>
        </w:rPr>
        <w:t xml:space="preserve"> Royco </w:t>
      </w:r>
      <w:r>
        <w:rPr>
          <w:rFonts w:ascii="Arial" w:cs="Arial" w:eastAsia="Arial" w:hAnsi="Arial"/>
          <w:sz w:val="16"/>
          <w:szCs w:val="16"/>
          <w:color w:val="auto"/>
        </w:rPr>
        <w:t>soups in Belgium; and</w:t>
      </w:r>
      <w:r>
        <w:rPr>
          <w:rFonts w:ascii="Arial" w:cs="Arial" w:eastAsia="Arial" w:hAnsi="Arial"/>
          <w:sz w:val="16"/>
          <w:szCs w:val="16"/>
          <w:i w:val="1"/>
          <w:iCs w:val="1"/>
          <w:color w:val="auto"/>
        </w:rPr>
        <w:t xml:space="preserve"> Blå Band </w:t>
      </w:r>
      <w:r>
        <w:rPr>
          <w:rFonts w:ascii="Arial" w:cs="Arial" w:eastAsia="Arial" w:hAnsi="Arial"/>
          <w:sz w:val="16"/>
          <w:szCs w:val="16"/>
          <w:color w:val="auto"/>
        </w:rPr>
        <w:t>and</w:t>
      </w:r>
      <w:r>
        <w:rPr>
          <w:rFonts w:ascii="Arial" w:cs="Arial" w:eastAsia="Arial" w:hAnsi="Arial"/>
          <w:sz w:val="16"/>
          <w:szCs w:val="16"/>
          <w:i w:val="1"/>
          <w:iCs w:val="1"/>
          <w:color w:val="auto"/>
        </w:rPr>
        <w:t xml:space="preserve"> Isomitta </w:t>
      </w:r>
      <w:r>
        <w:rPr>
          <w:rFonts w:ascii="Arial" w:cs="Arial" w:eastAsia="Arial" w:hAnsi="Arial"/>
          <w:sz w:val="16"/>
          <w:szCs w:val="16"/>
          <w:color w:val="auto"/>
        </w:rPr>
        <w:t>soups and sauces in</w:t>
      </w:r>
      <w:r>
        <w:rPr>
          <w:rFonts w:ascii="Arial" w:cs="Arial" w:eastAsia="Arial" w:hAnsi="Arial"/>
          <w:sz w:val="16"/>
          <w:szCs w:val="16"/>
          <w:i w:val="1"/>
          <w:iCs w:val="1"/>
          <w:color w:val="auto"/>
        </w:rPr>
        <w:t xml:space="preserve"> </w:t>
      </w:r>
      <w:r>
        <w:rPr>
          <w:rFonts w:ascii="Arial" w:cs="Arial" w:eastAsia="Arial" w:hAnsi="Arial"/>
          <w:sz w:val="16"/>
          <w:szCs w:val="16"/>
          <w:color w:val="auto"/>
        </w:rPr>
        <w:t>Sweden. We used the proceeds from the sale to pay taxes on the sale, to reduce debt and for other general corporate purposes.</w:t>
      </w:r>
    </w:p>
    <w:p>
      <w:pPr>
        <w:spacing w:after="0" w:line="11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In the fourth quarter of 2013, we recorded an impairment charge on the intangible assets of this business of $396 ($263 after tax, or $.83 per share). In addition, we recorded $18 in tax expense ($.06 per share) representing taxes on the difference between the book value and tax basis of the business. See Note 6 for additional information on the impairment charge.</w:t>
      </w:r>
    </w:p>
    <w:p>
      <w:pPr>
        <w:spacing w:after="0" w:line="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reflected the results of the European simple meals business as discontinued operations in the Consolidated Statements of Earnings. The business was historically included in the International Simple Meals and Beverages segment.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14" w:right="23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9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Impairment on the European simple meals business</w:t>
            </w: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 before taxes</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Earnings (loss) before taxes</w:t>
            </w: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90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4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and</w:t>
            </w:r>
          </w:p>
        </w:tc>
        <w:tc>
          <w:tcPr>
            <w:tcW w:w="140" w:type="dxa"/>
            <w:vAlign w:val="bottom"/>
          </w:tcPr>
          <w:p>
            <w:pPr>
              <w:spacing w:after="0"/>
              <w:rPr>
                <w:sz w:val="14"/>
                <w:szCs w:val="14"/>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Postretirement Benefit</w:t>
            </w:r>
          </w:p>
        </w:tc>
        <w:tc>
          <w:tcPr>
            <w:tcW w:w="140" w:type="dxa"/>
            <w:vAlign w:val="bottom"/>
          </w:tcPr>
          <w:p>
            <w:pPr>
              <w:spacing w:after="0"/>
              <w:rPr>
                <w:sz w:val="12"/>
                <w:szCs w:val="12"/>
                <w:color w:val="auto"/>
              </w:rPr>
            </w:pPr>
          </w:p>
        </w:tc>
        <w:tc>
          <w:tcPr>
            <w:tcW w:w="13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Adjustments</w:t>
            </w:r>
            <w:r>
              <w:rPr>
                <w:rFonts w:ascii="Arial" w:cs="Arial" w:eastAsia="Arial" w:hAnsi="Arial"/>
                <w:sz w:val="8"/>
                <w:szCs w:val="8"/>
                <w:b w:val="1"/>
                <w:bCs w:val="1"/>
                <w:color w:val="auto"/>
                <w:w w:val="95"/>
              </w:rPr>
              <w:t>(1)</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28, 2013</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Amounts reclassified from accumulated other comprehensive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b w:val="1"/>
                <w:bCs w:val="1"/>
                <w:color w:val="auto"/>
                <w:w w:val="93"/>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Amounts reclassified from accumulated other</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August 2,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jc w:val="right"/>
              <w:ind w:right="161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40" w:hanging="332"/>
        <w:spacing w:after="0" w:line="209"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Included a tax expense of $6 as of August 2, 2015, $7 as of August 3, 2014, and $9 as of July 28, 2013. The amount reclassified from other comprehensive income was related to the divestiture of the European simple meals business and was included in Earnings (loss) from discontinued operations.</w:t>
      </w:r>
    </w:p>
    <w:p>
      <w:pPr>
        <w:spacing w:after="0" w:line="1" w:lineRule="exact"/>
        <w:rPr>
          <w:rFonts w:ascii="Arial" w:cs="Arial" w:eastAsia="Arial" w:hAnsi="Arial"/>
          <w:sz w:val="13"/>
          <w:szCs w:val="13"/>
          <w:color w:val="auto"/>
        </w:rPr>
      </w:pPr>
    </w:p>
    <w:p>
      <w:pPr>
        <w:ind w:left="340" w:hanging="332"/>
        <w:spacing w:after="0" w:line="203"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Included a tax benefit of $5 as of August 2, 2015, $1 as of August 3, 2014, and a tax expense of $3 as of July 28, 2013.</w:t>
      </w:r>
    </w:p>
    <w:p>
      <w:pPr>
        <w:ind w:left="340" w:right="20" w:hanging="332"/>
        <w:spacing w:after="0" w:line="226" w:lineRule="auto"/>
        <w:tabs>
          <w:tab w:leader="none" w:pos="340" w:val="left"/>
        </w:tabs>
        <w:numPr>
          <w:ilvl w:val="0"/>
          <w:numId w:val="35"/>
        </w:numPr>
        <w:rPr>
          <w:rFonts w:ascii="Arial" w:cs="Arial" w:eastAsia="Arial" w:hAnsi="Arial"/>
          <w:sz w:val="13"/>
          <w:szCs w:val="13"/>
          <w:color w:val="auto"/>
        </w:rPr>
      </w:pPr>
      <w:r>
        <w:rPr>
          <w:rFonts w:ascii="Arial" w:cs="Arial" w:eastAsia="Arial" w:hAnsi="Arial"/>
          <w:sz w:val="18"/>
          <w:szCs w:val="18"/>
          <w:color w:val="auto"/>
        </w:rPr>
        <w:t>Included a tax benefit of $417 as of August 2, 2015, $405 as of August 3, 2014, and $424 as of July 28, 2013. The amount reclassified in 2014 from other comprehensive income included pre-tax settlement charges of $22, or $14 after tax.</w:t>
      </w:r>
    </w:p>
    <w:p>
      <w:pPr>
        <w:spacing w:after="0" w:line="39"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8"/>
          <w:szCs w:val="18"/>
          <w:color w:val="auto"/>
        </w:rPr>
        <w:t>Amounts related to noncontrolling interests were not material.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14" w:right="239" w:bottom="1440" w:gutter="0" w:footer="0" w:header="0"/>
        </w:sectPr>
      </w:pPr>
    </w:p>
    <w:bookmarkStart w:id="43" w:name="page44"/>
    <w:bookmarkEnd w:id="43"/>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280" w:type="dxa"/>
            <w:vAlign w:val="bottom"/>
          </w:tcPr>
          <w:p>
            <w:pPr>
              <w:spacing w:after="0"/>
              <w:rPr>
                <w:sz w:val="14"/>
                <w:szCs w:val="14"/>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8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actuarial losses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124</w:t>
            </w:r>
          </w:p>
        </w:tc>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122</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jc w:val="right"/>
              <w:ind w:right="1412"/>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40" w:hanging="332"/>
        <w:spacing w:after="0" w:line="224"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8"/>
          <w:szCs w:val="18"/>
          <w:color w:val="auto"/>
        </w:rPr>
        <w:t>In 2014, net actuarial losses of $2 were recognized in Earnings (loss) from discontinued operations as a result of the sale of the European simple meals business. Excluding the net actuarial losses related to the sale of the business in 2014, these items are included in the components of net periodic benefit costs (see Note 11 for additional details).</w:t>
      </w:r>
    </w:p>
    <w:p>
      <w:pPr>
        <w:spacing w:after="0" w:line="231" w:lineRule="exact"/>
        <w:rPr>
          <w:sz w:val="20"/>
          <w:szCs w:val="20"/>
          <w:color w:val="auto"/>
        </w:rPr>
      </w:pPr>
    </w:p>
    <w:p>
      <w:pPr>
        <w:ind w:left="60"/>
        <w:spacing w:after="0" w:line="288" w:lineRule="auto"/>
        <w:rPr>
          <w:sz w:val="20"/>
          <w:szCs w:val="20"/>
          <w:color w:val="auto"/>
        </w:rPr>
      </w:pPr>
      <w:r>
        <w:rPr>
          <w:rFonts w:ascii="Arial" w:cs="Arial" w:eastAsia="Arial" w:hAnsi="Arial"/>
          <w:sz w:val="16"/>
          <w:szCs w:val="16"/>
          <w:color w:val="auto"/>
        </w:rPr>
        <w:t>In 2014, a pre-tax loss of $22 ($19 after tax) on foreign currency translation adjustments was also reclassified from Accumulated other comprehensive income. The loss was related to the divestiture of the European simple meals business and was included in Earnings (loss) from discontinued operations.</w:t>
      </w: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Baking</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Simple Meals</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Bolthouse and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b w:val="1"/>
                <w:bCs w:val="1"/>
                <w:color w:val="auto"/>
                <w:w w:val="87"/>
              </w:rPr>
              <w:t>Simple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820" w:type="dxa"/>
            <w:vAlign w:val="bottom"/>
          </w:tcPr>
          <w:p>
            <w:pPr>
              <w:ind w:left="420"/>
              <w:spacing w:after="0"/>
              <w:rPr>
                <w:sz w:val="20"/>
                <w:szCs w:val="20"/>
                <w:color w:val="auto"/>
              </w:rPr>
            </w:pPr>
            <w:r>
              <w:rPr>
                <w:rFonts w:ascii="Arial" w:cs="Arial" w:eastAsia="Arial" w:hAnsi="Arial"/>
                <w:sz w:val="14"/>
                <w:szCs w:val="14"/>
                <w:b w:val="1"/>
                <w:bCs w:val="1"/>
                <w:color w:val="auto"/>
                <w:w w:val="97"/>
              </w:rPr>
              <w:t>Meals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Snacking</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Beverages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Foodservice</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July 28, 2013</w:t>
            </w:r>
          </w:p>
        </w:tc>
        <w:tc>
          <w:tcPr>
            <w:tcW w:w="820" w:type="dxa"/>
            <w:vAlign w:val="bottom"/>
            <w:tcBorders>
              <w:top w:val="single" w:sz="8" w:color="auto"/>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82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Balance at August 3, 2014</w:t>
            </w: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w w:val="92"/>
              </w:rPr>
              <w:t>Foreign currency translation adjustment</w:t>
            </w:r>
          </w:p>
        </w:tc>
        <w:tc>
          <w:tcPr>
            <w:tcW w:w="82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August 2, 2015</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2,344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we acquired the assets of Garden Fresh Gourmet for $232, subject to post-closing adjustments. Goodwill related to the acquisition was $116. See Note 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2014, we acquired Kelsen for $331 and goodwill related to the acquisition was $140. See Note 3.</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28, 2013, we completed the sale of our European simple meals business. The assets and liabilities of the European business have been reflected in assets and liabilities held for sale in the Consolidated Balance Sheet as of July 28, 2013. We have reflected the results of the business as discontinued operations in the Consolidated Statements of Earnings.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2013, as part of our annual review of intangible assets, an impairment charge of $360 was recorded on goodwill for the simple meals business in Europe to reduce the carrying value to the implied fair value of $110. The impairment was attributable to a combination of factors, including the existence of a firm offer to purchase the business; a revised future outlook for the business, with reduced expectations for future sales and discounted cash flows, given the economic uncertainty in</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14" w:right="239" w:bottom="1440" w:gutter="0" w:footer="0" w:header="0"/>
          <w:type w:val="continuous"/>
        </w:sectPr>
      </w:pPr>
    </w:p>
    <w:bookmarkStart w:id="44" w:name="page45"/>
    <w:bookmarkEnd w:id="44"/>
    <w:p>
      <w:pPr>
        <w:jc w:val="both"/>
        <w:spacing w:after="0" w:line="259" w:lineRule="auto"/>
        <w:rPr>
          <w:sz w:val="20"/>
          <w:szCs w:val="20"/>
          <w:color w:val="auto"/>
        </w:rPr>
      </w:pPr>
      <w:r>
        <w:rPr>
          <w:rFonts w:ascii="Arial" w:cs="Arial" w:eastAsia="Arial" w:hAnsi="Arial"/>
          <w:sz w:val="18"/>
          <w:szCs w:val="18"/>
          <w:color w:val="auto"/>
        </w:rPr>
        <w:t>the region; future investments required to maintain performance; and management's assumptions on the weighted average cost of capital. Fair value was determined based on discounted cash flow analyses. The discounted estimates of future cash flows include significant management assumptions such as revenue growth rates, operating margins, weighted average cost of capital, and future economic and market conditions. The impairment charge was recorded in Earnings (loss) from discontinued operations in the Consolidated Statements of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w:t>
            </w: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1,205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1,175</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Amortization of intangible assets of continuing operations was $17 for 2015, $18 for 2014 and $14 for 2013. Amortization expense for the next 5 years is estimated to be $20 in the fiscal periods 2016 and 2017, and $15 in 2018 through 2020. Asset useful lives range from 5 to 20 years.</w:t>
      </w:r>
    </w:p>
    <w:p>
      <w:pPr>
        <w:spacing w:after="0" w:line="9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the fourth quarter of 2015, as part of our annual review of intangible assets, we recognized an impairment charge of $6 related to minor trademarks used in the Global Baking and Snacking segment. The trademarks were determined to be impaired as a result of a decrease in the fair value of the brands, resulting from reduced expectations for future sales and discounted cash flows in comparison to the prior year. The impairment charge was recorded in Other expenses/(income) in the Consolidated Statements of Earnings. In the fourth quarter of 2013, as part of our annual review of intangible assets, we recognized an impairment charge of $36 related to certain trademarks of the European business held for sale, including </w:t>
      </w:r>
      <w:r>
        <w:rPr>
          <w:rFonts w:ascii="Arial" w:cs="Arial" w:eastAsia="Arial" w:hAnsi="Arial"/>
          <w:sz w:val="18"/>
          <w:szCs w:val="18"/>
          <w:i w:val="1"/>
          <w:iCs w:val="1"/>
          <w:color w:val="auto"/>
        </w:rPr>
        <w:t>Royco, Isomitta and Heisse Tasse</w:t>
      </w:r>
      <w:r>
        <w:rPr>
          <w:rFonts w:ascii="Arial" w:cs="Arial" w:eastAsia="Arial" w:hAnsi="Arial"/>
          <w:sz w:val="18"/>
          <w:szCs w:val="18"/>
          <w:color w:val="auto"/>
        </w:rPr>
        <w:t>. The trademarks were determined to be impaired as a result of a decrease in the fair value of the brands, resulting from reduced expectations for future sales and discounted cash flows as previously discussed. The impairment charge was recorded in Earnings (loss) from discontinued operations in the Consolidated Statements of Earnings.</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discounted estimates of future cash flows used in determining the fair value of goodwill and intangible assets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 2015, we managed operations through 11 operating segments based on product type and geographic location and have aggregated the operating segments into the appropriate reportable segment based on similar economic characteristics; products; production processes; types or classes of customers; distribution methods; and regulatory environment. The reportable segments are discussed in greater detail below.</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U.S. Simple Meals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and as of June 13, 2013,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Global Baking and Snacking segment aggregates the following operating segments: Pepperidge Farm cookies, crackers, bakery and frozen products in U.S. retail; Arnott’s biscuits in Australia and Asia Pacific; and as of August 8, 2013, Kelsen cookies globally.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4" w:right="239" w:bottom="1440" w:gutter="0" w:footer="0" w:header="0"/>
        </w:sectPr>
      </w:pPr>
    </w:p>
    <w:bookmarkStart w:id="45" w:name="page46"/>
    <w:bookmarkEnd w:id="45"/>
    <w:p>
      <w:pPr>
        <w:jc w:val="both"/>
        <w:ind w:firstLine="324"/>
        <w:spacing w:after="0" w:line="277" w:lineRule="auto"/>
        <w:rPr>
          <w:sz w:val="20"/>
          <w:szCs w:val="20"/>
          <w:color w:val="auto"/>
        </w:rPr>
      </w:pPr>
      <w:r>
        <w:rPr>
          <w:rFonts w:ascii="Arial" w:cs="Arial" w:eastAsia="Arial" w:hAnsi="Arial"/>
          <w:sz w:val="18"/>
          <w:szCs w:val="18"/>
          <w:color w:val="auto"/>
        </w:rPr>
        <w:t>The International Simple Meals and Beverages segment aggregates the following operating segments: the retail business in Canada and the simple meals and beverages business in Asia Pacific, Latin America, and China.</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U.S. Beverages segment represents the U.S. retail beverages business, including the following products: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Bolthouse and Foodservice comprises the Bolthouse Farms carrot products operating segment (Farms), including fresh carrots, juice concentrate and fiber; the Bolthouse Farms refrigerated beverages and refrigerated salad dressings operating segment (CPG); the North America Foodservice operating segment; and as of June 29, 2015, the Garden Fresh Gourmet operating segment. The North America Foodservice operating segment represents the distribution of products such as soup, specialty entrées, beverage products, other prepared foods and Pepperidge Farm products through various food service channels in the U.S. and Canada. None of these operating segments meets the criteria for aggregation nor the thresholds for separate disclosure. Bolthouse Farms was acquired on August 6, 2012.</w:t>
      </w:r>
    </w:p>
    <w:p>
      <w:pPr>
        <w:spacing w:after="0" w:line="13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Unrealized gains and losses on commodity hedging activities are excluded from segment operating earnings and are recorded in Corporate expenses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Certain manufacturing, warehousing and distribution activities of the segments are integrated in order to maximize efficiency and productivity. As a result, asset information by segment is not discretely maintained for internal reporting or used in evaluating performance. Therefore, only geographic segment asset information is included in the disclosure.</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three new divisions: Americas Simple Meals and Beverages, Global Biscuits and Snacks, and Campbell Fresh. We are managing our operations under the new structure in 2016, and will modify segment reporting as appropriate.</w:t>
      </w:r>
    </w:p>
    <w:p>
      <w:pPr>
        <w:spacing w:after="0" w:line="1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largest customer, Wal-Mart Stores, Inc. and its affiliates, accounted for approximately 20% in 2015, and 19% of consolidated net sales in 2014 and 2013. All of our reportable segments sold products to Wal-Mart Stores, Inc. or its affiliates.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U.S. Simple Meals</w:t>
            </w:r>
          </w:p>
        </w:tc>
        <w:tc>
          <w:tcPr>
            <w:tcW w:w="3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2,930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2,944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2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Beverages</w:t>
            </w:r>
          </w:p>
        </w:tc>
        <w:tc>
          <w:tcPr>
            <w:tcW w:w="2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Bolthouse and Foodservice</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1,388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8,082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20" w:type="dxa"/>
            <w:vAlign w:val="bottom"/>
          </w:tcPr>
          <w:p>
            <w:pPr>
              <w:spacing w:after="0"/>
              <w:rPr>
                <w:sz w:val="24"/>
                <w:szCs w:val="24"/>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U.S. Simple Meals</w:t>
            </w:r>
          </w:p>
        </w:tc>
        <w:tc>
          <w:tcPr>
            <w:tcW w:w="3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677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2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Beverages</w:t>
            </w:r>
          </w:p>
        </w:tc>
        <w:tc>
          <w:tcPr>
            <w:tcW w:w="26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420" w:type="dxa"/>
            <w:vAlign w:val="bottom"/>
          </w:tcPr>
          <w:p>
            <w:pPr>
              <w:ind w:left="180"/>
              <w:spacing w:after="0"/>
              <w:rPr>
                <w:sz w:val="20"/>
                <w:szCs w:val="20"/>
                <w:color w:val="auto"/>
              </w:rPr>
            </w:pPr>
            <w:r>
              <w:rPr>
                <w:rFonts w:ascii="Arial" w:cs="Arial" w:eastAsia="Arial" w:hAnsi="Arial"/>
                <w:sz w:val="18"/>
                <w:szCs w:val="18"/>
                <w:color w:val="auto"/>
              </w:rPr>
              <w:t>Bolthouse and Foodservice</w:t>
            </w:r>
          </w:p>
        </w:tc>
        <w:tc>
          <w:tcPr>
            <w:tcW w:w="2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6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6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1,095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215"/>
              <w:spacing w:after="0"/>
              <w:rPr>
                <w:sz w:val="20"/>
                <w:szCs w:val="20"/>
                <w:color w:val="auto"/>
              </w:rPr>
            </w:pPr>
            <w:r>
              <w:rPr>
                <w:rFonts w:ascii="Arial" w:cs="Arial" w:eastAsia="Arial" w:hAnsi="Arial"/>
                <w:sz w:val="18"/>
                <w:szCs w:val="18"/>
                <w:color w:val="auto"/>
              </w:rPr>
              <w:t>46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46" w:name="page47"/>
    <w:bookmarkEnd w:id="4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U.S. Simple Meals</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Beverages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Bolthouse and Foodservice</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(4)</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80"/>
              <w:spacing w:after="0" w:line="270" w:lineRule="exact"/>
              <w:rPr>
                <w:sz w:val="20"/>
                <w:szCs w:val="20"/>
                <w:color w:val="auto"/>
              </w:rPr>
            </w:pPr>
            <w:r>
              <w:rPr>
                <w:rFonts w:ascii="Arial" w:cs="Arial" w:eastAsia="Arial" w:hAnsi="Arial"/>
                <w:sz w:val="18"/>
                <w:szCs w:val="18"/>
                <w:color w:val="auto"/>
              </w:rPr>
              <w:t>U.S. Simple Meals and U.S. Beverages</w:t>
            </w:r>
            <w:r>
              <w:rPr>
                <w:rFonts w:ascii="Arial" w:cs="Arial" w:eastAsia="Arial" w:hAnsi="Arial"/>
                <w:sz w:val="25"/>
                <w:szCs w:val="25"/>
                <w:color w:val="auto"/>
                <w:vertAlign w:val="superscript"/>
              </w:rPr>
              <w:t>(3)</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3"/>
                <w:szCs w:val="23"/>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Bolthouse and Foodservice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0"/>
        </w:trPr>
        <w:tc>
          <w:tcPr>
            <w:tcW w:w="7100" w:type="dxa"/>
            <w:vAlign w:val="bottom"/>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(4)</w:t>
            </w:r>
          </w:p>
        </w:tc>
        <w:tc>
          <w:tcPr>
            <w:tcW w:w="92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48"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corporate expenses. Costs of $22 related to the implementation of our new organizational structure and cost reduction initiatives were included in 2015. Pension settlement charges of $22 associated with a U.S. pension plan were included in 2014. The settlements resulted from the level of lump sum distributions from the plan's assets in 2014, primarily due to the closure of the facility in Sacramento, California. In addition, a loss of $9 on foreign exchange forward contracts related to the sale of the European simple meals business and restructuring-related costs of $3 were included in 2014. Restructuring-related costs of $91 and acquisition costs of $10 were included in 2013.</w:t>
      </w:r>
    </w:p>
    <w:p>
      <w:pPr>
        <w:spacing w:after="0" w:line="1" w:lineRule="exact"/>
        <w:rPr>
          <w:rFonts w:ascii="Arial" w:cs="Arial" w:eastAsia="Arial" w:hAnsi="Arial"/>
          <w:sz w:val="24"/>
          <w:szCs w:val="24"/>
          <w:color w:val="auto"/>
          <w:vertAlign w:val="superscript"/>
        </w:rPr>
      </w:pP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See Note 8 for additional information.</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Capital expenditures for U.S. Simple Meals and U.S. Beverages are not maintained by segment.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Represents primarily corporate offices.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Simple Meals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4,446</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4,511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4,446</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2,408</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Beverages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1,134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1,198</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8,082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Simple Meals include condensed and ready-to-serve soups, broths, sauces, carrot products, refrigerated salad dressings, refrigerated salsa, hummus, dips and Plum foods and snacks. Baked Snacks include cookies, crackers, biscuits and other baked products.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operations in different geographic areas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6,400</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6,432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3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3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1,036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8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8,082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214"/>
              <w:spacing w:after="0"/>
              <w:rPr>
                <w:sz w:val="20"/>
                <w:szCs w:val="20"/>
                <w:color w:val="auto"/>
              </w:rPr>
            </w:pPr>
            <w:r>
              <w:rPr>
                <w:rFonts w:ascii="Arial" w:cs="Arial" w:eastAsia="Arial" w:hAnsi="Arial"/>
                <w:sz w:val="18"/>
                <w:szCs w:val="18"/>
                <w:color w:val="auto"/>
              </w:rPr>
              <w:t>47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47" w:name="page48"/>
    <w:bookmarkEnd w:id="4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1,942</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1,844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1,804</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173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139</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2,347</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2,318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support of the new enterprise design, we designed and implemented a new Integrated Global Services (IGS) organization to deliver shared services across the company. IGS, which became effective at the beginning of 2016, is expected to reduce costs while increasing our efficiency and effectiveness. We are also pursuing other initiatives to reduce costs and increase effectiveness, such as streamlining our organizational structure and adopting zero-based budgeting over time.</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July 31, 2015, with some remaining beyond July 31. We also implemented an initiative to reduce overhead across the organization by eliminating approximately 230 positions. In 2015, we recorded a restructuring charge of $102 related to these initiatives.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we incurred charges of $22 recorded in Administrative expenses related to the implementation of the new organizational structure and cost reduction initiatives.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after-tax impact of restructuring charges and implementation and other costs recorded in 2015 was $78, or $.25 per share. A summary of the pre-tax costs associated with the 2015 initiatives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Recognized</w:t>
            </w:r>
          </w:p>
        </w:tc>
      </w:tr>
      <w:tr>
        <w:trPr>
          <w:trHeight w:val="149"/>
        </w:trPr>
        <w:tc>
          <w:tcPr>
            <w:tcW w:w="9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92"/>
        </w:trPr>
        <w:tc>
          <w:tcPr>
            <w:tcW w:w="98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August 2, 2015</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and other costs</w:t>
            </w: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30</w:t>
            </w:r>
          </w:p>
        </w:tc>
      </w:tr>
      <w:tr>
        <w:trPr>
          <w:trHeight w:val="27"/>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124</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pre-tax costs for the 2015 initiatives are approximately $250 to $325. We expect to incur these costs through 2018.</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to consist of approximately $150 to $163 in severance pay and benefits, and approximately $100 to $162 in implementation and other costs.We expect the total pre-tax costs related to the 2015 initiatives will be associated with segments as follows: U.S. Simple Meals - approximately 21%; Global Baking and Snacking - approximately 28%; International Simple Meals and Beverages - approximately 6%; U.S. Beverages - approximately 5%; Bolthouse and Foodservice - approximately 5%; and Corporate - approximately 35%.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40" w:right="239" w:bottom="1440" w:gutter="0" w:footer="0" w:header="0"/>
        </w:sectPr>
      </w:pPr>
    </w:p>
    <w:bookmarkStart w:id="48" w:name="page49"/>
    <w:bookmarkEnd w:id="48"/>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August 2,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Accrued Balance</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2015 Cash</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2015 Charges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at August 3, 2014</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Payments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2"/>
              </w:rPr>
              <w:t xml:space="preserve">August 2, 2015 </w:t>
            </w:r>
            <w:r>
              <w:rPr>
                <w:rFonts w:ascii="Arial" w:cs="Arial" w:eastAsia="Arial" w:hAnsi="Arial"/>
                <w:sz w:val="8"/>
                <w:szCs w:val="8"/>
                <w:b w:val="1"/>
                <w:bCs w:val="1"/>
                <w:color w:val="auto"/>
                <w:w w:val="92"/>
              </w:rPr>
              <w:t>(3)</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500" w:type="dxa"/>
            <w:vAlign w:val="bottom"/>
          </w:tcPr>
          <w:p>
            <w:pPr>
              <w:spacing w:after="0"/>
              <w:rPr>
                <w:sz w:val="21"/>
                <w:szCs w:val="21"/>
                <w:color w:val="auto"/>
              </w:rPr>
            </w:pP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benefits</w:t>
            </w:r>
            <w:r>
              <w:rPr>
                <w:rFonts w:ascii="Arial" w:cs="Arial" w:eastAsia="Arial" w:hAnsi="Arial"/>
                <w:sz w:val="25"/>
                <w:szCs w:val="25"/>
                <w:color w:val="auto"/>
                <w:vertAlign w:val="superscript"/>
              </w:rPr>
              <w:t>(1)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040" w:type="dxa"/>
            <w:vAlign w:val="bottom"/>
            <w:vMerge w:val="continue"/>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w:t>
            </w:r>
            <w:r>
              <w:rPr>
                <w:rFonts w:ascii="Arial" w:cs="Arial" w:eastAsia="Arial" w:hAnsi="Arial"/>
                <w:sz w:val="25"/>
                <w:szCs w:val="25"/>
                <w:color w:val="auto"/>
                <w:vertAlign w:val="superscript"/>
              </w:rPr>
              <w:t>(2)</w:t>
            </w:r>
          </w:p>
        </w:tc>
        <w:tc>
          <w:tcPr>
            <w:tcW w:w="5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 charges</w:t>
            </w: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Represents postretirement and pension curtailment costs. See Note 11.</w:t>
      </w:r>
    </w:p>
    <w:p>
      <w:pPr>
        <w:spacing w:after="0" w:line="2" w:lineRule="exact"/>
        <w:rPr>
          <w:rFonts w:ascii="Arial" w:cs="Arial" w:eastAsia="Arial" w:hAnsi="Arial"/>
          <w:sz w:val="25"/>
          <w:szCs w:val="25"/>
          <w:color w:val="auto"/>
          <w:vertAlign w:val="superscript"/>
        </w:rPr>
      </w:pPr>
    </w:p>
    <w:p>
      <w:pPr>
        <w:ind w:left="340" w:right="80" w:hanging="332"/>
        <w:spacing w:after="0" w:line="208"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1" w:lineRule="exact"/>
        <w:rPr>
          <w:rFonts w:ascii="Arial" w:cs="Arial" w:eastAsia="Arial" w:hAnsi="Arial"/>
          <w:sz w:val="25"/>
          <w:szCs w:val="25"/>
          <w:color w:val="auto"/>
          <w:vertAlign w:val="superscript"/>
        </w:rPr>
      </w:pPr>
    </w:p>
    <w:p>
      <w:pPr>
        <w:ind w:left="180" w:hanging="172"/>
        <w:spacing w:after="0" w:line="214" w:lineRule="auto"/>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Includes $45 of severance pay and benefits recorded in Other liabilities in the Consolidated Balance Sheet.</w:t>
      </w:r>
    </w:p>
    <w:p>
      <w:pPr>
        <w:spacing w:after="0" w:line="14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and implementation and other costs because we evaluate segment performance excluding such charges. A summary of the pre-tax costs incurred to date associated with segments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760" w:type="dxa"/>
            <w:vAlign w:val="bottom"/>
          </w:tcPr>
          <w:p>
            <w:pPr>
              <w:jc w:val="center"/>
              <w:ind w:left="241"/>
              <w:spacing w:after="0"/>
              <w:rPr>
                <w:sz w:val="20"/>
                <w:szCs w:val="20"/>
                <w:color w:val="auto"/>
              </w:rPr>
            </w:pPr>
            <w:r>
              <w:rPr>
                <w:rFonts w:ascii="Arial" w:cs="Arial" w:eastAsia="Arial" w:hAnsi="Arial"/>
                <w:sz w:val="14"/>
                <w:szCs w:val="14"/>
                <w:b w:val="1"/>
                <w:bCs w:val="1"/>
                <w:color w:val="auto"/>
                <w:w w:val="87"/>
              </w:rPr>
              <w:t>U.S.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Global Baking</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Bolthouse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76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5"/>
              </w:rPr>
              <w:t>Simple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Simple Meals</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60" w:type="dxa"/>
            <w:vAlign w:val="bottom"/>
          </w:tcPr>
          <w:p>
            <w:pPr>
              <w:jc w:val="center"/>
              <w:ind w:left="241"/>
              <w:spacing w:after="0"/>
              <w:rPr>
                <w:sz w:val="20"/>
                <w:szCs w:val="20"/>
                <w:color w:val="auto"/>
              </w:rPr>
            </w:pPr>
            <w:r>
              <w:rPr>
                <w:rFonts w:ascii="Arial" w:cs="Arial" w:eastAsia="Arial" w:hAnsi="Arial"/>
                <w:sz w:val="14"/>
                <w:szCs w:val="14"/>
                <w:b w:val="1"/>
                <w:bCs w:val="1"/>
                <w:color w:val="auto"/>
                <w:w w:val="92"/>
              </w:rPr>
              <w:t>Meals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and Beverages</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Foodservice</w:t>
            </w: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760" w:type="dxa"/>
            <w:vAlign w:val="bottom"/>
            <w:tcBorders>
              <w:top w:val="single" w:sz="8" w:color="auto"/>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Implementation and other costs</w:t>
            </w:r>
          </w:p>
        </w:tc>
        <w:tc>
          <w:tcPr>
            <w:tcW w:w="76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1300" w:right="20" w:hanging="968"/>
        <w:spacing w:after="0" w:line="277"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restructured manufacturing and streamlined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Australia, we implemented an initiative to improve supply chain efficiency by relocating production from our biscuit plant in Marleston to Huntingwood. The relocation will continue through 2017 and will result in the elimination of approximately 90 positions.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were completed in 2015.</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2014, we recorded a restructuring charge of $54 ($33 after tax, or $.10 per share, in earnings from continuing operations attributable to Campbell Soup Company) related to the 2014 initiatives. A summary of the pre-tax costs associated with the 2014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Total Program</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9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7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the fourth quarter of 2015, we incurred substantially all of the costs related to the 2014 initiatives.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14" w:right="239" w:bottom="1440" w:gutter="0" w:footer="0" w:header="0"/>
          <w:type w:val="continuous"/>
        </w:sectPr>
      </w:pPr>
    </w:p>
    <w:bookmarkStart w:id="49" w:name="page50"/>
    <w:bookmarkEnd w:id="49"/>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2014 initiatives at August 2, 2015,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Accrued</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Accrued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88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2014 Cash</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2015 Cash</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140" w:type="dxa"/>
            <w:vAlign w:val="bottom"/>
          </w:tcPr>
          <w:p>
            <w:pPr>
              <w:spacing w:after="0"/>
              <w:rPr>
                <w:sz w:val="12"/>
                <w:szCs w:val="12"/>
                <w:color w:val="auto"/>
              </w:rPr>
            </w:pPr>
          </w:p>
        </w:tc>
        <w:tc>
          <w:tcPr>
            <w:tcW w:w="8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Balance at</w:t>
            </w: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2014 Charges</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August 3,</w:t>
            </w:r>
          </w:p>
        </w:tc>
        <w:tc>
          <w:tcPr>
            <w:tcW w:w="10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2"/>
                <w:szCs w:val="12"/>
                <w:color w:val="auto"/>
              </w:rPr>
            </w:pPr>
          </w:p>
        </w:tc>
        <w:tc>
          <w:tcPr>
            <w:tcW w:w="8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August 2,</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July 28, 2013</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Payments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2015</w:t>
            </w:r>
            <w:r>
              <w:rPr>
                <w:rFonts w:ascii="Arial" w:cs="Arial" w:eastAsia="Arial" w:hAnsi="Arial"/>
                <w:sz w:val="8"/>
                <w:szCs w:val="8"/>
                <w:b w:val="1"/>
                <w:bCs w:val="1"/>
                <w:color w:val="auto"/>
                <w:w w:val="92"/>
              </w:rPr>
              <w:t>(2)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exit costs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charges</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Includes $4 of severance pay and benefits recorded in Other liabilities in the Consolidated Balance Sheet.</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because we evaluate segment performance excluding such charges. A summary of restructuring charges associated with segments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80" w:type="dxa"/>
            <w:vAlign w:val="bottom"/>
          </w:tcPr>
          <w:p>
            <w:pPr>
              <w:jc w:val="center"/>
              <w:ind w:left="241"/>
              <w:spacing w:after="0"/>
              <w:rPr>
                <w:sz w:val="20"/>
                <w:szCs w:val="20"/>
                <w:color w:val="auto"/>
              </w:rPr>
            </w:pPr>
            <w:r>
              <w:rPr>
                <w:rFonts w:ascii="Arial" w:cs="Arial" w:eastAsia="Arial" w:hAnsi="Arial"/>
                <w:sz w:val="14"/>
                <w:szCs w:val="14"/>
                <w:b w:val="1"/>
                <w:bCs w:val="1"/>
                <w:color w:val="auto"/>
                <w:w w:val="95"/>
              </w:rPr>
              <w:t>U.S.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Global Baking</w:t>
            </w: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International</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Bolthouse and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8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1"/>
              </w:rPr>
              <w:t>Simple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Simple Meals and</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2"/>
                <w:szCs w:val="12"/>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780" w:type="dxa"/>
            <w:vAlign w:val="bottom"/>
          </w:tcPr>
          <w:p>
            <w:pPr>
              <w:jc w:val="center"/>
              <w:ind w:left="241"/>
              <w:spacing w:after="0"/>
              <w:rPr>
                <w:sz w:val="20"/>
                <w:szCs w:val="20"/>
                <w:color w:val="auto"/>
              </w:rPr>
            </w:pPr>
            <w:r>
              <w:rPr>
                <w:rFonts w:ascii="Arial" w:cs="Arial" w:eastAsia="Arial" w:hAnsi="Arial"/>
                <w:sz w:val="14"/>
                <w:szCs w:val="14"/>
                <w:b w:val="1"/>
                <w:bCs w:val="1"/>
                <w:color w:val="auto"/>
                <w:w w:val="97"/>
              </w:rPr>
              <w:t>Meals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and Snacking</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Beverages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Foodservice</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780" w:type="dxa"/>
            <w:vAlign w:val="bottom"/>
            <w:tcBorders>
              <w:top w:val="single" w:sz="8" w:color="auto"/>
              <w:bottom w:val="single" w:sz="8" w:color="CCEEFF"/>
            </w:tcBorders>
            <w:shd w:val="clear" w:color="auto" w:fill="CCEEFF"/>
          </w:tcPr>
          <w:p>
            <w:pPr>
              <w:jc w:val="right"/>
              <w:ind w:right="58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7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p>
        </w:tc>
        <w:tc>
          <w:tcPr>
            <w:tcW w:w="780" w:type="dxa"/>
            <w:vAlign w:val="bottom"/>
            <w:tcBorders>
              <w:top w:val="single" w:sz="8" w:color="auto"/>
            </w:tcBorders>
          </w:tcPr>
          <w:p>
            <w:pPr>
              <w:jc w:val="right"/>
              <w:ind w:right="58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2013 initiatives include:</w:t>
      </w:r>
    </w:p>
    <w:p>
      <w:pPr>
        <w:spacing w:after="0" w:line="157" w:lineRule="exact"/>
        <w:rPr>
          <w:sz w:val="20"/>
          <w:szCs w:val="20"/>
          <w:color w:val="auto"/>
        </w:rPr>
      </w:pPr>
    </w:p>
    <w:p>
      <w:pPr>
        <w:jc w:val="both"/>
        <w:ind w:left="660" w:hanging="328"/>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 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13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streamlined our salaried workforce in U.S. Simple Meals, North America Foodservice and U.S. Beverages by approximately 70 positions. This action was substantially completed in August 2013.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14" w:right="239" w:bottom="1440" w:gutter="0" w:footer="0" w:header="0"/>
        </w:sectPr>
      </w:pPr>
    </w:p>
    <w:bookmarkStart w:id="50" w:name="page51"/>
    <w:bookmarkEnd w:id="50"/>
    <w:p>
      <w:pPr>
        <w:jc w:val="both"/>
        <w:ind w:firstLine="324"/>
        <w:spacing w:after="0" w:line="297" w:lineRule="auto"/>
        <w:rPr>
          <w:sz w:val="20"/>
          <w:szCs w:val="20"/>
          <w:color w:val="auto"/>
        </w:rPr>
      </w:pPr>
      <w:r>
        <w:rPr>
          <w:rFonts w:ascii="Arial" w:cs="Arial" w:eastAsia="Arial" w:hAnsi="Arial"/>
          <w:sz w:val="16"/>
          <w:szCs w:val="16"/>
          <w:color w:val="auto"/>
        </w:rPr>
        <w:t>In 2014, we recorded a restructuring charge of $1 related to the 2013 initiatives. In addition, we recorded approximately $3 of costs related to the 2013 initiatives in Cost of products sold, representing other exit costs. The aggregate after-tax impact of restructuring charges and related costs recorded in 2014 was $3, or $.01 per share. In 2013, we recorded a restructuring charge of $51. In addition, we recorded approximately $91 of costs related to these initiatives in 2013 in Cost of products sold, representing accelerated depreciation and other exit costs. The aggregate after-tax impact of restructuring charges and related costs recorded in 2013 was $90, or $.28 per share. A summary of the pre-tax costs associated with the 2013 initiatives recognized is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40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Program</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120" w:type="dxa"/>
            <w:vAlign w:val="bottom"/>
            <w:gridSpan w:val="6"/>
            <w:vMerge w:val="restart"/>
          </w:tcPr>
          <w:p>
            <w:pPr>
              <w:ind w:left="300"/>
              <w:spacing w:after="0"/>
              <w:rPr>
                <w:sz w:val="20"/>
                <w:szCs w:val="20"/>
                <w:color w:val="auto"/>
              </w:rPr>
            </w:pPr>
            <w:r>
              <w:rPr>
                <w:rFonts w:ascii="Arial" w:cs="Arial" w:eastAsia="Arial" w:hAnsi="Arial"/>
                <w:sz w:val="18"/>
                <w:szCs w:val="18"/>
                <w:color w:val="auto"/>
              </w:rPr>
              <w:t>As of the fourth quarter of 2015, we substantially completed the 2013 initiatives.</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 w:type="dxa"/>
            <w:vAlign w:val="bottom"/>
          </w:tcPr>
          <w:p>
            <w:pPr>
              <w:spacing w:after="0"/>
              <w:rPr>
                <w:sz w:val="24"/>
                <w:szCs w:val="24"/>
                <w:color w:val="auto"/>
              </w:rPr>
            </w:pPr>
          </w:p>
        </w:tc>
        <w:tc>
          <w:tcPr>
            <w:tcW w:w="7120" w:type="dxa"/>
            <w:vAlign w:val="bottom"/>
            <w:gridSpan w:val="6"/>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9800" w:type="dxa"/>
            <w:vAlign w:val="bottom"/>
            <w:gridSpan w:val="10"/>
          </w:tcPr>
          <w:p>
            <w:pPr>
              <w:ind w:left="300"/>
              <w:spacing w:after="0"/>
              <w:rPr>
                <w:sz w:val="20"/>
                <w:szCs w:val="20"/>
                <w:color w:val="auto"/>
              </w:rPr>
            </w:pPr>
            <w:r>
              <w:rPr>
                <w:rFonts w:ascii="Arial" w:cs="Arial" w:eastAsia="Arial" w:hAnsi="Arial"/>
                <w:sz w:val="18"/>
                <w:szCs w:val="18"/>
                <w:color w:val="auto"/>
                <w:w w:val="93"/>
              </w:rPr>
              <w:t>A summary of the restructuring activity and related reserves associated with the 2013 initiatives at August 2, 2015,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Severance Pay and</w:t>
            </w:r>
          </w:p>
        </w:tc>
        <w:tc>
          <w:tcPr>
            <w:tcW w:w="12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Impairment/Accelerated</w:t>
            </w: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Non-Cash Benefits</w:t>
            </w:r>
            <w:r>
              <w:rPr>
                <w:rFonts w:ascii="Arial" w:cs="Arial" w:eastAsia="Arial" w:hAnsi="Arial"/>
                <w:sz w:val="8"/>
                <w:szCs w:val="8"/>
                <w:b w:val="1"/>
                <w:bCs w:val="1"/>
                <w:color w:val="auto"/>
              </w:rPr>
              <w:t>(1)</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Exit Costs</w:t>
            </w:r>
            <w:r>
              <w:rPr>
                <w:rFonts w:ascii="Arial" w:cs="Arial" w:eastAsia="Arial" w:hAnsi="Arial"/>
                <w:sz w:val="8"/>
                <w:szCs w:val="8"/>
                <w:b w:val="1"/>
                <w:bCs w:val="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Charges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4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July 29, 2012</w:t>
            </w:r>
          </w:p>
        </w:tc>
        <w:tc>
          <w:tcPr>
            <w:tcW w:w="960" w:type="dxa"/>
            <w:vAlign w:val="bottom"/>
            <w:tcBorders>
              <w:top w:val="single" w:sz="8" w:color="auto"/>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260"/>
              <w:spacing w:after="0"/>
              <w:rPr>
                <w:sz w:val="20"/>
                <w:szCs w:val="20"/>
                <w:color w:val="auto"/>
              </w:rPr>
            </w:pPr>
            <w:r>
              <w:rPr>
                <w:rFonts w:ascii="Arial" w:cs="Arial" w:eastAsia="Arial" w:hAnsi="Arial"/>
                <w:sz w:val="18"/>
                <w:szCs w:val="18"/>
                <w:color w:val="auto"/>
              </w:rPr>
              <w:t>2013 charges</w:t>
            </w:r>
          </w:p>
        </w:tc>
        <w:tc>
          <w:tcPr>
            <w:tcW w:w="9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660" w:type="dxa"/>
            <w:vAlign w:val="bottom"/>
            <w:gridSpan w:val="2"/>
          </w:tcPr>
          <w:p>
            <w:pPr>
              <w:jc w:val="right"/>
              <w:ind w:right="4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2013 cash payments</w:t>
            </w:r>
          </w:p>
        </w:tc>
        <w:tc>
          <w:tcPr>
            <w:tcW w:w="9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Accrued balance at July 28, 2013</w:t>
            </w: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2014 charges</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260"/>
              <w:spacing w:after="0"/>
              <w:rPr>
                <w:sz w:val="20"/>
                <w:szCs w:val="20"/>
                <w:color w:val="auto"/>
              </w:rPr>
            </w:pPr>
            <w:r>
              <w:rPr>
                <w:rFonts w:ascii="Arial" w:cs="Arial" w:eastAsia="Arial" w:hAnsi="Arial"/>
                <w:sz w:val="18"/>
                <w:szCs w:val="18"/>
                <w:color w:val="auto"/>
              </w:rPr>
              <w:t>2014 cash payments</w:t>
            </w:r>
          </w:p>
        </w:tc>
        <w:tc>
          <w:tcPr>
            <w:tcW w:w="9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August 3, 2014</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00" w:type="dxa"/>
            <w:vAlign w:val="bottom"/>
          </w:tcPr>
          <w:p>
            <w:pPr>
              <w:ind w:left="260"/>
              <w:spacing w:after="0"/>
              <w:rPr>
                <w:sz w:val="20"/>
                <w:szCs w:val="20"/>
                <w:color w:val="auto"/>
              </w:rPr>
            </w:pPr>
            <w:r>
              <w:rPr>
                <w:rFonts w:ascii="Arial" w:cs="Arial" w:eastAsia="Arial" w:hAnsi="Arial"/>
                <w:sz w:val="18"/>
                <w:szCs w:val="18"/>
                <w:b w:val="1"/>
                <w:bCs w:val="1"/>
                <w:color w:val="auto"/>
              </w:rPr>
              <w:t>2015 cash payments</w:t>
            </w:r>
          </w:p>
        </w:tc>
        <w:tc>
          <w:tcPr>
            <w:tcW w:w="9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at August 2, 2015</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Represents pension curtailment costs. See Note 11.</w:t>
      </w:r>
    </w:p>
    <w:p>
      <w:pPr>
        <w:spacing w:after="0" w:line="56" w:lineRule="exact"/>
        <w:rPr>
          <w:rFonts w:ascii="Arial" w:cs="Arial" w:eastAsia="Arial" w:hAnsi="Arial"/>
          <w:sz w:val="25"/>
          <w:szCs w:val="25"/>
          <w:color w:val="auto"/>
          <w:vertAlign w:val="superscript"/>
        </w:rPr>
      </w:pPr>
    </w:p>
    <w:p>
      <w:pPr>
        <w:ind w:left="340" w:hanging="332"/>
        <w:spacing w:after="0" w:line="203" w:lineRule="auto"/>
        <w:tabs>
          <w:tab w:leader="none" w:pos="340" w:val="left"/>
        </w:tabs>
        <w:numPr>
          <w:ilvl w:val="0"/>
          <w:numId w:val="45"/>
        </w:numPr>
        <w:rPr>
          <w:rFonts w:ascii="Arial" w:cs="Arial" w:eastAsia="Arial" w:hAnsi="Arial"/>
          <w:sz w:val="22"/>
          <w:szCs w:val="22"/>
          <w:color w:val="auto"/>
          <w:vertAlign w:val="superscript"/>
        </w:rPr>
      </w:pPr>
      <w:r>
        <w:rPr>
          <w:rFonts w:ascii="Arial" w:cs="Arial" w:eastAsia="Arial" w:hAnsi="Arial"/>
          <w:sz w:val="16"/>
          <w:szCs w:val="16"/>
          <w:color w:val="auto"/>
        </w:rPr>
        <w:t>Includes non-cash costs and other exit costs recognized as incurred that are not reflected in the restructuring reserve in the Consolidated Balance Sheet.</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and related costs because we evaluate segment performance excluding such charges. A summary of restructuring charges and related costs associated with segments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Global Baking</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Bolthouse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1"/>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840" w:type="dxa"/>
            <w:vAlign w:val="bottom"/>
          </w:tcPr>
          <w:p>
            <w:pPr>
              <w:jc w:val="center"/>
              <w:ind w:left="241"/>
              <w:spacing w:after="0"/>
              <w:rPr>
                <w:sz w:val="20"/>
                <w:szCs w:val="20"/>
                <w:color w:val="auto"/>
              </w:rPr>
            </w:pPr>
            <w:r>
              <w:rPr>
                <w:rFonts w:ascii="Arial" w:cs="Arial" w:eastAsia="Arial" w:hAnsi="Arial"/>
                <w:sz w:val="14"/>
                <w:szCs w:val="14"/>
                <w:b w:val="1"/>
                <w:bCs w:val="1"/>
                <w:color w:val="auto"/>
                <w:w w:val="92"/>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and Beverages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Beverages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Foodservice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There were no antidilutive stock options in 2015, 2014, or 2013.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 a 60% controlling interest in a joint venture formed with Swire Pacific Limited to support the development of our soup and broth business in China. The joint venture began operations on January 31, 2011. In February 2013, we contributed</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314" w:right="239" w:bottom="1440" w:gutter="0" w:footer="0" w:header="0"/>
          <w:type w:val="continuous"/>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additional cash of $5 and the joint venture partner contributed additional cash of $3. In August 2013, we contributed additional cash of $7 and the joint venture partner contributed additional cash of $5. In 2014, together with our joint venture partner, we restructured manufacturing and streamlined operations for our soup and broth business in China. The after-tax restructuring charge attributable to the noncontrolling interest was $5. See also Note 8. In June 2015, we contributed additional cash of $14 and the joint venture partner contributed additional cash of $9.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own a 70% controlling interest in a Malaysian food products manufacturing company.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all eligible U.S. and non-U.S. employees. The benefits provided under these plans are based primarily on years of service and compensation levels. In 1999, we implemented significant amendments to certain U.S. pension plans. Under a new formula, retirement benefits are determined based on percentages of annual pay and age. To minimize the impact of converting to the new formula, service and earnings credit continues to accrue through the year 2015 for active employees participating in the plans under the old formula prior to the amendments. Employees will receive the benefit from either the new or old formula, whichever is higher. Benefits become vested upon the completion of three years of service. Benefits are paid from funds previously provided to trustees and insurance companies or are paid directly by us from general funds. Effective as of January 1, 2011, our U.S. pension plans were amended so that employees hired or rehired on or after that date and who are not covered by collective bargaining agreements will not be eligible to participate in the plans.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Postretirement Benefits — </w:t>
      </w:r>
      <w:r>
        <w:rPr>
          <w:rFonts w:ascii="Arial" w:cs="Arial" w:eastAsia="Arial" w:hAnsi="Arial"/>
          <w:sz w:val="18"/>
          <w:szCs w:val="18"/>
          <w:color w:val="auto"/>
        </w:rPr>
        <w:t>We provide postretirement benefits, including health care and life insurance, to substantially all retired U.S.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Components of benefit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charges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periodic benefit expense</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curtailment loss of $1 in 2015 was related to a voluntary employee separation program and was included in Restructuring charges. See also Note 8. The settlement charges of $22 in 2014 were associated with a U.S. pension plan. The settlements resulted from the level of lump sum distributions from the plan's assets in 2014, primarily due to the closure of the facility in Sacramento, California. The curtailment loss of $3 in 2013 related to the closure of the plant in Mexico and was included in the Restructuring charges. See also Note 8. In 2013, net periodic benefit expense of $1 related to the simple meals business in Europe and was included in Earnings (loss) from discontinued operations.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and net actuarial losses that will be amortized from Accumulated other comprehensive loss into periodic pension cost during 2016 are $1 and $90,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14" w:right="239" w:bottom="1440" w:gutter="0" w:footer="0" w:header="0"/>
        </w:sectPr>
      </w:pPr>
    </w:p>
    <w:bookmarkStart w:id="52" w:name="page53"/>
    <w:bookmarkEnd w:id="5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Net periodic benefit expense</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7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curtailment loss of $6 in 2015 was related to a voluntary employee separation program and was included in Restructuring charges. See also Note 8.</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and net actuarial loss that will be amortized from Accumulated other comprehensive loss into net periodic postretirement expense during 2016 are $1 and $13,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w w:val="95"/>
              </w:rPr>
              <w:t>Postretirement</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Actuarial loss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subsidies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Curtailment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Divestiture</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beginning of year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Settlements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Foreign currency adjustment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end of year</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Amounts recognized in the Consolidated Balance Sheets: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2,364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2,275</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276</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2,316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2,364</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7"/>
        </w:trPr>
        <w:tc>
          <w:tcPr>
            <w:tcW w:w="1000" w:type="dxa"/>
            <w:vAlign w:val="bottom"/>
          </w:tcPr>
          <w:p>
            <w:pPr>
              <w:spacing w:after="0"/>
              <w:rPr>
                <w:sz w:val="24"/>
                <w:szCs w:val="24"/>
                <w:color w:val="auto"/>
              </w:rPr>
            </w:pPr>
          </w:p>
        </w:tc>
        <w:tc>
          <w:tcPr>
            <w:tcW w:w="22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Pension</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Pr>
          <w:p>
            <w:pPr>
              <w:spacing w:after="0"/>
              <w:rPr>
                <w:sz w:val="24"/>
                <w:szCs w:val="24"/>
                <w:color w:val="auto"/>
              </w:rPr>
            </w:pPr>
          </w:p>
        </w:tc>
      </w:tr>
      <w:tr>
        <w:trPr>
          <w:trHeight w:val="258"/>
        </w:trPr>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18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-1509395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-1166495</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-823595</wp:posOffset>
            </wp:positionV>
            <wp:extent cx="721233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00" w:space="720"/>
            <w:col w:w="5800"/>
          </w:cols>
          <w:pgMar w:left="240" w:top="1440" w:right="239" w:bottom="1440" w:gutter="0" w:footer="0" w:header="0"/>
          <w:type w:val="continuous"/>
        </w:sectPr>
      </w:pPr>
    </w:p>
    <w:tbl>
      <w:tblPr>
        <w:tblLayout w:type="fixed"/>
        <w:tblInd w:w="40" w:type="dxa"/>
        <w:tblCellMar>
          <w:top w:w="0" w:type="dxa"/>
          <w:left w:w="0" w:type="dxa"/>
          <w:bottom w:w="0" w:type="dxa"/>
          <w:right w:w="0" w:type="dxa"/>
        </w:tblCellMar>
      </w:tblPr>
      <w:tr>
        <w:trPr>
          <w:trHeight w:val="256"/>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Net amount recognized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5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0"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40" w:right="239" w:bottom="1440" w:gutter="0" w:footer="0" w:header="0"/>
          <w:type w:val="continuous"/>
        </w:sectPr>
      </w:pPr>
    </w:p>
    <w:bookmarkStart w:id="53" w:name="page54"/>
    <w:bookmarkEnd w:id="53"/>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Pension</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Borders>
              <w:bottom w:val="single" w:sz="8" w:color="auto"/>
            </w:tcBorders>
          </w:tcPr>
          <w:p>
            <w:pPr>
              <w:spacing w:after="0"/>
              <w:rPr>
                <w:sz w:val="16"/>
                <w:szCs w:val="16"/>
                <w:color w:val="auto"/>
              </w:rPr>
            </w:pPr>
          </w:p>
        </w:tc>
      </w:tr>
      <w:tr>
        <w:trPr>
          <w:trHeight w:val="264"/>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Amounts recognized in accumulated other comprehensive loss consist of:</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91</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changes in other comprehensive loss associated with pension benefits included the reclassification of actuarial losses into earnings of $84 and $100 in 2015 and 2014, respectively. The remaining changes in other comprehensive loss associated with pension benefits were primarily due to net actuarial losses arising during the periods as well as the impact of currency. The amount reclassified in 2014 included the settlement charges and $2 of net actuarial losses recognized in discontinued operations as a result of the sale of the European simple meals business.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other comprehensive loss associated with postretirement benefits was due to the reclassification of actuarial losses into earnings of $14 and $13 in 2015 and 2014, respectively. The remaining changes in other comprehensive loss associated with postretirement benefits were primarily due to net actuarial losses arising during the periods.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for pension plans with accumulated benefit obligations in excess of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1,926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b w:val="1"/>
                <w:bCs w:val="1"/>
                <w:color w:val="auto"/>
              </w:rPr>
              <w:t>1,906</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257</w:t>
            </w:r>
          </w:p>
        </w:tc>
      </w:tr>
      <w:tr>
        <w:trPr>
          <w:trHeight w:val="27"/>
        </w:trPr>
        <w:tc>
          <w:tcPr>
            <w:tcW w:w="8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1,684</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r>
      <w:tr>
        <w:trPr>
          <w:trHeight w:val="27"/>
        </w:trPr>
        <w:tc>
          <w:tcPr>
            <w:tcW w:w="8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for all pension plans was $2,516 at August 2, 2015, and $2,477 at August 3, 2014.</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Pension</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Postretirement</w:t>
            </w: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3"/>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b w:val="1"/>
                <w:bCs w:val="1"/>
                <w:color w:val="auto"/>
                <w:w w:val="93"/>
              </w:rPr>
              <w:t>4.00%</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4.00%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color w:val="auto"/>
                <w:w w:val="93"/>
              </w:rPr>
              <w:t>3.30%</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3.25%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324"/>
        </w:trPr>
        <w:tc>
          <w:tcPr>
            <w:tcW w:w="7360" w:type="dxa"/>
            <w:vAlign w:val="bottom"/>
            <w:gridSpan w:val="4"/>
          </w:tcPr>
          <w:p>
            <w:pPr>
              <w:ind w:left="140"/>
              <w:spacing w:after="0"/>
              <w:rPr>
                <w:sz w:val="20"/>
                <w:szCs w:val="20"/>
                <w:color w:val="auto"/>
              </w:rPr>
            </w:pPr>
            <w:r>
              <w:rPr>
                <w:rFonts w:ascii="Arial" w:cs="Arial" w:eastAsia="Arial" w:hAnsi="Arial"/>
                <w:sz w:val="18"/>
                <w:szCs w:val="18"/>
                <w:b w:val="1"/>
                <w:bCs w:val="1"/>
                <w:i w:val="1"/>
                <w:iCs w:val="1"/>
                <w:color w:val="auto"/>
                <w:w w:val="87"/>
              </w:rPr>
              <w:t>Weighted-average assumptions used to determine net periodic benefit cost for the years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1"/>
              </w:rPr>
              <w:t>Pension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3"/>
              </w:rPr>
              <w:t>4.82%</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4.05%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b w:val="1"/>
                <w:bCs w:val="1"/>
                <w:color w:val="auto"/>
                <w:w w:val="93"/>
              </w:rPr>
              <w:t>7.62%</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color w:val="auto"/>
                <w:w w:val="93"/>
              </w:rPr>
              <w:t>7.62%</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7.65%</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3.30%</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3"/>
              </w:rPr>
              <w:t>3.30%</w:t>
            </w:r>
          </w:p>
        </w:tc>
        <w:tc>
          <w:tcPr>
            <w:tcW w:w="1880" w:type="dxa"/>
            <w:vAlign w:val="bottom"/>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3.31%</w:t>
            </w:r>
          </w:p>
        </w:tc>
      </w:tr>
      <w:tr>
        <w:trPr>
          <w:trHeight w:val="27"/>
        </w:trPr>
        <w:tc>
          <w:tcPr>
            <w:tcW w:w="5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4.00% in 2015, 4.50% in 2014 and 3.75% in 2013.</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0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4400" w:type="dxa"/>
            <w:vAlign w:val="bottom"/>
            <w:tcBorders>
              <w:bottom w:val="single" w:sz="8" w:color="CCEEFF"/>
            </w:tcBorders>
            <w:gridSpan w:val="2"/>
            <w:shd w:val="clear" w:color="auto" w:fill="CCEEFF"/>
          </w:tcPr>
          <w:p>
            <w:pPr>
              <w:jc w:val="center"/>
              <w:ind w:left="2930"/>
              <w:spacing w:after="0"/>
              <w:rPr>
                <w:sz w:val="20"/>
                <w:szCs w:val="20"/>
                <w:color w:val="auto"/>
              </w:rPr>
            </w:pPr>
            <w:r>
              <w:rPr>
                <w:rFonts w:ascii="Arial" w:cs="Arial" w:eastAsia="Arial" w:hAnsi="Arial"/>
                <w:sz w:val="18"/>
                <w:szCs w:val="18"/>
                <w:b w:val="1"/>
                <w:bCs w:val="1"/>
                <w:color w:val="auto"/>
                <w:w w:val="97"/>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8.25%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1"/>
              </w:rPr>
              <w:t>Rate to which the cost trend rate is assumed to decline (ultimate trend rate)</w:t>
            </w:r>
          </w:p>
        </w:tc>
        <w:tc>
          <w:tcPr>
            <w:tcW w:w="440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5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4400" w:type="dxa"/>
            <w:vAlign w:val="bottom"/>
            <w:tcBorders>
              <w:bottom w:val="single" w:sz="8" w:color="CCEEFF"/>
            </w:tcBorders>
            <w:gridSpan w:val="2"/>
            <w:shd w:val="clear" w:color="auto" w:fill="CCEEFF"/>
          </w:tcPr>
          <w:p>
            <w:pPr>
              <w:jc w:val="center"/>
              <w:ind w:left="29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459"/>
        </w:trPr>
        <w:tc>
          <w:tcPr>
            <w:tcW w:w="5500" w:type="dxa"/>
            <w:vAlign w:val="bottom"/>
          </w:tcPr>
          <w:p>
            <w:pPr>
              <w:spacing w:after="0"/>
              <w:rPr>
                <w:sz w:val="24"/>
                <w:szCs w:val="24"/>
                <w:color w:val="auto"/>
              </w:rPr>
            </w:pPr>
          </w:p>
        </w:tc>
        <w:tc>
          <w:tcPr>
            <w:tcW w:w="3040" w:type="dxa"/>
            <w:vAlign w:val="bottom"/>
          </w:tcPr>
          <w:p>
            <w:pPr>
              <w:jc w:val="right"/>
              <w:ind w:right="2690"/>
              <w:spacing w:after="0"/>
              <w:rPr>
                <w:sz w:val="20"/>
                <w:szCs w:val="20"/>
                <w:color w:val="auto"/>
              </w:rPr>
            </w:pPr>
            <w:r>
              <w:rPr>
                <w:rFonts w:ascii="Arial" w:cs="Arial" w:eastAsia="Arial" w:hAnsi="Arial"/>
                <w:sz w:val="18"/>
                <w:szCs w:val="18"/>
                <w:color w:val="auto"/>
              </w:rPr>
              <w:t>54</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A one-percentage-point change in assumed health care costs would have the following effects on 2015 reported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Increase</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service and interest cost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Effect on the 2015 accumulated benefit obligation</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 Target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34%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33%</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periodic benefit expense</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14"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August 2, 2015, and August 3,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center"/>
              <w:ind w:left="472"/>
              <w:spacing w:after="0"/>
              <w:rPr>
                <w:sz w:val="20"/>
                <w:szCs w:val="20"/>
                <w:color w:val="auto"/>
              </w:rPr>
            </w:pPr>
            <w:r>
              <w:rPr>
                <w:rFonts w:ascii="Arial" w:cs="Arial" w:eastAsia="Arial" w:hAnsi="Arial"/>
                <w:sz w:val="14"/>
                <w:szCs w:val="14"/>
                <w:b w:val="1"/>
                <w:bCs w:val="1"/>
                <w:color w:val="auto"/>
                <w:w w:val="93"/>
              </w:rPr>
              <w:t>Fair Value Measurements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center"/>
              <w:ind w:right="73"/>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1"/>
              </w:rPr>
              <w:t>August 3, 2014 Using</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restart"/>
          </w:tcPr>
          <w:p>
            <w:pPr>
              <w:jc w:val="center"/>
              <w:ind w:right="73"/>
              <w:spacing w:after="0" w:line="139" w:lineRule="exact"/>
              <w:rPr>
                <w:sz w:val="20"/>
                <w:szCs w:val="20"/>
                <w:color w:val="auto"/>
              </w:rPr>
            </w:pPr>
            <w:r>
              <w:rPr>
                <w:rFonts w:ascii="Arial" w:cs="Arial" w:eastAsia="Arial" w:hAnsi="Arial"/>
                <w:sz w:val="14"/>
                <w:szCs w:val="14"/>
                <w:b w:val="1"/>
                <w:bCs w:val="1"/>
                <w:color w:val="auto"/>
                <w:w w:val="90"/>
              </w:rPr>
              <w:t>August 2,</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53"/>
              <w:spacing w:after="0" w:line="139" w:lineRule="exact"/>
              <w:rPr>
                <w:sz w:val="20"/>
                <w:szCs w:val="20"/>
                <w:color w:val="auto"/>
              </w:rPr>
            </w:pPr>
            <w:r>
              <w:rPr>
                <w:rFonts w:ascii="Arial" w:cs="Arial" w:eastAsia="Arial" w:hAnsi="Arial"/>
                <w:sz w:val="14"/>
                <w:szCs w:val="14"/>
                <w:b w:val="1"/>
                <w:bCs w:val="1"/>
                <w:color w:val="auto"/>
                <w:w w:val="90"/>
              </w:rPr>
              <w:t>August 3,</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494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Government and agency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bonds: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9"/>
              </w:rPr>
              <w:t>Mortgage and asset backed</w:t>
            </w:r>
          </w:p>
        </w:tc>
        <w:tc>
          <w:tcPr>
            <w:tcW w:w="160" w:type="dxa"/>
            <w:vAlign w:val="bottom"/>
          </w:tcPr>
          <w:p>
            <w:pPr>
              <w:spacing w:after="0"/>
              <w:rPr>
                <w:sz w:val="19"/>
                <w:szCs w:val="19"/>
                <w:color w:val="auto"/>
              </w:rPr>
            </w:pP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Investments measured at net</w:t>
            </w: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asset value: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Blended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Hedge funds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0"/>
              </w:rPr>
              <w:t>Total investments measured at</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net asset value:</w:t>
            </w:r>
          </w:p>
        </w:tc>
        <w:tc>
          <w:tcPr>
            <w:tcW w:w="1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items to reconcile to fair</w:t>
            </w:r>
          </w:p>
        </w:tc>
        <w:tc>
          <w:tcPr>
            <w:tcW w:w="1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plan assets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rPr>
              <w:t>Total pension assets at fair</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b w:val="1"/>
                <w:bCs w:val="1"/>
                <w:color w:val="auto"/>
              </w:rPr>
              <w:t>2,316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3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Other investments valued based upon a quoted net asset value are included as a reconciling item to the fair value table.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Equities — </w:t>
      </w:r>
      <w:r>
        <w:rPr>
          <w:rFonts w:ascii="Arial" w:cs="Arial" w:eastAsia="Arial" w:hAnsi="Arial"/>
          <w:sz w:val="18"/>
          <w:szCs w:val="18"/>
          <w:color w:val="auto"/>
        </w:rPr>
        <w:t>Common stocks and preferred stocks are classified as Level 1 and are valued using quoted market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14" w:right="239" w:bottom="1440" w:gutter="0" w:footer="0" w:header="0"/>
          <w:type w:val="continuous"/>
        </w:sectPr>
      </w:pPr>
    </w:p>
    <w:bookmarkStart w:id="56" w:name="page57"/>
    <w:bookmarkEnd w:id="56"/>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Mortgage and asset backed securities — </w:t>
      </w:r>
      <w:r>
        <w:rPr>
          <w:rFonts w:ascii="Arial" w:cs="Arial" w:eastAsia="Arial" w:hAnsi="Arial"/>
          <w:sz w:val="17"/>
          <w:szCs w:val="17"/>
          <w:color w:val="auto"/>
        </w:rPr>
        <w:t>Fair value is based on prices obtained from third party pricing sources. The prices from third party pricing</w:t>
      </w:r>
      <w:r>
        <w:rPr>
          <w:rFonts w:ascii="Arial" w:cs="Arial" w:eastAsia="Arial" w:hAnsi="Arial"/>
          <w:sz w:val="17"/>
          <w:szCs w:val="17"/>
          <w:i w:val="1"/>
          <w:iCs w:val="1"/>
          <w:color w:val="auto"/>
        </w:rPr>
        <w:t xml:space="preserve"> </w:t>
      </w:r>
      <w:r>
        <w:rPr>
          <w:rFonts w:ascii="Arial" w:cs="Arial" w:eastAsia="Arial" w:hAnsi="Arial"/>
          <w:sz w:val="17"/>
          <w:szCs w:val="17"/>
          <w:color w:val="auto"/>
        </w:rPr>
        <w:t>sources may be based on bid quotes from dealers and recent trade data. Mortgage backed securities are traded in the over-the-counter market.</w:t>
      </w:r>
    </w:p>
    <w:p>
      <w:pPr>
        <w:spacing w:after="0" w:line="9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Real estate — </w:t>
      </w:r>
      <w:r>
        <w:rPr>
          <w:rFonts w:ascii="Arial" w:cs="Arial" w:eastAsia="Arial" w:hAnsi="Arial"/>
          <w:sz w:val="16"/>
          <w:szCs w:val="16"/>
          <w:color w:val="auto"/>
        </w:rPr>
        <w:t>Real estate investments consist of real estate investment trusts, property funds and limited partnerships. Real estate investment trusts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Level 1 and are valued based on quoted market prices. Property funds are classified as either Level 2 or Level 3 depending upon whether liquidity is limited or there are few observable market participant transactions. Fair value is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 of Level 3 investments for the years ended August 2, 2015, and August 3,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Real Estate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Hedge Funds</w:t>
            </w:r>
          </w:p>
        </w:tc>
        <w:tc>
          <w:tcPr>
            <w:tcW w:w="300" w:type="dxa"/>
            <w:vAlign w:val="bottom"/>
          </w:tcPr>
          <w:p>
            <w:pPr>
              <w:spacing w:after="0"/>
              <w:rPr>
                <w:sz w:val="16"/>
                <w:szCs w:val="16"/>
                <w:color w:val="auto"/>
              </w:rPr>
            </w:pPr>
          </w:p>
        </w:tc>
        <w:tc>
          <w:tcPr>
            <w:tcW w:w="940" w:type="dxa"/>
            <w:vAlign w:val="bottom"/>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50"/>
        </w:trPr>
        <w:tc>
          <w:tcPr>
            <w:tcW w:w="7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3, 2014</w:t>
            </w:r>
          </w:p>
        </w:tc>
        <w:tc>
          <w:tcPr>
            <w:tcW w:w="1060" w:type="dxa"/>
            <w:vAlign w:val="bottom"/>
            <w:tcBorders>
              <w:top w:val="single" w:sz="8" w:color="auto"/>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Actual return on plan assets</w:t>
            </w:r>
          </w:p>
        </w:tc>
        <w:tc>
          <w:tcPr>
            <w:tcW w:w="10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r>
      <w:tr>
        <w:trPr>
          <w:trHeight w:val="27"/>
        </w:trPr>
        <w:tc>
          <w:tcPr>
            <w:tcW w:w="7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Purchases</w:t>
            </w: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
        </w:trPr>
        <w:tc>
          <w:tcPr>
            <w:tcW w:w="7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Settlements</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Transfers out of Level 3</w:t>
            </w: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
        </w:trPr>
        <w:tc>
          <w:tcPr>
            <w:tcW w:w="71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at August 2, 2015</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Hedge Funds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28, 2013</w:t>
            </w:r>
          </w:p>
        </w:tc>
        <w:tc>
          <w:tcPr>
            <w:tcW w:w="430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Sales</w:t>
            </w:r>
          </w:p>
        </w:tc>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3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3, 2014</w:t>
            </w:r>
          </w:p>
        </w:tc>
        <w:tc>
          <w:tcPr>
            <w:tcW w:w="4300" w:type="dxa"/>
            <w:vAlign w:val="bottom"/>
            <w:tcBorders>
              <w:bottom w:val="single" w:sz="8" w:color="CCEEFF"/>
            </w:tcBorders>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57</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57" w:name="page58"/>
    <w:bookmarkEnd w:id="57"/>
    <w:p>
      <w:pPr>
        <w:jc w:val="both"/>
        <w:ind w:firstLine="324"/>
        <w:spacing w:after="0" w:line="277" w:lineRule="auto"/>
        <w:rPr>
          <w:sz w:val="20"/>
          <w:szCs w:val="20"/>
          <w:color w:val="auto"/>
        </w:rPr>
      </w:pPr>
      <w:r>
        <w:rPr>
          <w:rFonts w:ascii="Arial" w:cs="Arial" w:eastAsia="Arial" w:hAnsi="Arial"/>
          <w:sz w:val="18"/>
          <w:szCs w:val="18"/>
          <w:color w:val="auto"/>
        </w:rPr>
        <w:t>The following table presents additional information about the pension plan assets valued using NAV as a practical expedient within the fair value hierarchy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2015</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Unfunded</w:t>
            </w:r>
          </w:p>
        </w:tc>
        <w:tc>
          <w:tcPr>
            <w:tcW w:w="180" w:type="dxa"/>
            <w:vAlign w:val="bottom"/>
          </w:tcPr>
          <w:p>
            <w:pPr>
              <w:spacing w:after="0"/>
              <w:rPr>
                <w:sz w:val="13"/>
                <w:szCs w:val="13"/>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Unfunded</w:t>
            </w:r>
          </w:p>
        </w:tc>
        <w:tc>
          <w:tcPr>
            <w:tcW w:w="100" w:type="dxa"/>
            <w:vAlign w:val="bottom"/>
          </w:tcPr>
          <w:p>
            <w:pPr>
              <w:spacing w:after="0"/>
              <w:rPr>
                <w:sz w:val="13"/>
                <w:szCs w:val="13"/>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110"/>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Commitments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Commitments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90"/>
              </w:rPr>
              <w:t>Period Range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Daily</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Equities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Daily, Monthly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120 Days</w:t>
            </w:r>
          </w:p>
        </w:tc>
        <w:tc>
          <w:tcPr>
            <w:tcW w:w="0" w:type="dxa"/>
            <w:vAlign w:val="bottom"/>
          </w:tcPr>
          <w:p>
            <w:pPr>
              <w:spacing w:after="0"/>
              <w:rPr>
                <w:sz w:val="1"/>
                <w:szCs w:val="1"/>
                <w:color w:val="auto"/>
              </w:rPr>
            </w:pPr>
          </w:p>
        </w:tc>
      </w:tr>
      <w:tr>
        <w:trPr>
          <w:trHeight w:val="243"/>
        </w:trPr>
        <w:tc>
          <w:tcPr>
            <w:tcW w:w="254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Daily</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center"/>
              <w:ind w:right="43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Blended</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Primarily Daily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 Days</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Real estate funds</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Primarily Quarterly</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ind w:left="120"/>
              <w:spacing w:after="0"/>
              <w:rPr>
                <w:sz w:val="20"/>
                <w:szCs w:val="20"/>
                <w:color w:val="auto"/>
              </w:rPr>
            </w:pPr>
            <w:r>
              <w:rPr>
                <w:rFonts w:ascii="Arial" w:cs="Arial" w:eastAsia="Arial" w:hAnsi="Arial"/>
                <w:sz w:val="18"/>
                <w:szCs w:val="18"/>
                <w:color w:val="auto"/>
              </w:rPr>
              <w:t>to</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90 Days</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Hedge funds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Monthly, Quarterly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 Days</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805</w:t>
            </w: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contributions are expected to be made to U.S. pension plans in 2016. We expect contributions to non-U.S. pension plans to be approximately $5 in 2016.</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6"/>
                <w:szCs w:val="16"/>
                <w:color w:val="auto"/>
              </w:rPr>
            </w:pPr>
          </w:p>
        </w:tc>
        <w:tc>
          <w:tcPr>
            <w:tcW w:w="120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Postretirement</w:t>
            </w: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2021-2025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141</w:t>
            </w:r>
          </w:p>
        </w:tc>
      </w:tr>
      <w:tr>
        <w:trPr>
          <w:trHeight w:val="324"/>
        </w:trPr>
        <w:tc>
          <w:tcPr>
            <w:tcW w:w="8700" w:type="dxa"/>
            <w:vAlign w:val="bottom"/>
          </w:tcPr>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Savings Plan — </w:t>
      </w:r>
      <w:r>
        <w:rPr>
          <w:rFonts w:ascii="Arial" w:cs="Arial" w:eastAsia="Arial" w:hAnsi="Arial"/>
          <w:sz w:val="17"/>
          <w:szCs w:val="17"/>
          <w:color w:val="auto"/>
        </w:rPr>
        <w:t>We sponsor employee savings plans that cover substantially all U.S. employees. Effective January 1, 2011, we provide a matching</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of 100% of employee contributions up to 4% of compensation for employees who are not covered by collective bargaining agreements. Employees hired or rehired on or after January 1, 2011 who will not be eligible to participate in the defined benefit plans and who are not covered by collective bargaining agreements receive a contribution equal to 3% of compensation regardless of their participation in the Savings Plan. Prior to January 1, 2011, we provided a matching contribution of 60% (50% at certain locations) of the employee contributions up to 5% of compensation after one year of continued service. Amounts charged to Costs and expenses were $31 in 2015, $29 in 2014 and $27 in 2013.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14" w:right="239" w:bottom="1440" w:gutter="0" w:footer="0" w:header="0"/>
        </w:sectPr>
      </w:pPr>
    </w:p>
    <w:bookmarkStart w:id="58" w:name="page59"/>
    <w:bookmarkEnd w:id="58"/>
    <w:p>
      <w:pPr>
        <w:ind w:left="332" w:hanging="332"/>
        <w:spacing w:after="0"/>
        <w:tabs>
          <w:tab w:leader="none" w:pos="3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7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on earnings from continuing operations consists of the following:</w:t>
      </w:r>
    </w:p>
    <w:p>
      <w:pPr>
        <w:spacing w:after="0" w:line="230"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Currently payable: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r>
      <w:tr>
        <w:trPr>
          <w:trHeight w:val="237"/>
        </w:trPr>
        <w:tc>
          <w:tcPr>
            <w:tcW w:w="70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w:t>
            </w: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Non-U.S.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70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275</w:t>
            </w:r>
          </w:p>
        </w:tc>
      </w:tr>
      <w:tr>
        <w:trPr>
          <w:trHeight w:val="67"/>
        </w:trPr>
        <w:tc>
          <w:tcPr>
            <w:tcW w:w="70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305"/>
        </w:trPr>
        <w:tc>
          <w:tcPr>
            <w:tcW w:w="7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815</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Non-U.S.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140</w:t>
            </w:r>
          </w:p>
        </w:tc>
      </w:tr>
      <w:tr>
        <w:trPr>
          <w:trHeight w:val="27"/>
        </w:trPr>
        <w:tc>
          <w:tcPr>
            <w:tcW w:w="7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is a reconciliation of the effective income tax rate on continuing operations to the U.S. federal statutory income tax rate:</w:t>
      </w:r>
    </w:p>
    <w:p>
      <w:pPr>
        <w:spacing w:after="0" w:line="230"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7660" w:type="dxa"/>
            <w:vAlign w:val="bottom"/>
            <w:gridSpan w:val="2"/>
          </w:tcPr>
          <w:p>
            <w:pPr>
              <w:ind w:left="7360"/>
              <w:spacing w:after="0"/>
              <w:rPr>
                <w:sz w:val="20"/>
                <w:szCs w:val="20"/>
                <w:color w:val="auto"/>
              </w:rPr>
            </w:pPr>
            <w:r>
              <w:rPr>
                <w:rFonts w:ascii="Arial" w:cs="Arial" w:eastAsia="Arial" w:hAnsi="Arial"/>
                <w:sz w:val="14"/>
                <w:szCs w:val="14"/>
                <w:b w:val="1"/>
                <w:bCs w:val="1"/>
                <w:color w:val="auto"/>
                <w:w w:val="89"/>
              </w:rPr>
              <w:t>2015</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b w:val="1"/>
                <w:bCs w:val="1"/>
                <w:color w:val="auto"/>
              </w:rPr>
              <w:t>2013</w:t>
            </w:r>
          </w:p>
        </w:tc>
      </w:tr>
      <w:tr>
        <w:trPr>
          <w:trHeight w:val="250"/>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tax benefit)</w:t>
            </w:r>
          </w:p>
        </w:tc>
        <w:tc>
          <w:tcPr>
            <w:tcW w:w="580" w:type="dxa"/>
            <w:vAlign w:val="bottom"/>
          </w:tcPr>
          <w:p>
            <w:pPr>
              <w:jc w:val="right"/>
              <w:ind w:right="15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1.1</w:t>
            </w:r>
          </w:p>
        </w:tc>
      </w:tr>
      <w:tr>
        <w:trPr>
          <w:trHeight w:val="27"/>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effect of international items</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Settlement of tax contingencies</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(0.1)</w:t>
            </w:r>
          </w:p>
        </w:tc>
      </w:tr>
      <w:tr>
        <w:trPr>
          <w:trHeight w:val="27"/>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manufacturing deduction</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(1.9)</w:t>
            </w:r>
          </w:p>
        </w:tc>
      </w:tr>
      <w:tr>
        <w:trPr>
          <w:trHeight w:val="27"/>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30.2 %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660" w:type="dxa"/>
            <w:vAlign w:val="bottom"/>
            <w:gridSpan w:val="2"/>
          </w:tcPr>
          <w:p>
            <w:pPr>
              <w:ind w:left="300"/>
              <w:spacing w:after="0"/>
              <w:rPr>
                <w:sz w:val="20"/>
                <w:szCs w:val="20"/>
                <w:color w:val="auto"/>
              </w:rPr>
            </w:pPr>
            <w:r>
              <w:rPr>
                <w:rFonts w:ascii="Arial" w:cs="Arial" w:eastAsia="Arial" w:hAnsi="Arial"/>
                <w:sz w:val="18"/>
                <w:szCs w:val="18"/>
                <w:color w:val="auto"/>
              </w:rPr>
              <w:t>Deferred tax liabilities and assets are comprised of the following:</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9"/>
        </w:trPr>
        <w:tc>
          <w:tcPr>
            <w:tcW w:w="67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1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541</w:t>
            </w:r>
          </w:p>
        </w:tc>
      </w:tr>
      <w:tr>
        <w:trPr>
          <w:trHeight w:val="27"/>
        </w:trPr>
        <w:tc>
          <w:tcPr>
            <w:tcW w:w="7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r>
      <w:tr>
        <w:trPr>
          <w:trHeight w:val="237"/>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Deferred tax liabilities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858</w:t>
            </w:r>
          </w:p>
        </w:tc>
      </w:tr>
      <w:tr>
        <w:trPr>
          <w:trHeight w:val="27"/>
        </w:trPr>
        <w:tc>
          <w:tcPr>
            <w:tcW w:w="7660" w:type="dxa"/>
            <w:vAlign w:val="bottom"/>
            <w:tcBorders>
              <w:bottom w:val="single" w:sz="8" w:color="CCEEFF"/>
            </w:tcBorders>
            <w:gridSpan w:val="2"/>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Pension benefits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63</w:t>
            </w:r>
          </w:p>
        </w:tc>
      </w:tr>
      <w:tr>
        <w:trPr>
          <w:trHeight w:val="27"/>
        </w:trPr>
        <w:tc>
          <w:tcPr>
            <w:tcW w:w="7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r>
      <w:tr>
        <w:trPr>
          <w:trHeight w:val="243"/>
        </w:trPr>
        <w:tc>
          <w:tcPr>
            <w:tcW w:w="7660" w:type="dxa"/>
            <w:vAlign w:val="bottom"/>
            <w:gridSpan w:val="2"/>
          </w:tcPr>
          <w:p>
            <w:pPr>
              <w:ind w:left="20"/>
              <w:spacing w:after="0"/>
              <w:rPr>
                <w:sz w:val="20"/>
                <w:szCs w:val="20"/>
                <w:color w:val="auto"/>
              </w:rPr>
            </w:pPr>
            <w:r>
              <w:rPr>
                <w:rFonts w:ascii="Arial" w:cs="Arial" w:eastAsia="Arial" w:hAnsi="Arial"/>
                <w:sz w:val="18"/>
                <w:szCs w:val="18"/>
                <w:color w:val="auto"/>
              </w:rPr>
              <w:t>Capital loss carryforwards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112</w:t>
            </w:r>
          </w:p>
        </w:tc>
      </w:tr>
      <w:tr>
        <w:trPr>
          <w:trHeight w:val="27"/>
        </w:trPr>
        <w:tc>
          <w:tcPr>
            <w:tcW w:w="7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r>
      <w:tr>
        <w:trPr>
          <w:trHeight w:val="237"/>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Gross deferred tax assets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620</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588</w:t>
            </w:r>
          </w:p>
        </w:tc>
      </w:tr>
      <w:tr>
        <w:trPr>
          <w:trHeight w:val="27"/>
        </w:trPr>
        <w:tc>
          <w:tcPr>
            <w:tcW w:w="766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7"/>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Net deferred tax assets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498</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437</w:t>
            </w:r>
          </w:p>
        </w:tc>
      </w:tr>
      <w:tr>
        <w:trPr>
          <w:trHeight w:val="27"/>
        </w:trPr>
        <w:tc>
          <w:tcPr>
            <w:tcW w:w="766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11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92"/>
          </w:cols>
          <w:pgMar w:left="248" w:top="1310" w:right="259" w:bottom="1440" w:gutter="0" w:footer="0" w:header="0"/>
        </w:sectPr>
      </w:pPr>
    </w:p>
    <w:p>
      <w:pPr>
        <w:spacing w:after="0" w:line="2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392"/>
          </w:cols>
          <w:pgMar w:left="248" w:top="1310" w:right="259" w:bottom="1440" w:gutter="0" w:footer="0" w:header="0"/>
          <w:type w:val="continuous"/>
        </w:sectPr>
      </w:pPr>
    </w:p>
    <w:bookmarkStart w:id="59" w:name="page60"/>
    <w:bookmarkEnd w:id="59"/>
    <w:p>
      <w:pPr>
        <w:jc w:val="both"/>
        <w:ind w:firstLine="324"/>
        <w:spacing w:after="0" w:line="279" w:lineRule="auto"/>
        <w:rPr>
          <w:sz w:val="20"/>
          <w:szCs w:val="20"/>
          <w:color w:val="auto"/>
        </w:rPr>
      </w:pPr>
      <w:r>
        <w:rPr>
          <w:rFonts w:ascii="Arial" w:cs="Arial" w:eastAsia="Arial" w:hAnsi="Arial"/>
          <w:sz w:val="17"/>
          <w:szCs w:val="17"/>
          <w:color w:val="auto"/>
        </w:rPr>
        <w:t>At August 2, 2015, our U.S. and non-U.S. subsidiaries had tax loss carryforwards of approximately $173. Of these carryforwards, $127 expire between 2016 and 2035, and $46 may be carried forward indefinitely. The current statutory tax rates in these countries range from 16% to 35%. At August 2, 2015, deferred tax asset valuation allowances have been established to offset $142 of these tax loss carryforwards. Additionally, at August 2, 2015, our non-U.S. subsidiaries had capital loss carryforwards of approximately $298, which were fully offset by valuation allowances.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change in the deferred tax asset valuation allowance in 2015 was a decrease of $29. The decrease was primarily due to the impact of currency and the expiration of tax losses, partially offset by the recognition of additional valuation allowances on other foreign loss carryforwards. The net change in the deferred tax asset valuation allowance in 2014 was an increase of $3. The increase was primarily due to the impact of currency and the recognition of additional valuation allowances on foreign loss carryforwards.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August 2, 2015, other deferred tax assets included $2 of state tax credit carryforwards related to various states that expire between 2018 and 2024. As of August 3, 2014, other deferred tax assets included $9 of state tax credit carryforwards related to various states that expire between 2018 and 2024. No valuation allowances have been established related to these deferred tax assets.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August 2, 2015, U.S. income taxes have not been provided on approximately $770 of undistributed earnings of non-U.S. subsidiaries, which are deemed to be permanently reinvested. It is not practical to estimate the tax liability that might be incurred if such earnings were remitted to the U.S.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prior-year tax positions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7"/>
        </w:trPr>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current-year tax positions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2015 is primarily due to the settlement of an intercompany pricing agreement between the U.S. and Canada for the years from 2006 though 2014.</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unrecognized tax benefits that, if recognized, would impact the annual effective tax rate was $39 as of August 2, 2015, and $23 as of August 3, 2014, and July 28, 2013. The total amount of unrecognized tax benefits can change due to audit settlements, tax examination activities, statute expirations and the recognition and measurement criteria under accounting for uncertainty in income taxes. We are unable to estimate what this change may be within the next 12 months, but do not believe that it will be material to the financial statements. Approximately $5 and $2 of unrecognized tax benefits, including interest and penalties, were reported as accounts receivable in the Consolidated Balance Sheets as of August 2, 2015, and August 3, 2014, respectively.</w:t>
      </w:r>
    </w:p>
    <w:p>
      <w:pPr>
        <w:spacing w:after="0" w:line="13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Our accounting policy with respect to interest and penalties attributable to income taxes is to reflect any expense or benefit as a component of our income tax provision. The total amount of interest and penalties recognized in the Consolidated Statements of Earnings was not material in 2015, 2014 and 2013. The total amount of interest and penalties recognized in the Consolidated Balance Sheets was $3 as of August 2, 2015, and August 3, 2014.</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Australia, Canada and Denmark. The 2015 tax year is currently under audit by the Internal Revenue Service. In addition, several state income tax examinations are in progress for the years 2003 to 2014.</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With limited exceptions, we have been audited for income tax purposes in Australia and Denmark through 2010, and in Canada through 2009.</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14" w:right="239" w:bottom="1440" w:gutter="0" w:footer="0" w:header="0"/>
        </w:sectPr>
      </w:pPr>
    </w:p>
    <w:bookmarkStart w:id="60" w:name="page61"/>
    <w:bookmarkEnd w:id="60"/>
    <w:p>
      <w:pPr>
        <w:jc w:val="both"/>
        <w:ind w:left="340" w:right="7640" w:hanging="332"/>
        <w:spacing w:after="0" w:line="534" w:lineRule="auto"/>
        <w:tabs>
          <w:tab w:leader="none" w:pos="34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300</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Variable-rate bank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Fixed-rate bank borrowings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1,543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1,771</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2, 2015, the weighted-average interest rate of commercial paper, which consisted of U.S. borrowings, was 0.58%. As of August 3, 2014, the weighted-average interest rate of commercial paper, which consisted of U.S. borrowings, was 0.27%.</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August 2, 2015, we had $1,543 of short-term borrowings due within one year, of which $1,532 was comprised of commercial paper borrowings. As of August 2, 2015, we issued $50 of standby letters of credit. We have a committed revolving credit facility totaling $2,200 that matures in December 2018. This facility remained unused at August 2, 2015, except for $3 of standby letters of credit that we issued under it. This revolving credit facility supports our commercial paper programs and other general corporate purposes. We may also increase the commitment under the credit facility up to an additional $500, upon the agreement of either existing lenders or of additional banks not currently parties to the existing credit agreements.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of</w:t>
            </w: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4"/>
                <w:szCs w:val="14"/>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8"/>
        </w:trPr>
        <w:tc>
          <w:tcPr>
            <w:tcW w:w="5080" w:type="dxa"/>
            <w:vAlign w:val="bottom"/>
            <w:gridSpan w:val="3"/>
            <w:vMerge w:val="continue"/>
          </w:tcPr>
          <w:p>
            <w:pPr>
              <w:spacing w:after="0"/>
              <w:rPr>
                <w:sz w:val="13"/>
                <w:szCs w:val="13"/>
                <w:color w:val="auto"/>
              </w:rPr>
            </w:pPr>
          </w:p>
        </w:tc>
        <w:tc>
          <w:tcPr>
            <w:tcW w:w="13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rPr>
              <w:t>Maturity</w:t>
            </w:r>
          </w:p>
        </w:tc>
        <w:tc>
          <w:tcPr>
            <w:tcW w:w="20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3.05%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2.50%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2043</w:t>
            </w:r>
          </w:p>
        </w:tc>
        <w:tc>
          <w:tcPr>
            <w:tcW w:w="12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3.80%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3"/>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Other includes unamortized net premium/discount on debt issuances.</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March 2015, we issued $300 of 3.30% notes that mature on March 19, 2025. Interest on the notes is due semi-annually on March 19 and September 19, commencing on September 19, 2015. The notes may be redeemed in whole, or in part, at our option at any time at the applicable redemption price. In certain circumstances, we may be required to repurchase some or all of the notes upon a change in control of our company and a downgrade of the notes below investment grade.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Principal amounts of long-term debt mature as follows: $1 in 2016; $401 in 2017; $1 in 2018; $301 in 2019; $0 in 2020; and a total of $1,857 in periods beyond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w:t>
      </w:r>
    </w:p>
    <w:p>
      <w:pPr>
        <w:sectPr>
          <w:pgSz w:w="11900" w:h="16838" w:orient="portrait"/>
          <w:cols w:equalWidth="0" w:num="1">
            <w:col w:w="11420"/>
          </w:cols>
          <w:pgMar w:left="240" w:top="1310"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10" w:right="239" w:bottom="1440" w:gutter="0" w:footer="0" w:header="0"/>
          <w:type w:val="continuous"/>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enter into derivative contracts for speculative purposes and do not use leveraged instruments. Our derivative programs include instruments that qualify and others that do not qualify for hedge accounting treatment.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August 2, 2015. During 2015, our largest customer accounted for approximately 20% of consolidated net sales. We closely monitor credit risk associated with counterparties and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As of August 2, 2015, cross-currency swap contracts mature between 12 and 24 months. The notional amount of foreign exchange forward and cross-currency swap contracts accounted for as cash-flow hedges was $53 at August 2, 2015, and $58 at August 3, 2014.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and cross-currency swap contracts that are not designated as accounting hedges was $480 and $561 at August 2, 2015, and August 3, 2014,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August 2, 2015, which relates to an anticipated debt issuance in 2018. The notional amount of outstanding forward starting interest rate swaps totaled $250 at August 3, 2014. We settled forward starting interest rate swaps with a notional value of $250 during 2015 at a loss of $4. The effective portion of the loss was recorded in other comprehensive income (loss) and will be recognized as additional interest expense over the 10-year life of debt issued in March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diesel fuel, wheat, soybean oil, aluminum, natural gas, cocoa,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August 2, 2015, or August 3, 2014. The notional amount of commodity contracts not designated as accounting hedges was $95 at August 2, 2015, and $146 at August 3,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August 2, 2015, and August 3, 2014, were $49 and $56, respectively.</w:t>
      </w:r>
    </w:p>
    <w:p>
      <w:pPr>
        <w:sectPr>
          <w:pgSz w:w="11900" w:h="16838" w:orient="portrait"/>
          <w:cols w:equalWidth="0" w:num="1">
            <w:col w:w="11420"/>
          </w:cols>
          <w:pgMar w:left="240" w:top="1314"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14" w:right="239" w:bottom="1440" w:gutter="0" w:footer="0" w:header="0"/>
          <w:type w:val="continuous"/>
        </w:sectPr>
      </w:pPr>
    </w:p>
    <w:bookmarkStart w:id="62" w:name="page63"/>
    <w:bookmarkEnd w:id="62"/>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August 2, 2015, and August 3,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500" w:type="dxa"/>
            <w:vAlign w:val="bottom"/>
          </w:tcPr>
          <w:p>
            <w:pPr>
              <w:spacing w:after="0"/>
              <w:rPr>
                <w:sz w:val="24"/>
                <w:szCs w:val="24"/>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August 2, 2015, and August 3, 2014,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314" w:right="239" w:bottom="1440" w:gutter="0" w:footer="0" w:header="0"/>
          <w:type w:val="continuous"/>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margin accounts in connection with funding the settlement of open positions. At August 2, 2015, and August 3, 2014, a cash margin account balance of $12 and $14, respectively, was included in Other current assets in the Consolidated Balance Sheets.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years ended August 2, 2015, and August 3, 2014, in other comprehensive income (loss) (OCI) and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Designated as Cash-Flow Hedges</w:t>
      </w:r>
    </w:p>
    <w:p>
      <w:pPr>
        <w:spacing w:after="0" w:line="16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Total</w:t>
      </w:r>
    </w:p>
    <w:p>
      <w:pPr>
        <w:jc w:val="center"/>
        <w:ind w:left="8160"/>
        <w:spacing w:after="0" w:line="226" w:lineRule="auto"/>
        <w:rPr>
          <w:sz w:val="20"/>
          <w:szCs w:val="20"/>
          <w:color w:val="auto"/>
        </w:rPr>
      </w:pPr>
      <w:r>
        <w:rPr>
          <w:rFonts w:ascii="Arial" w:cs="Arial" w:eastAsia="Arial" w:hAnsi="Arial"/>
          <w:sz w:val="14"/>
          <w:szCs w:val="14"/>
          <w:b w:val="1"/>
          <w:bCs w:val="1"/>
          <w:color w:val="auto"/>
        </w:rPr>
        <w:t>Cash-Flow</w:t>
      </w:r>
    </w:p>
    <w:p>
      <w:pPr>
        <w:jc w:val="center"/>
        <w:ind w:left="8160"/>
        <w:spacing w:after="0" w:line="222" w:lineRule="auto"/>
        <w:rPr>
          <w:sz w:val="20"/>
          <w:szCs w:val="20"/>
          <w:color w:val="auto"/>
        </w:rPr>
      </w:pPr>
      <w:r>
        <w:rPr>
          <w:rFonts w:ascii="Arial" w:cs="Arial" w:eastAsia="Arial" w:hAnsi="Arial"/>
          <w:sz w:val="14"/>
          <w:szCs w:val="14"/>
          <w:b w:val="1"/>
          <w:bCs w:val="1"/>
          <w:color w:val="auto"/>
        </w:rPr>
        <w:t>Hedge</w:t>
      </w:r>
    </w:p>
    <w:p>
      <w:pPr>
        <w:jc w:val="center"/>
        <w:ind w:left="816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13335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980" w:type="dxa"/>
            <w:vAlign w:val="bottom"/>
            <w:tcBorders>
              <w:bottom w:val="single" w:sz="8" w:color="CCEEFF"/>
            </w:tcBorders>
            <w:gridSpan w:val="3"/>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jc w:val="center"/>
              <w:ind w:right="2490"/>
              <w:spacing w:after="0"/>
              <w:rPr>
                <w:sz w:val="20"/>
                <w:szCs w:val="20"/>
                <w:color w:val="auto"/>
              </w:rPr>
            </w:pPr>
            <w:r>
              <w:rPr>
                <w:rFonts w:ascii="Arial" w:cs="Arial" w:eastAsia="Arial" w:hAnsi="Arial"/>
                <w:sz w:val="18"/>
                <w:szCs w:val="18"/>
                <w:color w:val="auto"/>
                <w:w w:val="89"/>
              </w:rPr>
              <w:t>Foreign exchange forward contracts</w:t>
            </w: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tcPr>
          <w:p>
            <w:pPr>
              <w:jc w:val="center"/>
              <w:ind w:right="2510"/>
              <w:spacing w:after="0"/>
              <w:rPr>
                <w:sz w:val="20"/>
                <w:szCs w:val="20"/>
                <w:color w:val="auto"/>
              </w:rPr>
            </w:pPr>
            <w:r>
              <w:rPr>
                <w:rFonts w:ascii="Arial" w:cs="Arial" w:eastAsia="Arial" w:hAnsi="Arial"/>
                <w:sz w:val="18"/>
                <w:szCs w:val="18"/>
                <w:color w:val="auto"/>
                <w:w w:val="89"/>
              </w:rPr>
              <w:t>Forward starting interest rate swaps</w:t>
            </w: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jc w:val="center"/>
              <w:ind w:right="2490"/>
              <w:spacing w:after="0"/>
              <w:rPr>
                <w:sz w:val="20"/>
                <w:szCs w:val="20"/>
                <w:color w:val="auto"/>
              </w:rPr>
            </w:pPr>
            <w:r>
              <w:rPr>
                <w:rFonts w:ascii="Arial" w:cs="Arial" w:eastAsia="Arial" w:hAnsi="Arial"/>
                <w:sz w:val="18"/>
                <w:szCs w:val="18"/>
                <w:color w:val="auto"/>
                <w:w w:val="89"/>
              </w:rPr>
              <w:t>Foreign exchange forward contracts</w:t>
            </w:r>
          </w:p>
        </w:tc>
        <w:tc>
          <w:tcPr>
            <w:tcW w:w="298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jc w:val="center"/>
              <w:ind w:right="2490"/>
              <w:spacing w:after="0"/>
              <w:rPr>
                <w:sz w:val="20"/>
                <w:szCs w:val="20"/>
                <w:color w:val="auto"/>
              </w:rPr>
            </w:pPr>
            <w:r>
              <w:rPr>
                <w:rFonts w:ascii="Arial" w:cs="Arial" w:eastAsia="Arial" w:hAnsi="Arial"/>
                <w:sz w:val="18"/>
                <w:szCs w:val="18"/>
                <w:color w:val="auto"/>
                <w:w w:val="89"/>
              </w:rPr>
              <w:t>Foreign exchange forward contracts</w:t>
            </w: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20" w:type="dxa"/>
            <w:vAlign w:val="bottom"/>
          </w:tcPr>
          <w:p>
            <w:pPr>
              <w:jc w:val="center"/>
              <w:ind w:right="2510"/>
              <w:spacing w:after="0"/>
              <w:rPr>
                <w:sz w:val="20"/>
                <w:szCs w:val="20"/>
                <w:color w:val="auto"/>
              </w:rPr>
            </w:pPr>
            <w:r>
              <w:rPr>
                <w:rFonts w:ascii="Arial" w:cs="Arial" w:eastAsia="Arial" w:hAnsi="Arial"/>
                <w:sz w:val="18"/>
                <w:szCs w:val="18"/>
                <w:color w:val="auto"/>
                <w:w w:val="89"/>
              </w:rPr>
              <w:t>Forward starting interest rate swaps</w:t>
            </w:r>
          </w:p>
        </w:tc>
        <w:tc>
          <w:tcPr>
            <w:tcW w:w="29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5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520" w:type="dxa"/>
            <w:vAlign w:val="bottom"/>
            <w:tcBorders>
              <w:bottom w:val="single" w:sz="8" w:color="CCEEFF"/>
            </w:tcBorders>
            <w:shd w:val="clear" w:color="auto" w:fill="CCEEFF"/>
          </w:tcPr>
          <w:p>
            <w:pPr>
              <w:jc w:val="center"/>
              <w:ind w:right="2450"/>
              <w:spacing w:after="0"/>
              <w:rPr>
                <w:sz w:val="20"/>
                <w:szCs w:val="20"/>
                <w:color w:val="auto"/>
              </w:rPr>
            </w:pPr>
            <w:r>
              <w:rPr>
                <w:rFonts w:ascii="Arial" w:cs="Arial" w:eastAsia="Arial" w:hAnsi="Arial"/>
                <w:sz w:val="18"/>
                <w:szCs w:val="18"/>
                <w:color w:val="auto"/>
                <w:w w:val="91"/>
              </w:rPr>
              <w:t>OCI derivative gain (loss) at end of year</w:t>
            </w:r>
          </w:p>
        </w:tc>
        <w:tc>
          <w:tcPr>
            <w:tcW w:w="2980" w:type="dxa"/>
            <w:vAlign w:val="bottom"/>
            <w:tcBorders>
              <w:bottom w:val="single" w:sz="8" w:color="CCEEFF"/>
            </w:tcBorders>
            <w:gridSpan w:val="3"/>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$8.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effect of our derivative instruments designated as fair-value hedges in the Consolidated Statements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368"/>
              <w:spacing w:after="0"/>
              <w:rPr>
                <w:sz w:val="20"/>
                <w:szCs w:val="20"/>
                <w:color w:val="auto"/>
              </w:rPr>
            </w:pPr>
            <w:r>
              <w:rPr>
                <w:rFonts w:ascii="Arial" w:cs="Arial" w:eastAsia="Arial" w:hAnsi="Arial"/>
                <w:sz w:val="14"/>
                <w:szCs w:val="14"/>
                <w:b w:val="1"/>
                <w:bCs w:val="1"/>
                <w:color w:val="auto"/>
                <w:w w:val="94"/>
              </w:rPr>
              <w:t>Amount of</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center"/>
              <w:ind w:left="445"/>
              <w:spacing w:after="0"/>
              <w:rPr>
                <w:sz w:val="20"/>
                <w:szCs w:val="20"/>
                <w:color w:val="auto"/>
              </w:rPr>
            </w:pPr>
            <w:r>
              <w:rPr>
                <w:rFonts w:ascii="Arial" w:cs="Arial" w:eastAsia="Arial" w:hAnsi="Arial"/>
                <w:sz w:val="14"/>
                <w:szCs w:val="14"/>
                <w:b w:val="1"/>
                <w:bCs w:val="1"/>
                <w:color w:val="auto"/>
                <w:w w:val="94"/>
              </w:rPr>
              <w:t>Amount of</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gridSpan w:val="3"/>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Gain (Loss)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425"/>
              <w:spacing w:after="0" w:line="149" w:lineRule="exact"/>
              <w:rPr>
                <w:sz w:val="20"/>
                <w:szCs w:val="20"/>
                <w:color w:val="auto"/>
              </w:rPr>
            </w:pPr>
            <w:r>
              <w:rPr>
                <w:rFonts w:ascii="Arial" w:cs="Arial" w:eastAsia="Arial" w:hAnsi="Arial"/>
                <w:sz w:val="14"/>
                <w:szCs w:val="14"/>
                <w:b w:val="1"/>
                <w:bCs w:val="1"/>
                <w:color w:val="auto"/>
                <w:w w:val="93"/>
              </w:rPr>
              <w:t>Gain (Loss)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4"/>
          </w:tcPr>
          <w:p>
            <w:pPr>
              <w:jc w:val="center"/>
              <w:ind w:left="302"/>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w w:val="91"/>
              </w:rPr>
              <w:t>on Derivatives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45"/>
              <w:spacing w:after="0"/>
              <w:rPr>
                <w:sz w:val="20"/>
                <w:szCs w:val="20"/>
                <w:color w:val="auto"/>
              </w:rPr>
            </w:pPr>
            <w:r>
              <w:rPr>
                <w:rFonts w:ascii="Arial" w:cs="Arial" w:eastAsia="Arial" w:hAnsi="Arial"/>
                <w:sz w:val="14"/>
                <w:szCs w:val="14"/>
                <w:b w:val="1"/>
                <w:bCs w:val="1"/>
                <w:color w:val="auto"/>
                <w:w w:val="93"/>
              </w:rPr>
              <w:t>on Hedged Item</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Derivatives Designated</w:t>
            </w:r>
          </w:p>
        </w:tc>
        <w:tc>
          <w:tcPr>
            <w:tcW w:w="2180" w:type="dxa"/>
            <w:vAlign w:val="bottom"/>
            <w:gridSpan w:val="2"/>
          </w:tcPr>
          <w:p>
            <w:pPr>
              <w:ind w:left="30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0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Fair-Value Hedges</w:t>
            </w:r>
          </w:p>
        </w:tc>
        <w:tc>
          <w:tcPr>
            <w:tcW w:w="12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40" w:type="dxa"/>
            <w:vAlign w:val="bottom"/>
            <w:gridSpan w:val="3"/>
            <w:shd w:val="clear" w:color="auto" w:fill="CCEEFF"/>
          </w:tcPr>
          <w:p>
            <w:pPr>
              <w:ind w:left="6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ectPr>
          <w:pgSz w:w="11900" w:h="16838" w:orient="portrait"/>
          <w:cols w:equalWidth="0" w:num="1">
            <w:col w:w="11420"/>
          </w:cols>
          <w:pgMar w:left="240" w:top="13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as Hedges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forward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forward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Cross-currency swap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derivative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derivative contracts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Earnings on Derivatives</w:t>
            </w:r>
          </w:p>
        </w:tc>
        <w:tc>
          <w:tcPr>
            <w:tcW w:w="0" w:type="dxa"/>
            <w:vAlign w:val="bottom"/>
          </w:tcPr>
          <w:p>
            <w:pPr>
              <w:spacing w:after="0"/>
              <w:rPr>
                <w:sz w:val="1"/>
                <w:szCs w:val="1"/>
                <w:color w:val="auto"/>
              </w:rPr>
            </w:pPr>
          </w:p>
        </w:tc>
      </w:tr>
      <w:tr>
        <w:trPr>
          <w:trHeight w:val="139"/>
        </w:trPr>
        <w:tc>
          <w:tcPr>
            <w:tcW w:w="3880" w:type="dxa"/>
            <w:vAlign w:val="bottom"/>
            <w:gridSpan w:val="2"/>
          </w:tcPr>
          <w:p>
            <w:pPr>
              <w:ind w:left="116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140" w:type="dxa"/>
            <w:vAlign w:val="bottom"/>
          </w:tcPr>
          <w:p>
            <w:pPr>
              <w:spacing w:after="0"/>
              <w:rPr>
                <w:sz w:val="12"/>
                <w:szCs w:val="12"/>
                <w:color w:val="auto"/>
              </w:rPr>
            </w:pPr>
          </w:p>
        </w:tc>
        <w:tc>
          <w:tcPr>
            <w:tcW w:w="112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14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3"/>
                <w:szCs w:val="23"/>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-719455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-376555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-1071245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1314" w:right="239" w:bottom="1440" w:gutter="0" w:footer="0" w:header="0"/>
          <w:type w:val="continuous"/>
        </w:sectPr>
      </w:pPr>
    </w:p>
    <w:p>
      <w:pPr>
        <w:spacing w:after="0" w:line="7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ectPr>
          <w:pgSz w:w="11900" w:h="16838" w:orient="portrait"/>
          <w:cols w:equalWidth="0" w:num="1">
            <w:col w:w="11420"/>
          </w:cols>
          <w:pgMar w:left="240" w:top="1314"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314" w:right="239" w:bottom="1440" w:gutter="0" w:footer="0" w:header="0"/>
          <w:type w:val="continuous"/>
        </w:sectPr>
      </w:pPr>
    </w:p>
    <w:bookmarkStart w:id="64" w:name="page65"/>
    <w:bookmarkEnd w:id="64"/>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classifies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August 2, 2015, and August 3, 2014,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3, 2014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August 2,</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3,</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Cross-currency</w:t>
            </w:r>
          </w:p>
        </w:tc>
        <w:tc>
          <w:tcPr>
            <w:tcW w:w="1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54</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3, 2014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August 2,</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3,</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Cross-currency</w:t>
            </w:r>
          </w:p>
        </w:tc>
        <w:tc>
          <w:tcPr>
            <w:tcW w:w="18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(4)</w:t>
            </w:r>
          </w:p>
        </w:tc>
        <w:tc>
          <w:tcPr>
            <w:tcW w:w="1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(5)</w:t>
            </w:r>
          </w:p>
        </w:tc>
        <w:tc>
          <w:tcPr>
            <w:tcW w:w="18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140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130</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7"/>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134</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ectPr>
          <w:pgSz w:w="11900" w:h="16838" w:orient="portrait"/>
          <w:cols w:equalWidth="0" w:num="1">
            <w:col w:w="11420"/>
          </w:cols>
          <w:pgMar w:left="240" w:top="1314" w:right="239" w:bottom="919"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14" w:right="239" w:bottom="919" w:gutter="0" w:footer="0" w:header="0"/>
          <w:type w:val="continuous"/>
        </w:sectPr>
      </w:pPr>
    </w:p>
    <w:bookmarkStart w:id="65" w:name="page66"/>
    <w:bookmarkEnd w:id="65"/>
    <w:p>
      <w:pPr>
        <w:ind w:left="340" w:hanging="332"/>
        <w:spacing w:after="0"/>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Based on observable local benchmarks for currency and interest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2015, as part of our annual review of intangible assets, we recognized an impairment charge of $6 on minor trademarks used in the Global Baking and Snacking segment. See also Note 6. The carrying value was $9 as of August 2, 2015. Fair value was determined based on unobservable Level 3 inputs. Fair value was determined based on discounted cash flow analysis that include significant management assumptions such as revenue growth rates, weighted average cost of capital, and assumed royalty rates.</w:t>
      </w:r>
    </w:p>
    <w:p>
      <w:pPr>
        <w:spacing w:after="0" w:line="13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the second quarter of 2014, we recognized an impairment charge of $11 on plant assets associated with the initiative to restructure manufacturing and streamline operations for our soup and broth business in China. See also Note 8. The carrying value was reduced to estimated fair value based on expected proceeds. The carrying value was not material.</w:t>
      </w:r>
    </w:p>
    <w:p>
      <w:pPr>
        <w:spacing w:after="0" w:line="12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On October 28, 2013, we completed the sale of our European simple meals business. The assets and liabilities of the European business have been reflected in assets and liabilities held for sale in the Consolidated Balance Sheet as of July 28, 2013. We reflected the results of the business as discontinued operations in the Consolidated Statements of Earnings. The business was historically included in the International Simple Meals and Beverages segment.</w:t>
      </w:r>
    </w:p>
    <w:p>
      <w:pPr>
        <w:spacing w:after="0" w:line="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fourth quarter of 2013, as part of our annual review of intangible assets, an impairment charge of $360 was recorded on goodwill for the simple meals business in Europe to reduce the carrying value to the implied fair value of $110. The impairment was attributable to a combination of factors, including the existence of a firm offer to purchase the business; a revised future outlook for the business, with reduced expectations for future sales and discounted cash flows, given the economic uncertainty in the region; future investments required to maintain performance; and management's assumptions on the weighted average cost of capital. Fair value was determined based on discounted cash flow analyses, which are unobservable Level 3 inputs, and taking into account the firm offer. The discounted estimates of future cash flows include significant management assumptions such as revenue growth rates, operating margins, weighted average cost of capital, and future economic and market conditions.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2013, as part of our annual review of intangible assets, an impairment charge of $36 was recognized on trademarks used in the European simple meals business. See also Note 6. Fair value was determined based on unobservable Level 3 inputs. Fair value was determined based on discounted cash flow analysis that include significant management assumptions such as revenue growth rates, weighted average costs of capital, and assumed royalty rates.</w:t>
      </w:r>
    </w:p>
    <w:p>
      <w:pPr>
        <w:spacing w:after="0" w:line="133" w:lineRule="exact"/>
        <w:rPr>
          <w:sz w:val="20"/>
          <w:szCs w:val="20"/>
          <w:color w:val="auto"/>
        </w:rPr>
      </w:pPr>
    </w:p>
    <w:p>
      <w:pPr>
        <w:ind w:right="2080" w:firstLine="324"/>
        <w:spacing w:after="0" w:line="277" w:lineRule="auto"/>
        <w:rPr>
          <w:sz w:val="20"/>
          <w:szCs w:val="20"/>
          <w:color w:val="auto"/>
        </w:rPr>
      </w:pPr>
      <w:r>
        <w:rPr>
          <w:rFonts w:ascii="Arial" w:cs="Arial" w:eastAsia="Arial" w:hAnsi="Arial"/>
          <w:sz w:val="18"/>
          <w:szCs w:val="18"/>
          <w:color w:val="auto"/>
        </w:rPr>
        <w:t>The following table presents our fair value measurements of intangible assets that were recognized in the year ended July 28,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2013</w:t>
            </w:r>
          </w:p>
        </w:tc>
        <w:tc>
          <w:tcPr>
            <w:tcW w:w="1100" w:type="dxa"/>
            <w:vAlign w:val="bottom"/>
            <w:tcBorders>
              <w:bottom w:val="single" w:sz="8" w:color="auto"/>
            </w:tcBorders>
          </w:tcPr>
          <w:p>
            <w:pPr>
              <w:spacing w:after="0"/>
              <w:rPr>
                <w:sz w:val="16"/>
                <w:szCs w:val="16"/>
                <w:color w:val="auto"/>
              </w:rPr>
            </w:pP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Intangible assets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Impairment</w:t>
            </w: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r>
      <w:tr>
        <w:trPr>
          <w:trHeight w:val="344"/>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Blå Band</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351"/>
        </w:trPr>
        <w:tc>
          <w:tcPr>
            <w:tcW w:w="8360" w:type="dxa"/>
            <w:vAlign w:val="bottom"/>
          </w:tcPr>
          <w:p>
            <w:pPr>
              <w:ind w:left="360"/>
              <w:spacing w:after="0"/>
              <w:rPr>
                <w:sz w:val="20"/>
                <w:szCs w:val="20"/>
                <w:color w:val="auto"/>
              </w:rPr>
            </w:pPr>
            <w:r>
              <w:rPr>
                <w:rFonts w:ascii="Arial" w:cs="Arial" w:eastAsia="Arial" w:hAnsi="Arial"/>
                <w:sz w:val="18"/>
                <w:szCs w:val="18"/>
                <w:i w:val="1"/>
                <w:iCs w:val="1"/>
                <w:color w:val="auto"/>
              </w:rPr>
              <w:t>Heisse Tasse</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
        </w:trPr>
        <w:tc>
          <w:tcPr>
            <w:tcW w:w="8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58"/>
        </w:trPr>
        <w:tc>
          <w:tcPr>
            <w:tcW w:w="8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Isomitta</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351"/>
        </w:trPr>
        <w:tc>
          <w:tcPr>
            <w:tcW w:w="8360" w:type="dxa"/>
            <w:vAlign w:val="bottom"/>
          </w:tcPr>
          <w:p>
            <w:pPr>
              <w:ind w:left="360"/>
              <w:spacing w:after="0"/>
              <w:rPr>
                <w:sz w:val="20"/>
                <w:szCs w:val="20"/>
                <w:color w:val="auto"/>
              </w:rPr>
            </w:pPr>
            <w:r>
              <w:rPr>
                <w:rFonts w:ascii="Arial" w:cs="Arial" w:eastAsia="Arial" w:hAnsi="Arial"/>
                <w:sz w:val="18"/>
                <w:szCs w:val="18"/>
                <w:i w:val="1"/>
                <w:iCs w:val="1"/>
                <w:color w:val="auto"/>
              </w:rPr>
              <w:t>Royco</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23</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53</w:t>
            </w:r>
          </w:p>
        </w:tc>
      </w:tr>
    </w:tbl>
    <w:p>
      <w:pPr>
        <w:spacing w:after="0" w:line="94" w:lineRule="exact"/>
        <w:rPr>
          <w:sz w:val="20"/>
          <w:szCs w:val="20"/>
          <w:color w:val="auto"/>
        </w:rPr>
      </w:pPr>
    </w:p>
    <w:p>
      <w:pPr>
        <w:ind w:firstLine="324"/>
        <w:spacing w:after="0" w:line="334" w:lineRule="auto"/>
        <w:rPr>
          <w:sz w:val="20"/>
          <w:szCs w:val="20"/>
          <w:color w:val="auto"/>
        </w:rPr>
      </w:pPr>
      <w:r>
        <w:rPr>
          <w:rFonts w:ascii="Arial" w:cs="Arial" w:eastAsia="Arial" w:hAnsi="Arial"/>
          <w:sz w:val="16"/>
          <w:szCs w:val="16"/>
          <w:color w:val="auto"/>
        </w:rPr>
        <w:t>In 2013, we also recognized $99 of accelerated depreciation/asset impairment on plant assets associated with the 2013 restructuring initiatives described in Note 8. The carrying value of assets was reduced to estimated fair value based on expected proceeds. The carrying value was $29 at July 28, 2013.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Cash equivalents of $39 at August 2, 2015, and $46 at August 3, 2014,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$2,623 at August 2, 2015, and $2,647 at August 3, 2014. The carrying value was $2,552 at August 2, 2015, and $2,544 at August 3, 2014.</w:t>
      </w:r>
    </w:p>
    <w:p>
      <w:pPr>
        <w:sectPr>
          <w:pgSz w:w="11900" w:h="16838" w:orient="portrait"/>
          <w:cols w:equalWidth="0" w:num="1">
            <w:col w:w="11420"/>
          </w:cols>
          <w:pgMar w:left="240" w:top="1176"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176"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color w:val="auto"/>
        </w:rPr>
        <w:t>The fair value of long-term debt is principally estimated using Level 2 inputs based on quoted market prices or pricing models using current market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December 2012, 219 million shares held as treasury stock were retired and returned to unissued status.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June 2011, the Board authorized the purchase of up to $1,000 of our stock. This program has no expiration date. In addition to this publicly announced program, we also purchase shares to offset the impact of dilution from shares issued under our stock compensation plans.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repurchased 5 million shares at a cost of $244. Of this amount, $200 was used to repurchase shares pursuant to our June 2011 publicly announced share repurchase program. Approximately $550 remained available under this program as of August 2, 2015. In 2014, we repurchased 2 million shares at a cost of $76 and in 2013, we repurchased 4 million shares at a cost of $153 to offset the impact of dilution from shares issued under our stock compensation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w:t>
      </w:r>
    </w:p>
    <w:p>
      <w:pPr>
        <w:spacing w:after="0" w:line="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and special performance restricted stock/units.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225%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are earned based upon the achievement of two key metrics, net sales and EPS growth, compared to strategic plan objectives during a two- or three-year period. A recipient of strategic performance restricted stock units may earn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12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Annual stock option grants were not part of the long-term incentive compensation program for 2015, 2014, or 2013. However, stock options may still be granted on a selective basis under the Long-Term Incentive Plans.The term of a stock option granted under these plans may not exceed ten years from the date of grant. Options granted under these plans vest cumulatively over a three-year period at a rate of 30%, 60% and 100%, respectively. The option price may not be less than the fair market value of a share of common stock on the date of the grant.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we issued time-lapse restricted stock units, EPS performance restricted stock units, TSR performance restricted stock units and special performance restricted stock units. We did not issue strategic performance restricted stock units in 2015.</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pre-tax stock-based compensation expense recognized in Earnings from continuing operations was $57 for 2015, $56 for 2014 and $109 for 2013. The pre-tax stock-based compensation expense recognized in Earnings (loss) from discontinued operations was $1 for 2014 and $4 for 2013. Tax-related benefits of $21 were recognized for 2015 and 2014, and $42 were recognized for 2013.</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14"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8"/>
          <w:szCs w:val="18"/>
          <w:color w:val="auto"/>
        </w:rPr>
        <w:t>The following table summarizes stock option activity as of August 2,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0"/>
              </w:rPr>
              <w:t>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14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1"/>
              </w:rPr>
              <w:t>(Options in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thousands)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3, 2014</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27.98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Terminated</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26.36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August 2, 2015</w:t>
            </w: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August 2, 2015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29.91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total intrinsic value of options exercised during 2015, 2014 and 2013, was $5, $12 and $36, respectively. As of January 2009, compensation related to stock options was fully expensed. We measured the fair value of stock options using the Black-Scholes option pricing model.</w:t>
      </w:r>
    </w:p>
    <w:p>
      <w:pPr>
        <w:spacing w:after="0" w:line="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August 2,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3, 2014</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246 thousand EPS performance target grants outstanding at August 2, 2015, with a weighted-average grant-date fair value of $40.69. We expense strategic performance restricted stock units on a straight-line basis over the service period. There were 360 thousand strategic performance target grants outstanding at August 2, 2015, with a grant-date fair value of $41.21. The actual number of EPS performance restricted stock units and strategic performance restricted stock units that vest will depend on actual performance achieved. We estimate expense based on the number of awards expected to vest.</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 actual number of special performance awards issued at the vesting date could range from 0% to 150%. There were 184 thousand special performance restricted stock units outstanding at August 2, 2015, with a grant-date fair value of $42.22.</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August 2, 2015, total remaining unearned compensation related to nonvested time-lapse restricted stock units, EPS performance restricted stock units, strategic performance restricted stock units and special performance restricted stock units was $32, which will be amortized over the weighted-average remaining service period of 1.6 years. The fair value of restricted stock units vested during 2015, 2014 and 2013 was $56, $106 and $57, respectively. The weighted-average grant-date fair value of the restricted stock units granted during 2014 and 2013 was $39.97 and $35.44,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14"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August 2,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3,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2.91%</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3.26%</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15.07%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3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compensation expense on a straight-line basis over the service period. As of August 2, 2015, total remaining unearned compensation related to TSR performance restricted stock units was $26, which will be amortized over the weighted-average remaining service period of 1.9 years. In the first quarter of 2014, recipients of TSR performance restricted stock units earned 0% of the initial grants based upon our TSR ranking in a performance peer group during a three-year period ended July 26, 2013. There were no TSR performance restricted stock units granted during 2012. The grant-date fair value of the TSR performance restricted stock units granted during 2014 and 2013 was $36.26 and $39.76, respectively. In the first quarter of 2016, recipients of TSR performance restricted stock units will receive a 100% payout based upon our TSR ranking in a performance peer group during a three-year period ended July 31, 2015.</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financing activities were $6 in 2015, $13 in 2014 and $12 in 2013. Cash received from the exercise of stock options was $9, $18 and $83 for 2015, 2014 and 2013, respectively, and are reflected in cash flows from financing activities in the Consolidated Statements of Cash Flows.</w:t>
      </w:r>
    </w:p>
    <w:p>
      <w:pPr>
        <w:spacing w:after="0" w:line="4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are a party to legal proceedings and claims arising out of the normal course of business.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assess the probability of loss for all legal proceedings and claims and have recognized liabilities for such contingencies. Although the results of these matters cannot be predicted with certainty, in our opinion, the final outcome of legal proceedings and claims will not have a material adverse effect on our consolidated results of operations or financial condition.</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certain operating lease commitments, primarily related to warehouse and office facilities, and certain equipment. Rent expense under operating lease commitments was $48 in 2015, $50 in 2014 and $54 in 2013. These amounts included $2 in 2014 and $8 in 2013 related to discontinued operations. Future minimum annual rental payments under these operating leases as of August 3, 2014, are as follows:</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2016</w:t>
            </w:r>
          </w:p>
        </w:tc>
        <w:tc>
          <w:tcPr>
            <w:tcW w:w="6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2018</w:t>
            </w:r>
          </w:p>
        </w:tc>
        <w:tc>
          <w:tcPr>
            <w:tcW w:w="2280" w:type="dxa"/>
            <w:vAlign w:val="bottom"/>
            <w:gridSpan w:val="3"/>
          </w:tcPr>
          <w:p>
            <w:pPr>
              <w:jc w:val="right"/>
              <w:ind w:right="13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2020</w:t>
            </w:r>
          </w:p>
        </w:tc>
        <w:tc>
          <w:tcPr>
            <w:tcW w:w="148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6"/>
              </w:rPr>
              <w:t>Thereafter</w:t>
            </w:r>
          </w:p>
        </w:tc>
      </w:tr>
      <w:tr>
        <w:trPr>
          <w:trHeight w:val="264"/>
        </w:trPr>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w:t>
            </w:r>
          </w:p>
        </w:tc>
        <w:tc>
          <w:tcPr>
            <w:tcW w:w="132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w:t>
            </w: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$17</w:t>
            </w:r>
          </w:p>
        </w:tc>
        <w:tc>
          <w:tcPr>
            <w:tcW w:w="132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w:t>
            </w:r>
          </w:p>
        </w:tc>
        <w:tc>
          <w:tcPr>
            <w:tcW w:w="820" w:type="dxa"/>
            <w:vAlign w:val="bottom"/>
          </w:tcPr>
          <w:p>
            <w:pPr>
              <w:spacing w:after="0"/>
              <w:rPr>
                <w:sz w:val="22"/>
                <w:szCs w:val="22"/>
                <w:color w:val="auto"/>
              </w:rPr>
            </w:pPr>
          </w:p>
        </w:tc>
        <w:tc>
          <w:tcPr>
            <w:tcW w:w="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w:t>
            </w:r>
          </w:p>
        </w:tc>
      </w:tr>
    </w:tbl>
    <w:p>
      <w:pPr>
        <w:spacing w:after="0" w:line="9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guarantee approximately 2,000 bank loans made to Pepperidge Farm independent sales distributors by third</w:t>
      </w:r>
      <w:r>
        <w:rPr>
          <w:rFonts w:ascii="MS PGothic" w:cs="MS PGothic" w:eastAsia="MS PGothic" w:hAnsi="MS PGothic"/>
          <w:sz w:val="17"/>
          <w:szCs w:val="17"/>
          <w:color w:val="auto"/>
        </w:rPr>
        <w:t>‑</w:t>
      </w:r>
      <w:r>
        <w:rPr>
          <w:rFonts w:ascii="Arial" w:cs="Arial" w:eastAsia="Arial" w:hAnsi="Arial"/>
          <w:sz w:val="17"/>
          <w:szCs w:val="17"/>
          <w:color w:val="auto"/>
        </w:rPr>
        <w:t>party financial institutions for the purchase of distribution routes. The maximum potential amount of future payments under existing guarantees we could be required to make is $192. Our guarantees are indirectly secured by the distribution routes. We do not believe it is probable that we will be required to make guarantee payments as a result of defaults on the bank loans guaranteed. The amounts recognized as of August 2, 2015, and August 3, 2014, were not material.</w:t>
      </w:r>
    </w:p>
    <w:p>
      <w:pPr>
        <w:spacing w:after="0" w:line="15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August 2, 2015, and August 3, 2014.</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1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Customer accounts receivable</w:t>
            </w:r>
          </w:p>
        </w:tc>
        <w:tc>
          <w:tcPr>
            <w:tcW w:w="980" w:type="dxa"/>
            <w:vAlign w:val="bottom"/>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597</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Allowances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Subtotal</w:t>
            </w:r>
          </w:p>
        </w:tc>
        <w:tc>
          <w:tcPr>
            <w:tcW w:w="98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37"/>
        </w:trPr>
        <w:tc>
          <w:tcPr>
            <w:tcW w:w="8120" w:type="dxa"/>
            <w:vAlign w:val="bottom"/>
          </w:tcPr>
          <w:p>
            <w:pPr>
              <w:spacing w:after="0"/>
              <w:rPr>
                <w:sz w:val="20"/>
                <w:szCs w:val="20"/>
                <w:color w:val="auto"/>
              </w:rPr>
            </w:pPr>
          </w:p>
        </w:tc>
        <w:tc>
          <w:tcPr>
            <w:tcW w:w="98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w:t>
            </w:r>
          </w:p>
        </w:tc>
      </w:tr>
      <w:tr>
        <w:trPr>
          <w:trHeight w:val="67"/>
        </w:trPr>
        <w:tc>
          <w:tcPr>
            <w:tcW w:w="8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64"/>
        </w:trPr>
        <w:tc>
          <w:tcPr>
            <w:tcW w:w="8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98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617</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980" w:type="dxa"/>
            <w:vAlign w:val="bottom"/>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Land</w:t>
            </w:r>
          </w:p>
        </w:tc>
        <w:tc>
          <w:tcPr>
            <w:tcW w:w="980" w:type="dxa"/>
            <w:vAlign w:val="bottom"/>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Buildings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Machinery and equipment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3,856</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Projects in progress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8120" w:type="dxa"/>
            <w:vAlign w:val="bottom"/>
          </w:tcPr>
          <w:p>
            <w:pPr>
              <w:ind w:left="160"/>
              <w:spacing w:after="0"/>
              <w:rPr>
                <w:sz w:val="20"/>
                <w:szCs w:val="20"/>
                <w:color w:val="auto"/>
              </w:rPr>
            </w:pPr>
            <w:r>
              <w:rPr>
                <w:rFonts w:ascii="Arial" w:cs="Arial" w:eastAsia="Arial" w:hAnsi="Arial"/>
                <w:sz w:val="18"/>
                <w:szCs w:val="18"/>
                <w:color w:val="auto"/>
              </w:rPr>
              <w:t>Total cost</w:t>
            </w:r>
          </w:p>
        </w:tc>
        <w:tc>
          <w:tcPr>
            <w:tcW w:w="98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5,519</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5"/>
                <w:szCs w:val="25"/>
                <w:color w:val="auto"/>
                <w:vertAlign w:val="superscript"/>
              </w:rPr>
              <w:t>(1)</w:t>
            </w:r>
          </w:p>
        </w:tc>
        <w:tc>
          <w:tcPr>
            <w:tcW w:w="9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(3,166)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r>
      <w:tr>
        <w:trPr>
          <w:trHeight w:val="237"/>
        </w:trPr>
        <w:tc>
          <w:tcPr>
            <w:tcW w:w="8120" w:type="dxa"/>
            <w:vAlign w:val="bottom"/>
          </w:tcPr>
          <w:p>
            <w:pPr>
              <w:spacing w:after="0"/>
              <w:rPr>
                <w:sz w:val="20"/>
                <w:szCs w:val="20"/>
                <w:color w:val="auto"/>
              </w:rPr>
            </w:pPr>
          </w:p>
        </w:tc>
        <w:tc>
          <w:tcPr>
            <w:tcW w:w="980" w:type="dxa"/>
            <w:vAlign w:val="bottom"/>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2,347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2,318</w:t>
            </w:r>
          </w:p>
        </w:tc>
      </w:tr>
      <w:tr>
        <w:trPr>
          <w:trHeight w:val="67"/>
        </w:trPr>
        <w:tc>
          <w:tcPr>
            <w:tcW w:w="8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64"/>
        </w:trPr>
        <w:tc>
          <w:tcPr>
            <w:tcW w:w="8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980" w:type="dxa"/>
            <w:vAlign w:val="bottom"/>
            <w:tcBorders>
              <w:bottom w:val="single" w:sz="8" w:color="CCEEFF"/>
            </w:tcBorders>
            <w:shd w:val="clear" w:color="auto" w:fill="CCEEFF"/>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taxes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37"/>
        </w:trPr>
        <w:tc>
          <w:tcPr>
            <w:tcW w:w="8120" w:type="dxa"/>
            <w:vAlign w:val="bottom"/>
          </w:tcPr>
          <w:p>
            <w:pPr>
              <w:spacing w:after="0"/>
              <w:rPr>
                <w:sz w:val="20"/>
                <w:szCs w:val="20"/>
                <w:color w:val="auto"/>
              </w:rPr>
            </w:pPr>
          </w:p>
        </w:tc>
        <w:tc>
          <w:tcPr>
            <w:tcW w:w="980" w:type="dxa"/>
            <w:vAlign w:val="bottom"/>
            <w:tcBorders>
              <w:top w:val="single" w:sz="8" w:color="auto"/>
            </w:tcBorders>
          </w:tcPr>
          <w:p>
            <w:pPr>
              <w:jc w:val="right"/>
              <w:ind w:right="791"/>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10" w:right="239" w:bottom="1440" w:gutter="0" w:footer="0" w:header="0"/>
        </w:sectPr>
      </w:pPr>
    </w:p>
    <w:bookmarkStart w:id="70" w:name="page71"/>
    <w:bookmarkEnd w:id="70"/>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237</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8120" w:type="dxa"/>
            <w:vAlign w:val="bottom"/>
          </w:tcPr>
          <w:p>
            <w:pPr>
              <w:ind w:left="160"/>
              <w:spacing w:after="0"/>
              <w:rPr>
                <w:sz w:val="20"/>
                <w:szCs w:val="20"/>
                <w:color w:val="auto"/>
              </w:rPr>
            </w:pPr>
            <w:r>
              <w:rPr>
                <w:rFonts w:ascii="Arial" w:cs="Arial" w:eastAsia="Arial" w:hAnsi="Arial"/>
                <w:sz w:val="18"/>
                <w:szCs w:val="18"/>
                <w:color w:val="auto"/>
              </w:rPr>
              <w:t>Accrued trade and consumer promotion programs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w:t>
            </w:r>
          </w:p>
        </w:tc>
      </w:tr>
      <w:tr>
        <w:trPr>
          <w:trHeight w:val="67"/>
        </w:trPr>
        <w:tc>
          <w:tcPr>
            <w:tcW w:w="8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Pension benefits</w:t>
            </w:r>
          </w:p>
        </w:tc>
        <w:tc>
          <w:tcPr>
            <w:tcW w:w="1080" w:type="dxa"/>
            <w:vAlign w:val="bottom"/>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Deferred compensation</w:t>
            </w:r>
            <w:r>
              <w:rPr>
                <w:rFonts w:ascii="Arial" w:cs="Arial" w:eastAsia="Arial" w:hAnsi="Arial"/>
                <w:sz w:val="25"/>
                <w:szCs w:val="25"/>
                <w:color w:val="auto"/>
                <w:vertAlign w:val="superscript"/>
              </w:rPr>
              <w:t>(2)</w:t>
            </w:r>
          </w:p>
        </w:tc>
        <w:tc>
          <w:tcPr>
            <w:tcW w:w="10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Postretirement benefits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359</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Unrecognized tax benefits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49" w:lineRule="exact"/>
        <w:rPr>
          <w:sz w:val="20"/>
          <w:szCs w:val="20"/>
          <w:color w:val="auto"/>
        </w:rPr>
      </w:pPr>
    </w:p>
    <w:p>
      <w:pPr>
        <w:jc w:val="both"/>
        <w:ind w:left="340" w:hanging="332"/>
        <w:spacing w:after="0" w:line="22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Depreciation expense was $286 in 2015, $287 in 2014 and $393 in 2013. These amounts included $1 in 2013 related to discontinued operations. Buildings are depreciated over periods ranging from 7 to 45 years. Machinery and equipment are depreciated over periods generally ranging from 2 to 20 years.</w:t>
      </w:r>
    </w:p>
    <w:p>
      <w:pPr>
        <w:spacing w:after="0" w:line="41" w:lineRule="exact"/>
        <w:rPr>
          <w:rFonts w:ascii="Arial" w:cs="Arial" w:eastAsia="Arial" w:hAnsi="Arial"/>
          <w:sz w:val="25"/>
          <w:szCs w:val="25"/>
          <w:color w:val="auto"/>
          <w:vertAlign w:val="superscript"/>
        </w:rPr>
      </w:pPr>
    </w:p>
    <w:p>
      <w:pPr>
        <w:jc w:val="both"/>
        <w:ind w:left="340" w:hanging="332"/>
        <w:spacing w:after="0" w:line="261" w:lineRule="auto"/>
        <w:tabs>
          <w:tab w:leader="none" w:pos="34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The deferred compensation obligation represents unfunded plans maintained for the purpose of providing our directors and certain of our executives the opportunity to defer a portion of their compensation. All forms of compensation contributed to the deferred compensation plans are accounted for in accordance with the underlying program. Deferrals and our contributions are credited to an investment account in the participant's name, although no funds are actually contributed to the investment account and no investments are actually purchased. Seven investment choices are available, including:</w:t>
      </w:r>
    </w:p>
    <w:p>
      <w:pPr>
        <w:spacing w:after="0" w:line="3" w:lineRule="exact"/>
        <w:rPr>
          <w:rFonts w:ascii="Arial" w:cs="Arial" w:eastAsia="Arial" w:hAnsi="Arial"/>
          <w:sz w:val="22"/>
          <w:szCs w:val="22"/>
          <w:color w:val="auto"/>
          <w:vertAlign w:val="superscript"/>
        </w:rPr>
      </w:pPr>
    </w:p>
    <w:p>
      <w:pPr>
        <w:jc w:val="both"/>
        <w:ind w:left="34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(1) a book account that tracks the total return on our stock; (2) a book account that tracks the performance of the Vanguard Institutional Index; (3) a book account that tracks the performance of the Vanguard Extended Market Index; (4) a book account that tracks the performance of the Vanguard Total International Stock Index; (5) a book account that tracks the performance of the Vanguard Total Bond Market Index; (6) a book account that tracks the performance of the Vanguard Short-Term Bond Index; and (7) a book account that tracks the BlackRock Liquidity TempFund. Participants can reallocate investments daily and are entitled to the gains and losses on investment funds. We recognize an amount in the Consolidated Statements of Earnings for the market appreciation/depreciation of each fund.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40" w:right="239" w:bottom="1440" w:gutter="0" w:footer="0" w:header="0"/>
        </w:sectPr>
      </w:pPr>
    </w:p>
    <w:bookmarkStart w:id="71" w:name="page72"/>
    <w:bookmarkEnd w:id="71"/>
    <w:p>
      <w:pPr>
        <w:ind w:left="180"/>
        <w:spacing w:after="0"/>
        <w:rPr>
          <w:sz w:val="20"/>
          <w:szCs w:val="20"/>
          <w:color w:val="auto"/>
        </w:rPr>
      </w:pPr>
      <w:r>
        <w:rPr>
          <w:rFonts w:ascii="Arial" w:cs="Arial" w:eastAsia="Arial" w:hAnsi="Arial"/>
          <w:sz w:val="20"/>
          <w:szCs w:val="20"/>
          <w:b w:val="1"/>
          <w:bCs w:val="1"/>
          <w:i w:val="1"/>
          <w:iCs w:val="1"/>
          <w:color w:val="auto"/>
        </w:rPr>
        <w:t>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Expenses/(Income)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Foreign exchange (gains)/losses</w:t>
            </w:r>
            <w:r>
              <w:rPr>
                <w:rFonts w:ascii="Arial" w:cs="Arial" w:eastAsia="Arial" w:hAnsi="Arial"/>
                <w:sz w:val="25"/>
                <w:szCs w:val="25"/>
                <w:color w:val="auto"/>
                <w:vertAlign w:val="superscript"/>
              </w:rPr>
              <w:t>(1)</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50"/>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(2)</w:t>
            </w: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Acquisition related costs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5"/>
                <w:szCs w:val="25"/>
                <w:color w:val="auto"/>
                <w:vertAlign w:val="superscript"/>
              </w:rPr>
              <w:t>(3)</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385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411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324"/>
        </w:trPr>
        <w:tc>
          <w:tcPr>
            <w:tcW w:w="7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111</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Interest capitalized</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108</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122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46"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2014 included a loss of $9 on foreign exchange forward contracts used to hedge the proceeds from the sale of the European simple meals business.</w:t>
      </w:r>
    </w:p>
    <w:p>
      <w:pPr>
        <w:spacing w:after="0" w:line="55"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In 2015, we recognized a $6 impairment charge related to minor trademarks. See also Note 6.</w:t>
      </w:r>
    </w:p>
    <w:p>
      <w:pPr>
        <w:spacing w:after="0" w:line="56"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Included in Marketing and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290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189"/>
        </w:trPr>
        <w:tc>
          <w:tcPr>
            <w:tcW w:w="74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auto"/>
            </w:tcBorders>
            <w:shd w:val="clear" w:color="auto" w:fill="CCEEFF"/>
          </w:tcPr>
          <w:p>
            <w:pPr>
              <w:spacing w:after="0"/>
              <w:rPr>
                <w:sz w:val="5"/>
                <w:szCs w:val="5"/>
                <w:color w:val="auto"/>
              </w:rPr>
            </w:pPr>
          </w:p>
        </w:tc>
        <w:tc>
          <w:tcPr>
            <w:tcW w:w="45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non-cash charges to net earnings</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Non-cash compensation/benefit related expense</w:t>
            </w: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Benefit related payments</w:t>
            </w:r>
          </w:p>
        </w:tc>
        <w:tc>
          <w:tcPr>
            <w:tcW w:w="820" w:type="dxa"/>
            <w:vAlign w:val="bottom"/>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67"/>
        </w:trPr>
        <w:tc>
          <w:tcPr>
            <w:tcW w:w="40" w:type="dxa"/>
            <w:vAlign w:val="bottom"/>
            <w:tcBorders>
              <w:bottom w:val="single" w:sz="8" w:color="CCEEFF"/>
            </w:tcBorders>
          </w:tcPr>
          <w:p>
            <w:pPr>
              <w:spacing w:after="0"/>
              <w:rPr>
                <w:sz w:val="5"/>
                <w:szCs w:val="5"/>
                <w:color w:val="auto"/>
              </w:rPr>
            </w:pPr>
          </w:p>
        </w:tc>
        <w:tc>
          <w:tcPr>
            <w:tcW w:w="2900" w:type="dxa"/>
            <w:vAlign w:val="bottom"/>
            <w:tcBorders>
              <w:bottom w:val="single" w:sz="8" w:color="CCEEFF"/>
            </w:tcBorders>
          </w:tcPr>
          <w:p>
            <w:pPr>
              <w:spacing w:after="0"/>
              <w:rPr>
                <w:sz w:val="5"/>
                <w:szCs w:val="5"/>
                <w:color w:val="auto"/>
              </w:rPr>
            </w:pPr>
          </w:p>
        </w:tc>
        <w:tc>
          <w:tcPr>
            <w:tcW w:w="45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290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Other Cash Flow Information</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paid</w:t>
            </w: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43"/>
        </w:trPr>
        <w:tc>
          <w:tcPr>
            <w:tcW w:w="40" w:type="dxa"/>
            <w:vAlign w:val="bottom"/>
          </w:tcPr>
          <w:p>
            <w:pPr>
              <w:spacing w:after="0"/>
              <w:rPr>
                <w:sz w:val="21"/>
                <w:szCs w:val="21"/>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Interest received</w:t>
            </w:r>
          </w:p>
        </w:tc>
        <w:tc>
          <w:tcPr>
            <w:tcW w:w="820" w:type="dxa"/>
            <w:vAlign w:val="bottom"/>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Income taxes paid</w:t>
            </w: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r>
      <w:tr>
        <w:trPr>
          <w:trHeight w:val="297"/>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20. Voluntary Product Recall</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November 8, 2013, we voluntarily recalled a range of Plum products packaged in resealable pouches after discovering a manufacturing defect that may cause spoilage in some pouches. In the first quarter of 2014, we recognized costs of $16 ($11 after tax, or $.03 per share) associated with the recall, including estimates for customer returns and consumer rebates, costs associated with returned product and the disposal and write-off of inventory.</w:t>
      </w:r>
    </w:p>
    <w:p>
      <w:pPr>
        <w:sectPr>
          <w:pgSz w:w="11900" w:h="16838" w:orient="portrait"/>
          <w:cols w:equalWidth="0" w:num="1">
            <w:col w:w="11420"/>
          </w:cols>
          <w:pgMar w:left="240" w:top="1230"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30" w:right="2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21.</w:t>
            </w:r>
          </w:p>
        </w:tc>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Quarterly Data (unaudited)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3"/>
        </w:trPr>
        <w:tc>
          <w:tcPr>
            <w:tcW w:w="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6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2,234</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1,693</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612</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w:t>
            </w: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.22</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45.12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47.45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48.31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49.54</w:t>
            </w: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44.92</w:t>
            </w:r>
          </w:p>
        </w:tc>
      </w:tr>
      <w:tr>
        <w:trPr>
          <w:trHeight w:val="453"/>
        </w:trPr>
        <w:tc>
          <w:tcPr>
            <w:tcW w:w="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8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In 2015, the following charges were recorded in Net earnings attributable to Campbell Soup</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Restructuring charges and implementation costs (see Note 8)</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67</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Restructuring charges and implementation costs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.21</w:t>
            </w:r>
          </w:p>
        </w:tc>
      </w:tr>
      <w:tr>
        <w:trPr>
          <w:trHeight w:val="359"/>
        </w:trPr>
        <w:tc>
          <w:tcPr>
            <w:tcW w:w="2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80" w:type="dxa"/>
            <w:vAlign w:val="bottom"/>
            <w:tcBorders>
              <w:bottom w:val="single" w:sz="8" w:color="CCEEFF"/>
            </w:tcBorders>
          </w:tcPr>
          <w:p>
            <w:pPr>
              <w:spacing w:after="0"/>
              <w:rPr>
                <w:sz w:val="22"/>
                <w:szCs w:val="22"/>
                <w:color w:val="auto"/>
              </w:rPr>
            </w:pPr>
          </w:p>
        </w:tc>
        <w:tc>
          <w:tcPr>
            <w:tcW w:w="67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1,852</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631</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80" w:type="dxa"/>
            <w:vAlign w:val="bottom"/>
            <w:shd w:val="clear" w:color="auto" w:fill="CCEEFF"/>
          </w:tcPr>
          <w:p>
            <w:pPr>
              <w:spacing w:after="0"/>
              <w:rPr>
                <w:sz w:val="23"/>
                <w:szCs w:val="23"/>
                <w:color w:val="auto"/>
              </w:rPr>
            </w:pPr>
          </w:p>
        </w:tc>
        <w:tc>
          <w:tcPr>
            <w:tcW w:w="67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(loss) from discontinued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3"/>
                <w:szCs w:val="23"/>
                <w:color w:val="auto"/>
              </w:rPr>
            </w:pPr>
          </w:p>
        </w:tc>
        <w:tc>
          <w:tcPr>
            <w:tcW w:w="6700" w:type="dxa"/>
            <w:vAlign w:val="bottom"/>
          </w:tcPr>
          <w:p>
            <w:pPr>
              <w:ind w:left="160"/>
              <w:spacing w:after="0" w:line="270" w:lineRule="exact"/>
              <w:rPr>
                <w:sz w:val="20"/>
                <w:szCs w:val="20"/>
                <w:color w:val="auto"/>
              </w:rPr>
            </w:pPr>
            <w:r>
              <w:rPr>
                <w:rFonts w:ascii="Arial" w:cs="Arial" w:eastAsia="Arial" w:hAnsi="Arial"/>
                <w:sz w:val="18"/>
                <w:szCs w:val="18"/>
                <w:color w:val="auto"/>
              </w:rPr>
              <w:t>Net earnings attributable to Campbell Soup Company</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43.70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46.67</w:t>
            </w:r>
          </w:p>
        </w:tc>
      </w:tr>
      <w:tr>
        <w:trPr>
          <w:trHeight w:val="27"/>
        </w:trPr>
        <w:tc>
          <w:tcPr>
            <w:tcW w:w="280" w:type="dxa"/>
            <w:vAlign w:val="bottom"/>
          </w:tcPr>
          <w:p>
            <w:pPr>
              <w:spacing w:after="0"/>
              <w:rPr>
                <w:sz w:val="2"/>
                <w:szCs w:val="2"/>
                <w:color w:val="auto"/>
              </w:rPr>
            </w:pPr>
          </w:p>
        </w:tc>
        <w:tc>
          <w:tcPr>
            <w:tcW w:w="6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41.39</w:t>
            </w:r>
          </w:p>
        </w:tc>
      </w:tr>
      <w:tr>
        <w:trPr>
          <w:trHeight w:val="210"/>
        </w:trPr>
        <w:tc>
          <w:tcPr>
            <w:tcW w:w="6980" w:type="dxa"/>
            <w:vAlign w:val="bottom"/>
            <w:gridSpan w:val="2"/>
          </w:tcPr>
          <w:p>
            <w:pPr>
              <w:spacing w:after="0"/>
              <w:rPr>
                <w:sz w:val="20"/>
                <w:szCs w:val="20"/>
                <w:color w:val="auto"/>
              </w:rPr>
            </w:pPr>
            <w:r>
              <w:rPr>
                <w:rFonts w:ascii="Arial" w:cs="Arial" w:eastAsia="Arial" w:hAnsi="Arial"/>
                <w:sz w:val="16"/>
                <w:szCs w:val="16"/>
                <w:color w:val="auto"/>
              </w:rPr>
              <w:t>____________________________________</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6"/>
        </w:trPr>
        <w:tc>
          <w:tcPr>
            <w:tcW w:w="280" w:type="dxa"/>
            <w:vAlign w:val="bottom"/>
          </w:tcPr>
          <w:p>
            <w:pPr>
              <w:spacing w:after="0"/>
              <w:rPr>
                <w:sz w:val="20"/>
                <w:szCs w:val="20"/>
                <w:color w:val="auto"/>
              </w:rPr>
            </w:pPr>
            <w:r>
              <w:rPr>
                <w:rFonts w:ascii="Arial" w:cs="Arial" w:eastAsia="Arial" w:hAnsi="Arial"/>
                <w:sz w:val="13"/>
                <w:szCs w:val="13"/>
                <w:color w:val="auto"/>
              </w:rPr>
              <w:t>(1)</w:t>
            </w:r>
          </w:p>
        </w:tc>
        <w:tc>
          <w:tcPr>
            <w:tcW w:w="6700" w:type="dxa"/>
            <w:vAlign w:val="bottom"/>
          </w:tcPr>
          <w:p>
            <w:pPr>
              <w:ind w:left="60"/>
              <w:spacing w:after="0"/>
              <w:rPr>
                <w:sz w:val="20"/>
                <w:szCs w:val="20"/>
                <w:color w:val="auto"/>
              </w:rPr>
            </w:pPr>
            <w:r>
              <w:rPr>
                <w:rFonts w:ascii="Arial" w:cs="Arial" w:eastAsia="Arial" w:hAnsi="Arial"/>
                <w:sz w:val="18"/>
                <w:szCs w:val="18"/>
                <w:color w:val="auto"/>
              </w:rPr>
              <w:t>The sum of the individual per share amounts may not add due to rounding.</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40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404" w:right="239" w:bottom="1440" w:gutter="0" w:footer="0" w:header="0"/>
          <w:type w:val="continuous"/>
        </w:sectPr>
      </w:pPr>
    </w:p>
    <w:bookmarkStart w:id="73" w:name="page74"/>
    <w:bookmarkEnd w:id="73"/>
    <w:p>
      <w:pPr>
        <w:spacing w:after="0" w:line="68"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2014, the following charges were recorded in Earnings from continuing operations: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Restructuring charges and related costs (see Note 8)</w:t>
            </w: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Pension settlement charges (see Note 11)</w:t>
            </w:r>
          </w:p>
        </w:tc>
        <w:tc>
          <w:tcPr>
            <w:tcW w:w="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w w:val="94"/>
              </w:rPr>
              <w:t>Loss on foreign exchange forward contracts related to the sale of the European simple</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meals business (see Note 19)</w:t>
            </w:r>
          </w:p>
        </w:tc>
        <w:tc>
          <w:tcPr>
            <w:tcW w:w="68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Tax expense associated with the sale of the European simple meals business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Restructuring charges and related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Pension settlement charges</w:t>
            </w:r>
          </w:p>
        </w:tc>
        <w:tc>
          <w:tcPr>
            <w:tcW w:w="6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.01</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Loss on foreign exchange forward contracts related to the sale of the European simple</w:t>
            </w: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meals business</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Tax expense associated with the sale of the European simple meals business</w:t>
            </w:r>
          </w:p>
        </w:tc>
        <w:tc>
          <w:tcPr>
            <w:tcW w:w="6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 2014, the following charges (gains) were recorded in Earnings (loss) from discontinuing</w:t>
            </w: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w w:val="95"/>
              </w:rPr>
              <w:t>Taxes, costs associated with the sale, and gain on sale of the European simple meals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business (see Note 4)</w:t>
            </w: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 share - assuming dilution</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6980" w:type="dxa"/>
            <w:vAlign w:val="bottom"/>
          </w:tcPr>
          <w:p>
            <w:pPr>
              <w:ind w:left="440"/>
              <w:spacing w:after="0"/>
              <w:rPr>
                <w:sz w:val="20"/>
                <w:szCs w:val="20"/>
                <w:color w:val="auto"/>
              </w:rPr>
            </w:pPr>
            <w:r>
              <w:rPr>
                <w:rFonts w:ascii="Arial" w:cs="Arial" w:eastAsia="Arial" w:hAnsi="Arial"/>
                <w:sz w:val="18"/>
                <w:szCs w:val="18"/>
                <w:color w:val="auto"/>
                <w:w w:val="95"/>
              </w:rPr>
              <w:t>Taxes, costs associated with the sale, and gain on sale of the European simple meals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980" w:type="dxa"/>
            <w:vAlign w:val="bottom"/>
          </w:tcPr>
          <w:p>
            <w:pPr>
              <w:ind w:left="440"/>
              <w:spacing w:after="0"/>
              <w:rPr>
                <w:sz w:val="20"/>
                <w:szCs w:val="20"/>
                <w:color w:val="auto"/>
              </w:rPr>
            </w:pPr>
            <w:r>
              <w:rPr>
                <w:rFonts w:ascii="Arial" w:cs="Arial" w:eastAsia="Arial" w:hAnsi="Arial"/>
                <w:sz w:val="18"/>
                <w:szCs w:val="18"/>
                <w:color w:val="auto"/>
              </w:rPr>
              <w:t>business (see Note 4)</w:t>
            </w:r>
          </w:p>
        </w:tc>
        <w:tc>
          <w:tcPr>
            <w:tcW w:w="68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702"/>
        </w:trPr>
        <w:tc>
          <w:tcPr>
            <w:tcW w:w="6980" w:type="dxa"/>
            <w:vAlign w:val="bottom"/>
          </w:tcPr>
          <w:p>
            <w:pPr>
              <w:ind w:left="5620"/>
              <w:spacing w:after="0"/>
              <w:rPr>
                <w:sz w:val="20"/>
                <w:szCs w:val="20"/>
                <w:color w:val="auto"/>
              </w:rPr>
            </w:pPr>
            <w:r>
              <w:rPr>
                <w:rFonts w:ascii="Arial" w:cs="Arial" w:eastAsia="Arial" w:hAnsi="Arial"/>
                <w:sz w:val="18"/>
                <w:szCs w:val="18"/>
                <w:color w:val="auto"/>
              </w:rPr>
              <w:t>74</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Reports of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financial statements have been prepared by the company’s management in conformity with generally accepted accounting principles to reflect the financial position of the company and its operating results. The financial information appearing throughout this Report is consistent with the financial statements. Management is responsible for the information and representations in such financial statements, including the estimates and judgments required for their preparation. The financial statements have been audited by PricewaterhouseCoopers LLP, an independent registered public accounting firm, as stated in their report, which appears herein.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Audit Committee of the Board of Directors, which is composed entirely of Directors who are not officers or employees of the company, meets regularly with the company’s worldwide internal auditing department, other management personnel, and the independent registered public accounting firm. The independent registered public accounting firm and the internal auditing department have had, and continue to have, direct access to the Audit Committee without the presence of other management personnel, and have been directed to discuss the results of their audit work and any matters they believe should be brought to the Committee’s attention. The internal auditing department and the independent registered public accounting firm report directly to the 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117"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August 2, 2015.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August 2,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9" w:right="239" w:bottom="1440" w:gutter="0" w:footer="0" w:header="0"/>
        </w:sectPr>
      </w:pPr>
    </w:p>
    <w:bookmarkStart w:id="75" w:name="page76"/>
    <w:bookmarkEnd w:id="75"/>
    <w:p>
      <w:pPr>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August 2, 2015 has been audited by PricewaterhouseCoopers LLP, an independent registered public accounting firm, as stated in their report, which appears herein.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M. Morrison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 Controller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29, 2015</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33" w:right="259" w:bottom="1440" w:gutter="0" w:footer="0" w:header="0"/>
        </w:sectPr>
      </w:pPr>
    </w:p>
    <w:bookmarkStart w:id="76" w:name="page77"/>
    <w:bookmarkEnd w:id="76"/>
    <w:p>
      <w:pPr>
        <w:ind w:left="34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Directors of Campbell Soup Company</w:t>
      </w:r>
    </w:p>
    <w:p>
      <w:pPr>
        <w:spacing w:after="0" w:line="22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15(1) present fairly, in all material respects, the financial position of Campbell Soup Company and its subsidiaries at August 2, 2015 and August 3, 2014, and the results of their operations and their cash flows for each of the three fiscal years in the period ended August 2, 2015 in conformity with accounting principles generally accepted in the United States of America. In addition, in our opinion, the financial statement schedule listed in the accompanying index appearing under Item 15(2) presents fairly, in all material respects, the information set forth therein when read in conjunction with the related consolidated financial statements. Also in our opinion, the Company maintained, in all material respects, effective internal control over financial reporting as of August 2, 2015,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(COSO).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29, 2015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 Chief Financial Officer, have evaluated the effectiveness of our disclosure controls and procedures (as such term is defined in Rules 13a-15(e) and 15d-15(e) under the Securities Exchange Act of 1934, as amended) as of August 2, 2015 (Evaluation Date). Based on such evaluation, the President and Chief Executive Officer and the Senior Vice President — Chief Financial Officer have concluded that, as of the Evaluation Date, our disclosure controls and procedures are effective.</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pages 75-76. The attestation report of PricewaterhouseCoopers LLP, our independent registered public accounting firm, regarding our internal control over financial reporting is provided under "Financial Statements and Supplementary Data" on page 77.</w:t>
      </w:r>
    </w:p>
    <w:p>
      <w:pPr>
        <w:spacing w:after="0" w:line="4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During the fourth quarter of 2015, we completed the implementation of a new global purchasing management system for most of our non-ingredient and non-packaging products and services. During the fourth quarter of 2015, we also completed the implementation of a new North American payroll system as part of a new overall global workforce management system. In conjunction with the implementation of the new purchasing and payroll systems, we modified processes impacted by the new systems, such as transaction processing, user access security, authorization procedures and system reporting.</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 over financial reporting that materially affected, or were likely to materially affect, such control over financial reporting during the quarter ended August 2, 2015.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sections entitled “Election of Directors,” “Voting Securities and Principal Shareholders — Ownership of Directors and Executive Officers” and “Voting Securities and Principal Shareholders — Compliance with Section 16(a) of the Exchange Act” in our Proxy Statement for the Annual Meeting of Shareholders to be held on November 18, 2015 (the 2015 Proxy) are incorporated herein by reference. The information presented in the section entitled “Corporate Governance — Board Committee Structure” in the 2015 Proxy relating to the members of our Audit Committee and the Audit Committee’s financial expert is incorporated herein by reference.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of the information required by this Item relating to our executive officers is set forth under the heading “Executive Officers of the Company.”</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We intend to satisfy the disclosure requirement regarding any amendment to, or a waiver of, a provision of the Code of Ethics for the Chief Executive Officer and Senior Financial Officers by posting such information on our website.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13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e-mailing our Investor Relations Department at investorrelations@campbellsoup.com.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“Compensation of Directors,” “Corporate Governance — Compensation and Organization Committee — Compensation and Organization Committee Interlocks and Insider Participation” and “Compensation and Organization Committee Report” in the 2015 Proxy is incorporated herein by reference.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29"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sections entitled “Securities Authorized for Issuance Under Equity Compensation Plans,” “Voting Securities and Principal Shareholders — Ownership of Directors and Executive Officers” and “Voting Securities and Principal Shareholders — Principal Shareholders” in the 2015 Proxy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“Transactions with Related Persons,” “Corporate Governance — Director Independence” and “Corporate Governance — Board Committee Structure” in the 2015 Proxy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presented in the section entitled “Audit Firm Fees and Services” in the 2015 Proxy is incorporated herein by reference.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Earnings for 2015, 2014 and 2013</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Income for 2015, 2014 and 2013</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 as of August 2, 2015 and August 3, 2014</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2015, 2014 and 2013</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Equity for 2015, 2014 and 2013</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Management's Report on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2015, 2014 and 2013</w:t>
      </w:r>
    </w:p>
    <w:p>
      <w:pPr>
        <w:spacing w:after="0" w:line="90" w:lineRule="exact"/>
        <w:rPr>
          <w:rFonts w:ascii="Arial" w:cs="Arial" w:eastAsia="Arial" w:hAnsi="Arial"/>
          <w:sz w:val="18"/>
          <w:szCs w:val="18"/>
          <w:b w:val="1"/>
          <w:bCs w:val="1"/>
          <w:i w:val="1"/>
          <w:iCs w:val="1"/>
          <w:color w:val="auto"/>
        </w:rPr>
      </w:pPr>
    </w:p>
    <w:p>
      <w:pPr>
        <w:ind w:left="240" w:hanging="232"/>
        <w:spacing w:after="0"/>
        <w:tabs>
          <w:tab w:leader="none" w:pos="24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3(i)</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Campbell’s Restated Certificate of Incorporation as amended through February 24, 1997 was filed with the SEC with Campbell’s Form 10-</w:t>
            </w:r>
          </w:p>
        </w:tc>
      </w:tr>
      <w:tr>
        <w:trPr>
          <w:trHeight w:val="230"/>
        </w:trPr>
        <w:tc>
          <w:tcPr>
            <w:tcW w:w="72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K (SEC file number 1-3822) for the fiscal year ended July 28, 2002, and is incorporated herein by reference.</w:t>
            </w:r>
          </w:p>
        </w:tc>
      </w:tr>
      <w:tr>
        <w:trPr>
          <w:trHeight w:val="391"/>
        </w:trPr>
        <w:tc>
          <w:tcPr>
            <w:tcW w:w="720" w:type="dxa"/>
            <w:vAlign w:val="bottom"/>
          </w:tcPr>
          <w:p>
            <w:pPr>
              <w:spacing w:after="0"/>
              <w:rPr>
                <w:sz w:val="20"/>
                <w:szCs w:val="20"/>
                <w:color w:val="auto"/>
              </w:rPr>
            </w:pPr>
            <w:r>
              <w:rPr>
                <w:rFonts w:ascii="Arial" w:cs="Arial" w:eastAsia="Arial" w:hAnsi="Arial"/>
                <w:sz w:val="18"/>
                <w:szCs w:val="18"/>
                <w:color w:val="auto"/>
              </w:rPr>
              <w:t>3(ii)</w:t>
            </w:r>
          </w:p>
        </w:tc>
        <w:tc>
          <w:tcPr>
            <w:tcW w:w="10560" w:type="dxa"/>
            <w:vAlign w:val="bottom"/>
          </w:tcPr>
          <w:p>
            <w:pPr>
              <w:ind w:left="420"/>
              <w:spacing w:after="0"/>
              <w:rPr>
                <w:sz w:val="20"/>
                <w:szCs w:val="20"/>
                <w:color w:val="auto"/>
              </w:rPr>
            </w:pPr>
            <w:r>
              <w:rPr>
                <w:rFonts w:ascii="Arial" w:cs="Arial" w:eastAsia="Arial" w:hAnsi="Arial"/>
                <w:sz w:val="18"/>
                <w:szCs w:val="18"/>
                <w:color w:val="auto"/>
                <w:w w:val="93"/>
              </w:rPr>
              <w:t>Campbell’s By-Laws, effective September 28, 2015, were filed with the SEC on a Form 8-K (SEC file number 1-3822) on September 29,</w:t>
            </w:r>
          </w:p>
        </w:tc>
      </w:tr>
      <w:tr>
        <w:trPr>
          <w:trHeight w:val="230"/>
        </w:trPr>
        <w:tc>
          <w:tcPr>
            <w:tcW w:w="72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2015, and are incorporated herein by reference.</w:t>
            </w:r>
          </w:p>
        </w:tc>
      </w:tr>
      <w:tr>
        <w:trPr>
          <w:trHeight w:val="391"/>
        </w:trPr>
        <w:tc>
          <w:tcPr>
            <w:tcW w:w="720" w:type="dxa"/>
            <w:vAlign w:val="bottom"/>
          </w:tcPr>
          <w:p>
            <w:pPr>
              <w:spacing w:after="0"/>
              <w:rPr>
                <w:sz w:val="20"/>
                <w:szCs w:val="20"/>
                <w:color w:val="auto"/>
              </w:rPr>
            </w:pPr>
            <w:r>
              <w:rPr>
                <w:rFonts w:ascii="Arial" w:cs="Arial" w:eastAsia="Arial" w:hAnsi="Arial"/>
                <w:sz w:val="18"/>
                <w:szCs w:val="18"/>
                <w:color w:val="auto"/>
              </w:rPr>
              <w:t>4(a)</w:t>
            </w:r>
          </w:p>
        </w:tc>
        <w:tc>
          <w:tcPr>
            <w:tcW w:w="10560" w:type="dxa"/>
            <w:vAlign w:val="bottom"/>
          </w:tcPr>
          <w:p>
            <w:pPr>
              <w:ind w:left="420"/>
              <w:spacing w:after="0"/>
              <w:rPr>
                <w:sz w:val="20"/>
                <w:szCs w:val="20"/>
                <w:color w:val="auto"/>
              </w:rPr>
            </w:pPr>
            <w:r>
              <w:rPr>
                <w:rFonts w:ascii="Arial" w:cs="Arial" w:eastAsia="Arial" w:hAnsi="Arial"/>
                <w:sz w:val="18"/>
                <w:szCs w:val="18"/>
                <w:color w:val="auto"/>
                <w:w w:val="92"/>
              </w:rPr>
              <w:t>With respect to Campbell’s 3.050% notes due 2017, 4.500% notes due 2019, and 4.250% notes due 2021, the form of Indenture between</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Campbell and The Bank of New York Mellon, as Trustee, and the associated form of security were filed with the SEC with Campbell’s</w:t>
            </w:r>
          </w:p>
        </w:tc>
      </w:tr>
      <w:tr>
        <w:trPr>
          <w:trHeight w:val="230"/>
        </w:trPr>
        <w:tc>
          <w:tcPr>
            <w:tcW w:w="72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Registration Statement No. 333-155626, and are incorporated herein by reference.</w:t>
            </w:r>
          </w:p>
        </w:tc>
      </w:tr>
      <w:tr>
        <w:trPr>
          <w:trHeight w:val="391"/>
        </w:trPr>
        <w:tc>
          <w:tcPr>
            <w:tcW w:w="720" w:type="dxa"/>
            <w:vAlign w:val="bottom"/>
          </w:tcPr>
          <w:p>
            <w:pPr>
              <w:spacing w:after="0"/>
              <w:rPr>
                <w:sz w:val="20"/>
                <w:szCs w:val="20"/>
                <w:color w:val="auto"/>
              </w:rPr>
            </w:pPr>
            <w:r>
              <w:rPr>
                <w:rFonts w:ascii="Arial" w:cs="Arial" w:eastAsia="Arial" w:hAnsi="Arial"/>
                <w:sz w:val="18"/>
                <w:szCs w:val="18"/>
                <w:color w:val="auto"/>
              </w:rPr>
              <w:t>4(b)</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With respect to Campbell's 2.500% notes due 2022, and 3.800% notes due 2042, the the form of Indenture between Campbell and The Bank</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5"/>
              </w:rPr>
              <w:t>of New York Mellon, as Trustee, was filed with the SEC with Campbell's Registration Statement No. 333-155626, and the form of First</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Supplemental Indenture among Campbell, The Bank of New York Mellon and Wells Fargo Bank, National Association, as Series Trustee, as</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6"/>
              </w:rPr>
              <w:t>well as the associated form of security, were filed with the SEC on a Form 8-K (SEC file number 1-3822) on August 2, 2012, and are</w:t>
            </w:r>
          </w:p>
        </w:tc>
      </w:tr>
      <w:tr>
        <w:trPr>
          <w:trHeight w:val="230"/>
        </w:trPr>
        <w:tc>
          <w:tcPr>
            <w:tcW w:w="72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720" w:type="dxa"/>
            <w:vAlign w:val="bottom"/>
          </w:tcPr>
          <w:p>
            <w:pPr>
              <w:spacing w:after="0"/>
              <w:rPr>
                <w:sz w:val="20"/>
                <w:szCs w:val="20"/>
                <w:color w:val="auto"/>
              </w:rPr>
            </w:pPr>
            <w:r>
              <w:rPr>
                <w:rFonts w:ascii="Arial" w:cs="Arial" w:eastAsia="Arial" w:hAnsi="Arial"/>
                <w:sz w:val="18"/>
                <w:szCs w:val="18"/>
                <w:color w:val="auto"/>
              </w:rPr>
              <w:t>4(c)</w:t>
            </w: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Except as described in 4(a) and 4(b) above, there is no instrument with respect to long-term debt of the company that involves indebtedness</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0"/>
              </w:rPr>
              <w:t>or securities authorized thereunder exceeding 10 percent of the total assets of the company and its subsidiaries on a consolidated basis. The</w:t>
            </w:r>
          </w:p>
        </w:tc>
      </w:tr>
      <w:tr>
        <w:trPr>
          <w:trHeight w:val="216"/>
        </w:trPr>
        <w:tc>
          <w:tcPr>
            <w:tcW w:w="720" w:type="dxa"/>
            <w:vAlign w:val="bottom"/>
          </w:tcPr>
          <w:p>
            <w:pPr>
              <w:spacing w:after="0"/>
              <w:rPr>
                <w:sz w:val="18"/>
                <w:szCs w:val="18"/>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w w:val="91"/>
              </w:rPr>
              <w:t>company agrees to file a copy of any instrument or agreement defining the rights of holders of long-term debt of the company upon request</w:t>
            </w:r>
          </w:p>
        </w:tc>
      </w:tr>
      <w:tr>
        <w:trPr>
          <w:trHeight w:val="230"/>
        </w:trPr>
        <w:tc>
          <w:tcPr>
            <w:tcW w:w="720" w:type="dxa"/>
            <w:vAlign w:val="bottom"/>
          </w:tcPr>
          <w:p>
            <w:pPr>
              <w:spacing w:after="0"/>
              <w:rPr>
                <w:sz w:val="20"/>
                <w:szCs w:val="20"/>
                <w:color w:val="auto"/>
              </w:rPr>
            </w:pPr>
          </w:p>
        </w:tc>
        <w:tc>
          <w:tcPr>
            <w:tcW w:w="10560" w:type="dxa"/>
            <w:vAlign w:val="bottom"/>
          </w:tcPr>
          <w:p>
            <w:pPr>
              <w:ind w:left="420"/>
              <w:spacing w:after="0"/>
              <w:rPr>
                <w:sz w:val="20"/>
                <w:szCs w:val="20"/>
                <w:color w:val="auto"/>
              </w:rPr>
            </w:pPr>
            <w:r>
              <w:rPr>
                <w:rFonts w:ascii="Arial" w:cs="Arial" w:eastAsia="Arial" w:hAnsi="Arial"/>
                <w:sz w:val="18"/>
                <w:szCs w:val="18"/>
                <w:color w:val="auto"/>
              </w:rPr>
              <w:t>of the SEC.</w:t>
            </w: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10" w:right="239" w:bottom="1440" w:gutter="0" w:footer="0" w:header="0"/>
          <w:type w:val="continuous"/>
        </w:sectPr>
      </w:pPr>
    </w:p>
    <w:bookmarkStart w:id="79" w:name="page80"/>
    <w:bookmarkEnd w:id="79"/>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9(a)</w:t>
            </w: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Major Stockholders’ Voting Trust Agreement dated June 2, 1990, as amended, was filed with the SEC by (i) Campbell as Exhibit 99.C to</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Campbell’s Schedule 13E-4 (SEC file number 5-7735) filed on September 12, 1996, (ii) the Trustees of the Major Stockholders’ Voting</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Trust as Exhibit 99.G to Amendment No. 7 to their Schedule 13D (SEC file number 5-7735) dated March 3, 2000, (iii) the Trustees of the</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Major Stockholders’ Voting Trust as Exhibit 99.M to Amendment No. 8 to their Schedule 13D (SEC file number 5-7735) dated January 26,</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6"/>
              </w:rPr>
              <w:t>2001, (iv) the Trustees of the Major Stockholders’ Voting Trust as Exhibit 99.P to Amendment No. 9 to their Schedule 13D (SEC file</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number 5-7735) dated September 30, 2002, and (v) by Campbell as Exhibits 9(b), 9(c), 9(d) and 9(e) to Campbell's Form 10-K (SEC file</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number 1-3822) for the fiscal year ended August 3, 2014,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10(a)</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Campbell Soup Company 2003 Long-Term Incentive Plan, as amended and restated on September 25, 2008, was filed with the SEC with</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7"/>
              </w:rPr>
              <w:t>Campbell’s Form 10-K (SEC file number 1-3822) for the fiscal year ended August 3, 2008,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10(b)</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Campbell Soup Company 2005 Long-Term Incentive Plan, as amended and restated on November 18, 2010, was filed with the SEC with</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Campbell’s 2010 Proxy Statement (SEC file number 1-3822),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10(c)</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Campbell Soup Company Annual Incentive Plan, as amended on November 18, 2004, was filed with the SEC with Campbell’s 2004 Proxy</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Statement (SEC file number 1-3822),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10(d)</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Campbell Soup Company Mid-Career Hire Pension Plan, as amended and restated effective as of January 1, 2009, was filed with the SEC</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with Campbell’s Form 10-Q (SEC file number 1-3822) for the fiscal quarter ended February 1, 2009, and is incorporated herein by</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10(e)</w:t>
            </w: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First Amendment to the Campbell Soup Company Mid-Career Hire Pension Plan, effective as of December 31, 2010, was filed with the</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SEC with Campbell’s Form 10-Q (SEC file number 1-3822) for the fiscal quarter ended January 30, 2011, and is incorporated herein by</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10(f)</w:t>
            </w:r>
          </w:p>
        </w:tc>
        <w:tc>
          <w:tcPr>
            <w:tcW w:w="10500" w:type="dxa"/>
            <w:vAlign w:val="bottom"/>
          </w:tcPr>
          <w:p>
            <w:pPr>
              <w:ind w:left="360"/>
              <w:spacing w:after="0"/>
              <w:rPr>
                <w:sz w:val="20"/>
                <w:szCs w:val="20"/>
                <w:color w:val="auto"/>
              </w:rPr>
            </w:pPr>
            <w:r>
              <w:rPr>
                <w:rFonts w:ascii="Arial" w:cs="Arial" w:eastAsia="Arial" w:hAnsi="Arial"/>
                <w:sz w:val="18"/>
                <w:szCs w:val="18"/>
                <w:color w:val="auto"/>
                <w:w w:val="92"/>
              </w:rPr>
              <w:t>Deferred Compensation Plan, effective November 18, 1999, was filed with the SEC with Campbell’s Form 10-K (SEC file number 1-3822)</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for the fiscal year ended July 30, 2000,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10(g)</w:t>
            </w: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Campbell Soup Company Supplemental Retirement Plan (formerly known as Deferred Compensation Plan II), as amended and restated</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effective as of January 1, 2011, was filed with the SEC with Campbell’s Form 10-K (SEC file number 1-3822) for the fiscal year ended</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July 31, 2011,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10(h)</w:t>
            </w:r>
          </w:p>
        </w:tc>
        <w:tc>
          <w:tcPr>
            <w:tcW w:w="10500" w:type="dxa"/>
            <w:vAlign w:val="bottom"/>
          </w:tcPr>
          <w:p>
            <w:pPr>
              <w:ind w:left="360"/>
              <w:spacing w:after="0"/>
              <w:rPr>
                <w:sz w:val="20"/>
                <w:szCs w:val="20"/>
                <w:color w:val="auto"/>
              </w:rPr>
            </w:pPr>
            <w:r>
              <w:rPr>
                <w:rFonts w:ascii="Arial" w:cs="Arial" w:eastAsia="Arial" w:hAnsi="Arial"/>
                <w:sz w:val="18"/>
                <w:szCs w:val="18"/>
                <w:color w:val="auto"/>
                <w:w w:val="90"/>
              </w:rPr>
              <w:t>Severance Protection Agreement dated January 8, 2001, with Douglas R. Conant, Campbell's President and Chief Executive Officer through</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fiscal 2011, was filed with the SEC with Campbell’s Form 10-Q (SEC file number 1-3822) for the fiscal quarter ended January 28, 2001,</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and is incorporated herein by reference. Agreements with the existing executive officers listed under the heading “Executive Officers of the</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Company” (other than Carlos Barroso, Adam G. Ciongoli, Jeffrey T. Dunn, Luca Mignini and Michael P. Senackerib) are in all material</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respects the same as Mr. Conant’s agreement.</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10(i)</w:t>
            </w: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Amendment to the Severance Protection Agreement dated February 26, 2008, with Douglas R. Conant, Campbell's President and Chief</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3"/>
              </w:rPr>
              <w:t>Executive Officer through fiscal 2011, was filed with the SEC with Campbell’s Form 10-Q (SEC file number 1-3822) for the fiscal quarter</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0"/>
              </w:rPr>
              <w:t>ended November 2, 2008, and is incorporated herein by reference. Amendments with the existing executive officers listed under the heading</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8"/>
              </w:rPr>
              <w:t>“Executive Officers of the Company” (other than Carlos Barroso, Adam G. Ciongoli, Jeffrey T. Dunn, Luca Mignini and Michael P.</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Senackerib) are in all material respects the same as Mr. Conant’s agreement.</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10(j)</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Form of U.S. Severance Protection Agreement, which is applicable to executives hired after March 1, 2008 and before August 1, 2011, was</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filed with the SEC with Campbell’s Form 10-Q (SEC file number 1-3822) for the fiscal quarter ended November 2, 2008, and is</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10(k)</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Form of Non-U.S. Severance Protection Agreement, which is applicable to executives hired after March 1, 2008 and before August 1, 2011,</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7"/>
              </w:rPr>
              <w:t>was filed with the SEC with Campbell’s Form 10-Q (SEC file number 1-3822) for the fiscal quarter ended November 2, 2008, and is</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10(l)</w:t>
            </w:r>
          </w:p>
        </w:tc>
        <w:tc>
          <w:tcPr>
            <w:tcW w:w="10500" w:type="dxa"/>
            <w:vAlign w:val="bottom"/>
          </w:tcPr>
          <w:p>
            <w:pPr>
              <w:ind w:left="360"/>
              <w:spacing w:after="0"/>
              <w:rPr>
                <w:sz w:val="20"/>
                <w:szCs w:val="20"/>
                <w:color w:val="auto"/>
              </w:rPr>
            </w:pPr>
            <w:r>
              <w:rPr>
                <w:rFonts w:ascii="Arial" w:cs="Arial" w:eastAsia="Arial" w:hAnsi="Arial"/>
                <w:sz w:val="18"/>
                <w:szCs w:val="18"/>
                <w:color w:val="auto"/>
                <w:w w:val="91"/>
              </w:rPr>
              <w:t>Form of U.S. Severance Protection Agreement, which is applicable to executives hired on or after August 1, 2011 (such as Carlos Barroso,</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4"/>
              </w:rPr>
              <w:t>Adam G. Ciongoli, Jeffrey T. Dunn and Michael P. Senackerib), was filed with the SEC with Campbell’s Form 10-K (SEC file number 1-</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3822) for the fiscal year ended July 31, 2011,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10(m)</w:t>
            </w:r>
          </w:p>
        </w:tc>
        <w:tc>
          <w:tcPr>
            <w:tcW w:w="10500" w:type="dxa"/>
            <w:vAlign w:val="bottom"/>
          </w:tcPr>
          <w:p>
            <w:pPr>
              <w:ind w:left="360"/>
              <w:spacing w:after="0"/>
              <w:rPr>
                <w:sz w:val="20"/>
                <w:szCs w:val="20"/>
                <w:color w:val="auto"/>
              </w:rPr>
            </w:pPr>
            <w:r>
              <w:rPr>
                <w:rFonts w:ascii="Arial" w:cs="Arial" w:eastAsia="Arial" w:hAnsi="Arial"/>
                <w:sz w:val="18"/>
                <w:szCs w:val="18"/>
                <w:color w:val="auto"/>
                <w:w w:val="95"/>
              </w:rPr>
              <w:t>Form of Non-U.S. Severance Protection Agreement, which is applicable to executives hired on or after August 1, 2011 (such as Luca</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6"/>
              </w:rPr>
              <w:t>Mignini), was filed with the SEC with Campbell’s Form 10-K (SEC file number 1-3822) for the fiscal year ended July 31, 2011, and is</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10(n)</w:t>
            </w:r>
          </w:p>
        </w:tc>
        <w:tc>
          <w:tcPr>
            <w:tcW w:w="10500" w:type="dxa"/>
            <w:vAlign w:val="bottom"/>
          </w:tcPr>
          <w:p>
            <w:pPr>
              <w:ind w:left="360"/>
              <w:spacing w:after="0"/>
              <w:rPr>
                <w:sz w:val="20"/>
                <w:szCs w:val="20"/>
                <w:color w:val="auto"/>
              </w:rPr>
            </w:pPr>
            <w:r>
              <w:rPr>
                <w:rFonts w:ascii="Arial" w:cs="Arial" w:eastAsia="Arial" w:hAnsi="Arial"/>
                <w:sz w:val="18"/>
                <w:szCs w:val="18"/>
                <w:color w:val="auto"/>
                <w:w w:val="89"/>
              </w:rPr>
              <w:t>Campbell Soup Company Severance Pay Plan for Salaried Employees, as amended and restated effective January 1, 2011, was filed with the</w:t>
            </w:r>
          </w:p>
        </w:tc>
      </w:tr>
      <w:tr>
        <w:trPr>
          <w:trHeight w:val="216"/>
        </w:trPr>
        <w:tc>
          <w:tcPr>
            <w:tcW w:w="780" w:type="dxa"/>
            <w:vAlign w:val="bottom"/>
          </w:tcPr>
          <w:p>
            <w:pPr>
              <w:spacing w:after="0"/>
              <w:rPr>
                <w:sz w:val="18"/>
                <w:szCs w:val="18"/>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w w:val="97"/>
              </w:rPr>
              <w:t>SEC with Campbell’s Form 10-Q (SEC file number 1-3822) for the fiscal quarter ended May 1, 2011, and is incorporated herein by</w:t>
            </w:r>
          </w:p>
        </w:tc>
      </w:tr>
      <w:tr>
        <w:trPr>
          <w:trHeight w:val="230"/>
        </w:trPr>
        <w:tc>
          <w:tcPr>
            <w:tcW w:w="780" w:type="dxa"/>
            <w:vAlign w:val="bottom"/>
          </w:tcPr>
          <w:p>
            <w:pPr>
              <w:spacing w:after="0"/>
              <w:rPr>
                <w:sz w:val="20"/>
                <w:szCs w:val="20"/>
                <w:color w:val="auto"/>
              </w:rPr>
            </w:pPr>
          </w:p>
        </w:tc>
        <w:tc>
          <w:tcPr>
            <w:tcW w:w="10500" w:type="dxa"/>
            <w:vAlign w:val="bottom"/>
          </w:tcPr>
          <w:p>
            <w:pPr>
              <w:ind w:left="360"/>
              <w:spacing w:after="0"/>
              <w:rPr>
                <w:sz w:val="20"/>
                <w:szCs w:val="20"/>
                <w:color w:val="auto"/>
              </w:rPr>
            </w:pPr>
            <w:r>
              <w:rPr>
                <w:rFonts w:ascii="Arial" w:cs="Arial" w:eastAsia="Arial" w:hAnsi="Arial"/>
                <w:sz w:val="18"/>
                <w:szCs w:val="18"/>
                <w:color w:val="auto"/>
              </w:rPr>
              <w:t>reference.</w:t>
            </w:r>
          </w:p>
        </w:tc>
      </w:tr>
    </w:tbl>
    <w:p>
      <w:pPr>
        <w:spacing w:after="0" w:line="200" w:lineRule="exact"/>
        <w:rPr>
          <w:sz w:val="20"/>
          <w:szCs w:val="20"/>
          <w:color w:val="auto"/>
        </w:rPr>
      </w:pPr>
    </w:p>
    <w:p>
      <w:pPr>
        <w:sectPr>
          <w:pgSz w:w="11900" w:h="16838" w:orient="portrait"/>
          <w:cols w:equalWidth="0" w:num="1">
            <w:col w:w="11280"/>
          </w:cols>
          <w:pgMar w:left="360" w:top="1440" w:right="259" w:bottom="892" w:gutter="0" w:footer="0" w:header="0"/>
        </w:sect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80"/>
          </w:cols>
          <w:pgMar w:left="360" w:top="1440" w:right="259" w:bottom="892" w:gutter="0" w:footer="0" w:header="0"/>
          <w:type w:val="continuous"/>
        </w:sectPr>
      </w:pPr>
    </w:p>
    <w:bookmarkStart w:id="80" w:name="page81"/>
    <w:bookmarkEnd w:id="80"/>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color w:val="auto"/>
        </w:rPr>
        <w:t>10(o)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8"/>
          <w:szCs w:val="18"/>
          <w:color w:val="auto"/>
        </w:rPr>
        <w:t>10(p)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10(r)*</w:t>
      </w:r>
    </w:p>
    <w:p>
      <w:pPr>
        <w:spacing w:after="0" w:line="200" w:lineRule="exact"/>
        <w:rPr>
          <w:sz w:val="20"/>
          <w:szCs w:val="20"/>
          <w:color w:val="auto"/>
        </w:rPr>
      </w:pPr>
    </w:p>
    <w:p>
      <w:pPr>
        <w:spacing w:after="0" w:line="388" w:lineRule="exact"/>
        <w:rPr>
          <w:sz w:val="20"/>
          <w:szCs w:val="20"/>
          <w:color w:val="auto"/>
        </w:rPr>
      </w:pPr>
    </w:p>
    <w:p>
      <w:pPr>
        <w:ind w:left="4"/>
        <w:spacing w:after="0"/>
        <w:rPr>
          <w:sz w:val="20"/>
          <w:szCs w:val="20"/>
          <w:color w:val="auto"/>
        </w:rPr>
      </w:pPr>
      <w:r>
        <w:rPr>
          <w:rFonts w:ascii="Arial" w:cs="Arial" w:eastAsia="Arial" w:hAnsi="Arial"/>
          <w:sz w:val="18"/>
          <w:szCs w:val="18"/>
          <w:color w:val="auto"/>
        </w:rPr>
        <w:t>10(s)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
        <w:spacing w:after="0"/>
        <w:rPr>
          <w:sz w:val="20"/>
          <w:szCs w:val="20"/>
          <w:color w:val="auto"/>
        </w:rPr>
      </w:pPr>
      <w:r>
        <w:rPr>
          <w:rFonts w:ascii="Arial" w:cs="Arial" w:eastAsia="Arial" w:hAnsi="Arial"/>
          <w:sz w:val="17"/>
          <w:szCs w:val="17"/>
          <w:color w:val="auto"/>
        </w:rPr>
        <w:t>10(t)*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Amendment to the Campbell Soup Company Severance Pay Plan for Salaried Employees, effective as of May 1, 2015, was filed with the SEC with Campbell’s Form 10-Q (SEC file number 1-3822) for the fiscal quarter ended May 3, 2015, and is incorporated herein by reference.</w:t>
      </w:r>
    </w:p>
    <w:p>
      <w:pPr>
        <w:spacing w:after="0" w:line="1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Campbell Soup Company Supplemental Employees’ Retirement Plan, as amended and restated effective January 1, 2009, was filed with the SEC with Campbell’s Form 10-Q (SEC file number 1-3822) for the fiscal quarter ended February 1, 2009,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Amendment to the Campbell Soup Company Supplemental Employees’ Retirement Plan, effective as of December 31, 2010, was filed with the SEC with Campbell’s Form 10-Q (SEC file number 1-3822) for the fiscal quarter ended January 30, 2011, and is incorporated herein by reference.</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Letter Agreement, dated July 22, 2014, between the company and Jeffrey T. Dunn was filed with the SEC with Campbell’s Form 10-Q (SEC file number 1-3822) for the fiscal quarter ended February 1, 2015, and is incorporated herein by reference.</w:t>
      </w:r>
    </w:p>
    <w:p>
      <w:pPr>
        <w:spacing w:after="0" w:line="22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2005 Long-Term Incentive Plan Time-Lapsed Restricted Stock Unit Agreement, dated as of August 1, 2014, between the company and Jeffrey T. Dunn was filed with the SEC with Campbell’s Form 10-Q (SEC file number 1-3822) for the fiscal quarter ended February 1, 2015, and is incorporated herein by reference.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2005 Long-Term Incentive Plan Performance Restricted Stock Unit Agreement, dated as of October 1, 2014, between the company and Jeffrey T. Dunn was filed with the SEC with Campbell’s Form 10-Q (SEC file number 1-3822) for the fiscal quarter ended February 1, 2015, and is incorporated herein by reference.</w:t>
      </w:r>
    </w:p>
    <w:p>
      <w:pPr>
        <w:spacing w:after="0" w:line="200" w:lineRule="exact"/>
        <w:rPr>
          <w:sz w:val="20"/>
          <w:szCs w:val="20"/>
          <w:color w:val="auto"/>
        </w:rPr>
      </w:pPr>
    </w:p>
    <w:p>
      <w:pPr>
        <w:sectPr>
          <w:pgSz w:w="11900" w:h="16838" w:orient="portrait"/>
          <w:cols w:equalWidth="0" w:num="2">
            <w:col w:w="444" w:space="700"/>
            <w:col w:w="10140"/>
          </w:cols>
          <w:pgMar w:left="356" w:top="1440" w:right="259" w:bottom="217" w:gutter="0" w:footer="0" w:header="0"/>
        </w:sectPr>
      </w:pPr>
    </w:p>
    <w:p>
      <w:pPr>
        <w:spacing w:after="0" w:line="35"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10(u)*</w:t>
            </w:r>
          </w:p>
        </w:tc>
        <w:tc>
          <w:tcPr>
            <w:tcW w:w="10480" w:type="dxa"/>
            <w:vAlign w:val="bottom"/>
            <w:vMerge w:val="restart"/>
          </w:tcPr>
          <w:p>
            <w:pPr>
              <w:ind w:left="340"/>
              <w:spacing w:after="0"/>
              <w:rPr>
                <w:sz w:val="20"/>
                <w:szCs w:val="20"/>
                <w:color w:val="auto"/>
              </w:rPr>
            </w:pPr>
            <w:r>
              <w:rPr>
                <w:rFonts w:ascii="Arial" w:cs="Arial" w:eastAsia="Arial" w:hAnsi="Arial"/>
                <w:sz w:val="18"/>
                <w:szCs w:val="18"/>
                <w:color w:val="auto"/>
                <w:w w:val="93"/>
              </w:rPr>
              <w:t>2005 Long-Term Incentive Plan Performance Restricted Stock Unit Agreement, dated as of October 1, 2014, between the company and</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10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5"/>
              </w:rPr>
              <w:t>Jeffrey T. Dunn was filed with the SEC with Campbell’s Form 10-Q (SEC file number 1-3822) for the fiscal quarter ended February 1,</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2015, and is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84"/>
          </w:cols>
          <w:pgMar w:left="356" w:top="1440" w:right="259" w:bottom="217" w:gutter="0" w:footer="0" w:header="0"/>
          <w:type w:val="continuous"/>
        </w:sectPr>
      </w:pPr>
    </w:p>
    <w:p>
      <w:pPr>
        <w:spacing w:after="0" w:line="56" w:lineRule="exact"/>
        <w:rPr>
          <w:sz w:val="20"/>
          <w:szCs w:val="20"/>
          <w:color w:val="auto"/>
        </w:rPr>
      </w:pPr>
    </w:p>
    <w:p>
      <w:pPr>
        <w:ind w:left="4"/>
        <w:spacing w:after="0"/>
        <w:rPr>
          <w:sz w:val="20"/>
          <w:szCs w:val="20"/>
          <w:color w:val="auto"/>
        </w:rPr>
      </w:pPr>
      <w:r>
        <w:rPr>
          <w:rFonts w:ascii="Arial" w:cs="Arial" w:eastAsia="Arial" w:hAnsi="Arial"/>
          <w:sz w:val="18"/>
          <w:szCs w:val="18"/>
          <w:color w:val="auto"/>
        </w:rPr>
        <w:t>10(v)</w:t>
      </w:r>
    </w:p>
    <w:p>
      <w:pPr>
        <w:spacing w:after="0" w:line="200" w:lineRule="exact"/>
        <w:rPr>
          <w:sz w:val="20"/>
          <w:szCs w:val="20"/>
          <w:color w:val="auto"/>
        </w:rPr>
      </w:pPr>
    </w:p>
    <w:p>
      <w:pPr>
        <w:spacing w:after="0" w:line="376" w:lineRule="exact"/>
        <w:rPr>
          <w:sz w:val="20"/>
          <w:szCs w:val="20"/>
          <w:color w:val="auto"/>
        </w:rPr>
      </w:pPr>
    </w:p>
    <w:p>
      <w:pPr>
        <w:ind w:left="4"/>
        <w:spacing w:after="0"/>
        <w:rPr>
          <w:sz w:val="20"/>
          <w:szCs w:val="20"/>
          <w:color w:val="auto"/>
        </w:rPr>
      </w:pPr>
      <w:r>
        <w:rPr>
          <w:rFonts w:ascii="Arial" w:cs="Arial" w:eastAsia="Arial" w:hAnsi="Arial"/>
          <w:sz w:val="16"/>
          <w:szCs w:val="16"/>
          <w:color w:val="auto"/>
        </w:rPr>
        <w:t>10(w)</w:t>
      </w:r>
    </w:p>
    <w:p>
      <w:pPr>
        <w:spacing w:after="0" w:line="200" w:lineRule="exact"/>
        <w:rPr>
          <w:sz w:val="20"/>
          <w:szCs w:val="20"/>
          <w:color w:val="auto"/>
        </w:rPr>
      </w:pPr>
    </w:p>
    <w:p>
      <w:pPr>
        <w:spacing w:after="0" w:line="39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10(x)</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Wm. Bolthouse Farms, Inc. Salaried &amp; Hourly Administrative Performance-Based Incentive Plan was filed with the SEC with Campbell’s Form 10-Q (SEC file number 1-3822) for the fiscal quarter ended February 1, 2015, and is incorporated herein by reference.</w:t>
      </w:r>
    </w:p>
    <w:p>
      <w:pPr>
        <w:spacing w:after="0" w:line="25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Wm. Bolthouse Farms, Inc. Deferred Compensation Plan, effective as of August 1, 2010 was filed with the SEC with Campbell’s Form 10-Q (SEC file number 1-3822) for the fiscal quarter ended February 1, 2015, and is incorporated herein by reference.</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Form of 2005 Long-Term Incentive Plan Time-Lapsed Restricted Stock Unit Agreement was filed with the Commission on a Form 8-K (File number 1-3822) on February 2, 2015, and is incorporated herein by reference. The form agreement is applicable to the (i) February 1, 2015 restricted stock unit grants to each of Mark R. Alexander, Luca Mignini and Michael P. Senackerib, (ii) the March 1, 2015 restricted stock unit grant to Ed Carolan (provided that the vesting period for Mr. Carolan's grant is three (3) years); and (iii) the August 1, 2015 restricted stock unit grant to Adam G. Ciongoli.</w:t>
      </w:r>
    </w:p>
    <w:p>
      <w:pPr>
        <w:spacing w:after="0" w:line="161" w:lineRule="exact"/>
        <w:rPr>
          <w:sz w:val="20"/>
          <w:szCs w:val="20"/>
          <w:color w:val="auto"/>
        </w:rPr>
      </w:pPr>
    </w:p>
    <w:p>
      <w:pPr>
        <w:sectPr>
          <w:pgSz w:w="11900" w:h="16838" w:orient="portrait"/>
          <w:cols w:equalWidth="0" w:num="2">
            <w:col w:w="424" w:space="720"/>
            <w:col w:w="10140"/>
          </w:cols>
          <w:pgMar w:left="356" w:top="1440" w:right="259" w:bottom="217" w:gutter="0" w:footer="0" w:header="0"/>
          <w:type w:val="continuous"/>
        </w:sectPr>
      </w:pPr>
    </w:p>
    <w:p>
      <w:pPr>
        <w:ind w:left="4"/>
        <w:spacing w:after="0"/>
        <w:tabs>
          <w:tab w:leader="none" w:pos="11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(Direct and Indirect) of the company.</w:t>
      </w:r>
    </w:p>
    <w:p>
      <w:pPr>
        <w:spacing w:after="0" w:line="198" w:lineRule="exact"/>
        <w:rPr>
          <w:sz w:val="20"/>
          <w:szCs w:val="20"/>
          <w:color w:val="auto"/>
        </w:rPr>
      </w:pPr>
    </w:p>
    <w:p>
      <w:pPr>
        <w:ind w:left="1144" w:hanging="1144"/>
        <w:spacing w:after="0"/>
        <w:tabs>
          <w:tab w:leader="none" w:pos="11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98" w:lineRule="exact"/>
        <w:rPr>
          <w:rFonts w:ascii="Arial" w:cs="Arial" w:eastAsia="Arial" w:hAnsi="Arial"/>
          <w:sz w:val="18"/>
          <w:szCs w:val="18"/>
          <w:color w:val="auto"/>
        </w:rPr>
      </w:pPr>
    </w:p>
    <w:p>
      <w:pPr>
        <w:ind w:left="1144" w:hanging="1144"/>
        <w:spacing w:after="0"/>
        <w:tabs>
          <w:tab w:leader="none" w:pos="11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200" w:lineRule="exact"/>
        <w:rPr>
          <w:sz w:val="20"/>
          <w:szCs w:val="20"/>
          <w:color w:val="auto"/>
        </w:rPr>
      </w:pPr>
    </w:p>
    <w:p>
      <w:pPr>
        <w:sectPr>
          <w:pgSz w:w="11900" w:h="16838" w:orient="portrait"/>
          <w:cols w:equalWidth="0" w:num="1">
            <w:col w:w="11284"/>
          </w:cols>
          <w:pgMar w:left="356" w:top="1440" w:right="259" w:bottom="217" w:gutter="0" w:footer="0" w:header="0"/>
          <w:type w:val="continuous"/>
        </w:sectPr>
      </w:pPr>
    </w:p>
    <w:p>
      <w:pPr>
        <w:spacing w:after="0" w:line="137" w:lineRule="exact"/>
        <w:rPr>
          <w:sz w:val="20"/>
          <w:szCs w:val="20"/>
          <w:color w:val="auto"/>
        </w:rPr>
      </w:pPr>
    </w:p>
    <w:p>
      <w:pPr>
        <w:jc w:val="center"/>
        <w:ind w:right="96"/>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84"/>
          </w:cols>
          <w:pgMar w:left="356" w:top="1440" w:right="259" w:bottom="217"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color w:val="auto"/>
        </w:rPr>
        <w:t>*Portions of this document have been omitted and filed separately with the Commission pursuant to a confidential treatment request under 17 C.F.R.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240.24b-2.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720"/>
          </w:cols>
          <w:pgMar w:left="320" w:top="1233" w:right="8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2015</w:t>
      </w:r>
    </w:p>
    <w:p>
      <w:pPr>
        <w:spacing w:after="0" w:line="38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 Chief Financial Officer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Campbell and in the capacity and on the date indicated.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40"/>
              <w:spacing w:after="0"/>
              <w:rPr>
                <w:sz w:val="20"/>
                <w:szCs w:val="20"/>
                <w:color w:val="auto"/>
              </w:rPr>
            </w:pPr>
            <w:r>
              <w:rPr>
                <w:rFonts w:ascii="Arial" w:cs="Arial" w:eastAsia="Arial" w:hAnsi="Arial"/>
                <w:sz w:val="18"/>
                <w:szCs w:val="18"/>
                <w:color w:val="auto"/>
              </w:rPr>
              <w:t>/s/ Anthony P. DiSilvestro</w:t>
            </w: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/s/ William J. O’Shea</w:t>
            </w:r>
          </w:p>
        </w:tc>
      </w:tr>
      <w:tr>
        <w:trPr>
          <w:trHeight w:val="27"/>
        </w:trPr>
        <w:tc>
          <w:tcPr>
            <w:tcW w:w="3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Anthony P. DiSilvestro</w:t>
            </w:r>
          </w:p>
        </w:tc>
        <w:tc>
          <w:tcPr>
            <w:tcW w:w="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William J. O’Shea</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w w:val="92"/>
              </w:rPr>
              <w:t>Senior Vice President — Chief Financial Officer</w:t>
            </w:r>
          </w:p>
        </w:tc>
        <w:tc>
          <w:tcPr>
            <w:tcW w:w="5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Vice President — Controller</w:t>
            </w:r>
          </w:p>
        </w:tc>
      </w:tr>
      <w:tr>
        <w:trPr>
          <w:trHeight w:val="945"/>
        </w:trPr>
        <w:tc>
          <w:tcPr>
            <w:tcW w:w="3560" w:type="dxa"/>
            <w:vAlign w:val="bottom"/>
          </w:tcPr>
          <w:p>
            <w:pPr>
              <w:ind w:left="40"/>
              <w:spacing w:after="0"/>
              <w:rPr>
                <w:sz w:val="20"/>
                <w:szCs w:val="20"/>
                <w:color w:val="auto"/>
              </w:rPr>
            </w:pPr>
            <w:r>
              <w:rPr>
                <w:rFonts w:ascii="Arial" w:cs="Arial" w:eastAsia="Arial" w:hAnsi="Arial"/>
                <w:sz w:val="18"/>
                <w:szCs w:val="18"/>
                <w:color w:val="auto"/>
              </w:rPr>
              <w:t>Paul R. Charron</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Chairman and 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4"/>
                <w:szCs w:val="24"/>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Denise M. Morrison</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w w:val="92"/>
              </w:rPr>
              <w:t>President, Chief Executive</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spacing w:after="0"/>
              <w:rPr>
                <w:sz w:val="23"/>
                <w:szCs w:val="23"/>
                <w:color w:val="auto"/>
              </w:rPr>
            </w:pP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Officer and 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Bennett Dorrance</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Lawrence C. Karlson</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Randall W. Larrimore</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Marc B. Lautenbach</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ind w:left="20"/>
              <w:spacing w:after="0"/>
              <w:rPr>
                <w:sz w:val="20"/>
                <w:szCs w:val="20"/>
                <w:color w:val="auto"/>
              </w:rPr>
            </w:pPr>
            <w:r>
              <w:rPr>
                <w:rFonts w:ascii="Arial" w:cs="Arial" w:eastAsia="Arial" w:hAnsi="Arial"/>
                <w:sz w:val="18"/>
                <w:szCs w:val="18"/>
                <w:color w:val="auto"/>
              </w:rPr>
              <w:t>By: /s/ Adam G. Ciongoli</w:t>
            </w:r>
          </w:p>
        </w:tc>
      </w:tr>
      <w:tr>
        <w:trPr>
          <w:trHeight w:val="27"/>
        </w:trPr>
        <w:tc>
          <w:tcPr>
            <w:tcW w:w="356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Mary Alice D. Malone</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ind w:left="20"/>
              <w:spacing w:after="0"/>
              <w:rPr>
                <w:sz w:val="20"/>
                <w:szCs w:val="20"/>
                <w:color w:val="auto"/>
              </w:rPr>
            </w:pPr>
            <w:r>
              <w:rPr>
                <w:rFonts w:ascii="Arial" w:cs="Arial" w:eastAsia="Arial" w:hAnsi="Arial"/>
                <w:sz w:val="18"/>
                <w:szCs w:val="18"/>
                <w:color w:val="auto"/>
              </w:rPr>
              <w:t>Adam G. Ciongoli</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Sara Mathew</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Charles R. Perrin</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A. Barry Rand</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Nick Shreiber</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Tracey T. Travis</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Archbold D. van Beuren</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8"/>
                <w:szCs w:val="18"/>
                <w:color w:val="auto"/>
              </w:rPr>
              <w:t>Les C. Vinney</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100" w:type="dxa"/>
            <w:vAlign w:val="bottom"/>
          </w:tcPr>
          <w:p>
            <w:pPr>
              <w:spacing w:after="0"/>
              <w:rPr>
                <w:sz w:val="23"/>
                <w:szCs w:val="23"/>
                <w:color w:val="auto"/>
              </w:rPr>
            </w:pPr>
          </w:p>
        </w:tc>
      </w:tr>
      <w:tr>
        <w:trPr>
          <w:trHeight w:val="999"/>
        </w:trPr>
        <w:tc>
          <w:tcPr>
            <w:tcW w:w="3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jc w:val="right"/>
              <w:ind w:right="1430"/>
              <w:spacing w:after="0"/>
              <w:rPr>
                <w:sz w:val="20"/>
                <w:szCs w:val="20"/>
                <w:color w:val="auto"/>
              </w:rPr>
            </w:pPr>
            <w:r>
              <w:rPr>
                <w:rFonts w:ascii="Arial" w:cs="Arial" w:eastAsia="Arial" w:hAnsi="Arial"/>
                <w:sz w:val="18"/>
                <w:szCs w:val="18"/>
                <w:color w:val="auto"/>
              </w:rPr>
              <w:t>83</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August 2, 2015, August 3, 2014 and July 28,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(Reduction in)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August 2,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August 3, 2014</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28, 2013</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27"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The returns reserve is evaluated quarterly and adjusted accordingly. During each period, returns are charged to net sales in the Consolidated Statements of Earnings as incurred. Actual returns were approximately $105 in 2015, $118 in 201 and $124 in 2013, or less than 2% of net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2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520" w:type="dxa"/>
            <w:vAlign w:val="bottom"/>
          </w:tcPr>
          <w:p>
            <w:pPr>
              <w:ind w:left="3980"/>
              <w:spacing w:after="0"/>
              <w:rPr>
                <w:sz w:val="20"/>
                <w:szCs w:val="20"/>
                <w:color w:val="auto"/>
              </w:rPr>
            </w:pPr>
            <w:r>
              <w:rPr>
                <w:rFonts w:ascii="Arial" w:cs="Arial" w:eastAsia="Arial" w:hAnsi="Arial"/>
                <w:sz w:val="18"/>
                <w:szCs w:val="18"/>
                <w:b w:val="1"/>
                <w:bCs w:val="1"/>
                <w:color w:val="auto"/>
              </w:rPr>
              <w:t>INDEX TO EXHIBITS</w:t>
            </w:r>
          </w:p>
        </w:tc>
      </w:tr>
      <w:tr>
        <w:trPr>
          <w:trHeight w:val="364"/>
        </w:trPr>
        <w:tc>
          <w:tcPr>
            <w:tcW w:w="780" w:type="dxa"/>
            <w:vAlign w:val="bottom"/>
          </w:tcPr>
          <w:p>
            <w:pPr>
              <w:spacing w:after="0"/>
              <w:rPr>
                <w:sz w:val="20"/>
                <w:szCs w:val="20"/>
                <w:color w:val="auto"/>
              </w:rPr>
            </w:pPr>
            <w:r>
              <w:rPr>
                <w:rFonts w:ascii="Arial" w:cs="Arial" w:eastAsia="Arial" w:hAnsi="Arial"/>
                <w:sz w:val="18"/>
                <w:szCs w:val="18"/>
                <w:color w:val="auto"/>
              </w:rPr>
              <w:t>3(i)</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Campbell’s Restated Certificate of Incorporation as amended through February 24, 1997 was filed with the SEC with Campbell’s Form 10-</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K (SEC file number 1-3822) for the fiscal year ended July 28, 2002,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3(ii)</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Campbell’s By-Laws, effective September 28, 2015, were filed with the SEC on a Form 8-K (SEC file number 1-3822) on September 29,</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2015, and are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4(a)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With respect to Campbell’s 3.050% notes due 2017, 4.500% notes due 2019, and 4.250% notes due 2021, the form of Indenture between</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Campbell and The Bank of New York Mellon, as Trustee, and the associated form of security were filed with the SEC with Campbell’s</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Registration Statement No. 333-155626, and are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4(b)</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With respect to Campbell's 2.500% notes due 2022, and 3.800% notes due 2042, the the form of Indenture between Campbell and The Bank</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of New York Mellon, as Trustee, was filed with the SEC with Campbell's Registration Statement No. 333-155626, and the form of First</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Supplemental Indenture among Campbell, The Bank of New York Mellon and Wells Fargo Bank, National Association, as Series Trustee, as</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well as the associated form of security, were filed with the SEC on a Form 8-K (SEC file number 1-3822) on August 2, 2012, and are</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4(c)</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Except as described in 4(a) and 4(b) above, there is no instrument with respect to long-term debt of the company that involves indebtedness</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or securities authorized thereunder exceeding 10 percent of the total assets of the company and its subsidiaries on a consolidated basis. The</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company agrees to file a copy of any instrument or agreement defining the rights of holders of long-term debt of the company upon request</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of the SEC.</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9(a)</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Major Stockholders’ Voting Trust Agreement dated June 2, 1990, as amended, was filed with the SEC by (i) Campbell as Exhibit 99.C to</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Campbell’s Schedule 13E-4 (SEC file number 5-7735) filed on September 12, 1996, (ii) the Trustees of the Major Stockholders’ Voting</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Trust as Exhibit 99.G to Amendment No. 7 to their Schedule 13D (SEC file number 5-7735) dated March 3, 2000, (iii) the Trustees of the</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Major Stockholders’ Voting Trust as Exhibit 99.M to Amendment No. 8 to their Schedule 13D (SEC file number 5-7735) dated January 26,</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6"/>
              </w:rPr>
              <w:t>2001, (iv) the Trustees of the Major Stockholders’ Voting Trust as Exhibit 99.P to Amendment No. 9 to their Schedule 13D (SEC file</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number 5-7735) dated September 30, 2002, and (v) by Campbell as Exhibits 9(b), 9(c), 9(d) and 9(e) to Campbell's Form 10-K (SEC file</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number 1-3822) for the fiscal year ended August 3, 2014,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10(a)</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Campbell Soup Company 2003 Long-Term Incentive Plan, as amended and restated on September 25, 2008, was filed with the SEC with</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Campbell’s Form 10-K (SEC file number 1-3822) for the fiscal year ended August 3, 2008,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10(b)</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Campbell Soup Company 2005 Long-Term Incentive Plan, as amended and restated on November 18, 2010, was filed with the SEC with</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Campbell’s 2010 Proxy Statement (SEC file number 1-3822),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10(c)</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Campbell Soup Company Annual Incentive Plan, as amended on November 18, 2004, was filed with the SEC with Campbell’s 2004 Proxy</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(SEC file number 1-3822),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10(d)</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Campbell Soup Company Mid-Career Hire Pension Plan, as amended and restated effective as of January 1, 2009, was filed with the SEC</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8"/>
              </w:rPr>
              <w:t>with Campbell’s Form 10-Q (SEC file number 1-3822) for the fiscal quarter ended February 1, 2009, and is incorporated herein by</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10(e)</w:t>
            </w: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First Amendment to the Campbell Soup Company Mid-Career Hire Pension Plan, effective as of December 31, 2010, was filed with the</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SEC with Campbell’s Form 10-Q (SEC file number 1-3822) for the fiscal quarter ended January 30, 2011, and is incorporated herein by</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10(f)</w:t>
            </w: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Deferred Compensation Plan, effective November 18, 1999, was filed with the SEC with Campbell’s Form 10-K (SEC file number 1-3822)</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 the fiscal year ended July 30, 2000,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10(g)</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Campbell Soup Company Supplemental Retirement Plan (formerly known as Deferred Compensation Plan II), as amended and restated</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effective as of January 1, 2011, was filed with the SEC with Campbell’s Form 10-K (SEC file number 1-3822) for the fiscal year ended</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July 31, 2011, and is incorporated herein by reference.</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10(h)</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Severance Protection Agreement dated January 8, 2001, with Douglas R. Conant, Campbell's President and Chief Executive Officer through</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fiscal 2011, was filed with the SEC with Campbell’s Form 10-Q (SEC file number 1-3822) for the fiscal quarter ended January 28, 2001,</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and is incorporated herein by reference. Agreements with the existing executive officers listed under the heading “Executive Officers of the</w:t>
            </w:r>
          </w:p>
        </w:tc>
      </w:tr>
    </w:tbl>
    <w:p>
      <w:pPr>
        <w:ind w:left="1160"/>
        <w:spacing w:after="0" w:line="261" w:lineRule="auto"/>
        <w:rPr>
          <w:sz w:val="20"/>
          <w:szCs w:val="20"/>
          <w:color w:val="auto"/>
        </w:rPr>
      </w:pPr>
      <w:r>
        <w:rPr>
          <w:rFonts w:ascii="Arial" w:cs="Arial" w:eastAsia="Arial" w:hAnsi="Arial"/>
          <w:sz w:val="18"/>
          <w:szCs w:val="18"/>
          <w:color w:val="auto"/>
        </w:rPr>
        <w:t>Company” (other than Carlos Barroso, Adam G. Ciongoli, Jeffrey T. Dunn, Luca Mignini and Michael P. Senackerib) are in all material respects the same as Mr. Conant’s agreement.</w:t>
      </w:r>
    </w:p>
    <w:p>
      <w:pPr>
        <w:sectPr>
          <w:pgSz w:w="11900" w:h="16838" w:orient="portrait"/>
          <w:cols w:equalWidth="0" w:num="1">
            <w:col w:w="11300"/>
          </w:cols>
          <w:pgMar w:left="300" w:top="1229" w:right="2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300"/>
          </w:cols>
          <w:pgMar w:left="300" w:top="1229" w:right="2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color w:val="auto"/>
        </w:rPr>
        <w:t>10(i)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10(j)</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10(r)*</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10(s)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10(t)*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10(u)*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10(v)</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10(w)</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Amendment to the Severance Protection Agreement dated February 26, 2008, with Douglas R. Conant, Campbell's President and Chief Executive Officer through fiscal 2011, was filed with the SEC with Campbell’s Form 10-Q (SEC file number 1-3822) for the fiscal quarter ended November 2, 2008, and is incorporated herein by reference. Amendments with the existing executive officers listed under the heading “Executive Officers of the Company” (other than Carlos Barroso, Adam G. Ciongoli, Jeffrey T. Dunn, Luca Mignini and Michael P. Senackerib) are in all material respects the same as Mr. Conant’s agreement.</w:t>
      </w:r>
    </w:p>
    <w:p>
      <w:pPr>
        <w:spacing w:after="0" w:line="1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of U.S. Severance Protection Agreement, which is applicable to executives hired after March 1, 2008 and before August 1, 2011, was filed with the SEC with Campbell’s Form 10-Q (SEC file number 1-3822) for the fiscal quarter ended November 2, 2008,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of Non-U.S. Severance Protection Agreement, which is applicable to executives hired after March 1, 2008 and before August 1, 2011, was filed with the SEC with Campbell’s Form 10-Q (SEC file number 1-3822) for the fiscal quarter ended November 2, 2008,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of U.S. Severance Protection Agreement, which is applicable to executives hired on or after August 1, 2011 (such as Carlos Barroso, Adam G. Ciongoli, Jeffrey T. Dunn and Michael P. Senackerib), was filed with the SEC with Campbell’s Form 10-K (SEC file number 1-3822) for the fiscal year ended July 31, 2011,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Form of Non-U.S. Severance Protection Agreement, which is applicable to executives hired on or after August 1, 2011 (such as Luca Mignini), was filed with the SEC with Campbell’s Form 10-K (SEC file number 1-3822) for the fiscal year ended July 31, 2011,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Campbell Soup Company Severance Pay Plan for Salaried Employees, as amended and restated effective January 1, 2011, was filed with the SEC with Campbell’s Form 10-Q (SEC file number 1-3822) for the fiscal quarter ended May 1, 2011, and is incorporated herein by reference.</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Amendment to the Campbell Soup Company Severance Pay Plan for Salaried Employees, effective as of May 1, 2015, was filed with the SEC with Campbell’s Form 10-Q (SEC file number 1-3822) for the fiscal quarter ended May 3, 2015,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Campbell Soup Company Supplemental Employees’ Retirement Plan, as amended and restated effective January 1, 2009, was filed with the SEC with Campbell’s Form 10-Q (SEC file number 1-3822) for the fiscal quarter ended February 1, 2009, and is incorporated herein by reference.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Amendment to the Campbell Soup Company Supplemental Employees’ Retirement Plan, effective as of December 31, 2010, was filed with the SEC with Campbell’s Form 10-Q (SEC file number 1-3822) for the fiscal quarter ended January 30, 2011, and is incorporated herein by reference.</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Letter Agreement, dated July 22, 2014, between the company and Jeffrey T. Dunn was filed with the SEC with Campbell’s Form 10-Q (SEC file number 1-3822) for the fiscal quarter ended February 1, 2015, and is incorporated herein by reference.</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2005 Long-Term Incentive Plan Time-Lapsed Restricted Stock Unit Agreement, dated as of August 1, 2014, between the company and Jeffrey T. Dunn was filed with the SEC with Campbell’s Form 10-Q (SEC file number 1-3822) for the fiscal quarter ended February 1, 2015, and is incorporated herein by reference.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2005 Long-Term Incentive Plan Performance Restricted Stock Unit Agreement, dated as of October 1, 2014, between the company and Jeffrey T. Dunn was filed with the SEC with Campbell’s Form 10-Q (SEC file number 1-3822) for the fiscal quarter ended February 1, 2015, and is incorporated herein by reference.</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2005 Long-Term Incentive Plan Performance Restricted Stock Unit Agreement, dated as of October 1, 2014, between the company and Jeffrey T. Dunn was filed with the SEC with Campbell’s Form 10-Q (SEC file number 1-3822) for the fiscal quarter ended February 1, 2015, and is incorporated herein by reference.</w:t>
      </w:r>
    </w:p>
    <w:p>
      <w:pPr>
        <w:spacing w:after="0" w:line="3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Wm. Bolthouse Farms, Inc. Salaried &amp; Hourly Administrative Performance-Based Incentive Plan was filed with the SEC with Campbell’s Form 10-Q (SEC file number 1-3822) for the fiscal quarter ended February 1, 2015, and is incorporated herein by reference.</w:t>
      </w: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Wm. Bolthouse Farms, Inc. Deferred Compensation Plan, effective as of August 1, 2010 was filed with the SEC with Campbell’s Form 10-Q (SEC file number 1-3822) for the fiscal quarter ended February 1, 2015, and is incorporated herein by reference.</w:t>
      </w:r>
    </w:p>
    <w:p>
      <w:pPr>
        <w:spacing w:after="0" w:line="200" w:lineRule="exact"/>
        <w:rPr>
          <w:sz w:val="20"/>
          <w:szCs w:val="20"/>
          <w:color w:val="auto"/>
        </w:rPr>
      </w:pPr>
    </w:p>
    <w:p>
      <w:pPr>
        <w:sectPr>
          <w:pgSz w:w="11900" w:h="16838" w:orient="portrait"/>
          <w:cols w:equalWidth="0" w:num="2">
            <w:col w:w="480" w:space="680"/>
            <w:col w:w="10140"/>
          </w:cols>
          <w:pgMar w:left="300" w:top="1395" w:right="29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300"/>
          </w:cols>
          <w:pgMar w:left="300" w:top="1395" w:right="299" w:bottom="1440" w:gutter="0" w:footer="0" w:header="0"/>
          <w:type w:val="continuous"/>
        </w:sectPr>
      </w:pPr>
    </w:p>
    <w:bookmarkStart w:id="86" w:name="page87"/>
    <w:bookmarkEnd w:id="86"/>
    <w:tbl>
      <w:tblPr>
        <w:tblLayout w:type="fixed"/>
        <w:tblInd w:w="6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10(x)</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Form of 2005 Long-Term Incentive Plan Time-Lapsed Restricted Stock Unit Agreement was filed with the Commission on a Form 8-K (File</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number 1-3822) on February 2, 2015, and is incorporated herein by reference. The form agreement is applicable to the (i) February 1, 2015</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restricted stock unit grants to each of Mark R. Alexander, Luca Mignini and Michael P. Senackerib, (ii) the March 1, 2015 restricted stock</w:t>
            </w:r>
          </w:p>
        </w:tc>
      </w:tr>
      <w:tr>
        <w:trPr>
          <w:trHeight w:val="216"/>
        </w:trPr>
        <w:tc>
          <w:tcPr>
            <w:tcW w:w="7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unit grant to Ed Carolan (provided that the vesting period for Mr. Carolan's grant is three (3) years); and (iii) the August 1, 2015 restricted</w:t>
            </w:r>
          </w:p>
        </w:tc>
      </w:tr>
      <w:tr>
        <w:trPr>
          <w:trHeight w:val="230"/>
        </w:trPr>
        <w:tc>
          <w:tcPr>
            <w:tcW w:w="780" w:type="dxa"/>
            <w:vAlign w:val="bottom"/>
          </w:tcPr>
          <w:p>
            <w:pPr>
              <w:spacing w:after="0"/>
              <w:rPr>
                <w:sz w:val="20"/>
                <w:szCs w:val="20"/>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stock unit grant to Adam G. Ciongoli.</w:t>
            </w: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380"/>
              <w:spacing w:after="0"/>
              <w:rPr>
                <w:sz w:val="20"/>
                <w:szCs w:val="20"/>
                <w:color w:val="auto"/>
              </w:rPr>
            </w:pPr>
            <w:r>
              <w:rPr>
                <w:rFonts w:ascii="Arial" w:cs="Arial" w:eastAsia="Arial" w:hAnsi="Arial"/>
                <w:sz w:val="18"/>
                <w:szCs w:val="18"/>
                <w:color w:val="auto"/>
              </w:rPr>
              <w:t>Subsidiaries (Direct and Indirect) of the company.</w:t>
            </w:r>
          </w:p>
        </w:tc>
      </w:tr>
    </w:tbl>
    <w:p>
      <w:pPr>
        <w:spacing w:after="0" w:line="175" w:lineRule="exact"/>
        <w:rPr>
          <w:sz w:val="20"/>
          <w:szCs w:val="20"/>
          <w:color w:val="auto"/>
        </w:rPr>
      </w:pPr>
    </w:p>
    <w:p>
      <w:pPr>
        <w:ind w:left="1220" w:hanging="1158"/>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198" w:lineRule="exact"/>
        <w:rPr>
          <w:rFonts w:ascii="Arial" w:cs="Arial" w:eastAsia="Arial" w:hAnsi="Arial"/>
          <w:sz w:val="18"/>
          <w:szCs w:val="18"/>
          <w:color w:val="auto"/>
        </w:rPr>
      </w:pPr>
    </w:p>
    <w:p>
      <w:pPr>
        <w:ind w:left="1220" w:hanging="1158"/>
        <w:spacing w:after="0"/>
        <w:tabs>
          <w:tab w:leader="none" w:pos="12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32(a)</w:t>
            </w: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32(b)</w:t>
            </w: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this document have been omitted and filed separately with the Commission pursuant to a confidential treatment request under 17 C.F.R. 240.24b-2.</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395" w:right="2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EXHIBIT 21</w:t>
            </w:r>
          </w:p>
        </w:tc>
        <w:tc>
          <w:tcPr>
            <w:tcW w:w="5200" w:type="dxa"/>
            <w:vAlign w:val="bottom"/>
          </w:tcPr>
          <w:p>
            <w:pPr>
              <w:spacing w:after="0"/>
              <w:rPr>
                <w:sz w:val="17"/>
                <w:szCs w:val="17"/>
                <w:color w:val="auto"/>
              </w:rPr>
            </w:pPr>
          </w:p>
        </w:tc>
      </w:tr>
      <w:tr>
        <w:trPr>
          <w:trHeight w:val="453"/>
        </w:trPr>
        <w:tc>
          <w:tcPr>
            <w:tcW w:w="4220" w:type="dxa"/>
            <w:vAlign w:val="bottom"/>
          </w:tcPr>
          <w:p>
            <w:pPr>
              <w:spacing w:after="0"/>
              <w:rPr>
                <w:sz w:val="24"/>
                <w:szCs w:val="24"/>
                <w:color w:val="auto"/>
              </w:rPr>
            </w:pPr>
          </w:p>
        </w:tc>
        <w:tc>
          <w:tcPr>
            <w:tcW w:w="7200" w:type="dxa"/>
            <w:vAlign w:val="bottom"/>
            <w:gridSpan w:val="4"/>
          </w:tcPr>
          <w:p>
            <w:pPr>
              <w:jc w:val="center"/>
              <w:ind w:right="4130"/>
              <w:spacing w:after="0"/>
              <w:rPr>
                <w:sz w:val="20"/>
                <w:szCs w:val="20"/>
                <w:color w:val="auto"/>
              </w:rPr>
            </w:pPr>
            <w:r>
              <w:rPr>
                <w:rFonts w:ascii="Arial" w:cs="Arial" w:eastAsia="Arial" w:hAnsi="Arial"/>
                <w:sz w:val="18"/>
                <w:szCs w:val="18"/>
                <w:b w:val="1"/>
                <w:bCs w:val="1"/>
                <w:color w:val="auto"/>
                <w:w w:val="99"/>
              </w:rPr>
              <w:t>SUBSIDIARIES OF CAMPBELL</w:t>
            </w:r>
          </w:p>
        </w:tc>
      </w:tr>
      <w:tr>
        <w:trPr>
          <w:trHeight w:val="351"/>
        </w:trPr>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41"/>
        </w:trPr>
        <w:tc>
          <w:tcPr>
            <w:tcW w:w="4220" w:type="dxa"/>
            <w:vAlign w:val="bottom"/>
            <w:shd w:val="clear" w:color="auto" w:fill="E6E6E6"/>
          </w:tcPr>
          <w:p>
            <w:pPr>
              <w:ind w:left="1680"/>
              <w:spacing w:after="0"/>
              <w:rPr>
                <w:sz w:val="20"/>
                <w:szCs w:val="20"/>
                <w:color w:val="auto"/>
              </w:rPr>
            </w:pPr>
            <w:r>
              <w:rPr>
                <w:rFonts w:ascii="Arial" w:cs="Arial" w:eastAsia="Arial" w:hAnsi="Arial"/>
                <w:sz w:val="18"/>
                <w:szCs w:val="18"/>
                <w:b w:val="1"/>
                <w:bCs w:val="1"/>
                <w:color w:val="auto"/>
                <w:w w:val="97"/>
              </w:rPr>
              <w:t>Name of Subsidiary and Name</w:t>
            </w:r>
          </w:p>
        </w:tc>
        <w:tc>
          <w:tcPr>
            <w:tcW w:w="1000" w:type="dxa"/>
            <w:vAlign w:val="bottom"/>
            <w:shd w:val="clear" w:color="auto" w:fill="E6E6E6"/>
          </w:tcPr>
          <w:p>
            <w:pPr>
              <w:spacing w:after="0"/>
              <w:rPr>
                <w:sz w:val="24"/>
                <w:szCs w:val="24"/>
                <w:color w:val="auto"/>
              </w:rPr>
            </w:pPr>
          </w:p>
        </w:tc>
        <w:tc>
          <w:tcPr>
            <w:tcW w:w="520" w:type="dxa"/>
            <w:vAlign w:val="bottom"/>
            <w:tcBorders>
              <w:right w:val="single" w:sz="8" w:color="00000A"/>
            </w:tcBorders>
            <w:shd w:val="clear" w:color="auto" w:fill="E6E6E6"/>
          </w:tcPr>
          <w:p>
            <w:pPr>
              <w:spacing w:after="0"/>
              <w:rPr>
                <w:sz w:val="24"/>
                <w:szCs w:val="24"/>
                <w:color w:val="auto"/>
              </w:rPr>
            </w:pPr>
          </w:p>
        </w:tc>
        <w:tc>
          <w:tcPr>
            <w:tcW w:w="480" w:type="dxa"/>
            <w:vAlign w:val="bottom"/>
            <w:shd w:val="clear" w:color="auto" w:fill="E6E6E6"/>
          </w:tcPr>
          <w:p>
            <w:pPr>
              <w:spacing w:after="0"/>
              <w:rPr>
                <w:sz w:val="24"/>
                <w:szCs w:val="24"/>
                <w:color w:val="auto"/>
              </w:rPr>
            </w:pPr>
          </w:p>
        </w:tc>
        <w:tc>
          <w:tcPr>
            <w:tcW w:w="5200" w:type="dxa"/>
            <w:vAlign w:val="bottom"/>
            <w:shd w:val="clear" w:color="auto" w:fill="E6E6E6"/>
          </w:tcPr>
          <w:p>
            <w:pPr>
              <w:spacing w:after="0"/>
              <w:rPr>
                <w:sz w:val="24"/>
                <w:szCs w:val="24"/>
                <w:color w:val="auto"/>
              </w:rPr>
            </w:pPr>
          </w:p>
        </w:tc>
      </w:tr>
      <w:tr>
        <w:trPr>
          <w:trHeight w:val="266"/>
        </w:trPr>
        <w:tc>
          <w:tcPr>
            <w:tcW w:w="422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w w:val="95"/>
              </w:rPr>
              <w:t>Under Which It Does Business</w:t>
            </w:r>
          </w:p>
        </w:tc>
        <w:tc>
          <w:tcPr>
            <w:tcW w:w="1000" w:type="dxa"/>
            <w:vAlign w:val="bottom"/>
            <w:tcBorders>
              <w:bottom w:val="single" w:sz="8" w:color="E6E6E6"/>
            </w:tcBorders>
            <w:shd w:val="clear" w:color="auto" w:fill="E6E6E6"/>
          </w:tcPr>
          <w:p>
            <w:pPr>
              <w:spacing w:after="0"/>
              <w:rPr>
                <w:sz w:val="22"/>
                <w:szCs w:val="22"/>
                <w:color w:val="auto"/>
              </w:rPr>
            </w:pPr>
          </w:p>
        </w:tc>
        <w:tc>
          <w:tcPr>
            <w:tcW w:w="520" w:type="dxa"/>
            <w:vAlign w:val="bottom"/>
            <w:tcBorders>
              <w:bottom w:val="single" w:sz="8" w:color="E6E6E6"/>
              <w:right w:val="single" w:sz="8" w:color="00000A"/>
            </w:tcBorders>
            <w:shd w:val="clear" w:color="auto" w:fill="E6E6E6"/>
          </w:tcPr>
          <w:p>
            <w:pPr>
              <w:spacing w:after="0"/>
              <w:rPr>
                <w:sz w:val="22"/>
                <w:szCs w:val="22"/>
                <w:color w:val="auto"/>
              </w:rPr>
            </w:pPr>
          </w:p>
        </w:tc>
        <w:tc>
          <w:tcPr>
            <w:tcW w:w="480" w:type="dxa"/>
            <w:vAlign w:val="bottom"/>
            <w:tcBorders>
              <w:bottom w:val="single" w:sz="8" w:color="E6E6E6"/>
            </w:tcBorders>
            <w:shd w:val="clear" w:color="auto" w:fill="E6E6E6"/>
          </w:tcPr>
          <w:p>
            <w:pPr>
              <w:spacing w:after="0"/>
              <w:rPr>
                <w:sz w:val="22"/>
                <w:szCs w:val="22"/>
                <w:color w:val="auto"/>
              </w:rPr>
            </w:pPr>
          </w:p>
        </w:tc>
        <w:tc>
          <w:tcPr>
            <w:tcW w:w="5200" w:type="dxa"/>
            <w:vAlign w:val="bottom"/>
            <w:tcBorders>
              <w:bottom w:val="single" w:sz="8" w:color="E6E6E6"/>
            </w:tcBorders>
            <w:shd w:val="clear" w:color="auto" w:fill="E6E6E6"/>
          </w:tcPr>
          <w:p>
            <w:pPr>
              <w:ind w:left="1240"/>
              <w:spacing w:after="0"/>
              <w:rPr>
                <w:sz w:val="20"/>
                <w:szCs w:val="20"/>
                <w:color w:val="auto"/>
              </w:rPr>
            </w:pPr>
            <w:r>
              <w:rPr>
                <w:rFonts w:ascii="Arial" w:cs="Arial" w:eastAsia="Arial" w:hAnsi="Arial"/>
                <w:sz w:val="18"/>
                <w:szCs w:val="18"/>
                <w:b w:val="1"/>
                <w:bCs w:val="1"/>
                <w:color w:val="auto"/>
              </w:rPr>
              <w:t>Jurisdiction of Incorporation</w:t>
            </w:r>
          </w:p>
        </w:tc>
      </w:tr>
      <w:tr>
        <w:trPr>
          <w:trHeight w:val="237"/>
        </w:trPr>
        <w:tc>
          <w:tcPr>
            <w:tcW w:w="4220" w:type="dxa"/>
            <w:vAlign w:val="bottom"/>
            <w:tcBorders>
              <w:top w:val="single" w:sz="8" w:color="00000A"/>
            </w:tcBorders>
          </w:tcPr>
          <w:p>
            <w:pPr>
              <w:ind w:left="40"/>
              <w:spacing w:after="0"/>
              <w:rPr>
                <w:sz w:val="20"/>
                <w:szCs w:val="20"/>
                <w:color w:val="auto"/>
              </w:rPr>
            </w:pPr>
            <w:r>
              <w:rPr>
                <w:rFonts w:ascii="Arial" w:cs="Arial" w:eastAsia="Arial" w:hAnsi="Arial"/>
                <w:sz w:val="18"/>
                <w:szCs w:val="18"/>
                <w:color w:val="auto"/>
              </w:rPr>
              <w:t>1035 Line Company</w:t>
            </w:r>
          </w:p>
        </w:tc>
        <w:tc>
          <w:tcPr>
            <w:tcW w:w="1000" w:type="dxa"/>
            <w:vAlign w:val="bottom"/>
            <w:tcBorders>
              <w:top w:val="single" w:sz="8" w:color="00000A"/>
            </w:tcBorders>
          </w:tcPr>
          <w:p>
            <w:pPr>
              <w:spacing w:after="0"/>
              <w:rPr>
                <w:sz w:val="20"/>
                <w:szCs w:val="20"/>
                <w:color w:val="auto"/>
              </w:rPr>
            </w:pPr>
          </w:p>
        </w:tc>
        <w:tc>
          <w:tcPr>
            <w:tcW w:w="520" w:type="dxa"/>
            <w:vAlign w:val="bottom"/>
            <w:tcBorders>
              <w:top w:val="single" w:sz="8" w:color="00000A"/>
              <w:right w:val="single" w:sz="8" w:color="00000A"/>
            </w:tcBorders>
          </w:tcPr>
          <w:p>
            <w:pPr>
              <w:spacing w:after="0"/>
              <w:rPr>
                <w:sz w:val="20"/>
                <w:szCs w:val="20"/>
                <w:color w:val="auto"/>
              </w:rPr>
            </w:pPr>
          </w:p>
        </w:tc>
        <w:tc>
          <w:tcPr>
            <w:tcW w:w="5680" w:type="dxa"/>
            <w:vAlign w:val="bottom"/>
            <w:tcBorders>
              <w:top w:val="single" w:sz="8" w:color="00000A"/>
            </w:tcBorders>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BF Bolthouse Holdco LLC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Bolthouse Investment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Bolthouse Juice Holdings, LLC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Bolthouse Juice Products, LLC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AB Australasia Pty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Biscuit Company Singapore Pte Ltd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Biscuits Holdings Pty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Biscuits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New Zealand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Sales Pty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Arnott’s Foundation Pty.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Aulsebrooks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Bolthouse Farms Canada Co.</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Bolthouse Farms Japan YK</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CAH Corporation</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Argentina S.A.</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Argentina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Arnott’s Holdings Pty Ltd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Arnott’s Investments Pty Ltd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Arnott’s Investments No. 2 Pty Ltd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Australasia Pty Ltd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Cheong Chan Malaysia Sdn. Bhd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Company of Canada</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EU Investment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Finance Corp. LLC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Finance 2 Corp.</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Foodservice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International Holdings Inc.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Investment (Australia) Pty. Limited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Investment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Japan Incorporated</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Jin Bao Tang, Inc.</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MFG 1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Luxembourg Holdings S.a.r.l.</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Campbell Sales Company</w:t>
            </w:r>
          </w:p>
        </w:tc>
        <w:tc>
          <w:tcPr>
            <w:tcW w:w="1000" w:type="dxa"/>
            <w:vAlign w:val="bottom"/>
          </w:tcPr>
          <w:p>
            <w:pPr>
              <w:spacing w:after="0"/>
              <w:rPr>
                <w:sz w:val="20"/>
                <w:szCs w:val="20"/>
                <w:color w:val="auto"/>
              </w:rPr>
            </w:pPr>
          </w:p>
        </w:tc>
        <w:tc>
          <w:tcPr>
            <w:tcW w:w="520" w:type="dxa"/>
            <w:vAlign w:val="bottom"/>
            <w:tcBorders>
              <w:right w:val="single" w:sz="8" w:color="00000A"/>
            </w:tcBorders>
          </w:tcPr>
          <w:p>
            <w:pPr>
              <w:spacing w:after="0"/>
              <w:rPr>
                <w:sz w:val="20"/>
                <w:szCs w:val="20"/>
                <w:color w:val="auto"/>
              </w:rPr>
            </w:pPr>
          </w:p>
        </w:tc>
        <w:tc>
          <w:tcPr>
            <w:tcW w:w="5680" w:type="dxa"/>
            <w:vAlign w:val="bottom"/>
            <w:gridSpan w:val="2"/>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4220" w:type="dxa"/>
            <w:vAlign w:val="bottom"/>
            <w:tcBorders>
              <w:bottom w:val="single" w:sz="8" w:color="00000A"/>
            </w:tcBorders>
          </w:tcPr>
          <w:p>
            <w:pPr>
              <w:spacing w:after="0"/>
              <w:rPr>
                <w:sz w:val="2"/>
                <w:szCs w:val="2"/>
                <w:color w:val="auto"/>
              </w:rPr>
            </w:pPr>
          </w:p>
        </w:tc>
        <w:tc>
          <w:tcPr>
            <w:tcW w:w="1000" w:type="dxa"/>
            <w:vAlign w:val="bottom"/>
            <w:tcBorders>
              <w:bottom w:val="single" w:sz="8" w:color="00000A"/>
            </w:tcBorders>
          </w:tcPr>
          <w:p>
            <w:pPr>
              <w:spacing w:after="0"/>
              <w:rPr>
                <w:sz w:val="2"/>
                <w:szCs w:val="2"/>
                <w:color w:val="auto"/>
              </w:rPr>
            </w:pPr>
          </w:p>
        </w:tc>
        <w:tc>
          <w:tcPr>
            <w:tcW w:w="520" w:type="dxa"/>
            <w:vAlign w:val="bottom"/>
            <w:tcBorders>
              <w:bottom w:val="single" w:sz="8" w:color="00000A"/>
              <w:right w:val="single" w:sz="8" w:color="00000A"/>
            </w:tcBorders>
          </w:tcPr>
          <w:p>
            <w:pPr>
              <w:spacing w:after="0"/>
              <w:rPr>
                <w:sz w:val="2"/>
                <w:szCs w:val="2"/>
                <w:color w:val="auto"/>
              </w:rPr>
            </w:pPr>
          </w:p>
        </w:tc>
        <w:tc>
          <w:tcPr>
            <w:tcW w:w="480" w:type="dxa"/>
            <w:vAlign w:val="bottom"/>
            <w:tcBorders>
              <w:bottom w:val="single" w:sz="8" w:color="00000A"/>
            </w:tcBorders>
          </w:tcPr>
          <w:p>
            <w:pPr>
              <w:spacing w:after="0"/>
              <w:rPr>
                <w:sz w:val="2"/>
                <w:szCs w:val="2"/>
                <w:color w:val="auto"/>
              </w:rPr>
            </w:pPr>
          </w:p>
        </w:tc>
        <w:tc>
          <w:tcPr>
            <w:tcW w:w="5200" w:type="dxa"/>
            <w:vAlign w:val="bottom"/>
            <w:tcBorders>
              <w:bottom w:val="single" w:sz="8" w:color="00000A"/>
            </w:tcBorders>
          </w:tcPr>
          <w:p>
            <w:pPr>
              <w:spacing w:after="0"/>
              <w:rPr>
                <w:sz w:val="2"/>
                <w:szCs w:val="2"/>
                <w:color w:val="auto"/>
              </w:rPr>
            </w:pPr>
          </w:p>
        </w:tc>
      </w:tr>
    </w:tbl>
    <w:p>
      <w:pPr>
        <w:sectPr>
          <w:pgSz w:w="11900" w:h="16838" w:orient="portrait"/>
          <w:cols w:equalWidth="0" w:num="1">
            <w:col w:w="11420"/>
          </w:cols>
          <w:pgMar w:left="240" w:top="351"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5740" w:type="dxa"/>
            <w:vAlign w:val="bottom"/>
            <w:tcBorders>
              <w:right w:val="single" w:sz="8" w:color="00000A"/>
            </w:tcBorders>
            <w:shd w:val="clear" w:color="auto" w:fill="E6E6E6"/>
          </w:tcPr>
          <w:p>
            <w:pPr>
              <w:ind w:left="1680"/>
              <w:spacing w:after="0"/>
              <w:rPr>
                <w:sz w:val="20"/>
                <w:szCs w:val="20"/>
                <w:color w:val="auto"/>
              </w:rPr>
            </w:pPr>
            <w:r>
              <w:rPr>
                <w:rFonts w:ascii="Arial" w:cs="Arial" w:eastAsia="Arial" w:hAnsi="Arial"/>
                <w:sz w:val="18"/>
                <w:szCs w:val="18"/>
                <w:b w:val="1"/>
                <w:bCs w:val="1"/>
                <w:color w:val="auto"/>
              </w:rPr>
              <w:t>Name of Subsidiary and Name</w:t>
            </w:r>
          </w:p>
        </w:tc>
        <w:tc>
          <w:tcPr>
            <w:tcW w:w="5680" w:type="dxa"/>
            <w:vAlign w:val="bottom"/>
            <w:shd w:val="clear" w:color="auto" w:fill="E6E6E6"/>
          </w:tcPr>
          <w:p>
            <w:pPr>
              <w:spacing w:after="0"/>
              <w:rPr>
                <w:sz w:val="24"/>
                <w:szCs w:val="24"/>
                <w:color w:val="auto"/>
              </w:rPr>
            </w:pPr>
          </w:p>
        </w:tc>
      </w:tr>
      <w:tr>
        <w:trPr>
          <w:trHeight w:val="266"/>
        </w:trPr>
        <w:tc>
          <w:tcPr>
            <w:tcW w:w="5740" w:type="dxa"/>
            <w:vAlign w:val="bottom"/>
            <w:tcBorders>
              <w:bottom w:val="single" w:sz="8" w:color="E6E6E6"/>
              <w:right w:val="single" w:sz="8" w:color="00000A"/>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Under Which It Does Business</w:t>
            </w:r>
          </w:p>
        </w:tc>
        <w:tc>
          <w:tcPr>
            <w:tcW w:w="5680" w:type="dxa"/>
            <w:vAlign w:val="bottom"/>
            <w:tcBorders>
              <w:bottom w:val="single" w:sz="8" w:color="E6E6E6"/>
            </w:tcBorders>
            <w:shd w:val="clear" w:color="auto" w:fill="E6E6E6"/>
          </w:tcPr>
          <w:p>
            <w:pPr>
              <w:ind w:left="1720"/>
              <w:spacing w:after="0"/>
              <w:rPr>
                <w:sz w:val="20"/>
                <w:szCs w:val="20"/>
                <w:color w:val="auto"/>
              </w:rPr>
            </w:pPr>
            <w:r>
              <w:rPr>
                <w:rFonts w:ascii="Arial" w:cs="Arial" w:eastAsia="Arial" w:hAnsi="Arial"/>
                <w:sz w:val="18"/>
                <w:szCs w:val="18"/>
                <w:b w:val="1"/>
                <w:bCs w:val="1"/>
                <w:color w:val="auto"/>
              </w:rPr>
              <w:t>Jurisdiction of Incorporation</w:t>
            </w:r>
          </w:p>
        </w:tc>
      </w:tr>
      <w:tr>
        <w:trPr>
          <w:trHeight w:val="237"/>
        </w:trPr>
        <w:tc>
          <w:tcPr>
            <w:tcW w:w="574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Campbell Soup Asia Limited</w:t>
            </w:r>
          </w:p>
        </w:tc>
        <w:tc>
          <w:tcPr>
            <w:tcW w:w="568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Soup Dominicana, S.A.</w:t>
            </w:r>
          </w:p>
        </w:tc>
        <w:tc>
          <w:tcPr>
            <w:tcW w:w="5680" w:type="dxa"/>
            <w:vAlign w:val="bottom"/>
          </w:tcPr>
          <w:p>
            <w:pPr>
              <w:ind w:left="20"/>
              <w:spacing w:after="0"/>
              <w:rPr>
                <w:sz w:val="20"/>
                <w:szCs w:val="20"/>
                <w:color w:val="auto"/>
              </w:rPr>
            </w:pPr>
            <w:r>
              <w:rPr>
                <w:rFonts w:ascii="Arial" w:cs="Arial" w:eastAsia="Arial" w:hAnsi="Arial"/>
                <w:sz w:val="18"/>
                <w:szCs w:val="18"/>
                <w:color w:val="auto"/>
              </w:rPr>
              <w:t>Dominican Republic</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Soup LLC</w:t>
            </w:r>
          </w:p>
        </w:tc>
        <w:tc>
          <w:tcPr>
            <w:tcW w:w="5680" w:type="dxa"/>
            <w:vAlign w:val="bottom"/>
          </w:tcPr>
          <w:p>
            <w:pPr>
              <w:ind w:left="20"/>
              <w:spacing w:after="0"/>
              <w:rPr>
                <w:sz w:val="20"/>
                <w:szCs w:val="20"/>
                <w:color w:val="auto"/>
              </w:rPr>
            </w:pPr>
            <w:r>
              <w:rPr>
                <w:rFonts w:ascii="Arial" w:cs="Arial" w:eastAsia="Arial" w:hAnsi="Arial"/>
                <w:sz w:val="18"/>
                <w:szCs w:val="18"/>
                <w:color w:val="auto"/>
              </w:rPr>
              <w:t>Russia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Soup Supply Company L.L.C.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Southeast Asia Sdn Bhd</w:t>
            </w:r>
          </w:p>
        </w:tc>
        <w:tc>
          <w:tcPr>
            <w:tcW w:w="568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Swire (HK) Ltd</w:t>
            </w:r>
          </w:p>
        </w:tc>
        <w:tc>
          <w:tcPr>
            <w:tcW w:w="56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Swire Equipment Leasing Ltd</w:t>
            </w:r>
          </w:p>
        </w:tc>
        <w:tc>
          <w:tcPr>
            <w:tcW w:w="56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Swire (Xiamen) Co Ltd</w:t>
            </w:r>
          </w:p>
        </w:tc>
        <w:tc>
          <w:tcPr>
            <w:tcW w:w="568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 Urban Renewal Corporation</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Campbell’s de Mexico S.A. de C. V.</w:t>
            </w:r>
          </w:p>
        </w:tc>
        <w:tc>
          <w:tcPr>
            <w:tcW w:w="568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Campbell’s Foods (NZ) Ltd</w:t>
            </w:r>
          </w:p>
        </w:tc>
        <w:tc>
          <w:tcPr>
            <w:tcW w:w="568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Campbell’s U.K.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CANEB L.L.C.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CanFin Holdings Inc.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Fresh Logistics, LLC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CASP Pty.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CCHC Pty Ltd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CDM Servicios Comerciales y Administrativos, S.A. de C. V.</w:t>
            </w:r>
          </w:p>
        </w:tc>
        <w:tc>
          <w:tcPr>
            <w:tcW w:w="568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CIRT Urban Renewal Corp.</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Comercializadora Campbell de Guatemala, Limitada</w:t>
            </w:r>
          </w:p>
        </w:tc>
        <w:tc>
          <w:tcPr>
            <w:tcW w:w="5680" w:type="dxa"/>
            <w:vAlign w:val="bottom"/>
          </w:tcPr>
          <w:p>
            <w:pPr>
              <w:ind w:left="20"/>
              <w:spacing w:after="0"/>
              <w:rPr>
                <w:sz w:val="20"/>
                <w:szCs w:val="20"/>
                <w:color w:val="auto"/>
              </w:rPr>
            </w:pPr>
            <w:r>
              <w:rPr>
                <w:rFonts w:ascii="Arial" w:cs="Arial" w:eastAsia="Arial" w:hAnsi="Arial"/>
                <w:sz w:val="18"/>
                <w:szCs w:val="18"/>
                <w:color w:val="auto"/>
              </w:rPr>
              <w:t>Guatemala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CRHC Pty. Ltd.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CSC Brands LP</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CSC Insights, Inc.</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CSC Standards, Inc.</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EDS Investments, LLC</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EPL Properties Pty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Garden Fresh Gourmet, LLC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Joseph Campbell Company</w:t>
            </w:r>
          </w:p>
        </w:tc>
        <w:tc>
          <w:tcPr>
            <w:tcW w:w="568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Keldan Shipping ApS</w:t>
            </w:r>
          </w:p>
        </w:tc>
        <w:tc>
          <w:tcPr>
            <w:tcW w:w="568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Kelsen Group A/S</w:t>
            </w:r>
          </w:p>
        </w:tc>
        <w:tc>
          <w:tcPr>
            <w:tcW w:w="568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Kelsen, Inc.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Kjeldsens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Newshelf 1287 Proprietary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South Africa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Pepperidge Farm, Incorporated</w:t>
            </w:r>
          </w:p>
        </w:tc>
        <w:tc>
          <w:tcPr>
            <w:tcW w:w="568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Players Biscuits Pty. Ltd.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Players Group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Plum Baby Limited</w:t>
            </w:r>
          </w:p>
        </w:tc>
        <w:tc>
          <w:tcPr>
            <w:tcW w:w="568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Plum, PBC</w:t>
            </w:r>
          </w:p>
        </w:tc>
        <w:tc>
          <w:tcPr>
            <w:tcW w:w="56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Plyfix Pty. Ltd.</w:t>
            </w:r>
          </w:p>
        </w:tc>
        <w:tc>
          <w:tcPr>
            <w:tcW w:w="568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PT Arnott’s Indonesia</w:t>
            </w:r>
          </w:p>
        </w:tc>
        <w:tc>
          <w:tcPr>
            <w:tcW w:w="5680" w:type="dxa"/>
            <w:vAlign w:val="bottom"/>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bl>
    <w:p>
      <w:pPr>
        <w:sectPr>
          <w:pgSz w:w="11900" w:h="16838" w:orient="portrait"/>
          <w:cols w:equalWidth="0" w:num="1">
            <w:col w:w="11420"/>
          </w:cols>
          <w:pgMar w:left="240" w:top="517" w:right="2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5740" w:type="dxa"/>
            <w:vAlign w:val="bottom"/>
            <w:tcBorders>
              <w:right w:val="single" w:sz="8" w:color="00000A"/>
            </w:tcBorders>
            <w:shd w:val="clear" w:color="auto" w:fill="E6E6E6"/>
          </w:tcPr>
          <w:p>
            <w:pPr>
              <w:ind w:left="1680"/>
              <w:spacing w:after="0"/>
              <w:rPr>
                <w:sz w:val="20"/>
                <w:szCs w:val="20"/>
                <w:color w:val="auto"/>
              </w:rPr>
            </w:pPr>
            <w:r>
              <w:rPr>
                <w:rFonts w:ascii="Arial" w:cs="Arial" w:eastAsia="Arial" w:hAnsi="Arial"/>
                <w:sz w:val="18"/>
                <w:szCs w:val="18"/>
                <w:b w:val="1"/>
                <w:bCs w:val="1"/>
                <w:color w:val="auto"/>
              </w:rPr>
              <w:t>Name of Subsidiary and Name</w:t>
            </w:r>
          </w:p>
        </w:tc>
        <w:tc>
          <w:tcPr>
            <w:tcW w:w="5680" w:type="dxa"/>
            <w:vAlign w:val="bottom"/>
            <w:shd w:val="clear" w:color="auto" w:fill="E6E6E6"/>
          </w:tcPr>
          <w:p>
            <w:pPr>
              <w:spacing w:after="0"/>
              <w:rPr>
                <w:sz w:val="24"/>
                <w:szCs w:val="24"/>
                <w:color w:val="auto"/>
              </w:rPr>
            </w:pPr>
          </w:p>
        </w:tc>
      </w:tr>
      <w:tr>
        <w:trPr>
          <w:trHeight w:val="266"/>
        </w:trPr>
        <w:tc>
          <w:tcPr>
            <w:tcW w:w="5740" w:type="dxa"/>
            <w:vAlign w:val="bottom"/>
            <w:tcBorders>
              <w:bottom w:val="single" w:sz="8" w:color="E6E6E6"/>
              <w:right w:val="single" w:sz="8" w:color="00000A"/>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Under Which It Does Business</w:t>
            </w:r>
          </w:p>
        </w:tc>
        <w:tc>
          <w:tcPr>
            <w:tcW w:w="5680" w:type="dxa"/>
            <w:vAlign w:val="bottom"/>
            <w:tcBorders>
              <w:bottom w:val="single" w:sz="8" w:color="E6E6E6"/>
            </w:tcBorders>
            <w:shd w:val="clear" w:color="auto" w:fill="E6E6E6"/>
          </w:tcPr>
          <w:p>
            <w:pPr>
              <w:ind w:left="1720"/>
              <w:spacing w:after="0"/>
              <w:rPr>
                <w:sz w:val="20"/>
                <w:szCs w:val="20"/>
                <w:color w:val="auto"/>
              </w:rPr>
            </w:pPr>
            <w:r>
              <w:rPr>
                <w:rFonts w:ascii="Arial" w:cs="Arial" w:eastAsia="Arial" w:hAnsi="Arial"/>
                <w:sz w:val="18"/>
                <w:szCs w:val="18"/>
                <w:b w:val="1"/>
                <w:bCs w:val="1"/>
                <w:color w:val="auto"/>
              </w:rPr>
              <w:t>Jurisdiction of Incorporation</w:t>
            </w:r>
          </w:p>
        </w:tc>
      </w:tr>
      <w:tr>
        <w:trPr>
          <w:trHeight w:val="237"/>
        </w:trPr>
        <w:tc>
          <w:tcPr>
            <w:tcW w:w="5740" w:type="dxa"/>
            <w:vAlign w:val="bottom"/>
            <w:tcBorders>
              <w:top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Stockpot Inc.</w:t>
            </w:r>
          </w:p>
        </w:tc>
        <w:tc>
          <w:tcPr>
            <w:tcW w:w="568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Washington</w:t>
            </w:r>
          </w:p>
        </w:tc>
      </w:tr>
      <w:tr>
        <w:trPr>
          <w:trHeight w:val="27"/>
        </w:trPr>
        <w:tc>
          <w:tcPr>
            <w:tcW w:w="5740" w:type="dxa"/>
            <w:vAlign w:val="bottom"/>
            <w:tcBorders>
              <w:bottom w:val="single" w:sz="8" w:color="00000A"/>
              <w:right w:val="single" w:sz="8" w:color="00000A"/>
            </w:tcBorders>
          </w:tcPr>
          <w:p>
            <w:pPr>
              <w:spacing w:after="0"/>
              <w:rPr>
                <w:sz w:val="2"/>
                <w:szCs w:val="2"/>
                <w:color w:val="auto"/>
              </w:rPr>
            </w:pPr>
          </w:p>
        </w:tc>
        <w:tc>
          <w:tcPr>
            <w:tcW w:w="5680" w:type="dxa"/>
            <w:vAlign w:val="bottom"/>
            <w:tcBorders>
              <w:bottom w:val="single" w:sz="8" w:color="00000A"/>
            </w:tcBorders>
          </w:tcPr>
          <w:p>
            <w:pPr>
              <w:spacing w:after="0"/>
              <w:rPr>
                <w:sz w:val="2"/>
                <w:szCs w:val="2"/>
                <w:color w:val="auto"/>
              </w:rPr>
            </w:pPr>
          </w:p>
        </w:tc>
      </w:tr>
      <w:tr>
        <w:trPr>
          <w:trHeight w:val="237"/>
        </w:trPr>
        <w:tc>
          <w:tcPr>
            <w:tcW w:w="5740" w:type="dxa"/>
            <w:vAlign w:val="bottom"/>
            <w:tcBorders>
              <w:right w:val="single" w:sz="8" w:color="00000A"/>
            </w:tcBorders>
          </w:tcPr>
          <w:p>
            <w:pPr>
              <w:ind w:left="40"/>
              <w:spacing w:after="0"/>
              <w:rPr>
                <w:sz w:val="20"/>
                <w:szCs w:val="20"/>
                <w:color w:val="auto"/>
              </w:rPr>
            </w:pPr>
            <w:r>
              <w:rPr>
                <w:rFonts w:ascii="Arial" w:cs="Arial" w:eastAsia="Arial" w:hAnsi="Arial"/>
                <w:sz w:val="18"/>
                <w:szCs w:val="18"/>
                <w:color w:val="auto"/>
              </w:rPr>
              <w:t>Wm. Bolthouse Farms, Inc.</w:t>
            </w:r>
          </w:p>
        </w:tc>
        <w:tc>
          <w:tcPr>
            <w:tcW w:w="5680" w:type="dxa"/>
            <w:vAlign w:val="bottom"/>
          </w:tcPr>
          <w:p>
            <w:pPr>
              <w:ind w:left="20"/>
              <w:spacing w:after="0"/>
              <w:rPr>
                <w:sz w:val="20"/>
                <w:szCs w:val="20"/>
                <w:color w:val="auto"/>
              </w:rPr>
            </w:pPr>
            <w:r>
              <w:rPr>
                <w:rFonts w:ascii="Arial" w:cs="Arial" w:eastAsia="Arial" w:hAnsi="Arial"/>
                <w:sz w:val="18"/>
                <w:szCs w:val="18"/>
                <w:color w:val="auto"/>
              </w:rPr>
              <w:t>Michigan</w:t>
            </w:r>
          </w:p>
        </w:tc>
      </w:tr>
      <w:tr>
        <w:trPr>
          <w:trHeight w:val="27"/>
        </w:trPr>
        <w:tc>
          <w:tcPr>
            <w:tcW w:w="5740" w:type="dxa"/>
            <w:vAlign w:val="bottom"/>
            <w:tcBorders>
              <w:right w:val="single" w:sz="8" w:color="00000A"/>
            </w:tcBorders>
          </w:tcPr>
          <w:p>
            <w:pPr>
              <w:spacing w:after="0"/>
              <w:rPr>
                <w:sz w:val="2"/>
                <w:szCs w:val="2"/>
                <w:color w:val="auto"/>
              </w:rPr>
            </w:pPr>
          </w:p>
        </w:tc>
        <w:tc>
          <w:tcPr>
            <w:tcW w:w="568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The subsidiaries that have been omitted do not, if considered in the aggregate as a single subsidiary, constitute a “Significant Subsidiary” as defined by the SEC.</w:t>
      </w:r>
    </w:p>
    <w:p>
      <w:pPr>
        <w:sectPr>
          <w:pgSz w:w="11900" w:h="16838" w:orient="portrait"/>
          <w:cols w:equalWidth="0" w:num="1">
            <w:col w:w="11420"/>
          </w:cols>
          <w:pgMar w:left="240" w:top="51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(No. 333-199007) and Forms S-8 (Nos. 333-173583, 333-173582, 333-160381, 333-157850, 333-134675, 333-112319, 333-22803, 333-00729 and 33-59797) of Campbell Soup Company of our report dated September 29, 2015 relating to the financial statements, financial statement schedule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29, 2015</w:t>
      </w:r>
    </w:p>
    <w:p>
      <w:pPr>
        <w:sectPr>
          <w:pgSz w:w="11900" w:h="16838" w:orient="portrait"/>
          <w:cols w:equalWidth="0" w:num="1">
            <w:col w:w="11420"/>
          </w:cols>
          <w:pgMar w:left="240" w:top="796"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u w:val="single" w:color="auto"/>
          <w:color w:val="auto"/>
        </w:rPr>
        <w:t>Exhibit 24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REPORT ON FORM 10-K FOR FISCAL 2015</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Adam G. Ciongoli and Kathleen M. Gibson, each of them, until December 31, 2015, their true and lawful attorneys-in-fact and agents, with full power of substitution and revocation, for them and in their name, place and stead, in any and all capacities, to sign Campbell Soup Company's Annual Report on Form 10-K to the Securities and Exchange Commission for the fiscal year ended August 2, 2015, and any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may lawfully do or cause to be done by virtue hereof.</w:t>
      </w:r>
    </w:p>
    <w:p>
      <w:pPr>
        <w:spacing w:after="0" w:line="200" w:lineRule="exact"/>
        <w:rPr>
          <w:sz w:val="20"/>
          <w:szCs w:val="20"/>
          <w:color w:val="auto"/>
        </w:rPr>
      </w:pPr>
    </w:p>
    <w:p>
      <w:pPr>
        <w:spacing w:after="0" w:line="328"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8"/>
                <w:szCs w:val="18"/>
                <w:color w:val="auto"/>
              </w:rPr>
              <w:t>CAMPBELL SOUP COMPANY</w:t>
            </w:r>
          </w:p>
        </w:tc>
      </w:tr>
      <w:tr>
        <w:trPr>
          <w:trHeight w:val="20"/>
        </w:trPr>
        <w:tc>
          <w:tcPr>
            <w:tcW w:w="2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615"/>
        </w:trPr>
        <w:tc>
          <w:tcPr>
            <w:tcW w:w="2480" w:type="dxa"/>
            <w:vAlign w:val="bottom"/>
          </w:tcPr>
          <w:p>
            <w:pPr>
              <w:ind w:left="40"/>
              <w:spacing w:after="0"/>
              <w:rPr>
                <w:sz w:val="20"/>
                <w:szCs w:val="20"/>
                <w:color w:val="auto"/>
              </w:rPr>
            </w:pPr>
            <w:r>
              <w:rPr>
                <w:rFonts w:ascii="Arial" w:cs="Arial" w:eastAsia="Arial" w:hAnsi="Arial"/>
                <w:sz w:val="18"/>
                <w:szCs w:val="18"/>
                <w:color w:val="auto"/>
              </w:rPr>
              <w:t>Signature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Dated as of September 28, 2015</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561"/>
        </w:trPr>
        <w:tc>
          <w:tcPr>
            <w:tcW w:w="2480" w:type="dxa"/>
            <w:vAlign w:val="bottom"/>
          </w:tcPr>
          <w:p>
            <w:pPr>
              <w:ind w:left="40"/>
              <w:spacing w:after="0"/>
              <w:rPr>
                <w:sz w:val="20"/>
                <w:szCs w:val="20"/>
                <w:color w:val="auto"/>
              </w:rPr>
            </w:pPr>
            <w:r>
              <w:rPr>
                <w:rFonts w:ascii="Arial" w:cs="Arial" w:eastAsia="Arial" w:hAnsi="Arial"/>
                <w:sz w:val="18"/>
                <w:szCs w:val="18"/>
                <w:color w:val="auto"/>
              </w:rPr>
              <w:t>/s/ Paul R. Charron</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Denise M. Morrison</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Paul R. Charron</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Denise M. Morrison</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Bennett Dorrance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Charles R. Perrin</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Bennett Dorrance</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Charles R. Perrin</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Lawrence C. Karlson</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A. Barry Rand</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Lawrence C. Karlson</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A. Barry Rand</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Randall W. Larrimore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Nick Shreiber</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Randall W. Larrimore</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Nick Shreiber</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Marc B. Lautenbach</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Tracey T. Travis</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Marc B. Lautenbach</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Tracey T. Travis</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Mary Alice D. Malone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Archbold D. van Beuren</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Mary Alice D. Malone</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Archbold D. van Beuren</w:t>
            </w:r>
          </w:p>
        </w:tc>
      </w:tr>
      <w:tr>
        <w:trPr>
          <w:trHeight w:val="594"/>
        </w:trPr>
        <w:tc>
          <w:tcPr>
            <w:tcW w:w="2480" w:type="dxa"/>
            <w:vAlign w:val="bottom"/>
          </w:tcPr>
          <w:p>
            <w:pPr>
              <w:ind w:left="40"/>
              <w:spacing w:after="0"/>
              <w:rPr>
                <w:sz w:val="20"/>
                <w:szCs w:val="20"/>
                <w:color w:val="auto"/>
              </w:rPr>
            </w:pPr>
            <w:r>
              <w:rPr>
                <w:rFonts w:ascii="Arial" w:cs="Arial" w:eastAsia="Arial" w:hAnsi="Arial"/>
                <w:sz w:val="18"/>
                <w:szCs w:val="18"/>
                <w:color w:val="auto"/>
              </w:rPr>
              <w:t>/s/ Sara Mathew</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/s/ Les C. Vinney</w:t>
            </w:r>
          </w:p>
        </w:tc>
      </w:tr>
      <w:tr>
        <w:trPr>
          <w:trHeight w:val="27"/>
        </w:trPr>
        <w:tc>
          <w:tcPr>
            <w:tcW w:w="2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Sara Mathew</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80" w:type="dxa"/>
            <w:vAlign w:val="bottom"/>
            <w:gridSpan w:val="2"/>
          </w:tcPr>
          <w:p>
            <w:pPr>
              <w:ind w:left="40"/>
              <w:spacing w:after="0"/>
              <w:rPr>
                <w:sz w:val="20"/>
                <w:szCs w:val="20"/>
                <w:color w:val="auto"/>
              </w:rPr>
            </w:pPr>
            <w:r>
              <w:rPr>
                <w:rFonts w:ascii="Arial" w:cs="Arial" w:eastAsia="Arial" w:hAnsi="Arial"/>
                <w:sz w:val="18"/>
                <w:szCs w:val="18"/>
                <w:color w:val="auto"/>
              </w:rPr>
              <w:t>Les C. Vinney</w:t>
            </w:r>
          </w:p>
        </w:tc>
      </w:tr>
    </w:tbl>
    <w:p>
      <w:pPr>
        <w:sectPr>
          <w:pgSz w:w="11900" w:h="16838" w:orient="portrait"/>
          <w:cols w:equalWidth="0" w:num="1">
            <w:col w:w="11420"/>
          </w:cols>
          <w:pgMar w:left="240" w:top="36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2015</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29, 2015</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August 2, 2015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29,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August 2, 2015 (the “Report”), I, Anthony P. DiSilvestro, Senior Vice President —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29,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5"/>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1."/>
      <w:numFmt w:val="decimal"/>
      <w:start w:val="1"/>
    </w:lvl>
  </w:abstractNum>
  <w:abstractNum w:abstractNumId="30">
    <w:nsid w:val="32FFF902"/>
    <w:multiLevelType w:val="hybridMultilevel"/>
    <w:lvl w:ilvl="0">
      <w:lvlJc w:val="left"/>
      <w:lvlText w:val="%1."/>
      <w:numFmt w:val="decimal"/>
      <w:start w:val="2"/>
    </w:lvl>
  </w:abstractNum>
  <w:abstractNum w:abstractNumId="31">
    <w:nsid w:val="684A481A"/>
    <w:multiLevelType w:val="hybridMultilevel"/>
    <w:lvl w:ilvl="0">
      <w:lvlJc w:val="left"/>
      <w:lvlText w:val="%1."/>
      <w:numFmt w:val="decimal"/>
      <w:start w:val="3"/>
    </w:lvl>
  </w:abstractNum>
  <w:abstractNum w:abstractNumId="32">
    <w:nsid w:val="579478FE"/>
    <w:multiLevelType w:val="hybridMultilevel"/>
    <w:lvl w:ilvl="0">
      <w:lvlJc w:val="left"/>
      <w:lvlText w:val="%1."/>
      <w:numFmt w:val="decimal"/>
      <w:start w:val="4"/>
    </w:lvl>
  </w:abstractNum>
  <w:abstractNum w:abstractNumId="33">
    <w:nsid w:val="749ABB43"/>
    <w:multiLevelType w:val="hybridMultilevel"/>
    <w:lvl w:ilvl="0">
      <w:lvlJc w:val="left"/>
      <w:lvlText w:val="%1."/>
      <w:numFmt w:val="decimal"/>
      <w:start w:val="5"/>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6"/>
    </w:lvl>
  </w:abstractNum>
  <w:abstractNum w:abstractNumId="37">
    <w:nsid w:val="75C6C33A"/>
    <w:multiLevelType w:val="hybridMultilevel"/>
    <w:lvl w:ilvl="0">
      <w:lvlJc w:val="left"/>
      <w:lvlText w:val="%1."/>
      <w:numFmt w:val="decimal"/>
      <w:start w:val="7"/>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8"/>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1)"/>
      <w:numFmt w:val="decimal"/>
      <w:start w:val="1"/>
    </w:lvl>
  </w:abstractNum>
  <w:abstractNum w:abstractNumId="45">
    <w:nsid w:val="275AC794"/>
    <w:multiLevelType w:val="hybridMultilevel"/>
    <w:lvl w:ilvl="0">
      <w:lvlJc w:val="left"/>
      <w:lvlText w:val="%1."/>
      <w:numFmt w:val="decimal"/>
      <w:start w:val="9"/>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2"/>
    </w:lvl>
  </w:abstractNum>
  <w:abstractNum w:abstractNumId="48">
    <w:nsid w:val="180115BE"/>
    <w:multiLevelType w:val="hybridMultilevel"/>
    <w:lvl w:ilvl="0">
      <w:lvlJc w:val="left"/>
      <w:lvlText w:val="%1."/>
      <w:numFmt w:val="decimal"/>
      <w:start w:val="13"/>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5"/>
    </w:lvl>
    <w:lvl w:ilvl="1">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1)"/>
      <w:numFmt w:val="decimal"/>
      <w:start w:val="2"/>
    </w:lvl>
  </w:abstractNum>
  <w:abstractNum w:abstractNumId="53">
    <w:nsid w:val="741226BB"/>
    <w:multiLevelType w:val="hybridMultilevel"/>
    <w:lvl w:ilvl="0">
      <w:lvlJc w:val="left"/>
      <w:lvlText w:val="%1."/>
      <w:numFmt w:val="decimal"/>
      <w:start w:val="18"/>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2"/>
    </w:lvl>
    <w:lvl w:ilvl="1">
      <w:lvlJc w:val="left"/>
      <w:lvlText w:val="%2"/>
      <w:numFmt w:val="upperLetter"/>
      <w:start w:val="1"/>
    </w:lvl>
  </w:abstractNum>
  <w:abstractNum w:abstractNumId="59">
    <w:nsid w:val="77AE35EB"/>
    <w:multiLevelType w:val="hybridMultilevel"/>
    <w:lvl w:ilvl="0">
      <w:lvlJc w:val="left"/>
      <w:lvlText w:val="%1"/>
      <w:numFmt w:val="decimal"/>
      <w:start w:val="23"/>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23"/>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2019-12-29T15:38:29Z</dcterms:created>
  <dcterms:modified xsi:type="dcterms:W3CDTF">2019-12-29T15:38:29Z</dcterms:modified>
</cp:coreProperties>
</file>