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2" w:lineRule="exact"/>
        <w:rPr>
          <w:sz w:val="24"/>
          <w:szCs w:val="24"/>
          <w:color w:val="auto"/>
        </w:rPr>
      </w:pPr>
    </w:p>
    <w:p>
      <w:pPr>
        <w:ind w:left="400"/>
        <w:spacing w:after="0"/>
        <w:tabs>
          <w:tab w:leader="none" w:pos="85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Commission File Number</w:t>
      </w:r>
    </w:p>
    <w:p>
      <w:pPr>
        <w:spacing w:after="0" w:line="63" w:lineRule="exact"/>
        <w:rPr>
          <w:sz w:val="24"/>
          <w:szCs w:val="24"/>
          <w:color w:val="auto"/>
        </w:rPr>
      </w:pPr>
    </w:p>
    <w:p>
      <w:pPr>
        <w:ind w:left="1120"/>
        <w:spacing w:after="0"/>
        <w:tabs>
          <w:tab w:leader="none" w:pos="9320" w:val="left"/>
        </w:tabs>
        <w:rPr>
          <w:sz w:val="20"/>
          <w:szCs w:val="20"/>
          <w:color w:val="auto"/>
        </w:rPr>
      </w:pPr>
      <w:r>
        <w:rPr>
          <w:rFonts w:ascii="Arial" w:cs="Arial" w:eastAsia="Arial" w:hAnsi="Arial"/>
          <w:sz w:val="18"/>
          <w:szCs w:val="18"/>
          <w:b w:val="1"/>
          <w:bCs w:val="1"/>
          <w:color w:val="auto"/>
        </w:rPr>
        <w:t>April 26, 2020</w:t>
      </w:r>
      <w:r>
        <w:rPr>
          <w:sz w:val="20"/>
          <w:szCs w:val="20"/>
          <w:color w:val="auto"/>
        </w:rPr>
        <w:tab/>
      </w:r>
      <w:r>
        <w:rPr>
          <w:rFonts w:ascii="Arial" w:cs="Arial" w:eastAsia="Arial" w:hAnsi="Arial"/>
          <w:sz w:val="16"/>
          <w:szCs w:val="16"/>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CAMPBELL SOUP COMPANY</w:t>
      </w:r>
    </w:p>
    <w:p>
      <w:pPr>
        <w:spacing w:after="0" w:line="79" w:lineRule="exact"/>
        <w:rPr>
          <w:sz w:val="24"/>
          <w:szCs w:val="24"/>
          <w:color w:val="auto"/>
        </w:rPr>
      </w:pPr>
    </w:p>
    <w:p>
      <w:pPr>
        <w:ind w:left="2440"/>
        <w:spacing w:after="0"/>
        <w:tabs>
          <w:tab w:leader="none" w:pos="7920" w:val="left"/>
        </w:tabs>
        <w:rPr>
          <w:sz w:val="20"/>
          <w:szCs w:val="20"/>
          <w:color w:val="auto"/>
        </w:rPr>
      </w:pPr>
      <w:r>
        <w:rPr>
          <w:rFonts w:ascii="Arial" w:cs="Arial" w:eastAsia="Arial" w:hAnsi="Arial"/>
          <w:sz w:val="18"/>
          <w:szCs w:val="18"/>
          <w:b w:val="1"/>
          <w:bCs w:val="1"/>
          <w:color w:val="auto"/>
        </w:rPr>
        <w:t>New Jersey</w:t>
      </w:r>
      <w:r>
        <w:rPr>
          <w:sz w:val="20"/>
          <w:szCs w:val="20"/>
          <w:color w:val="auto"/>
        </w:rPr>
        <w:tab/>
      </w:r>
      <w:r>
        <w:rPr>
          <w:rFonts w:ascii="Arial" w:cs="Arial" w:eastAsia="Arial" w:hAnsi="Arial"/>
          <w:sz w:val="16"/>
          <w:szCs w:val="16"/>
          <w:b w:val="1"/>
          <w:bCs w:val="1"/>
          <w:color w:val="auto"/>
        </w:rPr>
        <w:t>21-0419870</w:t>
      </w:r>
    </w:p>
    <w:p>
      <w:pPr>
        <w:spacing w:after="0" w:line="67" w:lineRule="exact"/>
        <w:rPr>
          <w:sz w:val="24"/>
          <w:szCs w:val="24"/>
          <w:color w:val="auto"/>
        </w:rPr>
      </w:pPr>
    </w:p>
    <w:p>
      <w:pPr>
        <w:ind w:left="2080"/>
        <w:spacing w:after="0"/>
        <w:tabs>
          <w:tab w:leader="none" w:pos="7140" w:val="left"/>
        </w:tabs>
        <w:rPr>
          <w:sz w:val="20"/>
          <w:szCs w:val="20"/>
          <w:color w:val="auto"/>
        </w:rPr>
      </w:pPr>
      <w:r>
        <w:rPr>
          <w:rFonts w:ascii="Arial" w:cs="Arial" w:eastAsia="Arial" w:hAnsi="Arial"/>
          <w:sz w:val="18"/>
          <w:szCs w:val="18"/>
          <w:i w:val="1"/>
          <w:iCs w:val="1"/>
          <w:color w:val="auto"/>
        </w:rPr>
        <w:t>State of Incorporation</w:t>
      </w:r>
      <w:r>
        <w:rPr>
          <w:sz w:val="20"/>
          <w:szCs w:val="20"/>
          <w:color w:val="auto"/>
        </w:rPr>
        <w:tab/>
      </w:r>
      <w:r>
        <w:rPr>
          <w:rFonts w:ascii="Arial" w:cs="Arial" w:eastAsia="Arial" w:hAnsi="Arial"/>
          <w:sz w:val="16"/>
          <w:szCs w:val="16"/>
          <w:i w:val="1"/>
          <w:iCs w:val="1"/>
          <w:color w:val="auto"/>
        </w:rPr>
        <w:t>I.R.S. Employer Identification No.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3" w:lineRule="exact"/>
        <w:rPr>
          <w:sz w:val="24"/>
          <w:szCs w:val="24"/>
          <w:color w:val="auto"/>
        </w:rPr>
      </w:pPr>
    </w:p>
    <w:p>
      <w:pPr>
        <w:ind w:left="1540"/>
        <w:spacing w:after="0"/>
        <w:tabs>
          <w:tab w:leader="none" w:pos="4980" w:val="left"/>
          <w:tab w:leader="none" w:pos="720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w:t>
      </w:r>
      <w:r>
        <w:rPr>
          <w:sz w:val="20"/>
          <w:szCs w:val="20"/>
          <w:color w:val="auto"/>
        </w:rPr>
        <w:tab/>
      </w:r>
      <w:r>
        <w:rPr>
          <w:rFonts w:ascii="Arial" w:cs="Arial" w:eastAsia="Arial" w:hAnsi="Arial"/>
          <w:sz w:val="16"/>
          <w:szCs w:val="16"/>
          <w:b w:val="1"/>
          <w:bCs w:val="1"/>
          <w:color w:val="auto"/>
        </w:rPr>
        <w:t>Name of Each Exchange on Which Registered</w:t>
      </w:r>
    </w:p>
    <w:p>
      <w:pPr>
        <w:spacing w:after="0" w:line="67" w:lineRule="exact"/>
        <w:rPr>
          <w:sz w:val="24"/>
          <w:szCs w:val="24"/>
          <w:color w:val="auto"/>
        </w:rPr>
      </w:pPr>
    </w:p>
    <w:p>
      <w:pPr>
        <w:ind w:left="1140"/>
        <w:spacing w:after="0"/>
        <w:tabs>
          <w:tab w:leader="none" w:pos="5440" w:val="left"/>
          <w:tab w:leader="none" w:pos="7980" w:val="left"/>
        </w:tabs>
        <w:rPr>
          <w:sz w:val="20"/>
          <w:szCs w:val="20"/>
          <w:color w:val="auto"/>
        </w:rPr>
      </w:pPr>
      <w:r>
        <w:rPr>
          <w:rFonts w:ascii="Arial" w:cs="Arial" w:eastAsia="Arial" w:hAnsi="Arial"/>
          <w:sz w:val="18"/>
          <w:szCs w:val="18"/>
          <w:color w:val="auto"/>
        </w:rPr>
        <w:t>Capital Stock, par value $.0375</w:t>
      </w:r>
      <w:r>
        <w:rPr>
          <w:sz w:val="20"/>
          <w:szCs w:val="20"/>
          <w:color w:val="auto"/>
        </w:rPr>
        <w:tab/>
      </w:r>
      <w:r>
        <w:rPr>
          <w:rFonts w:ascii="Arial" w:cs="Arial" w:eastAsia="Arial" w:hAnsi="Arial"/>
          <w:sz w:val="18"/>
          <w:szCs w:val="18"/>
          <w:color w:val="auto"/>
        </w:rPr>
        <w:t>CPB</w:t>
      </w:r>
      <w:r>
        <w:rPr>
          <w:sz w:val="20"/>
          <w:szCs w:val="20"/>
          <w:color w:val="auto"/>
        </w:rPr>
        <w:tab/>
      </w:r>
      <w:r>
        <w:rPr>
          <w:rFonts w:ascii="Arial" w:cs="Arial" w:eastAsia="Arial" w:hAnsi="Arial"/>
          <w:sz w:val="16"/>
          <w:szCs w:val="16"/>
          <w:color w:val="auto"/>
        </w:rPr>
        <w:t>New York Stock Exchange</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1420" w:type="dxa"/>
        <w:tblCellMar>
          <w:top w:w="0" w:type="dxa"/>
          <w:left w:w="0" w:type="dxa"/>
          <w:bottom w:w="0" w:type="dxa"/>
          <w:right w:w="0" w:type="dxa"/>
        </w:tblCellMar>
      </w:tblPr>
      <w:tr>
        <w:trPr>
          <w:trHeight w:val="324"/>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44"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There were 302,164,426 shares of capital stock outstanding as of May 27, 2020.</w:t>
      </w:r>
    </w:p>
    <w:p>
      <w:pPr>
        <w:sectPr>
          <w:pgSz w:w="11900" w:h="16838" w:orient="portrait"/>
          <w:cols w:equalWidth="0" w:num="1">
            <w:col w:w="11240"/>
          </w:cols>
          <w:pgMar w:left="320" w:top="10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7"/>
                <w:szCs w:val="17"/>
                <w:color w:val="auto"/>
              </w:rPr>
            </w:pPr>
          </w:p>
        </w:tc>
      </w:tr>
      <w:tr>
        <w:trPr>
          <w:trHeight w:val="762"/>
        </w:trPr>
        <w:tc>
          <w:tcPr>
            <w:tcW w:w="464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 FINANCIAL INFORMATION</w:t>
              </w:r>
            </w:hyperlink>
          </w:p>
        </w:tc>
        <w:tc>
          <w:tcPr>
            <w:tcW w:w="19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260" w:type="dxa"/>
            <w:vAlign w:val="bottom"/>
          </w:tcPr>
          <w:p>
            <w:pPr>
              <w:ind w:left="10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8880" w:type="dxa"/>
            <w:vAlign w:val="bottom"/>
            <w:gridSpan w:val="4"/>
          </w:tcPr>
          <w:p>
            <w:pPr>
              <w:ind w:left="8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tc>
        <w:tc>
          <w:tcPr>
            <w:tcW w:w="1260" w:type="dxa"/>
            <w:vAlign w:val="bottom"/>
          </w:tcPr>
          <w:p>
            <w:pPr>
              <w:ind w:left="10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30"/>
        </w:trPr>
        <w:tc>
          <w:tcPr>
            <w:tcW w:w="8880" w:type="dxa"/>
            <w:vAlign w:val="bottom"/>
            <w:gridSpan w:val="4"/>
          </w:tcPr>
          <w:p>
            <w:pPr>
              <w:ind w:left="8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30">
              <w:r>
                <w:rPr>
                  <w:rFonts w:ascii="Arial" w:cs="Arial" w:eastAsia="Arial" w:hAnsi="Arial"/>
                  <w:sz w:val="18"/>
                  <w:szCs w:val="18"/>
                  <w:u w:val="single" w:color="auto"/>
                  <w:color w:val="0000FF"/>
                  <w:w w:val="79"/>
                </w:rPr>
                <w:t>31</w:t>
              </w:r>
            </w:hyperlink>
          </w:p>
        </w:tc>
      </w:tr>
      <w:tr>
        <w:trPr>
          <w:trHeight w:val="229"/>
        </w:trPr>
        <w:tc>
          <w:tcPr>
            <w:tcW w:w="8880" w:type="dxa"/>
            <w:vAlign w:val="bottom"/>
            <w:gridSpan w:val="4"/>
          </w:tcPr>
          <w:p>
            <w:pPr>
              <w:ind w:left="8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3. Quantitative and Qualitative Disclosure About Market Risk</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4">
              <w:r>
                <w:rPr>
                  <w:rFonts w:ascii="Arial" w:cs="Arial" w:eastAsia="Arial" w:hAnsi="Arial"/>
                  <w:sz w:val="18"/>
                  <w:szCs w:val="18"/>
                  <w:u w:val="single" w:color="auto"/>
                  <w:color w:val="0000FF"/>
                  <w:w w:val="79"/>
                </w:rPr>
                <w:t>44</w:t>
              </w:r>
            </w:hyperlink>
          </w:p>
        </w:tc>
      </w:tr>
      <w:tr>
        <w:trPr>
          <w:trHeight w:val="229"/>
        </w:trPr>
        <w:tc>
          <w:tcPr>
            <w:tcW w:w="8880" w:type="dxa"/>
            <w:vAlign w:val="bottom"/>
            <w:gridSpan w:val="4"/>
          </w:tcPr>
          <w:p>
            <w:pPr>
              <w:ind w:left="8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4. Controls and Procedures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4">
              <w:r>
                <w:rPr>
                  <w:rFonts w:ascii="Arial" w:cs="Arial" w:eastAsia="Arial" w:hAnsi="Arial"/>
                  <w:sz w:val="18"/>
                  <w:szCs w:val="18"/>
                  <w:u w:val="single" w:color="auto"/>
                  <w:color w:val="0000FF"/>
                  <w:w w:val="79"/>
                </w:rPr>
                <w:t>44</w:t>
              </w:r>
            </w:hyperlink>
          </w:p>
        </w:tc>
      </w:tr>
      <w:tr>
        <w:trPr>
          <w:trHeight w:val="230"/>
        </w:trPr>
        <w:tc>
          <w:tcPr>
            <w:tcW w:w="8880" w:type="dxa"/>
            <w:vAlign w:val="bottom"/>
            <w:gridSpan w:val="4"/>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PART II - OTHER INFORMATION</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4">
              <w:r>
                <w:rPr>
                  <w:rFonts w:ascii="Arial" w:cs="Arial" w:eastAsia="Arial" w:hAnsi="Arial"/>
                  <w:sz w:val="18"/>
                  <w:szCs w:val="18"/>
                  <w:u w:val="single" w:color="auto"/>
                  <w:color w:val="0000FF"/>
                  <w:w w:val="79"/>
                </w:rPr>
                <w:t>45</w:t>
              </w:r>
            </w:hyperlink>
          </w:p>
        </w:tc>
      </w:tr>
      <w:tr>
        <w:trPr>
          <w:trHeight w:val="229"/>
        </w:trPr>
        <w:tc>
          <w:tcPr>
            <w:tcW w:w="1340" w:type="dxa"/>
            <w:vAlign w:val="bottom"/>
          </w:tcPr>
          <w:p>
            <w:pPr>
              <w:ind w:left="800"/>
              <w:spacing w:after="0"/>
              <w:rPr>
                <w:rFonts w:ascii="Arial" w:cs="Arial" w:eastAsia="Arial" w:hAnsi="Arial"/>
                <w:sz w:val="18"/>
                <w:szCs w:val="18"/>
                <w:u w:val="single" w:color="auto"/>
                <w:color w:val="0000FF"/>
                <w:w w:val="94"/>
              </w:rPr>
            </w:pPr>
            <w:hyperlink w:anchor="page45">
              <w:r>
                <w:rPr>
                  <w:rFonts w:ascii="Arial" w:cs="Arial" w:eastAsia="Arial" w:hAnsi="Arial"/>
                  <w:sz w:val="18"/>
                  <w:szCs w:val="18"/>
                  <w:u w:val="single" w:color="auto"/>
                  <w:color w:val="0000FF"/>
                  <w:w w:val="94"/>
                </w:rPr>
                <w:t>Item 1.</w:t>
              </w:r>
            </w:hyperlink>
          </w:p>
        </w:tc>
        <w:tc>
          <w:tcPr>
            <w:tcW w:w="7540" w:type="dxa"/>
            <w:vAlign w:val="bottom"/>
            <w:gridSpan w:val="3"/>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Legal Proceedings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5">
              <w:r>
                <w:rPr>
                  <w:rFonts w:ascii="Arial" w:cs="Arial" w:eastAsia="Arial" w:hAnsi="Arial"/>
                  <w:sz w:val="18"/>
                  <w:szCs w:val="18"/>
                  <w:u w:val="single" w:color="auto"/>
                  <w:color w:val="0000FF"/>
                  <w:w w:val="79"/>
                </w:rPr>
                <w:t>45</w:t>
              </w:r>
            </w:hyperlink>
          </w:p>
        </w:tc>
      </w:tr>
      <w:tr>
        <w:trPr>
          <w:trHeight w:val="230"/>
        </w:trPr>
        <w:tc>
          <w:tcPr>
            <w:tcW w:w="8880" w:type="dxa"/>
            <w:vAlign w:val="bottom"/>
            <w:gridSpan w:val="4"/>
          </w:tcPr>
          <w:p>
            <w:pPr>
              <w:ind w:left="8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1A. Risk Factors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5">
              <w:r>
                <w:rPr>
                  <w:rFonts w:ascii="Arial" w:cs="Arial" w:eastAsia="Arial" w:hAnsi="Arial"/>
                  <w:sz w:val="18"/>
                  <w:szCs w:val="18"/>
                  <w:u w:val="single" w:color="auto"/>
                  <w:color w:val="0000FF"/>
                  <w:w w:val="79"/>
                </w:rPr>
                <w:t>45</w:t>
              </w:r>
            </w:hyperlink>
          </w:p>
        </w:tc>
      </w:tr>
      <w:tr>
        <w:trPr>
          <w:trHeight w:val="229"/>
        </w:trPr>
        <w:tc>
          <w:tcPr>
            <w:tcW w:w="1340" w:type="dxa"/>
            <w:vAlign w:val="bottom"/>
          </w:tcPr>
          <w:p>
            <w:pPr>
              <w:ind w:left="800"/>
              <w:spacing w:after="0"/>
              <w:rPr>
                <w:rFonts w:ascii="Arial" w:cs="Arial" w:eastAsia="Arial" w:hAnsi="Arial"/>
                <w:sz w:val="18"/>
                <w:szCs w:val="18"/>
                <w:u w:val="single" w:color="auto"/>
                <w:color w:val="0000FF"/>
                <w:w w:val="94"/>
              </w:rPr>
            </w:pPr>
            <w:hyperlink w:anchor="page46">
              <w:r>
                <w:rPr>
                  <w:rFonts w:ascii="Arial" w:cs="Arial" w:eastAsia="Arial" w:hAnsi="Arial"/>
                  <w:sz w:val="18"/>
                  <w:szCs w:val="18"/>
                  <w:u w:val="single" w:color="auto"/>
                  <w:color w:val="0000FF"/>
                  <w:w w:val="94"/>
                </w:rPr>
                <w:t>Item 2.</w:t>
              </w:r>
            </w:hyperlink>
          </w:p>
        </w:tc>
        <w:tc>
          <w:tcPr>
            <w:tcW w:w="7540" w:type="dxa"/>
            <w:vAlign w:val="bottom"/>
            <w:gridSpan w:val="3"/>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Unregistered Sales of Equity Securities and Use of Proceeds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6">
              <w:r>
                <w:rPr>
                  <w:rFonts w:ascii="Arial" w:cs="Arial" w:eastAsia="Arial" w:hAnsi="Arial"/>
                  <w:sz w:val="18"/>
                  <w:szCs w:val="18"/>
                  <w:u w:val="single" w:color="auto"/>
                  <w:color w:val="0000FF"/>
                  <w:w w:val="79"/>
                </w:rPr>
                <w:t>46</w:t>
              </w:r>
            </w:hyperlink>
          </w:p>
        </w:tc>
      </w:tr>
      <w:tr>
        <w:trPr>
          <w:trHeight w:val="229"/>
        </w:trPr>
        <w:tc>
          <w:tcPr>
            <w:tcW w:w="1340" w:type="dxa"/>
            <w:vAlign w:val="bottom"/>
          </w:tcPr>
          <w:p>
            <w:pPr>
              <w:ind w:left="800"/>
              <w:spacing w:after="0"/>
              <w:rPr>
                <w:rFonts w:ascii="Arial" w:cs="Arial" w:eastAsia="Arial" w:hAnsi="Arial"/>
                <w:sz w:val="18"/>
                <w:szCs w:val="18"/>
                <w:u w:val="single" w:color="auto"/>
                <w:color w:val="0000FF"/>
                <w:w w:val="94"/>
              </w:rPr>
            </w:pPr>
            <w:hyperlink w:anchor="page46">
              <w:r>
                <w:rPr>
                  <w:rFonts w:ascii="Arial" w:cs="Arial" w:eastAsia="Arial" w:hAnsi="Arial"/>
                  <w:sz w:val="18"/>
                  <w:szCs w:val="18"/>
                  <w:u w:val="single" w:color="auto"/>
                  <w:color w:val="0000FF"/>
                  <w:w w:val="94"/>
                </w:rPr>
                <w:t>Item 6.</w:t>
              </w:r>
            </w:hyperlink>
          </w:p>
        </w:tc>
        <w:tc>
          <w:tcPr>
            <w:tcW w:w="7540" w:type="dxa"/>
            <w:vAlign w:val="bottom"/>
            <w:gridSpan w:val="3"/>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Exhibits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6">
              <w:r>
                <w:rPr>
                  <w:rFonts w:ascii="Arial" w:cs="Arial" w:eastAsia="Arial" w:hAnsi="Arial"/>
                  <w:sz w:val="18"/>
                  <w:szCs w:val="18"/>
                  <w:u w:val="single" w:color="auto"/>
                  <w:color w:val="0000FF"/>
                  <w:w w:val="79"/>
                </w:rPr>
                <w:t>46</w:t>
              </w:r>
            </w:hyperlink>
          </w:p>
        </w:tc>
      </w:tr>
      <w:tr>
        <w:trPr>
          <w:trHeight w:val="230"/>
        </w:trPr>
        <w:tc>
          <w:tcPr>
            <w:tcW w:w="8880" w:type="dxa"/>
            <w:vAlign w:val="bottom"/>
            <w:gridSpan w:val="4"/>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INDEX TO EXHIBITS</w:t>
              </w:r>
            </w:hyperlink>
          </w:p>
        </w:tc>
        <w:tc>
          <w:tcPr>
            <w:tcW w:w="1260" w:type="dxa"/>
            <w:vAlign w:val="bottom"/>
          </w:tcPr>
          <w:p>
            <w:pPr>
              <w:ind w:left="1080"/>
              <w:spacing w:after="0"/>
              <w:rPr>
                <w:rFonts w:ascii="Arial" w:cs="Arial" w:eastAsia="Arial" w:hAnsi="Arial"/>
                <w:sz w:val="18"/>
                <w:szCs w:val="18"/>
                <w:u w:val="single" w:color="auto"/>
                <w:color w:val="0000FF"/>
                <w:w w:val="79"/>
              </w:rPr>
            </w:pPr>
            <w:hyperlink w:anchor="page46">
              <w:r>
                <w:rPr>
                  <w:rFonts w:ascii="Arial" w:cs="Arial" w:eastAsia="Arial" w:hAnsi="Arial"/>
                  <w:sz w:val="18"/>
                  <w:szCs w:val="18"/>
                  <w:u w:val="single" w:color="auto"/>
                  <w:color w:val="0000FF"/>
                  <w:w w:val="79"/>
                </w:rPr>
                <w:t>47</w:t>
              </w:r>
            </w:hyperlink>
          </w:p>
        </w:tc>
      </w:tr>
      <w:tr>
        <w:trPr>
          <w:trHeight w:val="230"/>
        </w:trPr>
        <w:tc>
          <w:tcPr>
            <w:tcW w:w="134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SIGNATURES</w:t>
              </w:r>
            </w:hyperlink>
          </w:p>
        </w:tc>
        <w:tc>
          <w:tcPr>
            <w:tcW w:w="3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60" w:type="dxa"/>
            <w:vAlign w:val="bottom"/>
          </w:tcPr>
          <w:p>
            <w:pPr>
              <w:ind w:left="1080"/>
              <w:spacing w:after="0"/>
              <w:rPr>
                <w:rFonts w:ascii="Arial" w:cs="Arial" w:eastAsia="Arial" w:hAnsi="Arial"/>
                <w:sz w:val="18"/>
                <w:szCs w:val="18"/>
                <w:u w:val="single" w:color="auto"/>
                <w:color w:val="0000FF"/>
                <w:w w:val="79"/>
              </w:rPr>
            </w:pPr>
            <w:hyperlink w:anchor="page47">
              <w:r>
                <w:rPr>
                  <w:rFonts w:ascii="Arial" w:cs="Arial" w:eastAsia="Arial" w:hAnsi="Arial"/>
                  <w:sz w:val="18"/>
                  <w:szCs w:val="18"/>
                  <w:u w:val="single" w:color="auto"/>
                  <w:color w:val="0000FF"/>
                  <w:w w:val="79"/>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40"/>
          </w:cols>
          <w:pgMar w:left="340" w:top="878"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4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26,</w:t>
            </w:r>
          </w:p>
        </w:tc>
        <w:tc>
          <w:tcPr>
            <w:tcW w:w="18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28,</w:t>
            </w:r>
          </w:p>
        </w:tc>
        <w:tc>
          <w:tcPr>
            <w:tcW w:w="11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April 26, 2020</w:t>
            </w:r>
          </w:p>
        </w:tc>
        <w:tc>
          <w:tcPr>
            <w:tcW w:w="10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April 28, 2019</w:t>
            </w: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2,238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6,583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37"/>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4,331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682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expenses /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1,965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5,643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37"/>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940</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Taxes on earnings</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1,036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Less: Net earnings (loss) attributable to noncontrolling interests</w:t>
            </w:r>
          </w:p>
        </w:tc>
        <w:tc>
          <w:tcPr>
            <w:tcW w:w="1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Per Share — Basic</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5.11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 Assuming Dilution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51"/>
              <w:spacing w:after="0"/>
              <w:rPr>
                <w:sz w:val="20"/>
                <w:szCs w:val="20"/>
                <w:color w:val="auto"/>
              </w:rPr>
            </w:pPr>
            <w:r>
              <w:rPr>
                <w:rFonts w:ascii="Arial" w:cs="Arial" w:eastAsia="Arial" w:hAnsi="Arial"/>
                <w:sz w:val="18"/>
                <w:szCs w:val="18"/>
                <w:b w:val="1"/>
                <w:bCs w:val="1"/>
                <w:color w:val="auto"/>
              </w:rPr>
              <w:t>1.66</w:t>
            </w:r>
          </w:p>
        </w:tc>
        <w:tc>
          <w:tcPr>
            <w:tcW w:w="120" w:type="dxa"/>
            <w:vAlign w:val="bottom"/>
          </w:tcPr>
          <w:p>
            <w:pPr>
              <w:spacing w:after="0"/>
              <w:rPr>
                <w:sz w:val="21"/>
                <w:szCs w:val="21"/>
                <w:color w:val="auto"/>
              </w:rPr>
            </w:pPr>
          </w:p>
        </w:tc>
        <w:tc>
          <w:tcPr>
            <w:tcW w:w="300" w:type="dxa"/>
            <w:vAlign w:val="bottom"/>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4"/>
        </w:trPr>
        <w:tc>
          <w:tcPr>
            <w:tcW w:w="6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attributable to Campbell Soup Company</w:t>
            </w:r>
            <w:r>
              <w:rPr>
                <w:rFonts w:ascii="Arial" w:cs="Arial" w:eastAsia="Arial" w:hAnsi="Arial"/>
                <w:sz w:val="23"/>
                <w:szCs w:val="23"/>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5.07</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304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6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8"/>
          <w:szCs w:val="18"/>
          <w:color w:val="auto"/>
        </w:rPr>
        <w:t xml:space="preserve"> Sum of the individual amounts may not add due to rounding</w:t>
      </w:r>
      <w:r>
        <w:rPr>
          <w:rFonts w:ascii="Arial" w:cs="Arial" w:eastAsia="Arial" w:hAnsi="Arial"/>
          <w:sz w:val="14"/>
          <w:szCs w:val="14"/>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April 26, 2020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April 28, 2019</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(13)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300"/>
              <w:spacing w:after="0"/>
              <w:rPr>
                <w:sz w:val="20"/>
                <w:szCs w:val="20"/>
                <w:color w:val="auto"/>
              </w:rPr>
            </w:pPr>
            <w:r>
              <w:rPr>
                <w:rFonts w:ascii="Arial" w:cs="Arial" w:eastAsia="Arial" w:hAnsi="Arial"/>
                <w:sz w:val="16"/>
                <w:szCs w:val="16"/>
                <w:color w:val="auto"/>
              </w:rPr>
              <w:t>Unrealized gains (losses) arising during the period</w:t>
            </w:r>
          </w:p>
        </w:tc>
        <w:tc>
          <w:tcPr>
            <w:tcW w:w="14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700" w:type="dxa"/>
            <w:vAlign w:val="bottom"/>
          </w:tcPr>
          <w:p>
            <w:pPr>
              <w:ind w:left="12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157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Total comprehensive income (loss) attributable to Campbell Soup Company</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156</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April 26, 2020</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April 28, 2019</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(expense)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1,542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8"/>
              </w:rPr>
              <w:t>Reclassification of currency translation adjustments realized upon disposal of</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210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businesses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00" w:type="dxa"/>
            <w:vAlign w:val="bottom"/>
          </w:tcPr>
          <w:p>
            <w:pPr>
              <w:ind w:left="12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Unrealized gains (losses) arising during period</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700" w:type="dxa"/>
            <w:vAlign w:val="bottom"/>
          </w:tcPr>
          <w:p>
            <w:pPr>
              <w:ind w:left="30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40" w:type="dxa"/>
            <w:vAlign w:val="bottom"/>
          </w:tcPr>
          <w:p>
            <w:pPr>
              <w:spacing w:after="0"/>
              <w:rPr>
                <w:sz w:val="19"/>
                <w:szCs w:val="19"/>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Pension and other postretirement benefits: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30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40" w:type="dxa"/>
            <w:vAlign w:val="bottom"/>
          </w:tcPr>
          <w:p>
            <w:pPr>
              <w:spacing w:after="0"/>
              <w:rPr>
                <w:sz w:val="19"/>
                <w:szCs w:val="19"/>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62"/>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186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192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1,734</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98"/>
              </w:rPr>
              <w:t>Total comprehensive income (loss) attributable to Campbell Soup Company</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1,733</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jc w:val="right"/>
              <w:ind w:right="311"/>
              <w:spacing w:after="0"/>
              <w:rPr>
                <w:sz w:val="20"/>
                <w:szCs w:val="20"/>
                <w:color w:val="auto"/>
              </w:rPr>
            </w:pPr>
            <w:r>
              <w:rPr>
                <w:rFonts w:ascii="Arial" w:cs="Arial" w:eastAsia="Arial" w:hAnsi="Arial"/>
                <w:sz w:val="14"/>
                <w:szCs w:val="14"/>
                <w:b w:val="1"/>
                <w:bCs w:val="1"/>
                <w:color w:val="auto"/>
              </w:rPr>
              <w:t>April 26,</w:t>
            </w:r>
          </w:p>
        </w:tc>
        <w:tc>
          <w:tcPr>
            <w:tcW w:w="360" w:type="dxa"/>
            <w:vAlign w:val="bottom"/>
          </w:tcPr>
          <w:p>
            <w:pPr>
              <w:spacing w:after="0"/>
              <w:rPr>
                <w:sz w:val="14"/>
                <w:szCs w:val="14"/>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b w:val="1"/>
                <w:bCs w:val="1"/>
                <w:color w:val="auto"/>
              </w:rPr>
              <w:t>July 28,</w:t>
            </w:r>
          </w:p>
        </w:tc>
      </w:tr>
      <w:tr>
        <w:trPr>
          <w:trHeight w:val="192"/>
        </w:trPr>
        <w:tc>
          <w:tcPr>
            <w:tcW w:w="69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4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1,242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31</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662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731</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863</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current assets ($29 as of 2020 attributable to variable interest entity)</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111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Current assets of discontinued operations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428</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7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2,746</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1,967</w:t>
            </w:r>
          </w:p>
        </w:tc>
      </w:tr>
      <w:tr>
        <w:trPr>
          <w:trHeight w:val="237"/>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Plant assets, net of depreciation</w:t>
            </w:r>
          </w:p>
        </w:tc>
        <w:tc>
          <w:tcPr>
            <w:tcW w:w="1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2,340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2,455</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3,981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4,017</w:t>
            </w: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Other intangible assets, net of amortization</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3,362</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3,415</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($76 as of 2019 attributable to variable interest entity)</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289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w:t>
            </w: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1,167</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12,718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13,148</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borrowings</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1,504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1,371</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Payable to suppliers and others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993</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814</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619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609</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Dividends payable</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108</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107</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income taxes</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45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Current liabilities of discontinued operations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469</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3,269</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3,385</w:t>
            </w:r>
          </w:p>
        </w:tc>
      </w:tr>
      <w:tr>
        <w:trPr>
          <w:trHeight w:val="237"/>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Long-term debt</w:t>
            </w:r>
          </w:p>
        </w:tc>
        <w:tc>
          <w:tcPr>
            <w:tcW w:w="1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5,191</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7,103</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959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924</w:t>
            </w: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718</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559</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17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r>
      <w:tr>
        <w:trPr>
          <w:trHeight w:val="237"/>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10,137</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12,036</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b w:val="1"/>
                <w:bCs w:val="1"/>
                <w:color w:val="auto"/>
              </w:rPr>
              <w:t>Campbell Soup Company shareholders' equity</w:t>
            </w: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Preferred stock; authorized 40 shares; none issued</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12</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386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Earnings retained in the business</w:t>
            </w:r>
          </w:p>
        </w:tc>
        <w:tc>
          <w:tcPr>
            <w:tcW w:w="17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3,212</w:t>
            </w:r>
          </w:p>
        </w:tc>
        <w:tc>
          <w:tcPr>
            <w:tcW w:w="3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1,993</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 stock in treasury, at cost</w:t>
            </w:r>
          </w:p>
        </w:tc>
        <w:tc>
          <w:tcPr>
            <w:tcW w:w="1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r>
      <w:tr>
        <w:trPr>
          <w:trHeight w:val="243"/>
        </w:trPr>
        <w:tc>
          <w:tcPr>
            <w:tcW w:w="6980" w:type="dxa"/>
            <w:vAlign w:val="bottom"/>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7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(198)</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7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2,575</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1,103</w:t>
            </w:r>
          </w:p>
        </w:tc>
      </w:tr>
      <w:tr>
        <w:trPr>
          <w:trHeight w:val="236"/>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6</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7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2,581</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1,112</w:t>
            </w:r>
          </w:p>
        </w:tc>
      </w:tr>
      <w:tr>
        <w:trPr>
          <w:trHeight w:val="236"/>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12,718</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13,148</w:t>
            </w:r>
          </w:p>
        </w:tc>
      </w:tr>
      <w:tr>
        <w:trPr>
          <w:trHeight w:val="27"/>
        </w:trPr>
        <w:tc>
          <w:tcPr>
            <w:tcW w:w="69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April 28, 2019</w:t>
            </w:r>
          </w:p>
        </w:tc>
      </w:tr>
      <w:tr>
        <w:trPr>
          <w:trHeight w:val="189"/>
        </w:trPr>
        <w:tc>
          <w:tcPr>
            <w:tcW w:w="8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96"/>
        </w:trPr>
        <w:tc>
          <w:tcPr>
            <w:tcW w:w="8980" w:type="dxa"/>
            <w:vAlign w:val="bottom"/>
          </w:tcPr>
          <w:p>
            <w:pPr>
              <w:ind w:left="12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1,542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219</w:t>
            </w:r>
          </w:p>
        </w:tc>
      </w:tr>
      <w:tr>
        <w:trPr>
          <w:trHeight w:val="209"/>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earnings to operating cash flow</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8980" w:type="dxa"/>
            <w:vAlign w:val="bottom"/>
          </w:tcPr>
          <w:p>
            <w:pPr>
              <w:ind w:left="34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360</w:t>
            </w:r>
          </w:p>
        </w:tc>
      </w:tr>
      <w:tr>
        <w:trPr>
          <w:trHeight w:val="209"/>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Restructuring charges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r>
      <w:tr>
        <w:trPr>
          <w:trHeight w:val="196"/>
        </w:trPr>
        <w:tc>
          <w:tcPr>
            <w:tcW w:w="898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45</w:t>
            </w:r>
          </w:p>
        </w:tc>
      </w:tr>
      <w:tr>
        <w:trPr>
          <w:trHeight w:val="209"/>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Pension and postretirement benefit income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r>
      <w:tr>
        <w:trPr>
          <w:trHeight w:val="196"/>
        </w:trPr>
        <w:tc>
          <w:tcPr>
            <w:tcW w:w="898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349</w:t>
            </w:r>
          </w:p>
        </w:tc>
      </w:tr>
      <w:tr>
        <w:trPr>
          <w:trHeight w:val="208"/>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r>
      <w:tr>
        <w:trPr>
          <w:trHeight w:val="197"/>
        </w:trPr>
        <w:tc>
          <w:tcPr>
            <w:tcW w:w="8980" w:type="dxa"/>
            <w:vAlign w:val="bottom"/>
          </w:tcPr>
          <w:p>
            <w:pPr>
              <w:ind w:left="340"/>
              <w:spacing w:after="0"/>
              <w:rPr>
                <w:sz w:val="20"/>
                <w:szCs w:val="20"/>
                <w:color w:val="auto"/>
              </w:rPr>
            </w:pPr>
            <w:r>
              <w:rPr>
                <w:rFonts w:ascii="Arial" w:cs="Arial" w:eastAsia="Arial" w:hAnsi="Arial"/>
                <w:sz w:val="14"/>
                <w:szCs w:val="14"/>
                <w:color w:val="auto"/>
              </w:rPr>
              <w:t>Net (gain) loss on sales of businesses</w:t>
            </w: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(975)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18</w:t>
            </w:r>
          </w:p>
        </w:tc>
      </w:tr>
      <w:tr>
        <w:trPr>
          <w:trHeight w:val="208"/>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97"/>
        </w:trPr>
        <w:tc>
          <w:tcPr>
            <w:tcW w:w="8980" w:type="dxa"/>
            <w:vAlign w:val="bottom"/>
          </w:tcPr>
          <w:p>
            <w:pPr>
              <w:ind w:left="340"/>
              <w:spacing w:after="0"/>
              <w:rPr>
                <w:sz w:val="20"/>
                <w:szCs w:val="20"/>
                <w:color w:val="auto"/>
              </w:rPr>
            </w:pPr>
            <w:r>
              <w:rPr>
                <w:rFonts w:ascii="Arial" w:cs="Arial" w:eastAsia="Arial" w:hAnsi="Arial"/>
                <w:sz w:val="14"/>
                <w:szCs w:val="14"/>
                <w:color w:val="auto"/>
              </w:rPr>
              <w:t>Investment losses</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Changes in working capital, net of acquisition and divestitures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r>
      <w:tr>
        <w:trPr>
          <w:trHeight w:val="197"/>
        </w:trPr>
        <w:tc>
          <w:tcPr>
            <w:tcW w:w="898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156</w:t>
            </w:r>
          </w:p>
        </w:tc>
      </w:tr>
      <w:tr>
        <w:trPr>
          <w:trHeight w:val="208"/>
        </w:trPr>
        <w:tc>
          <w:tcPr>
            <w:tcW w:w="8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assets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r>
      <w:tr>
        <w:trPr>
          <w:trHeight w:val="197"/>
        </w:trPr>
        <w:tc>
          <w:tcPr>
            <w:tcW w:w="8980" w:type="dxa"/>
            <w:vAlign w:val="bottom"/>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60</w:t>
            </w:r>
          </w:p>
        </w:tc>
      </w:tr>
      <w:tr>
        <w:trPr>
          <w:trHeight w:val="203"/>
        </w:trPr>
        <w:tc>
          <w:tcPr>
            <w:tcW w:w="8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r>
      <w:tr>
        <w:trPr>
          <w:trHeight w:val="196"/>
        </w:trPr>
        <w:tc>
          <w:tcPr>
            <w:tcW w:w="8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1,125</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1,148</w:t>
            </w:r>
          </w:p>
        </w:tc>
      </w:tr>
      <w:tr>
        <w:trPr>
          <w:trHeight w:val="20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Purchases of plant assets</w:t>
            </w: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(274)</w:t>
            </w:r>
          </w:p>
        </w:tc>
      </w:tr>
      <w:tr>
        <w:trPr>
          <w:trHeight w:val="208"/>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route businesses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Sales of route businesses</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29</w:t>
            </w:r>
          </w:p>
        </w:tc>
      </w:tr>
      <w:tr>
        <w:trPr>
          <w:trHeight w:val="208"/>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Business acquired, net of cash acquired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Sales of businesses, net of cash divested</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2,537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54</w:t>
            </w:r>
          </w:p>
        </w:tc>
      </w:tr>
      <w:tr>
        <w:trPr>
          <w:trHeight w:val="202"/>
        </w:trPr>
        <w:tc>
          <w:tcPr>
            <w:tcW w:w="8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r>
      <w:tr>
        <w:trPr>
          <w:trHeight w:val="196"/>
        </w:trPr>
        <w:tc>
          <w:tcPr>
            <w:tcW w:w="8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2,318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r>
      <w:tr>
        <w:trPr>
          <w:trHeight w:val="20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Short-term borrowings</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5,610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4,681</w:t>
            </w:r>
          </w:p>
        </w:tc>
      </w:tr>
      <w:tr>
        <w:trPr>
          <w:trHeight w:val="208"/>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repayments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(4,995)</w:t>
            </w: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repayments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(318)</w:t>
            </w:r>
          </w:p>
        </w:tc>
      </w:tr>
      <w:tr>
        <w:trPr>
          <w:trHeight w:val="208"/>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Treasury stock issuances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8980" w:type="dxa"/>
            <w:vAlign w:val="bottom"/>
          </w:tcPr>
          <w:p>
            <w:pPr>
              <w:ind w:left="120"/>
              <w:spacing w:after="0"/>
              <w:rPr>
                <w:sz w:val="20"/>
                <w:szCs w:val="20"/>
                <w:color w:val="auto"/>
              </w:rPr>
            </w:pPr>
            <w:r>
              <w:rPr>
                <w:rFonts w:ascii="Arial" w:cs="Arial" w:eastAsia="Arial" w:hAnsi="Arial"/>
                <w:sz w:val="14"/>
                <w:szCs w:val="14"/>
                <w:color w:val="auto"/>
              </w:rPr>
              <w:t>Payments related to tax withholding for stock-based compensation</w:t>
            </w:r>
          </w:p>
        </w:tc>
        <w:tc>
          <w:tcPr>
            <w:tcW w:w="10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w:t>
            </w:r>
          </w:p>
        </w:tc>
      </w:tr>
      <w:tr>
        <w:trPr>
          <w:trHeight w:val="208"/>
        </w:trPr>
        <w:tc>
          <w:tcPr>
            <w:tcW w:w="8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related to extinguishment of debt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97"/>
        </w:trPr>
        <w:tc>
          <w:tcPr>
            <w:tcW w:w="8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Payments of debt issuance costs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r>
      <w:tr>
        <w:trPr>
          <w:trHeight w:val="196"/>
        </w:trPr>
        <w:tc>
          <w:tcPr>
            <w:tcW w:w="89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b w:val="1"/>
                <w:bCs w:val="1"/>
                <w:color w:val="auto"/>
              </w:rPr>
              <w:t>Net cash used in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(2,378)</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(941)</w:t>
            </w:r>
          </w:p>
        </w:tc>
      </w:tr>
      <w:tr>
        <w:trPr>
          <w:trHeight w:val="196"/>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Effect of exchange rate changes on cash</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r>
      <w:tr>
        <w:trPr>
          <w:trHeight w:val="20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r>
      <w:tr>
        <w:trPr>
          <w:trHeight w:val="196"/>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 beginning of period</w:t>
            </w:r>
          </w:p>
        </w:tc>
        <w:tc>
          <w:tcPr>
            <w:tcW w:w="10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49</w:t>
            </w:r>
          </w:p>
        </w:tc>
      </w:tr>
      <w:tr>
        <w:trPr>
          <w:trHeight w:val="208"/>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discontinued operations — beginning of period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w:t>
            </w:r>
          </w:p>
        </w:tc>
      </w:tr>
      <w:tr>
        <w:trPr>
          <w:trHeight w:val="197"/>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and cash equivalents discontinued operations — end of period</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w:t>
            </w:r>
          </w:p>
        </w:tc>
      </w:tr>
      <w:tr>
        <w:trPr>
          <w:trHeight w:val="221"/>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1,242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w:t>
            </w:r>
          </w:p>
        </w:tc>
      </w:tr>
      <w:tr>
        <w:trPr>
          <w:trHeight w:val="20"/>
        </w:trPr>
        <w:tc>
          <w:tcPr>
            <w:tcW w:w="8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except per share amounts)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right"/>
              <w:ind w:right="388"/>
              <w:spacing w:after="0"/>
              <w:rPr>
                <w:sz w:val="20"/>
                <w:szCs w:val="20"/>
                <w:color w:val="auto"/>
              </w:rPr>
            </w:pPr>
            <w:r>
              <w:rPr>
                <w:rFonts w:ascii="Arial" w:cs="Arial" w:eastAsia="Arial" w:hAnsi="Arial"/>
                <w:sz w:val="14"/>
                <w:szCs w:val="14"/>
                <w:b w:val="1"/>
                <w:bCs w:val="1"/>
                <w:color w:val="auto"/>
                <w:w w:val="99"/>
              </w:rPr>
              <w:t>Campbell Soup Company Shareholders’ Equity</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3"/>
          </w:tcPr>
          <w:p>
            <w:pPr>
              <w:jc w:val="right"/>
              <w:ind w:right="288"/>
              <w:spacing w:after="0" w:line="153" w:lineRule="exact"/>
              <w:rPr>
                <w:sz w:val="20"/>
                <w:szCs w:val="20"/>
                <w:color w:val="auto"/>
              </w:rPr>
            </w:pPr>
            <w:r>
              <w:rPr>
                <w:rFonts w:ascii="Arial" w:cs="Arial" w:eastAsia="Arial" w:hAnsi="Arial"/>
                <w:sz w:val="14"/>
                <w:szCs w:val="14"/>
                <w:b w:val="1"/>
                <w:bCs w:val="1"/>
                <w:color w:val="auto"/>
              </w:rPr>
              <w:t>Capital Stock</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1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vMerge w:val="restart"/>
          </w:tcPr>
          <w:p>
            <w:pPr>
              <w:jc w:val="right"/>
              <w:ind w:right="49"/>
              <w:spacing w:after="0" w:line="149"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4"/>
                <w:szCs w:val="4"/>
                <w:color w:val="auto"/>
              </w:rPr>
            </w:pPr>
          </w:p>
        </w:tc>
        <w:tc>
          <w:tcPr>
            <w:tcW w:w="82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Retained in</w:t>
            </w:r>
          </w:p>
        </w:tc>
        <w:tc>
          <w:tcPr>
            <w:tcW w:w="138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vMerge w:val="restart"/>
          </w:tcPr>
          <w:p>
            <w:pPr>
              <w:spacing w:after="0"/>
              <w:rPr>
                <w:sz w:val="6"/>
                <w:szCs w:val="6"/>
                <w:color w:val="auto"/>
              </w:rPr>
            </w:pPr>
          </w:p>
        </w:tc>
        <w:tc>
          <w:tcPr>
            <w:tcW w:w="1540" w:type="dxa"/>
            <w:vAlign w:val="bottom"/>
            <w:gridSpan w:val="3"/>
            <w:vMerge w:val="restart"/>
          </w:tcPr>
          <w:p>
            <w:pPr>
              <w:jc w:val="right"/>
              <w:ind w:right="328"/>
              <w:spacing w:after="0"/>
              <w:rPr>
                <w:sz w:val="20"/>
                <w:szCs w:val="20"/>
                <w:color w:val="auto"/>
              </w:rPr>
            </w:pPr>
            <w:r>
              <w:rPr>
                <w:rFonts w:ascii="Arial" w:cs="Arial" w:eastAsia="Arial" w:hAnsi="Arial"/>
                <w:sz w:val="14"/>
                <w:szCs w:val="14"/>
                <w:b w:val="1"/>
                <w:bCs w:val="1"/>
                <w:color w:val="auto"/>
              </w:rPr>
              <w:t>In Treasury</w:t>
            </w: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1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540" w:type="dxa"/>
            <w:vAlign w:val="bottom"/>
            <w:tcBorders>
              <w:bottom w:val="single" w:sz="8" w:color="auto"/>
            </w:tcBorders>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right"/>
              <w:ind w:right="149"/>
              <w:spacing w:after="0" w:line="111"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9"/>
                <w:szCs w:val="9"/>
                <w:color w:val="auto"/>
              </w:rPr>
            </w:pPr>
          </w:p>
        </w:tc>
        <w:tc>
          <w:tcPr>
            <w:tcW w:w="820" w:type="dxa"/>
            <w:vAlign w:val="bottom"/>
          </w:tcPr>
          <w:p>
            <w:pPr>
              <w:jc w:val="center"/>
              <w:ind w:right="48"/>
              <w:spacing w:after="0" w:line="111" w:lineRule="exact"/>
              <w:rPr>
                <w:sz w:val="20"/>
                <w:szCs w:val="20"/>
                <w:color w:val="auto"/>
              </w:rPr>
            </w:pPr>
            <w:r>
              <w:rPr>
                <w:rFonts w:ascii="Arial" w:cs="Arial" w:eastAsia="Arial" w:hAnsi="Arial"/>
                <w:sz w:val="12"/>
                <w:szCs w:val="12"/>
                <w:b w:val="1"/>
                <w:bCs w:val="1"/>
                <w:color w:val="auto"/>
                <w:w w:val="99"/>
              </w:rPr>
              <w:t>the</w:t>
            </w:r>
          </w:p>
        </w:tc>
        <w:tc>
          <w:tcPr>
            <w:tcW w:w="220" w:type="dxa"/>
            <w:vAlign w:val="bottom"/>
          </w:tcPr>
          <w:p>
            <w:pPr>
              <w:spacing w:after="0"/>
              <w:rPr>
                <w:sz w:val="9"/>
                <w:szCs w:val="9"/>
                <w:color w:val="auto"/>
              </w:rPr>
            </w:pPr>
          </w:p>
        </w:tc>
        <w:tc>
          <w:tcPr>
            <w:tcW w:w="1160" w:type="dxa"/>
            <w:vAlign w:val="bottom"/>
          </w:tcPr>
          <w:p>
            <w:pPr>
              <w:jc w:val="right"/>
              <w:ind w:right="89"/>
              <w:spacing w:after="0" w:line="111" w:lineRule="exact"/>
              <w:rPr>
                <w:sz w:val="20"/>
                <w:szCs w:val="20"/>
                <w:color w:val="auto"/>
              </w:rPr>
            </w:pPr>
            <w:r>
              <w:rPr>
                <w:rFonts w:ascii="Arial" w:cs="Arial" w:eastAsia="Arial" w:hAnsi="Arial"/>
                <w:sz w:val="12"/>
                <w:szCs w:val="12"/>
                <w:b w:val="1"/>
                <w:bCs w:val="1"/>
                <w:color w:val="auto"/>
              </w:rPr>
              <w:t>Comprehensive</w:t>
            </w:r>
          </w:p>
        </w:tc>
        <w:tc>
          <w:tcPr>
            <w:tcW w:w="220" w:type="dxa"/>
            <w:vAlign w:val="bottom"/>
          </w:tcPr>
          <w:p>
            <w:pPr>
              <w:spacing w:after="0"/>
              <w:rPr>
                <w:sz w:val="9"/>
                <w:szCs w:val="9"/>
                <w:color w:val="auto"/>
              </w:rPr>
            </w:pPr>
          </w:p>
        </w:tc>
        <w:tc>
          <w:tcPr>
            <w:tcW w:w="1120" w:type="dxa"/>
            <w:vAlign w:val="bottom"/>
          </w:tcPr>
          <w:p>
            <w:pPr>
              <w:jc w:val="right"/>
              <w:ind w:right="89"/>
              <w:spacing w:after="0" w:line="111" w:lineRule="exact"/>
              <w:rPr>
                <w:sz w:val="20"/>
                <w:szCs w:val="20"/>
                <w:color w:val="auto"/>
              </w:rPr>
            </w:pPr>
            <w:r>
              <w:rPr>
                <w:rFonts w:ascii="Arial" w:cs="Arial" w:eastAsia="Arial" w:hAnsi="Arial"/>
                <w:sz w:val="12"/>
                <w:szCs w:val="12"/>
                <w:b w:val="1"/>
                <w:bCs w:val="1"/>
                <w:color w:val="auto"/>
              </w:rPr>
              <w:t>Noncontrolling</w:t>
            </w:r>
          </w:p>
        </w:tc>
        <w:tc>
          <w:tcPr>
            <w:tcW w:w="300" w:type="dxa"/>
            <w:vAlign w:val="bottom"/>
          </w:tcPr>
          <w:p>
            <w:pPr>
              <w:spacing w:after="0"/>
              <w:rPr>
                <w:sz w:val="9"/>
                <w:szCs w:val="9"/>
                <w:color w:val="auto"/>
              </w:rPr>
            </w:pPr>
          </w:p>
        </w:tc>
        <w:tc>
          <w:tcPr>
            <w:tcW w:w="840" w:type="dxa"/>
            <w:vAlign w:val="bottom"/>
          </w:tcPr>
          <w:p>
            <w:pPr>
              <w:jc w:val="right"/>
              <w:ind w:right="288"/>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9"/>
        </w:trPr>
        <w:tc>
          <w:tcPr>
            <w:tcW w:w="2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Business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Income (Loss)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Interests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27, 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2,130</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Other comprehensive income (loss)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color w:val="auto"/>
              </w:rPr>
              <w:t>Dividends ($.35 per share)</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purchased</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20" w:type="dxa"/>
            <w:vAlign w:val="bottom"/>
          </w:tcPr>
          <w:p>
            <w:pPr>
              <w:ind w:left="20"/>
              <w:spacing w:after="0" w:line="157" w:lineRule="exact"/>
              <w:rPr>
                <w:sz w:val="20"/>
                <w:szCs w:val="20"/>
                <w:color w:val="auto"/>
              </w:rPr>
            </w:pPr>
            <w:r>
              <w:rPr>
                <w:rFonts w:ascii="Arial" w:cs="Arial" w:eastAsia="Arial" w:hAnsi="Arial"/>
                <w:sz w:val="14"/>
                <w:szCs w:val="14"/>
                <w:color w:val="auto"/>
              </w:rPr>
              <w:t>Treasury stock issued under</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management incentive and stock</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option plans</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1"/>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April 28, 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2,107</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29, 2018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2,224</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120" w:type="dxa"/>
            <w:vAlign w:val="bottom"/>
          </w:tcPr>
          <w:p>
            <w:pPr>
              <w:ind w:left="20"/>
              <w:spacing w:after="0" w:line="137" w:lineRule="exact"/>
              <w:rPr>
                <w:sz w:val="20"/>
                <w:szCs w:val="20"/>
                <w:color w:val="auto"/>
              </w:rPr>
            </w:pPr>
            <w:r>
              <w:rPr>
                <w:rFonts w:ascii="Arial" w:cs="Arial" w:eastAsia="Arial" w:hAnsi="Arial"/>
                <w:sz w:val="14"/>
                <w:szCs w:val="14"/>
                <w:color w:val="auto"/>
              </w:rPr>
              <w:t>Cumulative effect of changes in</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accounting principle:</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r>
              <w:rPr>
                <w:rFonts w:ascii="Arial" w:cs="Arial" w:eastAsia="Arial" w:hAnsi="Arial"/>
                <w:sz w:val="9"/>
                <w:szCs w:val="9"/>
                <w:color w:val="auto"/>
              </w:rPr>
              <w:t>(1)</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6"/>
        </w:trPr>
        <w:tc>
          <w:tcPr>
            <w:tcW w:w="2120" w:type="dxa"/>
            <w:vAlign w:val="bottom"/>
          </w:tcPr>
          <w:p>
            <w:pPr>
              <w:ind w:left="180"/>
              <w:spacing w:after="0"/>
              <w:rPr>
                <w:sz w:val="20"/>
                <w:szCs w:val="20"/>
                <w:color w:val="auto"/>
              </w:rPr>
            </w:pPr>
            <w:r>
              <w:rPr>
                <w:rFonts w:ascii="Arial" w:cs="Arial" w:eastAsia="Arial" w:hAnsi="Arial"/>
                <w:sz w:val="14"/>
                <w:szCs w:val="14"/>
                <w:color w:val="auto"/>
              </w:rPr>
              <w:t>Stranded tax effects</w:t>
            </w:r>
            <w:r>
              <w:rPr>
                <w:rFonts w:ascii="Arial" w:cs="Arial" w:eastAsia="Arial" w:hAnsi="Arial"/>
                <w:sz w:val="9"/>
                <w:szCs w:val="9"/>
                <w:color w:val="auto"/>
              </w:rPr>
              <w:t>(1)</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(loss)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Arial" w:cs="Arial" w:eastAsia="Arial" w:hAnsi="Arial"/>
                <w:sz w:val="14"/>
                <w:szCs w:val="14"/>
                <w:color w:val="auto"/>
                <w:w w:val="94"/>
              </w:rPr>
              <w:t>Other comprehensive income (loss)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9"/>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7"/>
                <w:szCs w:val="17"/>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($1.05 per share)</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rPr>
                <w:sz w:val="20"/>
                <w:szCs w:val="20"/>
                <w:color w:val="auto"/>
              </w:rPr>
            </w:pPr>
            <w:r>
              <w:rPr>
                <w:rFonts w:ascii="Arial" w:cs="Arial" w:eastAsia="Arial" w:hAnsi="Arial"/>
                <w:sz w:val="14"/>
                <w:szCs w:val="14"/>
                <w:color w:val="auto"/>
              </w:rPr>
              <w:t>Treasury stock purchased</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issued under</w:t>
            </w: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management incentive and stock</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option plans</w:t>
            </w:r>
          </w:p>
        </w:tc>
        <w:tc>
          <w:tcPr>
            <w:tcW w:w="5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at April 28, 2019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2,107</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January 26, 2020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3,151</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168</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Other comprehensive income</w:t>
            </w: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w:t>
            </w:r>
          </w:p>
        </w:tc>
        <w:tc>
          <w:tcPr>
            <w:tcW w:w="3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w:t>
            </w: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Dividends ($.35 per share)</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(107)</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4"/>
              </w:rPr>
              <w:t>management incentive and stock</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12"/>
                <w:szCs w:val="12"/>
                <w:color w:val="auto"/>
              </w:rPr>
            </w:pPr>
          </w:p>
        </w:tc>
        <w:tc>
          <w:tcPr>
            <w:tcW w:w="8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12</w:t>
            </w:r>
          </w:p>
        </w:tc>
        <w:tc>
          <w:tcPr>
            <w:tcW w:w="220" w:type="dxa"/>
            <w:vAlign w:val="bottom"/>
          </w:tcPr>
          <w:p>
            <w:pPr>
              <w:spacing w:after="0"/>
              <w:rPr>
                <w:sz w:val="12"/>
                <w:szCs w:val="12"/>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option plans</w:t>
            </w: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April 26, 2020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386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3,212</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2,581</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July 28, 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1,993</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Net earnings (loss)</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1,542</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1,542</w:t>
            </w: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Divestiture</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53"/>
        </w:trPr>
        <w:tc>
          <w:tcPr>
            <w:tcW w:w="21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Other comprehensive income</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191</w:t>
            </w:r>
          </w:p>
        </w:tc>
        <w:tc>
          <w:tcPr>
            <w:tcW w:w="220" w:type="dxa"/>
            <w:vAlign w:val="bottom"/>
          </w:tcPr>
          <w:p>
            <w:pPr>
              <w:spacing w:after="0"/>
              <w:rPr>
                <w:sz w:val="13"/>
                <w:szCs w:val="13"/>
                <w:color w:val="auto"/>
              </w:rPr>
            </w:pPr>
          </w:p>
        </w:tc>
        <w:tc>
          <w:tcPr>
            <w:tcW w:w="11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3"/>
                <w:szCs w:val="13"/>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92"/>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(loss)</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($1.05 per share)</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(321)</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Treasury stock purchased</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w w:val="94"/>
              </w:rPr>
              <w:t>management incentive and stock</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w:t>
            </w: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48</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14</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 plans</w:t>
            </w:r>
          </w:p>
        </w:tc>
        <w:tc>
          <w:tcPr>
            <w:tcW w:w="5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at April 26, 2020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3,212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2,581</w:t>
            </w:r>
          </w:p>
        </w:tc>
        <w:tc>
          <w:tcPr>
            <w:tcW w:w="0" w:type="dxa"/>
            <w:vAlign w:val="bottom"/>
          </w:tcPr>
          <w:p>
            <w:pPr>
              <w:spacing w:after="0"/>
              <w:rPr>
                <w:sz w:val="1"/>
                <w:szCs w:val="1"/>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60" w:hanging="152"/>
        <w:spacing w:after="0"/>
        <w:tabs>
          <w:tab w:leader="none" w:pos="160" w:val="left"/>
        </w:tabs>
        <w:numPr>
          <w:ilvl w:val="0"/>
          <w:numId w:val="1"/>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were the primary beneficiary. See Note 14 for a discussion of the VIE. Intercompany transactions are eliminated in consolidation. See Note 3 for a discussion of Discontinued Operations.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28, 2019, except as described below and in Note 2.</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August 2, 2020. There will be 53 weeks in 2020. There were 52 weeks in 2019.</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At the beginning of the first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we adopted new guidance on accounting for leases. We determine if an agreement is or contains</w:t>
      </w:r>
      <w:r>
        <w:rPr>
          <w:rFonts w:ascii="Arial" w:cs="Arial" w:eastAsia="Arial" w:hAnsi="Arial"/>
          <w:sz w:val="18"/>
          <w:szCs w:val="18"/>
          <w:i w:val="1"/>
          <w:iCs w:val="1"/>
          <w:color w:val="auto"/>
        </w:rPr>
        <w:t xml:space="preserve"> </w:t>
      </w:r>
      <w:r>
        <w:rPr>
          <w:rFonts w:ascii="Arial" w:cs="Arial" w:eastAsia="Arial" w:hAnsi="Arial"/>
          <w:sz w:val="18"/>
          <w:szCs w:val="18"/>
          <w:color w:val="auto"/>
        </w:rPr>
        <w:t>a lease at inception by evaluating if an identified asset exists that we control for a period of time. When a lease exists, we record a right-of-use (ROU) asset and a corresponding lease liability on our Consolidated Balance Sheet. ROU assets represent our right to use an underlying asset for the lease term and the corresponding liabilities represent an obligation to make lease payments during the term. We have elected not to record leases with a term of 12 months or less on our Consolidated Balance Sheet.</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ROU assets are recorded on our Consolidated Balance Sheet at lease commencement based on the present value of the corresponding liabilities and are adjusted for any prepayments, lease incentives received, or initial direct costs incurred. To calculate the present value of our lease liabilities, we use a country-specific collateralized incremental borrowing rate based on the lease term at commencement. The measurement of our ROU assets and liabilities includes all fixed payments and any variable payments based on an index or rate.</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leases generally include options to extend or terminate use of the underlying assets. These options are included in the lease term used to determine ROU assets and corresponding liabilities when we are reasonably certain we will exercise.</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lease arrangements typically include non-lease components, such as common area maintenance and labor. We account for each lease and any non-lease components associated with that lease as a single lease component for all underlying asset classes with the exception of certain production assets. Accordingly, all costs associated with a lease contract are disclosed as lease costs. This includes any variable payments that are not dependent on an index or a rate and which are expensed as incurred.</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leases expense is recognized on a straight-line basis over the lease term with the expense recorded in Cost of products sold, Marketing and selling expenses, or Administrative expenses depending on the nature of the leased item.</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finance leases, the amortization of ROU lease assets is recognized on a straight-line basis over the shorter of the estimated useful life of the underlying asset or the lease term in Cost of products sold, Marketing and selling expenses, or Administrative expenses depending on the nature of the leased item. Interest expense on finance lease obligations is recorded over the lease term and is recorded in Interest expense (based on a front-loaded interest expense pattern).</w:t>
      </w:r>
    </w:p>
    <w:p>
      <w:pPr>
        <w:spacing w:after="0" w:line="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operating lease cash payments and interest on finance leases are recorded within Net cash provided by operating activities and all finance lease principal payments are recorded within Net cash used in financing activities in our Consolidated Statements of Cash Flows.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2 and 11 for additional information.</w:t>
      </w:r>
    </w:p>
    <w:p>
      <w:pPr>
        <w:spacing w:after="0" w:line="86" w:lineRule="exact"/>
        <w:rPr>
          <w:sz w:val="20"/>
          <w:szCs w:val="20"/>
          <w:color w:val="auto"/>
        </w:rPr>
      </w:pPr>
    </w:p>
    <w:p>
      <w:pPr>
        <w:ind w:left="340" w:right="8260" w:hanging="332"/>
        <w:spacing w:after="0" w:line="407" w:lineRule="auto"/>
        <w:tabs>
          <w:tab w:leader="none" w:pos="19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Recent Accounting Pronouncements </w:t>
      </w:r>
      <w:r>
        <w:rPr>
          <w:rFonts w:ascii="Arial" w:cs="Arial" w:eastAsia="Arial" w:hAnsi="Arial"/>
          <w:sz w:val="16"/>
          <w:szCs w:val="16"/>
          <w:i w:val="1"/>
          <w:iCs w:val="1"/>
          <w:u w:val="single" w:color="auto"/>
          <w:color w:val="auto"/>
        </w:rPr>
        <w:t>Recently Adopted</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We adopted the guidance in the first quarter of 2019, effective on July 30, 2018,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both"/>
        <w:ind w:firstLine="324"/>
        <w:spacing w:after="0" w:line="289"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most leases on the balance sheet but will recognize expenses similar to current lease accounting. The guidance is effective for fiscal years, and interim periods within those years, beginning after December 15, 2018. In July 2018, the FASB issued an adoption approach that allows entities to apply the new guidance and recognize a cumulative-effect adjustment to the opening balance of retained earnings in the period of adoption without restating prior periods. We adopted the new guidance at the beginning of 2020 using this transition method. We elected to apply a package of practical expedients, which allowed us to not reassess prior conclusions related to contracts containing leases, lease classification, and initial direct costs. Adoption of the new guidance resulted in the recognition of operating lease ROU assets of $259 and operating lease liabilities of $254, with the difference between the assets and liabilities primarily due to below market assets, deferred rent and prepaid rent. In addition, we derecognized $20 of an asset and liability associated with a build-to-suit lease arrangement. The adoption did not have a material impact on consolidated net earnings or cash flows. See Note 11 for additional information.</w:t>
      </w:r>
    </w:p>
    <w:p>
      <w:pPr>
        <w:spacing w:after="0" w:line="3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4 for additional information.</w:t>
      </w:r>
    </w:p>
    <w:p>
      <w:pPr>
        <w:spacing w:after="0" w:line="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We adopted the new guidance at the beginning of the first quarter of 2020. The adoption did not have a material impact on our consolidated financial statements.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 We intend to adopt the guidance on a prospective basis.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guidance on simplifying the accounting for income taxes. The guidance removes certain exceptions to the general principles of accounting for income taxes and also improves consistent application of accounting by clarifying or amending existing guidance. The guidance is effective for fiscal years beginning after December 15, 2020, and interim periods within those years. Early adoption is permitted. We are currently evaluating the impact that the new guidance will have on our consolidated financial statements.</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FASB issued guidance that provides optional expedients and exceptions for a limited period of time for accounting for contracts, hedging relationships, and other transactions affected by the London Interbank Offered Rate (LIBOR) or another reference rate expected to be discontinued. Optional expedients can be applied from March 12, 2020 through December 31, 2022. We are currently evaluating the impact that the new guidance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ind w:right="9420" w:firstLine="8"/>
        <w:spacing w:after="0" w:line="398"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Divestitures </w:t>
      </w:r>
      <w:r>
        <w:rPr>
          <w:rFonts w:ascii="Arial" w:cs="Arial" w:eastAsia="Arial" w:hAnsi="Arial"/>
          <w:sz w:val="16"/>
          <w:szCs w:val="16"/>
          <w:i w:val="1"/>
          <w:iCs w:val="1"/>
          <w:color w:val="auto"/>
        </w:rPr>
        <w:t>Discontinued Operations</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$55. On June 16, 2019, we sold our Bolthouse Farms business. Proceeds were $500.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completed the sale of our Kelsen business on September 23, 2019, for $322. We also completed the sale of our Arnott’s business and certain other international operations, including the simple meals and shelf-stable beverages businesses in Australia and Asia Pacific (the Arnott's and other international operations), on December 23, 2019, for $2,286. The purchase price was subject to certain post-closing adjustments, which resulted in $4 of additional proceeds in the third quarter of 2020. Beginning in the fourth quarter of 2019, we have reflected the results of operations of the Kelsen business and the Arnott’s and other international operations (collectively referred to as Campbell International) as discontinued operations in the Consolidated Statements of Earnings for all periods presented. These businesses were historically included in the Snacks reportable segment.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Campbell</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Campbell Fresh</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vMerge w:val="restart"/>
          </w:tcPr>
          <w:p>
            <w:pPr>
              <w:jc w:val="right"/>
              <w:ind w:right="372"/>
              <w:spacing w:after="0"/>
              <w:rPr>
                <w:sz w:val="20"/>
                <w:szCs w:val="20"/>
                <w:color w:val="auto"/>
              </w:rPr>
            </w:pPr>
            <w:r>
              <w:rPr>
                <w:rFonts w:ascii="Arial" w:cs="Arial" w:eastAsia="Arial" w:hAnsi="Arial"/>
                <w:sz w:val="14"/>
                <w:szCs w:val="14"/>
                <w:b w:val="1"/>
                <w:bCs w:val="1"/>
                <w:color w:val="auto"/>
              </w:rPr>
              <w:t>Campbell International</w:t>
            </w:r>
          </w:p>
        </w:tc>
        <w:tc>
          <w:tcPr>
            <w:tcW w:w="8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Campbell Fresh</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April 28, 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28, 2019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April 26,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28, 2019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28, 2019</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359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12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 (loss) on sale of businesses / costs associated with selling the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Tax expense (benefit) on sale / costs associated with selling the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businesses</w:t>
            </w:r>
          </w:p>
        </w:tc>
        <w:tc>
          <w:tcPr>
            <w:tcW w:w="1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sale of the Arnott's and other international operations resulted in a substantial capital gain for tax purposes. We were able to utilize capital losses, which were offset with valuation allowances as of July 28, 2019, to offset the capital gain.</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second quarter of 2019, we performed interim impairment assessments on the intangible and tangible assets of the Campbell Fresh businesses. We revised our future outlook for earnings and cash flows for each of these businesses as the divestiture process progressed and we received initial indications of value. In Bolthouse Farms carrot and carrot ingredients, we recorded impairment charges of $18 on the trademark, $40 on customer relationships, $15 on technology and $104 on plant assets. In Bolthouse Farms refrigerated beverages and salad dressings, we recorded impairment charges of $74 on the trademark, $22 on customer relationships, and $9 on plant assets. In Garden Fresh Gourmet, we recorded impairment charges of $23 on the trademark, $39 on customer relationships, and $2 on plant assets. In the first quarter of 2019, we recorded an impairment charge of $14 on the U.S. refrigerated soup plant assets in Campbell Fresh.</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in the third quarter of 2019, we recorded tax expense of $29 as deferred tax assets on Bolthouse Farms were not realizable.</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the terms of the sale of the Arnott's and other international operations, we entered into a long-term licensing arrangement for the exclusive rights to certain Campbell brands in certain non-U.S. markets. We provide certain transition services to support the divested businesses.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firstLine="324"/>
        <w:spacing w:after="0" w:line="276" w:lineRule="auto"/>
        <w:rPr>
          <w:sz w:val="20"/>
          <w:szCs w:val="20"/>
          <w:color w:val="auto"/>
        </w:rPr>
      </w:pPr>
      <w:r>
        <w:rPr>
          <w:rFonts w:ascii="Arial" w:cs="Arial" w:eastAsia="Arial" w:hAnsi="Arial"/>
          <w:sz w:val="18"/>
          <w:szCs w:val="18"/>
          <w:color w:val="auto"/>
        </w:rPr>
        <w:t>The assets and liabilities of Campbell International have been reflected as assets and liabilities of discontinued operations in the Consolidated Balance Sheet as of July 28, 2019. The assets and liabilities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July 28, 2019</w:t>
            </w: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135</w:t>
            </w: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w:t>
            </w:r>
          </w:p>
        </w:tc>
      </w:tr>
      <w:tr>
        <w:trPr>
          <w:trHeight w:val="27"/>
        </w:trPr>
        <w:tc>
          <w:tcPr>
            <w:tcW w:w="9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428</w:t>
            </w:r>
          </w:p>
        </w:tc>
      </w:tr>
      <w:tr>
        <w:trPr>
          <w:trHeight w:val="237"/>
        </w:trPr>
        <w:tc>
          <w:tcPr>
            <w:tcW w:w="9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assets, net of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661</w:t>
            </w: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 of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31</w:t>
            </w:r>
          </w:p>
        </w:tc>
      </w:tr>
      <w:tr>
        <w:trPr>
          <w:trHeight w:val="27"/>
        </w:trPr>
        <w:tc>
          <w:tcPr>
            <w:tcW w:w="9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1,595</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9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Payable to suppliers and others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109</w:t>
            </w: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14</w:t>
            </w:r>
          </w:p>
        </w:tc>
      </w:tr>
      <w:tr>
        <w:trPr>
          <w:trHeight w:val="27"/>
        </w:trPr>
        <w:tc>
          <w:tcPr>
            <w:tcW w:w="9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9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469</w:t>
            </w:r>
          </w:p>
        </w:tc>
      </w:tr>
      <w:tr>
        <w:trPr>
          <w:trHeight w:val="236"/>
        </w:trPr>
        <w:tc>
          <w:tcPr>
            <w:tcW w:w="9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32</w:t>
            </w:r>
          </w:p>
        </w:tc>
      </w:tr>
      <w:tr>
        <w:trPr>
          <w:trHeight w:val="27"/>
        </w:trPr>
        <w:tc>
          <w:tcPr>
            <w:tcW w:w="9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r>
      <w:tr>
        <w:trPr>
          <w:trHeight w:val="237"/>
        </w:trPr>
        <w:tc>
          <w:tcPr>
            <w:tcW w:w="998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534</w:t>
            </w:r>
          </w:p>
        </w:tc>
      </w:tr>
      <w:tr>
        <w:trPr>
          <w:trHeight w:val="27"/>
        </w:trPr>
        <w:tc>
          <w:tcPr>
            <w:tcW w:w="9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8"/>
          <w:szCs w:val="18"/>
          <w:color w:val="auto"/>
        </w:rPr>
        <w:t>The depreciation and amortization, capital expenditures, sale proceeds and significant noncash operating items of Campbell Fresh and Campbell International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26, 2020</w:t>
            </w:r>
          </w:p>
        </w:tc>
        <w:tc>
          <w:tcPr>
            <w:tcW w:w="16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April 28, 2019</w:t>
            </w:r>
          </w:p>
        </w:tc>
      </w:tr>
      <w:tr>
        <w:trPr>
          <w:trHeight w:val="236"/>
        </w:trPr>
        <w:tc>
          <w:tcPr>
            <w:tcW w:w="8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discontinued operating activities: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360</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72</w:t>
            </w: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Net (gain) loss on sales of discontinued operations businesses</w:t>
            </w: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18</w:t>
            </w:r>
          </w:p>
        </w:tc>
      </w:tr>
      <w:tr>
        <w:trPr>
          <w:trHeight w:val="297"/>
        </w:trPr>
        <w:tc>
          <w:tcPr>
            <w:tcW w:w="8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discontinued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55"/>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45</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of discontinued operations businesses, net of cash divested</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2,466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r>
      <w:tr>
        <w:trPr>
          <w:trHeight w:val="27"/>
        </w:trPr>
        <w:tc>
          <w:tcPr>
            <w:tcW w:w="8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w:t>
      </w:r>
    </w:p>
    <w:p>
      <w:pPr>
        <w:spacing w:after="0" w:line="5" w:lineRule="exact"/>
        <w:rPr>
          <w:sz w:val="20"/>
          <w:szCs w:val="20"/>
          <w:color w:val="auto"/>
        </w:rPr>
      </w:pPr>
    </w:p>
    <w:p>
      <w:pPr>
        <w:ind w:right="1780" w:firstLine="8"/>
        <w:spacing w:after="0" w:line="286" w:lineRule="auto"/>
        <w:tabs>
          <w:tab w:leader="none" w:pos="312"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xml:space="preserve">Depreciation and amortization are no longer recognized once businesses are classified as held for sale/discontinued operations. </w:t>
      </w:r>
      <w:r>
        <w:rPr>
          <w:rFonts w:ascii="Arial" w:cs="Arial" w:eastAsia="Arial" w:hAnsi="Arial"/>
          <w:sz w:val="18"/>
          <w:szCs w:val="18"/>
          <w:i w:val="1"/>
          <w:iCs w:val="1"/>
          <w:color w:val="auto"/>
        </w:rPr>
        <w:t>Other Divestitures</w:t>
      </w:r>
    </w:p>
    <w:p>
      <w:pPr>
        <w:spacing w:after="0" w:line="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11, 2019, we completed the sale of our European chips business for £63, or $77. The European chips business had net sales of $25 for the nine-month period ended April 26, 2020. The European chips business had net sales of $33 for the three-month period and $93 for the nine-month period ended April 28, 2019. Earnings were not material in either period. The results of the European chips business through the date of sale were reflected in continuing operations within the Snacks reportable segment. The pre-tax loss recognized in the first quarter on the sale was $64, which included the impact of allocated goodwill and foreign currency translation adjustments. For tax purposes, in the first quarter, the capital loss on the sale was offset by a valuation allowance.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1" w:name="page12"/>
    <w:bookmarkEnd w:id="11"/>
    <w:p>
      <w:pPr>
        <w:ind w:firstLine="324"/>
        <w:spacing w:after="0" w:line="277" w:lineRule="auto"/>
        <w:rPr>
          <w:sz w:val="20"/>
          <w:szCs w:val="20"/>
          <w:color w:val="auto"/>
        </w:rPr>
      </w:pPr>
      <w:r>
        <w:rPr>
          <w:rFonts w:ascii="Arial" w:cs="Arial" w:eastAsia="Arial" w:hAnsi="Arial"/>
          <w:sz w:val="18"/>
          <w:szCs w:val="18"/>
          <w:color w:val="auto"/>
        </w:rPr>
        <w:t>In the second quarter of 2020, we recognized a $19 tax benefit in continuing operations as we were able to use the capital loss on this sale to offset a portion of the capital gain from the sale of the Arnott's and other international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Income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Foreign Currency</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 and</w:t>
            </w:r>
          </w:p>
        </w:tc>
        <w:tc>
          <w:tcPr>
            <w:tcW w:w="120" w:type="dxa"/>
            <w:vAlign w:val="bottom"/>
          </w:tcPr>
          <w:p>
            <w:pPr>
              <w:spacing w:after="0"/>
              <w:rPr>
                <w:sz w:val="14"/>
                <w:szCs w:val="14"/>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6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w w:val="99"/>
              </w:rPr>
              <w:t>Postretirement Benefit</w:t>
            </w:r>
          </w:p>
        </w:tc>
        <w:tc>
          <w:tcPr>
            <w:tcW w:w="12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r>
              <w:rPr>
                <w:rFonts w:ascii="Arial" w:cs="Arial" w:eastAsia="Arial" w:hAnsi="Arial"/>
                <w:sz w:val="9"/>
                <w:szCs w:val="9"/>
                <w:b w:val="1"/>
                <w:bCs w:val="1"/>
                <w:color w:val="auto"/>
                <w:w w:val="91"/>
              </w:rPr>
              <w:t>(1)</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Cash Flow Hedges</w:t>
            </w:r>
            <w:r>
              <w:rPr>
                <w:rFonts w:ascii="Arial" w:cs="Arial" w:eastAsia="Arial" w:hAnsi="Arial"/>
                <w:sz w:val="9"/>
                <w:szCs w:val="9"/>
                <w:b w:val="1"/>
                <w:bCs w:val="1"/>
                <w:color w:val="auto"/>
                <w:w w:val="91"/>
              </w:rPr>
              <w:t>(2)</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Plan Adjustments</w:t>
            </w:r>
            <w:r>
              <w:rPr>
                <w:rFonts w:ascii="Arial" w:cs="Arial" w:eastAsia="Arial" w:hAnsi="Arial"/>
                <w:sz w:val="9"/>
                <w:szCs w:val="9"/>
                <w:b w:val="1"/>
                <w:bCs w:val="1"/>
                <w:color w:val="auto"/>
                <w:w w:val="94"/>
              </w:rPr>
              <w:t>(3)</w:t>
            </w:r>
          </w:p>
        </w:tc>
        <w:tc>
          <w:tcPr>
            <w:tcW w:w="120" w:type="dxa"/>
            <w:vAlign w:val="bottom"/>
          </w:tcPr>
          <w:p>
            <w:pPr>
              <w:spacing w:after="0"/>
              <w:rPr>
                <w:sz w:val="16"/>
                <w:szCs w:val="16"/>
                <w:color w:val="auto"/>
              </w:rPr>
            </w:pPr>
          </w:p>
        </w:tc>
        <w:tc>
          <w:tcPr>
            <w:tcW w:w="1320" w:type="dxa"/>
            <w:vAlign w:val="bottom"/>
          </w:tcPr>
          <w:p>
            <w:pPr>
              <w:jc w:val="center"/>
              <w:ind w:right="1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65"/>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29,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center"/>
              <w:ind w:left="753"/>
              <w:spacing w:after="0"/>
              <w:rPr>
                <w:sz w:val="20"/>
                <w:szCs w:val="20"/>
                <w:color w:val="auto"/>
              </w:rPr>
            </w:pPr>
            <w:r>
              <w:rPr>
                <w:rFonts w:ascii="Arial" w:cs="Arial" w:eastAsia="Arial" w:hAnsi="Arial"/>
                <w:sz w:val="18"/>
                <w:szCs w:val="18"/>
                <w:color w:val="auto"/>
                <w:w w:val="89"/>
              </w:rPr>
              <w:t>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4"/>
        </w:trPr>
        <w:tc>
          <w:tcPr>
            <w:tcW w:w="5100" w:type="dxa"/>
            <w:vAlign w:val="bottom"/>
          </w:tcPr>
          <w:p>
            <w:pPr>
              <w:ind w:left="120"/>
              <w:spacing w:after="0"/>
              <w:rPr>
                <w:sz w:val="20"/>
                <w:szCs w:val="20"/>
                <w:color w:val="auto"/>
              </w:rPr>
            </w:pPr>
            <w:r>
              <w:rPr>
                <w:rFonts w:ascii="Arial" w:cs="Arial" w:eastAsia="Arial" w:hAnsi="Arial"/>
                <w:sz w:val="18"/>
                <w:szCs w:val="18"/>
                <w:color w:val="auto"/>
              </w:rPr>
              <w:t>Cumulative effect of a change in accounting principle</w:t>
            </w:r>
            <w:r>
              <w:rPr>
                <w:rFonts w:ascii="Arial" w:cs="Arial" w:eastAsia="Arial" w:hAnsi="Arial"/>
                <w:sz w:val="23"/>
                <w:szCs w:val="23"/>
                <w:color w:val="auto"/>
                <w:vertAlign w:val="superscript"/>
              </w:rPr>
              <w:t>(4)</w:t>
            </w:r>
          </w:p>
        </w:tc>
        <w:tc>
          <w:tcPr>
            <w:tcW w:w="1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center"/>
              <w:ind w:left="753"/>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65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w w:val="99"/>
              </w:rPr>
              <w:t>Amounts reclassified from accumulated other comprehensive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center"/>
              <w:ind w:left="71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left="713"/>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3"/>
        </w:trPr>
        <w:tc>
          <w:tcPr>
            <w:tcW w:w="5100" w:type="dxa"/>
            <w:vAlign w:val="bottom"/>
          </w:tcPr>
          <w:p>
            <w:pPr>
              <w:ind w:left="20"/>
              <w:spacing w:after="0"/>
              <w:rPr>
                <w:sz w:val="20"/>
                <w:szCs w:val="20"/>
                <w:color w:val="auto"/>
              </w:rPr>
            </w:pPr>
            <w:r>
              <w:rPr>
                <w:rFonts w:ascii="Arial" w:cs="Arial" w:eastAsia="Arial" w:hAnsi="Arial"/>
                <w:sz w:val="18"/>
                <w:szCs w:val="18"/>
                <w:color w:val="auto"/>
              </w:rPr>
              <w:t>Balance at April 28,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Balance at July 28, 2019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center"/>
              <w:ind w:left="753"/>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94"/>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653"/>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5"/>
        </w:trPr>
        <w:tc>
          <w:tcPr>
            <w:tcW w:w="5100" w:type="dxa"/>
            <w:vAlign w:val="bottom"/>
          </w:tcPr>
          <w:p>
            <w:pPr>
              <w:ind w:left="220"/>
              <w:spacing w:after="0" w:line="176" w:lineRule="exact"/>
              <w:rPr>
                <w:sz w:val="20"/>
                <w:szCs w:val="20"/>
                <w:color w:val="auto"/>
              </w:rPr>
            </w:pPr>
            <w:r>
              <w:rPr>
                <w:rFonts w:ascii="Arial" w:cs="Arial" w:eastAsia="Arial" w:hAnsi="Arial"/>
                <w:sz w:val="18"/>
                <w:szCs w:val="18"/>
                <w:b w:val="1"/>
                <w:bCs w:val="1"/>
                <w:color w:val="auto"/>
                <w:w w:val="91"/>
              </w:rPr>
              <w:t>Amounts reclassified from accumulated other comprehensive</w:t>
            </w:r>
          </w:p>
        </w:tc>
        <w:tc>
          <w:tcPr>
            <w:tcW w:w="140" w:type="dxa"/>
            <w:vAlign w:val="bottom"/>
          </w:tcPr>
          <w:p>
            <w:pPr>
              <w:spacing w:after="0"/>
              <w:rPr>
                <w:sz w:val="15"/>
                <w:szCs w:val="15"/>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center"/>
              <w:ind w:left="713"/>
              <w:spacing w:after="0"/>
              <w:rPr>
                <w:sz w:val="20"/>
                <w:szCs w:val="20"/>
                <w:color w:val="auto"/>
              </w:rPr>
            </w:pPr>
            <w:r>
              <w:rPr>
                <w:rFonts w:ascii="Arial" w:cs="Arial" w:eastAsia="Arial" w:hAnsi="Arial"/>
                <w:sz w:val="18"/>
                <w:szCs w:val="18"/>
                <w:b w:val="1"/>
                <w:bCs w:val="1"/>
                <w:color w:val="auto"/>
                <w:w w:val="93"/>
              </w:rPr>
              <w:t>(16)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b w:val="1"/>
                <w:bCs w:val="1"/>
                <w:color w:val="auto"/>
              </w:rPr>
              <w:t>income (loss)</w:t>
            </w:r>
            <w:r>
              <w:rPr>
                <w:rFonts w:ascii="Arial" w:cs="Arial" w:eastAsia="Arial" w:hAnsi="Arial"/>
                <w:sz w:val="23"/>
                <w:szCs w:val="23"/>
                <w:b w:val="1"/>
                <w:bCs w:val="1"/>
                <w:color w:val="auto"/>
                <w:vertAlign w:val="superscript"/>
              </w:rPr>
              <w:t>(5)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left="713"/>
              <w:spacing w:after="0"/>
              <w:rPr>
                <w:sz w:val="20"/>
                <w:szCs w:val="20"/>
                <w:color w:val="auto"/>
              </w:rPr>
            </w:pPr>
            <w:r>
              <w:rPr>
                <w:rFonts w:ascii="Arial" w:cs="Arial" w:eastAsia="Arial" w:hAnsi="Arial"/>
                <w:sz w:val="18"/>
                <w:szCs w:val="18"/>
                <w:b w:val="1"/>
                <w:bCs w:val="1"/>
                <w:color w:val="auto"/>
                <w:w w:val="93"/>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6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Balance at April 26,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b w:val="1"/>
                <w:bCs w:val="1"/>
                <w:color w:val="auto"/>
                <w:w w:val="89"/>
              </w:rPr>
              <w:t>13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ind w:left="320" w:hanging="312"/>
        <w:spacing w:after="0" w:line="218" w:lineRule="auto"/>
        <w:tabs>
          <w:tab w:leader="none" w:pos="3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Included no tax as of April 26, 2020, a tax expense of $4 as of July 28, 2019, and April 28, 2019, and $6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a tax expense of $1 as of April 26, 2020, and a tax benefit of $2 as of July 28, 2019, $1 as of April 28, 2019, and $4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Included a tax expense of $3 as of April 26, 2020, $8 as of July 28, 2019, $10 as of April 28, 2019, and $25 as of July 29, 2018.</w:t>
      </w:r>
    </w:p>
    <w:p>
      <w:pPr>
        <w:ind w:left="320" w:hanging="312"/>
        <w:spacing w:after="0" w:line="183" w:lineRule="auto"/>
        <w:tabs>
          <w:tab w:leader="none" w:pos="3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Reflects the adoption of the FASB guidance on stranded tax effects. See Note 2 for additional information.</w:t>
      </w:r>
    </w:p>
    <w:p>
      <w:pPr>
        <w:ind w:left="340" w:right="4240" w:hanging="332"/>
        <w:spacing w:after="0" w:line="270"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Reflects amounts reclassified from sale of businesses. See Note 3 for additional information. Amounts related to noncontrolling interests were not material.</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w w:val="97"/>
              </w:rPr>
              <w:t>Details about Accumulated Other Comprehensive Income</w:t>
            </w:r>
          </w:p>
        </w:tc>
        <w:tc>
          <w:tcPr>
            <w:tcW w:w="120" w:type="dxa"/>
            <w:vAlign w:val="bottom"/>
          </w:tcPr>
          <w:p>
            <w:pPr>
              <w:spacing w:after="0"/>
              <w:rPr>
                <w:sz w:val="12"/>
                <w:szCs w:val="12"/>
                <w:color w:val="auto"/>
              </w:rPr>
            </w:pP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5"/>
              </w:rPr>
              <w:t>April 26, 2020</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5"/>
              </w:rPr>
              <w:t>April 28, 2019</w:t>
            </w:r>
          </w:p>
        </w:tc>
        <w:tc>
          <w:tcPr>
            <w:tcW w:w="120" w:type="dxa"/>
            <w:vAlign w:val="bottom"/>
            <w:vMerge w:val="restart"/>
          </w:tcPr>
          <w:p>
            <w:pPr>
              <w:spacing w:after="0"/>
              <w:rPr>
                <w:sz w:val="12"/>
                <w:szCs w:val="12"/>
                <w:color w:val="auto"/>
              </w:rPr>
            </w:pPr>
          </w:p>
        </w:tc>
        <w:tc>
          <w:tcPr>
            <w:tcW w:w="10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vMerge w:val="restart"/>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28, 2019</w:t>
            </w:r>
          </w:p>
        </w:tc>
        <w:tc>
          <w:tcPr>
            <w:tcW w:w="100" w:type="dxa"/>
            <w:vAlign w:val="bottom"/>
          </w:tcPr>
          <w:p>
            <w:pPr>
              <w:spacing w:after="0"/>
              <w:rPr>
                <w:sz w:val="12"/>
                <w:szCs w:val="12"/>
                <w:color w:val="auto"/>
              </w:rPr>
            </w:pPr>
          </w:p>
        </w:tc>
        <w:tc>
          <w:tcPr>
            <w:tcW w:w="2640" w:type="dxa"/>
            <w:vAlign w:val="bottom"/>
          </w:tcPr>
          <w:p>
            <w:pPr>
              <w:ind w:left="140"/>
              <w:spacing w:after="0" w:line="139" w:lineRule="exact"/>
              <w:rPr>
                <w:sz w:val="20"/>
                <w:szCs w:val="20"/>
                <w:color w:val="auto"/>
              </w:rPr>
            </w:pPr>
            <w:r>
              <w:rPr>
                <w:rFonts w:ascii="Arial" w:cs="Arial" w:eastAsia="Arial" w:hAnsi="Arial"/>
                <w:sz w:val="14"/>
                <w:szCs w:val="14"/>
                <w:b w:val="1"/>
                <w:bCs w:val="1"/>
                <w:color w:val="auto"/>
                <w:w w:val="97"/>
              </w:rPr>
              <w:t>Location of (Gain) Loss Recognized in</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(Loss) Components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120"/>
              <w:spacing w:after="0"/>
              <w:rPr>
                <w:sz w:val="20"/>
                <w:szCs w:val="20"/>
                <w:color w:val="auto"/>
              </w:rPr>
            </w:pPr>
            <w:r>
              <w:rPr>
                <w:rFonts w:ascii="Arial" w:cs="Arial" w:eastAsia="Arial" w:hAnsi="Arial"/>
                <w:sz w:val="18"/>
                <w:szCs w:val="18"/>
                <w:color w:val="auto"/>
                <w:w w:val="96"/>
              </w:rPr>
              <w:t>Currency translation (gains) losses realized upon</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disposal of businesses</w:t>
            </w:r>
          </w:p>
        </w:tc>
        <w:tc>
          <w:tcPr>
            <w:tcW w:w="1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Currency translation (gains) losses realized upon</w:t>
            </w:r>
          </w:p>
        </w:tc>
        <w:tc>
          <w:tcPr>
            <w:tcW w:w="12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Earnings (loss) from discontinued</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disposal of businesses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37"/>
        </w:trPr>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Total before tax</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(Gains) losses on cash flow hedges: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43"/>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12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Earnings (loss) from discontinued</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43"/>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Forward starting interest rate swaps</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Tax expense (benefit)</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(Gain) loss, net of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Pension and postretirement benefit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Prior service credit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11"/>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580" w:type="dxa"/>
            <w:vAlign w:val="bottom"/>
          </w:tcPr>
          <w:p>
            <w:pPr>
              <w:jc w:val="right"/>
              <w:ind w:right="37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1"/>
                <w:szCs w:val="21"/>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jc w:val="right"/>
              <w:ind w:right="120"/>
              <w:spacing w:after="0"/>
              <w:rPr>
                <w:sz w:val="20"/>
                <w:szCs w:val="20"/>
                <w:color w:val="auto"/>
              </w:rPr>
            </w:pPr>
            <w:r>
              <w:rPr>
                <w:rFonts w:ascii="Arial" w:cs="Arial" w:eastAsia="Arial" w:hAnsi="Arial"/>
                <w:sz w:val="18"/>
                <w:szCs w:val="18"/>
                <w:color w:val="auto"/>
              </w:rPr>
              <w:t>(Gain) loss, net of tax</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660" w:firstLine="8"/>
        <w:spacing w:after="0" w:line="362"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49"/>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 at July 28, 2019</w:t>
            </w:r>
          </w:p>
        </w:tc>
        <w:tc>
          <w:tcPr>
            <w:tcW w:w="50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4,017</w:t>
            </w:r>
          </w:p>
        </w:tc>
      </w:tr>
      <w:tr>
        <w:trPr>
          <w:trHeight w:val="270"/>
        </w:trPr>
        <w:tc>
          <w:tcPr>
            <w:tcW w:w="7040" w:type="dxa"/>
            <w:vAlign w:val="bottom"/>
          </w:tcPr>
          <w:p>
            <w:pPr>
              <w:spacing w:after="0"/>
              <w:rPr>
                <w:sz w:val="20"/>
                <w:szCs w:val="20"/>
                <w:color w:val="auto"/>
              </w:rPr>
            </w:pPr>
            <w:r>
              <w:rPr>
                <w:rFonts w:ascii="Arial" w:cs="Arial" w:eastAsia="Arial" w:hAnsi="Arial"/>
                <w:sz w:val="18"/>
                <w:szCs w:val="18"/>
                <w:b w:val="1"/>
                <w:bCs w:val="1"/>
                <w:color w:val="auto"/>
              </w:rPr>
              <w:t>Divestiture</w:t>
            </w:r>
            <w:r>
              <w:rPr>
                <w:rFonts w:ascii="Arial" w:cs="Arial" w:eastAsia="Arial" w:hAnsi="Arial"/>
                <w:sz w:val="23"/>
                <w:szCs w:val="23"/>
                <w:b w:val="1"/>
                <w:bCs w:val="1"/>
                <w:color w:val="auto"/>
                <w:vertAlign w:val="superscript"/>
              </w:rPr>
              <w:t>(1)</w:t>
            </w:r>
          </w:p>
        </w:tc>
        <w:tc>
          <w:tcPr>
            <w:tcW w:w="50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(34)</w:t>
            </w:r>
          </w:p>
        </w:tc>
      </w:tr>
      <w:tr>
        <w:trPr>
          <w:trHeight w:val="27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r>
      <w:tr>
        <w:trPr>
          <w:trHeight w:val="237"/>
        </w:trPr>
        <w:tc>
          <w:tcPr>
            <w:tcW w:w="7040" w:type="dxa"/>
            <w:vAlign w:val="bottom"/>
          </w:tcPr>
          <w:p>
            <w:pPr>
              <w:spacing w:after="0"/>
              <w:rPr>
                <w:sz w:val="20"/>
                <w:szCs w:val="20"/>
                <w:color w:val="auto"/>
              </w:rPr>
            </w:pPr>
            <w:r>
              <w:rPr>
                <w:rFonts w:ascii="Arial" w:cs="Arial" w:eastAsia="Arial" w:hAnsi="Arial"/>
                <w:sz w:val="18"/>
                <w:szCs w:val="18"/>
                <w:b w:val="1"/>
                <w:bCs w:val="1"/>
                <w:color w:val="auto"/>
              </w:rPr>
              <w:t>Net balance at April 26, 2020</w:t>
            </w:r>
          </w:p>
        </w:tc>
        <w:tc>
          <w:tcPr>
            <w:tcW w:w="50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3,010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3,981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3207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2075" cy="342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w:t>
      </w:r>
    </w:p>
    <w:p>
      <w:pPr>
        <w:spacing w:after="0" w:line="70" w:lineRule="exact"/>
        <w:rPr>
          <w:sz w:val="20"/>
          <w:szCs w:val="20"/>
          <w:color w:val="auto"/>
        </w:rPr>
      </w:pPr>
    </w:p>
    <w:p>
      <w:pPr>
        <w:ind w:left="5540" w:right="2600" w:hanging="5532"/>
        <w:spacing w:after="0" w:line="852" w:lineRule="auto"/>
        <w:tabs>
          <w:tab w:leader="none" w:pos="326"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On October 11, 2019, we completed the sale of our European chips business. See Note 3 for additional information.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5"/>
              </w:rPr>
              <w:t>April 26, 2020</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July 28, 2019</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Intangible Assets</w:t>
            </w:r>
          </w:p>
        </w:tc>
        <w:tc>
          <w:tcPr>
            <w:tcW w:w="100" w:type="dxa"/>
            <w:vAlign w:val="bottom"/>
            <w:vMerge w:val="restart"/>
          </w:tcPr>
          <w:p>
            <w:pPr>
              <w:spacing w:after="0"/>
              <w:rPr>
                <w:sz w:val="13"/>
                <w:szCs w:val="13"/>
                <w:color w:val="auto"/>
              </w:rPr>
            </w:pPr>
          </w:p>
        </w:tc>
        <w:tc>
          <w:tcPr>
            <w:tcW w:w="16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9"/>
              </w:rPr>
              <w:t>Estimated Useful Lives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0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6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3"/>
                <w:szCs w:val="13"/>
                <w:color w:val="auto"/>
              </w:rPr>
            </w:pPr>
          </w:p>
        </w:tc>
        <w:tc>
          <w:tcPr>
            <w:tcW w:w="102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to</w:t>
            </w:r>
          </w:p>
        </w:tc>
        <w:tc>
          <w:tcPr>
            <w:tcW w:w="74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9"/>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53"/>
              <w:spacing w:after="0"/>
              <w:rPr>
                <w:sz w:val="20"/>
                <w:szCs w:val="20"/>
                <w:color w:val="auto"/>
              </w:rPr>
            </w:pPr>
            <w:r>
              <w:rPr>
                <w:rFonts w:ascii="Arial" w:cs="Arial" w:eastAsia="Arial" w:hAnsi="Arial"/>
                <w:sz w:val="18"/>
                <w:szCs w:val="18"/>
                <w:b w:val="1"/>
                <w:bCs w:val="1"/>
                <w:color w:val="auto"/>
              </w:rPr>
              <w:t>751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855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 to</w:t>
            </w:r>
          </w:p>
        </w:tc>
        <w:tc>
          <w:tcPr>
            <w:tcW w:w="7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Total amortizable intangible assets</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(114)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Trademarks</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b w:val="1"/>
                <w:bCs w:val="1"/>
                <w:color w:val="auto"/>
              </w:rPr>
              <w:t>2,611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4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3,362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Non-amortizable intangible assets consist of trademarks. As of April 26, 2020, trademarks primarily included $1,978 associated with Snyder's-Lance, $280 associated with Pacific Foods and $292 related to </w:t>
      </w:r>
      <w:r>
        <w:rPr>
          <w:rFonts w:ascii="Arial" w:cs="Arial" w:eastAsia="Arial" w:hAnsi="Arial"/>
          <w:sz w:val="18"/>
          <w:szCs w:val="18"/>
          <w:i w:val="1"/>
          <w:iCs w:val="1"/>
          <w:color w:val="auto"/>
        </w:rPr>
        <w:t>Pace</w:t>
      </w:r>
      <w:r>
        <w:rPr>
          <w:rFonts w:ascii="Arial" w:cs="Arial" w:eastAsia="Arial" w:hAnsi="Arial"/>
          <w:sz w:val="18"/>
          <w:szCs w:val="18"/>
          <w:color w:val="auto"/>
        </w:rPr>
        <w:t>. Other amortizable intangible assets consist of recipes, non-compete agreements, trademarks and patents.</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Amortization of intangible assets in Earnings from continuing operations was $33 and $36 for the nine-month periods ended April 26, 2020, and April 28, 2019, respectively. Amortization expense for the next 5 years is estimated to be approximately $44 per year.</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in Earnings (loss) from discontinued operations was $8 for the nine-month period ended April 28, 2019. See Note 3 for additional information on discontinued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Segment Information</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the second quarter of 2019, we had four operating segments based primarily on product type, and three reportable segments. The operating segments were Meals &amp; Beverages; U.S. snacking; international biscuits and snacks; and Campbell Fresh. The U.S. snacking operating segment was aggregated with the international biscuits and snacks operating segment to form the Global Biscuits and Snacks reportable segment. The operating segments were aggregated based on similar economic characteristics, products, production processes, types or classes of customers, distribution methods, and regulatory environment.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 3, we sold our businesses in Campbell Fresh during 2019. Beginning in the third quarter of 2019, we have reflected the results of these businesses as discontinued operations in the Consolidated Statements of Earnings for all periods presented. Prior periods have been adjusted to conform to the current presentation. A portion of the U.S. refrigerated soup business historically included in Campbell Fresh was retained, and is reported as part of foodservice in Meals &amp; Beverages.</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Within our international biscuits and snacks operating segment, we sold our Kelsen business on September 23, 2019, and the Arnott’s and other international operations on December 23, 2019.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reportable segments are as follows:</w:t>
      </w:r>
    </w:p>
    <w:p>
      <w:pPr>
        <w:spacing w:after="0" w:line="90"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Meals &amp; Beverages, which includes the retail and foodservice businesses in the U.S. and Canada. The segment includes the following products: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condensed and ready-to-serve soups;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broth and stocks;</w:t>
      </w:r>
      <w:r>
        <w:rPr>
          <w:rFonts w:ascii="Arial" w:cs="Arial" w:eastAsia="Arial" w:hAnsi="Arial"/>
          <w:sz w:val="18"/>
          <w:szCs w:val="18"/>
          <w:i w:val="1"/>
          <w:iCs w:val="1"/>
          <w:color w:val="auto"/>
        </w:rPr>
        <w:t xml:space="preserve"> Pacific Foods </w:t>
      </w:r>
      <w:r>
        <w:rPr>
          <w:rFonts w:ascii="Arial" w:cs="Arial" w:eastAsia="Arial" w:hAnsi="Arial"/>
          <w:sz w:val="18"/>
          <w:szCs w:val="18"/>
          <w:color w:val="auto"/>
        </w:rPr>
        <w:t>broth, soups and non-dairy beverages;</w:t>
      </w:r>
      <w:r>
        <w:rPr>
          <w:rFonts w:ascii="Arial" w:cs="Arial" w:eastAsia="Arial" w:hAnsi="Arial"/>
          <w:sz w:val="18"/>
          <w:szCs w:val="18"/>
          <w:i w:val="1"/>
          <w:iCs w:val="1"/>
          <w:color w:val="auto"/>
        </w:rPr>
        <w:t xml:space="preserve"> Prego </w:t>
      </w:r>
      <w:r>
        <w:rPr>
          <w:rFonts w:ascii="Arial" w:cs="Arial" w:eastAsia="Arial" w:hAnsi="Arial"/>
          <w:sz w:val="18"/>
          <w:szCs w:val="18"/>
          <w:color w:val="auto"/>
        </w:rPr>
        <w:t>pasta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baby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w:t>
      </w:r>
    </w:p>
    <w:p>
      <w:pPr>
        <w:spacing w:after="0" w:line="65"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Snacks, which consists of Pepperidge Farm cookies, crackers, fresh bakery and frozen products in U.S. retail, including </w:t>
      </w:r>
      <w:r>
        <w:rPr>
          <w:rFonts w:ascii="Arial" w:cs="Arial" w:eastAsia="Arial" w:hAnsi="Arial"/>
          <w:sz w:val="16"/>
          <w:szCs w:val="16"/>
          <w:i w:val="1"/>
          <w:iCs w:val="1"/>
          <w:color w:val="auto"/>
        </w:rPr>
        <w:t>Milano</w:t>
      </w:r>
      <w:r>
        <w:rPr>
          <w:rFonts w:ascii="Arial" w:cs="Arial" w:eastAsia="Arial" w:hAnsi="Arial"/>
          <w:sz w:val="16"/>
          <w:szCs w:val="16"/>
          <w:color w:val="auto"/>
        </w:rPr>
        <w:t xml:space="preserve"> cookies and </w:t>
      </w:r>
      <w:r>
        <w:rPr>
          <w:rFonts w:ascii="Arial" w:cs="Arial" w:eastAsia="Arial" w:hAnsi="Arial"/>
          <w:sz w:val="16"/>
          <w:szCs w:val="16"/>
          <w:i w:val="1"/>
          <w:iCs w:val="1"/>
          <w:color w:val="auto"/>
        </w:rPr>
        <w:t xml:space="preserve">Goldfish </w:t>
      </w:r>
      <w:r>
        <w:rPr>
          <w:rFonts w:ascii="Arial" w:cs="Arial" w:eastAsia="Arial" w:hAnsi="Arial"/>
          <w:sz w:val="16"/>
          <w:szCs w:val="16"/>
          <w:color w:val="auto"/>
        </w:rPr>
        <w:t>crackers; and</w:t>
      </w:r>
      <w:r>
        <w:rPr>
          <w:rFonts w:ascii="Arial" w:cs="Arial" w:eastAsia="Arial" w:hAnsi="Arial"/>
          <w:sz w:val="16"/>
          <w:szCs w:val="16"/>
          <w:i w:val="1"/>
          <w:iCs w:val="1"/>
          <w:color w:val="auto"/>
        </w:rPr>
        <w:t xml:space="preserve"> Snyder’s of Hanover </w:t>
      </w:r>
      <w:r>
        <w:rPr>
          <w:rFonts w:ascii="Arial" w:cs="Arial" w:eastAsia="Arial" w:hAnsi="Arial"/>
          <w:sz w:val="16"/>
          <w:szCs w:val="16"/>
          <w:color w:val="auto"/>
        </w:rPr>
        <w:t>pretzels,</w:t>
      </w:r>
      <w:r>
        <w:rPr>
          <w:rFonts w:ascii="Arial" w:cs="Arial" w:eastAsia="Arial" w:hAnsi="Arial"/>
          <w:sz w:val="16"/>
          <w:szCs w:val="16"/>
          <w:i w:val="1"/>
          <w:iCs w:val="1"/>
          <w:color w:val="auto"/>
        </w:rPr>
        <w:t xml:space="preserve"> Lance </w:t>
      </w:r>
      <w:r>
        <w:rPr>
          <w:rFonts w:ascii="Arial" w:cs="Arial" w:eastAsia="Arial" w:hAnsi="Arial"/>
          <w:sz w:val="16"/>
          <w:szCs w:val="16"/>
          <w:color w:val="auto"/>
        </w:rPr>
        <w:t>sandwich crackers,</w:t>
      </w:r>
      <w:r>
        <w:rPr>
          <w:rFonts w:ascii="Arial" w:cs="Arial" w:eastAsia="Arial" w:hAnsi="Arial"/>
          <w:sz w:val="16"/>
          <w:szCs w:val="16"/>
          <w:i w:val="1"/>
          <w:iCs w:val="1"/>
          <w:color w:val="auto"/>
        </w:rPr>
        <w:t xml:space="preserve"> Cape Cod </w:t>
      </w:r>
      <w:r>
        <w:rPr>
          <w:rFonts w:ascii="Arial" w:cs="Arial" w:eastAsia="Arial" w:hAnsi="Arial"/>
          <w:sz w:val="16"/>
          <w:szCs w:val="16"/>
          <w:color w:val="auto"/>
        </w:rPr>
        <w:t>and</w:t>
      </w:r>
      <w:r>
        <w:rPr>
          <w:rFonts w:ascii="Arial" w:cs="Arial" w:eastAsia="Arial" w:hAnsi="Arial"/>
          <w:sz w:val="16"/>
          <w:szCs w:val="16"/>
          <w:i w:val="1"/>
          <w:iCs w:val="1"/>
          <w:color w:val="auto"/>
        </w:rPr>
        <w:t xml:space="preserve"> Kettle Brand </w:t>
      </w:r>
      <w:r>
        <w:rPr>
          <w:rFonts w:ascii="Arial" w:cs="Arial" w:eastAsia="Arial" w:hAnsi="Arial"/>
          <w:sz w:val="16"/>
          <w:szCs w:val="16"/>
          <w:color w:val="auto"/>
        </w:rPr>
        <w:t>potato chips,</w:t>
      </w:r>
      <w:r>
        <w:rPr>
          <w:rFonts w:ascii="Arial" w:cs="Arial" w:eastAsia="Arial" w:hAnsi="Arial"/>
          <w:sz w:val="16"/>
          <w:szCs w:val="16"/>
          <w:i w:val="1"/>
          <w:iCs w:val="1"/>
          <w:color w:val="auto"/>
        </w:rPr>
        <w:t xml:space="preserve"> Late July </w:t>
      </w:r>
      <w:r>
        <w:rPr>
          <w:rFonts w:ascii="Arial" w:cs="Arial" w:eastAsia="Arial" w:hAnsi="Arial"/>
          <w:sz w:val="16"/>
          <w:szCs w:val="16"/>
          <w:color w:val="auto"/>
        </w:rPr>
        <w:t>snacks,</w:t>
      </w:r>
      <w:r>
        <w:rPr>
          <w:rFonts w:ascii="Arial" w:cs="Arial" w:eastAsia="Arial" w:hAnsi="Arial"/>
          <w:sz w:val="16"/>
          <w:szCs w:val="16"/>
          <w:i w:val="1"/>
          <w:iCs w:val="1"/>
          <w:color w:val="auto"/>
        </w:rPr>
        <w:t xml:space="preserve"> Snack Factory Pretzel Crisps, Pop Secret </w:t>
      </w:r>
      <w:r>
        <w:rPr>
          <w:rFonts w:ascii="Arial" w:cs="Arial" w:eastAsia="Arial" w:hAnsi="Arial"/>
          <w:sz w:val="16"/>
          <w:szCs w:val="16"/>
          <w:color w:val="auto"/>
        </w:rPr>
        <w:t>popcorn,</w:t>
      </w:r>
      <w:r>
        <w:rPr>
          <w:rFonts w:ascii="Arial" w:cs="Arial" w:eastAsia="Arial" w:hAnsi="Arial"/>
          <w:sz w:val="16"/>
          <w:szCs w:val="16"/>
          <w:i w:val="1"/>
          <w:iCs w:val="1"/>
          <w:color w:val="auto"/>
        </w:rPr>
        <w:t xml:space="preserve"> Emerald </w:t>
      </w:r>
      <w:r>
        <w:rPr>
          <w:rFonts w:ascii="Arial" w:cs="Arial" w:eastAsia="Arial" w:hAnsi="Arial"/>
          <w:sz w:val="16"/>
          <w:szCs w:val="16"/>
          <w:color w:val="auto"/>
        </w:rPr>
        <w:t>nuts, and other snacking products in the U.S. and Canada. The segment includes the retail</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 Latin America. The segment also includes the results of our European chips business, which was sold on October 11, 2019.</w:t>
      </w:r>
    </w:p>
    <w:p>
      <w:pPr>
        <w:spacing w:after="0" w:line="3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Through the fourth quarter of 2019, our retail business in Latin America was managed as part of the Meals &amp; Beverages segment. Beginning in 2020, it is managed as part of the Snacks segment. Segment results have been adjusted retrospectively to reflect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jc w:val="both"/>
        <w:ind w:firstLine="324"/>
        <w:spacing w:after="0" w:line="291"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26,</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28,</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26,</w:t>
            </w:r>
          </w:p>
        </w:tc>
        <w:tc>
          <w:tcPr>
            <w:tcW w:w="240" w:type="dxa"/>
            <w:vAlign w:val="bottom"/>
          </w:tcPr>
          <w:p>
            <w:pPr>
              <w:spacing w:after="0"/>
              <w:rPr>
                <w:sz w:val="13"/>
                <w:szCs w:val="13"/>
                <w:color w:val="auto"/>
              </w:rPr>
            </w:pPr>
          </w:p>
        </w:tc>
        <w:tc>
          <w:tcPr>
            <w:tcW w:w="10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7"/>
              </w:rPr>
              <w:t>April 28,</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57"/>
              <w:spacing w:after="0"/>
              <w:rPr>
                <w:sz w:val="20"/>
                <w:szCs w:val="20"/>
                <w:color w:val="auto"/>
              </w:rPr>
            </w:pPr>
            <w:r>
              <w:rPr>
                <w:rFonts w:ascii="Arial" w:cs="Arial" w:eastAsia="Arial" w:hAnsi="Arial"/>
                <w:sz w:val="18"/>
                <w:szCs w:val="18"/>
                <w:b w:val="1"/>
                <w:bCs w:val="1"/>
                <w:color w:val="auto"/>
              </w:rPr>
              <w:t>1,210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77"/>
              <w:spacing w:after="0"/>
              <w:rPr>
                <w:sz w:val="20"/>
                <w:szCs w:val="20"/>
                <w:color w:val="auto"/>
              </w:rPr>
            </w:pPr>
            <w:r>
              <w:rPr>
                <w:rFonts w:ascii="Arial" w:cs="Arial" w:eastAsia="Arial" w:hAnsi="Arial"/>
                <w:sz w:val="18"/>
                <w:szCs w:val="18"/>
                <w:b w:val="1"/>
                <w:bCs w:val="1"/>
                <w:color w:val="auto"/>
              </w:rPr>
              <w:t>3,628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2,238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6,583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26,</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28,</w:t>
            </w:r>
          </w:p>
        </w:tc>
        <w:tc>
          <w:tcPr>
            <w:tcW w:w="24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26,</w:t>
            </w:r>
          </w:p>
        </w:tc>
        <w:tc>
          <w:tcPr>
            <w:tcW w:w="240" w:type="dxa"/>
            <w:vAlign w:val="bottom"/>
          </w:tcPr>
          <w:p>
            <w:pPr>
              <w:spacing w:after="0"/>
              <w:rPr>
                <w:sz w:val="13"/>
                <w:szCs w:val="13"/>
                <w:color w:val="auto"/>
              </w:rPr>
            </w:pPr>
          </w:p>
        </w:tc>
        <w:tc>
          <w:tcPr>
            <w:tcW w:w="10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7"/>
              </w:rPr>
              <w:t>April 28,</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Meals &amp; Beverages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57"/>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77"/>
              <w:spacing w:after="0"/>
              <w:rPr>
                <w:sz w:val="20"/>
                <w:szCs w:val="20"/>
                <w:color w:val="auto"/>
              </w:rPr>
            </w:pPr>
            <w:r>
              <w:rPr>
                <w:rFonts w:ascii="Arial" w:cs="Arial" w:eastAsia="Arial" w:hAnsi="Arial"/>
                <w:sz w:val="18"/>
                <w:szCs w:val="18"/>
                <w:b w:val="1"/>
                <w:bCs w:val="1"/>
                <w:color w:val="auto"/>
              </w:rPr>
              <w:t>799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Snacks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0"/>
        </w:trPr>
        <w:tc>
          <w:tcPr>
            <w:tcW w:w="5680" w:type="dxa"/>
            <w:vAlign w:val="bottom"/>
          </w:tcPr>
          <w:p>
            <w:pPr>
              <w:ind w:left="140"/>
              <w:spacing w:after="0"/>
              <w:rPr>
                <w:sz w:val="20"/>
                <w:szCs w:val="20"/>
                <w:color w:val="auto"/>
              </w:rPr>
            </w:pPr>
            <w:r>
              <w:rPr>
                <w:rFonts w:ascii="Arial" w:cs="Arial" w:eastAsia="Arial" w:hAnsi="Arial"/>
                <w:sz w:val="18"/>
                <w:szCs w:val="18"/>
                <w:color w:val="auto"/>
              </w:rPr>
              <w:t>Corporate</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(264)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6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273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940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6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42"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unallocated items. Pension benefit settlement adjustments are included in Corporate. There were settlement charges of $54 and $43 for the three- and nine-month periods ended April 26, 2020, respectively, and charges of $28 in the three- and nine-month periods ended April 28, 2019. A loss of $45 on Acre Venture Partners, L.P. (Acre) was included in the three- and nine-month periods ended April 26, 2020. See Note 14 for additional information on Acre. A loss of $64 on the sale of our European chips business was included in the nine-month period ended April 26, 2020. Costs related to the cost savings initiatives were $14 and $19 in the three-month periods and $40 and $68 in the nine-month periods ended April 26, 2020, and April 28, 2019, respectively.</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Note 7 for additional information.</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sales based on product categories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26,</w:t>
            </w:r>
          </w:p>
        </w:tc>
        <w:tc>
          <w:tcPr>
            <w:tcW w:w="260" w:type="dxa"/>
            <w:vAlign w:val="bottom"/>
          </w:tcPr>
          <w:p>
            <w:pPr>
              <w:spacing w:after="0"/>
              <w:rPr>
                <w:sz w:val="13"/>
                <w:szCs w:val="13"/>
                <w:color w:val="auto"/>
              </w:rPr>
            </w:pPr>
          </w:p>
        </w:tc>
        <w:tc>
          <w:tcPr>
            <w:tcW w:w="11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28,</w:t>
            </w:r>
          </w:p>
        </w:tc>
        <w:tc>
          <w:tcPr>
            <w:tcW w:w="26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26,</w:t>
            </w:r>
          </w:p>
        </w:tc>
        <w:tc>
          <w:tcPr>
            <w:tcW w:w="240" w:type="dxa"/>
            <w:vAlign w:val="bottom"/>
          </w:tcPr>
          <w:p>
            <w:pPr>
              <w:spacing w:after="0"/>
              <w:rPr>
                <w:sz w:val="13"/>
                <w:szCs w:val="13"/>
                <w:color w:val="auto"/>
              </w:rPr>
            </w:pPr>
          </w:p>
        </w:tc>
        <w:tc>
          <w:tcPr>
            <w:tcW w:w="106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April 28,</w:t>
            </w:r>
          </w:p>
        </w:tc>
      </w:tr>
      <w:tr>
        <w:trPr>
          <w:trHeight w:val="192"/>
        </w:trPr>
        <w:tc>
          <w:tcPr>
            <w:tcW w:w="570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36"/>
        </w:trPr>
        <w:tc>
          <w:tcPr>
            <w:tcW w:w="57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BFE4FF"/>
            </w:tcBorders>
            <w:shd w:val="clear" w:color="auto" w:fill="BFE4FF"/>
          </w:tcPr>
          <w:p>
            <w:pPr>
              <w:spacing w:after="0"/>
              <w:rPr>
                <w:sz w:val="20"/>
                <w:szCs w:val="20"/>
                <w:color w:val="auto"/>
              </w:rPr>
            </w:pPr>
          </w:p>
        </w:tc>
        <w:tc>
          <w:tcPr>
            <w:tcW w:w="1060" w:type="dxa"/>
            <w:vAlign w:val="bottom"/>
            <w:tcBorders>
              <w:bottom w:val="single" w:sz="8" w:color="BFE4FF"/>
            </w:tcBorders>
            <w:shd w:val="clear" w:color="auto" w:fill="BFE4FF"/>
          </w:tcPr>
          <w:p>
            <w:pPr>
              <w:spacing w:after="0"/>
              <w:rPr>
                <w:sz w:val="20"/>
                <w:szCs w:val="20"/>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Soup</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b w:val="1"/>
                <w:bCs w:val="1"/>
                <w:color w:val="auto"/>
              </w:rPr>
              <w:t>681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76"/>
              <w:spacing w:after="0"/>
              <w:rPr>
                <w:sz w:val="20"/>
                <w:szCs w:val="20"/>
                <w:color w:val="auto"/>
              </w:rPr>
            </w:pPr>
            <w:r>
              <w:rPr>
                <w:rFonts w:ascii="Arial" w:cs="Arial" w:eastAsia="Arial" w:hAnsi="Arial"/>
                <w:sz w:val="18"/>
                <w:szCs w:val="18"/>
                <w:b w:val="1"/>
                <w:bCs w:val="1"/>
                <w:color w:val="auto"/>
              </w:rPr>
              <w:t>2,144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2,020</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Snacks</w:t>
            </w:r>
          </w:p>
        </w:tc>
        <w:tc>
          <w:tcPr>
            <w:tcW w:w="2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1,040</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3,005</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color w:val="auto"/>
              </w:rPr>
              <w:t>2,922</w:t>
            </w: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Other simple meals</w:t>
            </w:r>
          </w:p>
        </w:tc>
        <w:tc>
          <w:tcPr>
            <w:tcW w:w="2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8"/>
                <w:szCs w:val="18"/>
                <w:b w:val="1"/>
                <w:bCs w:val="1"/>
                <w:color w:val="auto"/>
              </w:rPr>
              <w:t>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829</w:t>
            </w: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Beverages</w:t>
            </w:r>
          </w:p>
        </w:tc>
        <w:tc>
          <w:tcPr>
            <w:tcW w:w="2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548</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color w:val="auto"/>
              </w:rPr>
              <w:t>555</w:t>
            </w:r>
          </w:p>
        </w:tc>
      </w:tr>
      <w:tr>
        <w:trPr>
          <w:trHeight w:val="243"/>
        </w:trPr>
        <w:tc>
          <w:tcPr>
            <w:tcW w:w="57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w:t>
            </w:r>
          </w:p>
        </w:tc>
      </w:tr>
      <w:tr>
        <w:trPr>
          <w:trHeight w:val="27"/>
        </w:trPr>
        <w:tc>
          <w:tcPr>
            <w:tcW w:w="57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7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2,238</w:t>
            </w:r>
          </w:p>
        </w:tc>
        <w:tc>
          <w:tcPr>
            <w:tcW w:w="100" w:type="dxa"/>
            <w:vAlign w:val="bottom"/>
            <w:tcBorders>
              <w:bottom w:val="single" w:sz="8" w:color="BFE4FF"/>
            </w:tcBorders>
            <w:shd w:val="clear" w:color="auto" w:fill="BFE4FF"/>
          </w:tcPr>
          <w:p>
            <w:pPr>
              <w:spacing w:after="0"/>
              <w:rPr>
                <w:sz w:val="24"/>
                <w:szCs w:val="24"/>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BFE4FF"/>
            </w:tcBorders>
            <w:shd w:val="clear" w:color="auto" w:fill="BFE4FF"/>
          </w:tcPr>
          <w:p>
            <w:pPr>
              <w:spacing w:after="0"/>
              <w:rPr>
                <w:sz w:val="24"/>
                <w:szCs w:val="24"/>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BFE4FF"/>
            </w:tcBorders>
            <w:shd w:val="clear" w:color="auto" w:fill="BFE4FF"/>
          </w:tcPr>
          <w:p>
            <w:pPr>
              <w:jc w:val="right"/>
              <w:ind w:right="76"/>
              <w:spacing w:after="0"/>
              <w:rPr>
                <w:sz w:val="20"/>
                <w:szCs w:val="20"/>
                <w:color w:val="auto"/>
              </w:rPr>
            </w:pPr>
            <w:r>
              <w:rPr>
                <w:rFonts w:ascii="Arial" w:cs="Arial" w:eastAsia="Arial" w:hAnsi="Arial"/>
                <w:sz w:val="18"/>
                <w:szCs w:val="18"/>
                <w:b w:val="1"/>
                <w:bCs w:val="1"/>
                <w:color w:val="auto"/>
              </w:rPr>
              <w:t>6,583</w:t>
            </w:r>
          </w:p>
        </w:tc>
        <w:tc>
          <w:tcPr>
            <w:tcW w:w="100" w:type="dxa"/>
            <w:vAlign w:val="bottom"/>
            <w:tcBorders>
              <w:bottom w:val="single" w:sz="8" w:color="BFE4FF"/>
            </w:tcBorders>
            <w:shd w:val="clear" w:color="auto" w:fill="BFE4FF"/>
          </w:tcPr>
          <w:p>
            <w:pPr>
              <w:spacing w:after="0"/>
              <w:rPr>
                <w:sz w:val="24"/>
                <w:szCs w:val="24"/>
                <w:color w:val="auto"/>
              </w:rPr>
            </w:pPr>
          </w:p>
        </w:tc>
        <w:tc>
          <w:tcPr>
            <w:tcW w:w="2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BFE4FF"/>
            </w:tcBorders>
            <w:shd w:val="clear" w:color="auto" w:fill="BFE4FF"/>
          </w:tcPr>
          <w:p>
            <w:pPr>
              <w:jc w:val="right"/>
              <w:ind w:right="75"/>
              <w:spacing w:after="0"/>
              <w:rPr>
                <w:sz w:val="20"/>
                <w:szCs w:val="20"/>
                <w:color w:val="auto"/>
              </w:rPr>
            </w:pPr>
            <w:r>
              <w:rPr>
                <w:rFonts w:ascii="Arial" w:cs="Arial" w:eastAsia="Arial" w:hAnsi="Arial"/>
                <w:sz w:val="18"/>
                <w:szCs w:val="18"/>
                <w:color w:val="auto"/>
              </w:rPr>
              <w:t>6,327</w:t>
            </w:r>
          </w:p>
        </w:tc>
      </w:tr>
      <w:tr>
        <w:trPr>
          <w:trHeight w:val="20"/>
        </w:trPr>
        <w:tc>
          <w:tcPr>
            <w:tcW w:w="57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color w:val="auto"/>
        </w:rPr>
        <w:t>Soup includes various soup, broths and stock products. Snacks include cookies, pretzels, crackers, popcorn, nuts, potato chips, tortilla chips and other salty snacks and baked products. Other simple meals include sauces and Plum products.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Restructuring Charges and Cost Savings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2"/>
        </w:trPr>
        <w:tc>
          <w:tcPr>
            <w:tcW w:w="4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April 26,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April 28,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April 26,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April 28,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Recognized as of April</w:t>
            </w:r>
          </w:p>
        </w:tc>
      </w:tr>
      <w:tr>
        <w:trPr>
          <w:trHeight w:val="188"/>
        </w:trPr>
        <w:tc>
          <w:tcPr>
            <w:tcW w:w="40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26, 2020</w:t>
            </w: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239</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6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31</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294</w:t>
            </w:r>
          </w:p>
        </w:tc>
      </w:tr>
      <w:tr>
        <w:trPr>
          <w:trHeight w:val="27"/>
        </w:trPr>
        <w:tc>
          <w:tcPr>
            <w:tcW w:w="4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960" w:type="dxa"/>
            <w:vAlign w:val="bottom"/>
          </w:tcPr>
          <w:p>
            <w:pPr>
              <w:spacing w:after="0"/>
              <w:rPr>
                <w:sz w:val="21"/>
                <w:szCs w:val="21"/>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
        </w:trPr>
        <w:tc>
          <w:tcPr>
            <w:tcW w:w="4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960" w:type="dxa"/>
            <w:vAlign w:val="bottom"/>
            <w:tcBorders>
              <w:top w:val="single" w:sz="8" w:color="auto"/>
            </w:tcBorders>
          </w:tcPr>
          <w:p>
            <w:pPr>
              <w:jc w:val="right"/>
              <w:ind w:right="781"/>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14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81"/>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50</w:t>
            </w:r>
          </w:p>
        </w:tc>
        <w:tc>
          <w:tcPr>
            <w:tcW w:w="8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622</w:t>
            </w:r>
          </w:p>
        </w:tc>
      </w:tr>
      <w:tr>
        <w:trPr>
          <w:trHeight w:val="27"/>
        </w:trPr>
        <w:tc>
          <w:tcPr>
            <w:tcW w:w="4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4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(gains) recorded in Earnings (loss) from discontinued operations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62"/>
        </w:trPr>
        <w:tc>
          <w:tcPr>
            <w:tcW w:w="3980" w:type="dxa"/>
            <w:vAlign w:val="bottom"/>
          </w:tcPr>
          <w:p>
            <w:pPr>
              <w:spacing w:after="0"/>
              <w:rPr>
                <w:sz w:val="14"/>
                <w:szCs w:val="14"/>
                <w:color w:val="auto"/>
              </w:rPr>
            </w:pPr>
          </w:p>
        </w:tc>
        <w:tc>
          <w:tcPr>
            <w:tcW w:w="960" w:type="dxa"/>
            <w:vAlign w:val="bottom"/>
          </w:tcPr>
          <w:p>
            <w:pPr>
              <w:jc w:val="center"/>
              <w:ind w:left="284"/>
              <w:spacing w:after="0"/>
              <w:rPr>
                <w:sz w:val="20"/>
                <w:szCs w:val="20"/>
                <w:color w:val="auto"/>
              </w:rPr>
            </w:pPr>
            <w:r>
              <w:rPr>
                <w:rFonts w:ascii="Arial" w:cs="Arial" w:eastAsia="Arial" w:hAnsi="Arial"/>
                <w:sz w:val="14"/>
                <w:szCs w:val="14"/>
                <w:b w:val="1"/>
                <w:bCs w:val="1"/>
                <w:color w:val="auto"/>
              </w:rPr>
              <w:t>April 26,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left="282"/>
              <w:spacing w:after="0"/>
              <w:rPr>
                <w:sz w:val="20"/>
                <w:szCs w:val="20"/>
                <w:color w:val="auto"/>
              </w:rPr>
            </w:pPr>
            <w:r>
              <w:rPr>
                <w:rFonts w:ascii="Arial" w:cs="Arial" w:eastAsia="Arial" w:hAnsi="Arial"/>
                <w:sz w:val="14"/>
                <w:szCs w:val="14"/>
                <w:b w:val="1"/>
                <w:bCs w:val="1"/>
                <w:color w:val="auto"/>
                <w:w w:val="97"/>
              </w:rPr>
              <w:t>April 28,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284"/>
              <w:spacing w:after="0"/>
              <w:rPr>
                <w:sz w:val="20"/>
                <w:szCs w:val="20"/>
                <w:color w:val="auto"/>
              </w:rPr>
            </w:pPr>
            <w:r>
              <w:rPr>
                <w:rFonts w:ascii="Arial" w:cs="Arial" w:eastAsia="Arial" w:hAnsi="Arial"/>
                <w:sz w:val="14"/>
                <w:szCs w:val="14"/>
                <w:b w:val="1"/>
                <w:bCs w:val="1"/>
                <w:color w:val="auto"/>
              </w:rPr>
              <w:t>April 26,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262"/>
              <w:spacing w:after="0"/>
              <w:rPr>
                <w:sz w:val="20"/>
                <w:szCs w:val="20"/>
                <w:color w:val="auto"/>
              </w:rPr>
            </w:pPr>
            <w:r>
              <w:rPr>
                <w:rFonts w:ascii="Arial" w:cs="Arial" w:eastAsia="Arial" w:hAnsi="Arial"/>
                <w:sz w:val="14"/>
                <w:szCs w:val="14"/>
                <w:b w:val="1"/>
                <w:bCs w:val="1"/>
                <w:color w:val="auto"/>
                <w:w w:val="97"/>
              </w:rPr>
              <w:t>April 28,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Recognized as of April</w:t>
            </w:r>
          </w:p>
        </w:tc>
      </w:tr>
      <w:tr>
        <w:trPr>
          <w:trHeight w:val="188"/>
        </w:trPr>
        <w:tc>
          <w:tcPr>
            <w:tcW w:w="39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rPr>
              <w:t>26, 2020</w:t>
            </w:r>
            <w:r>
              <w:rPr>
                <w:rFonts w:ascii="Arial" w:cs="Arial" w:eastAsia="Arial" w:hAnsi="Arial"/>
                <w:sz w:val="9"/>
                <w:szCs w:val="9"/>
                <w:b w:val="1"/>
                <w:bCs w:val="1"/>
                <w:color w:val="auto"/>
              </w:rPr>
              <w:t>(1)</w:t>
            </w:r>
          </w:p>
        </w:tc>
      </w:tr>
      <w:tr>
        <w:trPr>
          <w:trHeight w:val="23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charges (gains)</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23</w:t>
            </w:r>
          </w:p>
        </w:tc>
      </w:tr>
      <w:tr>
        <w:trPr>
          <w:trHeight w:val="27"/>
        </w:trPr>
        <w:tc>
          <w:tcPr>
            <w:tcW w:w="39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$19 of severance pay and benefits and $4 of implementation costs and other related costs.</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in Earnings from continuing operations associated with the initiatives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Recognized as of April</w:t>
            </w:r>
          </w:p>
        </w:tc>
      </w:tr>
      <w:tr>
        <w:trPr>
          <w:trHeight w:val="192"/>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26, 2020</w:t>
            </w:r>
          </w:p>
        </w:tc>
      </w:t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Asset impairment/accelerated depreciation</w:t>
            </w:r>
          </w:p>
        </w:tc>
        <w:tc>
          <w:tcPr>
            <w:tcW w:w="3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65</w:t>
            </w: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 and other related costs</w:t>
            </w: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342</w:t>
            </w:r>
          </w:p>
        </w:tc>
      </w:tr>
      <w:tr>
        <w:trPr>
          <w:trHeight w:val="264"/>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622</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$665 to $690 and we expect to incur the costs through 2021. This estimate will be updated as costs for the expanded initiatives are developed.</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associated with continuing operations that have been identified to date to consist of the following: approximately $215 to $220 in severance pay and benefits; approximately $65 in asset impairment and accelerated depreciation; and approximately $385 to $405 in implementation costs and other related costs. We expect these pre-tax costs to be associated with our segments as follows: Meals &amp; Beverages - approximately 33%; Snacks - approximately 42%; and Corporate - approximately 25%.</w:t>
      </w:r>
    </w:p>
    <w:p>
      <w:pPr>
        <w:spacing w:after="0" w:line="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Of the aggregate $665 to $690 of pre-tax costs associated with continuing operations identified to date, we expect approximately $590 to $615 will be cash expenditures. In addition, we expect to invest approximately $420 in capital expenditures through 2021, of which we invested $311 as of April 26, 2020. The capital expenditures primarily relate to the U.S. warehouse optimization project, improvement of quality, safety and cost structure across the Snyder’s-Lance manufacturing network, implementation of an SAP enterprise-resource planning system for Snyder's-Lance, optimization of</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continuing operations at April 26, 2020,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Implementation</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Severance Pay</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Costs and Other</w:t>
            </w: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Asset</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0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Related</w:t>
            </w:r>
          </w:p>
        </w:tc>
        <w:tc>
          <w:tcPr>
            <w:tcW w:w="100" w:type="dxa"/>
            <w:vAlign w:val="bottom"/>
          </w:tcPr>
          <w:p>
            <w:pPr>
              <w:spacing w:after="0"/>
              <w:rPr>
                <w:sz w:val="13"/>
                <w:szCs w:val="13"/>
                <w:color w:val="auto"/>
              </w:rPr>
            </w:pPr>
          </w:p>
        </w:tc>
        <w:tc>
          <w:tcPr>
            <w:tcW w:w="16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Impairment/Accelerated</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and Benefits</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Costs</w:t>
            </w:r>
            <w:r>
              <w:rPr>
                <w:rFonts w:ascii="Arial" w:cs="Arial" w:eastAsia="Arial" w:hAnsi="Arial"/>
                <w:sz w:val="9"/>
                <w:szCs w:val="9"/>
                <w:b w:val="1"/>
                <w:bCs w:val="1"/>
                <w:color w:val="auto"/>
                <w:w w:val="92"/>
              </w:rPr>
              <w:t>(3)</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Depreciation</w:t>
            </w: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July 28, 2019</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9"/>
              </w:rPr>
              <w:t>37</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20"/>
              <w:spacing w:after="0"/>
              <w:rPr>
                <w:sz w:val="20"/>
                <w:szCs w:val="20"/>
                <w:color w:val="auto"/>
              </w:rPr>
            </w:pPr>
            <w:r>
              <w:rPr>
                <w:rFonts w:ascii="Arial" w:cs="Arial" w:eastAsia="Arial" w:hAnsi="Arial"/>
                <w:sz w:val="18"/>
                <w:szCs w:val="18"/>
                <w:b w:val="1"/>
                <w:bCs w:val="1"/>
                <w:color w:val="auto"/>
              </w:rPr>
              <w:t>2020 charges</w:t>
            </w:r>
          </w:p>
        </w:tc>
        <w:tc>
          <w:tcPr>
            <w:tcW w:w="120" w:type="dxa"/>
            <w:vAlign w:val="bottom"/>
          </w:tcPr>
          <w:p>
            <w:pPr>
              <w:spacing w:after="0"/>
              <w:rPr>
                <w:sz w:val="21"/>
                <w:szCs w:val="21"/>
                <w:color w:val="auto"/>
              </w:rPr>
            </w:pPr>
          </w:p>
        </w:tc>
        <w:tc>
          <w:tcPr>
            <w:tcW w:w="940" w:type="dxa"/>
            <w:vAlign w:val="bottom"/>
          </w:tcPr>
          <w:p>
            <w:pPr>
              <w:jc w:val="center"/>
              <w:ind w:left="354"/>
              <w:spacing w:after="0"/>
              <w:rPr>
                <w:sz w:val="20"/>
                <w:szCs w:val="20"/>
                <w:color w:val="auto"/>
              </w:rPr>
            </w:pPr>
            <w:r>
              <w:rPr>
                <w:rFonts w:ascii="Arial" w:cs="Arial" w:eastAsia="Arial" w:hAnsi="Arial"/>
                <w:sz w:val="18"/>
                <w:szCs w:val="18"/>
                <w:b w:val="1"/>
                <w:bCs w:val="1"/>
                <w:color w:val="auto"/>
                <w:w w:val="89"/>
              </w:rPr>
              <w:t>10</w:t>
            </w:r>
          </w:p>
        </w:tc>
        <w:tc>
          <w:tcPr>
            <w:tcW w:w="140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38</w:t>
            </w:r>
          </w:p>
        </w:tc>
        <w:tc>
          <w:tcPr>
            <w:tcW w:w="164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2020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center"/>
              <w:ind w:left="314"/>
              <w:spacing w:after="0"/>
              <w:rPr>
                <w:sz w:val="20"/>
                <w:szCs w:val="20"/>
                <w:color w:val="auto"/>
              </w:rPr>
            </w:pPr>
            <w:r>
              <w:rPr>
                <w:rFonts w:ascii="Arial" w:cs="Arial" w:eastAsia="Arial" w:hAnsi="Arial"/>
                <w:sz w:val="18"/>
                <w:szCs w:val="18"/>
                <w:b w:val="1"/>
                <w:bCs w:val="1"/>
                <w:color w:val="auto"/>
                <w:w w:val="93"/>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Accrued balance at April 26, 2020</w:t>
            </w:r>
            <w:r>
              <w:rPr>
                <w:rFonts w:ascii="Arial" w:cs="Arial" w:eastAsia="Arial" w:hAnsi="Arial"/>
                <w:sz w:val="23"/>
                <w:szCs w:val="23"/>
                <w:b w:val="1"/>
                <w:bCs w:val="1"/>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center"/>
              <w:ind w:left="354"/>
              <w:spacing w:after="0"/>
              <w:rPr>
                <w:sz w:val="20"/>
                <w:szCs w:val="20"/>
                <w:color w:val="auto"/>
              </w:rPr>
            </w:pPr>
            <w:r>
              <w:rPr>
                <w:rFonts w:ascii="Arial" w:cs="Arial" w:eastAsia="Arial" w:hAnsi="Arial"/>
                <w:sz w:val="18"/>
                <w:szCs w:val="18"/>
                <w:b w:val="1"/>
                <w:bCs w:val="1"/>
                <w:color w:val="auto"/>
                <w:w w:val="89"/>
              </w:rPr>
              <w:t>24</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$8 of severance pay and benefits recorded in Other liabilities in the Consolidated Balance Sheet.</w:t>
      </w:r>
    </w:p>
    <w:p>
      <w:pPr>
        <w:spacing w:after="0" w:line="1" w:lineRule="exact"/>
        <w:rPr>
          <w:rFonts w:ascii="Arial" w:cs="Arial" w:eastAsia="Arial" w:hAnsi="Arial"/>
          <w:sz w:val="23"/>
          <w:szCs w:val="23"/>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Includes $3 of severance pay and benefits recorded in Other liabilities in the Consolidated Balance Sheet.</w:t>
      </w:r>
    </w:p>
    <w:p>
      <w:pPr>
        <w:spacing w:after="0" w:line="1" w:lineRule="exact"/>
        <w:rPr>
          <w:rFonts w:ascii="Arial" w:cs="Arial" w:eastAsia="Arial" w:hAnsi="Arial"/>
          <w:sz w:val="21"/>
          <w:szCs w:val="21"/>
          <w:color w:val="auto"/>
          <w:vertAlign w:val="superscript"/>
        </w:rPr>
      </w:pPr>
    </w:p>
    <w:p>
      <w:pPr>
        <w:ind w:left="660" w:hanging="652"/>
        <w:spacing w:after="0" w:line="268" w:lineRule="auto"/>
        <w:tabs>
          <w:tab w:leader="none" w:pos="177"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reserves included in Current liabilities of discontinued operations were $1 at July 28, 2019.</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April 26, 2020</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Costs Incurred to Date</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64"/>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 and nine-month periods ended April 26, 2020, excludes approximately 1 million stock options that would have been antidilutive. The earnings per share calculation for the three- and nine-month periods ended April 28, 2019, excludes approximately 2 million stock options that would have been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a 60% controlling interest in a joint venture formed with Swire Pacific Limited in China. We also owned a 99.8% interest in Acre, a limited partnership formed to make venture capital investments in innovative new companies in food and food-related industries. See Note 14 for additional information.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Pension</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Postretirement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108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2"/>
              </w:rPr>
              <w:t>April 28, 2019</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April 26, 2020</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28,</w:t>
            </w:r>
          </w:p>
        </w:tc>
        <w:tc>
          <w:tcPr>
            <w:tcW w:w="120" w:type="dxa"/>
            <w:vAlign w:val="bottom"/>
          </w:tcPr>
          <w:p>
            <w:pPr>
              <w:spacing w:after="0"/>
              <w:rPr>
                <w:sz w:val="13"/>
                <w:szCs w:val="13"/>
                <w:color w:val="auto"/>
              </w:rPr>
            </w:pPr>
          </w:p>
        </w:tc>
        <w:tc>
          <w:tcPr>
            <w:tcW w:w="9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2"/>
              </w:rPr>
              <w:t>April 26, 2020</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April 28, 2019</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April 26, 2020</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April 28, 2019</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7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Expected return on plan</w:t>
            </w:r>
          </w:p>
        </w:tc>
        <w:tc>
          <w:tcPr>
            <w:tcW w:w="40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Amortization of prior</w:t>
            </w:r>
          </w:p>
        </w:tc>
        <w:tc>
          <w:tcPr>
            <w:tcW w:w="400" w:type="dxa"/>
            <w:vAlign w:val="bottom"/>
          </w:tcPr>
          <w:p>
            <w:pPr>
              <w:spacing w:after="0"/>
              <w:rPr>
                <w:sz w:val="19"/>
                <w:szCs w:val="1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 charge</w:t>
            </w:r>
          </w:p>
        </w:tc>
        <w:tc>
          <w:tcPr>
            <w:tcW w:w="4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780" w:type="dxa"/>
            <w:vAlign w:val="bottom"/>
          </w:tcPr>
          <w:p>
            <w:pPr>
              <w:ind w:left="20"/>
              <w:spacing w:after="0"/>
              <w:rPr>
                <w:sz w:val="20"/>
                <w:szCs w:val="20"/>
                <w:color w:val="auto"/>
              </w:rPr>
            </w:pPr>
            <w:r>
              <w:rPr>
                <w:rFonts w:ascii="Arial" w:cs="Arial" w:eastAsia="Arial" w:hAnsi="Arial"/>
                <w:sz w:val="18"/>
                <w:szCs w:val="18"/>
                <w:color w:val="auto"/>
              </w:rPr>
              <w:t>Net periodic benefit</w:t>
            </w:r>
          </w:p>
        </w:tc>
        <w:tc>
          <w:tcPr>
            <w:tcW w:w="400" w:type="dxa"/>
            <w:vAlign w:val="bottom"/>
            <w:tcBorders>
              <w:top w:val="single" w:sz="8" w:color="auto"/>
            </w:tcBorders>
            <w:vMerge w:val="restart"/>
          </w:tcPr>
          <w:p>
            <w:pPr>
              <w:jc w:val="right"/>
              <w:ind w:right="19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178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40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associated with continuing operations are included in Other expenses / (income) in the Consolidated Statements of Earnings.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settlement charges of $54 and $43 for the three- and nine-month periods ended April 26, 2020, respectively, resulted from the level of lump sum distributions associated with a U.S. pension plan and a Canadian pension plan. The settlement charge of $28 for the three- and nine-month periods ended April 28, 2019, resulted from the level of lump sum distributions associated with a U.S. pension plan.</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periodic pension benefit expense (income) associated with discontinued operations was not material for the nine-month period ended April 26, 2020, and for the three- and nine-month periods ended April 28, 2019.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lease warehouse and distribution facilities, office space, manufacturing facilities, equipment and vehicles, primarily through operating leases.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Leases recorded on our Consolidated Balance Sheet have remaining terms primarily from 1 to 15 years.</w:t>
      </w:r>
    </w:p>
    <w:p>
      <w:pPr>
        <w:spacing w:after="0" w:line="10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fleet leases generally include residual value guarantees that are assessed at lease inception in determining ROU assets and corresponding liabilities. No other significant restrictions or covenants are included in our leases.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April 26, 2020</w:t>
            </w:r>
          </w:p>
        </w:tc>
      </w:tr>
      <w:tr>
        <w:trPr>
          <w:trHeight w:val="196"/>
        </w:trPr>
        <w:tc>
          <w:tcPr>
            <w:tcW w:w="8100" w:type="dxa"/>
            <w:vAlign w:val="bottom"/>
          </w:tcPr>
          <w:p>
            <w:pPr>
              <w:spacing w:after="0"/>
              <w:rPr>
                <w:sz w:val="17"/>
                <w:szCs w:val="17"/>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7"/>
                <w:szCs w:val="17"/>
                <w:color w:val="auto"/>
              </w:rPr>
            </w:pPr>
          </w:p>
        </w:tc>
        <w:tc>
          <w:tcPr>
            <w:tcW w:w="13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Nine Months Ended</w:t>
            </w:r>
          </w:p>
        </w:tc>
      </w:tr>
      <w:tr>
        <w:trPr>
          <w:trHeight w:val="249"/>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620" w:type="dxa"/>
            <w:vAlign w:val="bottom"/>
            <w:tcBorders>
              <w:top w:val="single" w:sz="8" w:color="auto"/>
              <w:bottom w:val="single" w:sz="8" w:color="CCEEFF"/>
            </w:tcBorders>
            <w:shd w:val="clear" w:color="auto" w:fill="CCEEFF"/>
          </w:tcPr>
          <w:p>
            <w:pPr>
              <w:jc w:val="right"/>
              <w:ind w:right="436"/>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Finance lease - amortization of ROU assets</w:t>
            </w:r>
          </w:p>
        </w:tc>
        <w:tc>
          <w:tcPr>
            <w:tcW w:w="62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b w:val="1"/>
                <w:bCs w:val="1"/>
                <w:color w:val="auto"/>
              </w:rPr>
              <w:t>2</w:t>
            </w:r>
          </w:p>
        </w:tc>
      </w:tr>
      <w:tr>
        <w:trPr>
          <w:trHeight w:val="27"/>
        </w:trPr>
        <w:tc>
          <w:tcPr>
            <w:tcW w:w="8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31</w:t>
            </w:r>
          </w:p>
        </w:tc>
      </w:tr>
      <w:tr>
        <w:trPr>
          <w:trHeight w:val="270"/>
        </w:trPr>
        <w:tc>
          <w:tcPr>
            <w:tcW w:w="8100" w:type="dxa"/>
            <w:vAlign w:val="bottom"/>
          </w:tcPr>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620" w:type="dxa"/>
            <w:vAlign w:val="bottom"/>
          </w:tcPr>
          <w:p>
            <w:pPr>
              <w:spacing w:after="0"/>
              <w:rPr>
                <w:sz w:val="23"/>
                <w:szCs w:val="23"/>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b w:val="1"/>
                <w:bCs w:val="1"/>
                <w:color w:val="auto"/>
              </w:rPr>
              <w:t>129</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6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r>
      <w:tr>
        <w:trPr>
          <w:trHeight w:val="264"/>
        </w:trPr>
        <w:tc>
          <w:tcPr>
            <w:tcW w:w="8100" w:type="dxa"/>
            <w:vAlign w:val="bottom"/>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74</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219</w:t>
            </w:r>
          </w:p>
        </w:tc>
      </w:tr>
      <w:tr>
        <w:trPr>
          <w:trHeight w:val="20"/>
        </w:trPr>
        <w:tc>
          <w:tcPr>
            <w:tcW w:w="8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labor and other overhead included in our service contracts with embedded leases.</w:t>
      </w:r>
    </w:p>
    <w:p>
      <w:pPr>
        <w:spacing w:after="0" w:line="82"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color w:val="auto"/>
        </w:rPr>
        <w:t>Total lease cost includes $4 for the nine-month period ended April 26, 2020, related to discontinued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The following table summarizes the lease amounts recorded in the Consolidated Balance Sheet: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right="73"/>
              <w:spacing w:after="0"/>
              <w:rPr>
                <w:sz w:val="20"/>
                <w:szCs w:val="20"/>
                <w:color w:val="auto"/>
              </w:rPr>
            </w:pPr>
            <w:r>
              <w:rPr>
                <w:rFonts w:ascii="Arial" w:cs="Arial" w:eastAsia="Arial" w:hAnsi="Arial"/>
                <w:sz w:val="14"/>
                <w:szCs w:val="14"/>
                <w:b w:val="1"/>
                <w:bCs w:val="1"/>
                <w:color w:val="auto"/>
                <w:w w:val="95"/>
              </w:rPr>
              <w:t>April 26, 2020</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7"/>
                <w:szCs w:val="17"/>
                <w:color w:val="auto"/>
              </w:rPr>
            </w:pPr>
          </w:p>
        </w:tc>
        <w:tc>
          <w:tcPr>
            <w:tcW w:w="1040" w:type="dxa"/>
            <w:vAlign w:val="bottom"/>
          </w:tcPr>
          <w:p>
            <w:pPr>
              <w:jc w:val="center"/>
              <w:ind w:right="73"/>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236"/>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20"/>
              <w:spacing w:after="0"/>
              <w:rPr>
                <w:sz w:val="20"/>
                <w:szCs w:val="20"/>
                <w:color w:val="auto"/>
              </w:rPr>
            </w:pPr>
            <w:r>
              <w:rPr>
                <w:rFonts w:ascii="Arial" w:cs="Arial" w:eastAsia="Arial" w:hAnsi="Arial"/>
                <w:sz w:val="18"/>
                <w:szCs w:val="18"/>
                <w:color w:val="auto"/>
              </w:rPr>
              <w:t>Plant assets, net of depreciation</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616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43"/>
        </w:trPr>
        <w:tc>
          <w:tcPr>
            <w:tcW w:w="616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Weighted-average lease terms and discount rates were as follows:</w:t>
            </w: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813"/>
              <w:spacing w:after="0"/>
              <w:rPr>
                <w:sz w:val="20"/>
                <w:szCs w:val="20"/>
                <w:color w:val="auto"/>
              </w:rPr>
            </w:pPr>
            <w:r>
              <w:rPr>
                <w:rFonts w:ascii="Arial" w:cs="Arial" w:eastAsia="Arial" w:hAnsi="Arial"/>
                <w:sz w:val="14"/>
                <w:szCs w:val="14"/>
                <w:b w:val="1"/>
                <w:bCs w:val="1"/>
                <w:color w:val="auto"/>
              </w:rPr>
              <w:t>April 26, 2020</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7"/>
                <w:szCs w:val="17"/>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49"/>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term in years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0" w:type="dxa"/>
            <w:vAlign w:val="bottom"/>
          </w:tcPr>
          <w:p>
            <w:pPr>
              <w:spacing w:after="0"/>
              <w:rPr>
                <w:sz w:val="1"/>
                <w:szCs w:val="1"/>
                <w:color w:val="auto"/>
              </w:rPr>
            </w:pPr>
          </w:p>
        </w:tc>
      </w:tr>
      <w:tr>
        <w:trPr>
          <w:trHeight w:val="594"/>
        </w:trPr>
        <w:tc>
          <w:tcPr>
            <w:tcW w:w="6160" w:type="dxa"/>
            <w:vAlign w:val="bottom"/>
          </w:tcPr>
          <w:p>
            <w:pPr>
              <w:ind w:left="340"/>
              <w:spacing w:after="0"/>
              <w:rPr>
                <w:sz w:val="20"/>
                <w:szCs w:val="20"/>
                <w:color w:val="auto"/>
              </w:rPr>
            </w:pPr>
            <w:r>
              <w:rPr>
                <w:rFonts w:ascii="Arial" w:cs="Arial" w:eastAsia="Arial" w:hAnsi="Arial"/>
                <w:sz w:val="18"/>
                <w:szCs w:val="18"/>
                <w:color w:val="auto"/>
              </w:rPr>
              <w:t>Future minimum lease payments were as follows: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7"/>
              </w:rPr>
              <w:t>April 26, 2020</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right="33"/>
              <w:spacing w:after="0"/>
              <w:rPr>
                <w:sz w:val="20"/>
                <w:szCs w:val="20"/>
                <w:color w:val="auto"/>
              </w:rPr>
            </w:pPr>
            <w:r>
              <w:rPr>
                <w:rFonts w:ascii="Arial" w:cs="Arial" w:eastAsia="Arial" w:hAnsi="Arial"/>
                <w:sz w:val="14"/>
                <w:szCs w:val="14"/>
                <w:b w:val="1"/>
                <w:bCs w:val="1"/>
                <w:color w:val="auto"/>
                <w:w w:val="94"/>
              </w:rPr>
              <w:t>July 28, 2019</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4"/>
                <w:szCs w:val="14"/>
                <w:b w:val="1"/>
                <w:bCs w:val="1"/>
                <w:color w:val="auto"/>
                <w:w w:val="93"/>
              </w:rPr>
              <w:t>New Guidance</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center"/>
              <w:ind w:right="13"/>
              <w:spacing w:after="0"/>
              <w:rPr>
                <w:sz w:val="20"/>
                <w:szCs w:val="20"/>
                <w:color w:val="auto"/>
              </w:rPr>
            </w:pPr>
            <w:r>
              <w:rPr>
                <w:rFonts w:ascii="Arial" w:cs="Arial" w:eastAsia="Arial" w:hAnsi="Arial"/>
                <w:sz w:val="14"/>
                <w:szCs w:val="14"/>
                <w:b w:val="1"/>
                <w:bCs w:val="1"/>
                <w:color w:val="auto"/>
                <w:w w:val="91"/>
              </w:rPr>
              <w:t>Previous Guidance</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1"/>
              </w:rPr>
              <w:t>Continuing</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Continuing</w:t>
            </w: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Discontinued</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Operating</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24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b w:val="1"/>
                <w:bCs w:val="1"/>
                <w:color w:val="auto"/>
              </w:rPr>
              <w:t>66</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b w:val="1"/>
                <w:bCs w:val="1"/>
                <w:color w:val="auto"/>
              </w:rPr>
              <w:t>98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undiscounted lease payments</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281</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76"/>
              <w:spacing w:after="0"/>
              <w:rPr>
                <w:sz w:val="20"/>
                <w:szCs w:val="20"/>
                <w:color w:val="auto"/>
              </w:rPr>
            </w:pPr>
            <w:r>
              <w:rPr>
                <w:rFonts w:ascii="Arial" w:cs="Arial" w:eastAsia="Arial" w:hAnsi="Arial"/>
                <w:sz w:val="18"/>
                <w:szCs w:val="18"/>
                <w:b w:val="1"/>
                <w:bCs w:val="1"/>
                <w:color w:val="auto"/>
              </w:rPr>
              <w:t>28</w:t>
            </w: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253</w:t>
            </w: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w:t>
            </w:r>
          </w:p>
        </w:tc>
        <w:tc>
          <w:tcPr>
            <w:tcW w:w="8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2020, we expect to record an operating lease liability of $6 for leases with terms up to 5 years that have not yet commenced and are not included in the future minimum lease payments table.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Supplemental cash flow and other information related to leases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9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April 26, 2020</w:t>
            </w:r>
          </w:p>
        </w:tc>
      </w:tr>
      <w:tr>
        <w:trPr>
          <w:trHeight w:val="215"/>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3"/>
        </w:trPr>
        <w:tc>
          <w:tcPr>
            <w:tcW w:w="974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59</w:t>
            </w: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1</w:t>
            </w: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w:t>
            </w:r>
          </w:p>
        </w:tc>
      </w:tr>
      <w:tr>
        <w:trPr>
          <w:trHeight w:val="270"/>
        </w:trPr>
        <w:tc>
          <w:tcPr>
            <w:tcW w:w="97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8</w:t>
            </w:r>
          </w:p>
        </w:tc>
      </w:tr>
      <w:tr>
        <w:trPr>
          <w:trHeight w:val="250"/>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divested with businesses sold:</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18</w:t>
            </w: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Lease liabilities derecognized upon adoption:</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9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9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Build-to-suit lease commitment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9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right="7460" w:hanging="332"/>
        <w:spacing w:after="0" w:line="366" w:lineRule="auto"/>
        <w:tabs>
          <w:tab w:leader="none" w:pos="28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tbl>
      <w:tblPr>
        <w:tblLayout w:type="fixed"/>
        <w:tblInd w:w="0" w:type="dxa"/>
        <w:tblCellMar>
          <w:top w:w="0" w:type="dxa"/>
          <w:left w:w="0" w:type="dxa"/>
          <w:bottom w:w="0" w:type="dxa"/>
          <w:right w:w="0" w:type="dxa"/>
        </w:tblCellMar>
      </w:tblPr>
      <w:tr>
        <w:trPr>
          <w:trHeight w:val="150"/>
        </w:trPr>
        <w:tc>
          <w:tcPr>
            <w:tcW w:w="8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00"/>
              <w:spacing w:after="0" w:line="150" w:lineRule="exact"/>
              <w:rPr>
                <w:sz w:val="20"/>
                <w:szCs w:val="20"/>
                <w:color w:val="auto"/>
              </w:rPr>
            </w:pPr>
            <w:r>
              <w:rPr>
                <w:rFonts w:ascii="Arial" w:cs="Arial" w:eastAsia="Arial" w:hAnsi="Arial"/>
                <w:sz w:val="14"/>
                <w:szCs w:val="14"/>
                <w:b w:val="1"/>
                <w:bCs w:val="1"/>
                <w:color w:val="auto"/>
              </w:rPr>
              <w:t>April 26,</w:t>
            </w:r>
          </w:p>
        </w:tc>
        <w:tc>
          <w:tcPr>
            <w:tcW w:w="300" w:type="dxa"/>
            <w:vAlign w:val="bottom"/>
          </w:tcPr>
          <w:p>
            <w:pPr>
              <w:spacing w:after="0"/>
              <w:rPr>
                <w:sz w:val="13"/>
                <w:szCs w:val="13"/>
                <w:color w:val="auto"/>
              </w:rPr>
            </w:pPr>
          </w:p>
        </w:tc>
        <w:tc>
          <w:tcPr>
            <w:tcW w:w="1220" w:type="dxa"/>
            <w:vAlign w:val="bottom"/>
          </w:tcPr>
          <w:p>
            <w:pPr>
              <w:jc w:val="right"/>
              <w:ind w:right="434"/>
              <w:spacing w:after="0" w:line="150" w:lineRule="exact"/>
              <w:rPr>
                <w:sz w:val="20"/>
                <w:szCs w:val="20"/>
                <w:color w:val="auto"/>
              </w:rPr>
            </w:pPr>
            <w:r>
              <w:rPr>
                <w:rFonts w:ascii="Arial" w:cs="Arial" w:eastAsia="Arial" w:hAnsi="Arial"/>
                <w:sz w:val="14"/>
                <w:szCs w:val="14"/>
                <w:b w:val="1"/>
                <w:bCs w:val="1"/>
                <w:color w:val="auto"/>
              </w:rPr>
              <w:t>July 28,</w:t>
            </w:r>
          </w:p>
        </w:tc>
      </w:tr>
      <w:tr>
        <w:trPr>
          <w:trHeight w:val="192"/>
        </w:trPr>
        <w:tc>
          <w:tcPr>
            <w:tcW w:w="80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853</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Notes</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721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500</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Build-to-suit lease commitment</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w:t>
            </w:r>
          </w:p>
        </w:tc>
      </w:tr>
      <w:tr>
        <w:trPr>
          <w:trHeight w:val="27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r>
      <w:tr>
        <w:trPr>
          <w:trHeight w:val="28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borrowings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1,504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1,371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5540" w:right="4680" w:hanging="5532"/>
        <w:spacing w:after="0" w:line="917" w:lineRule="auto"/>
        <w:tabs>
          <w:tab w:leader="none" w:pos="326"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Includes unamortized net discount/premium on debt issuances and debt issuance costs.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Long-term debt consists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of</w:t>
            </w:r>
          </w:p>
        </w:tc>
        <w:tc>
          <w:tcPr>
            <w:tcW w:w="2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26,</w:t>
            </w:r>
          </w:p>
        </w:tc>
        <w:tc>
          <w:tcPr>
            <w:tcW w:w="240" w:type="dxa"/>
            <w:vAlign w:val="bottom"/>
          </w:tcPr>
          <w:p>
            <w:pPr>
              <w:spacing w:after="0"/>
              <w:rPr>
                <w:sz w:val="14"/>
                <w:szCs w:val="14"/>
                <w:color w:val="auto"/>
              </w:rPr>
            </w:pPr>
          </w:p>
        </w:tc>
        <w:tc>
          <w:tcPr>
            <w:tcW w:w="980" w:type="dxa"/>
            <w:vAlign w:val="bottom"/>
          </w:tcPr>
          <w:p>
            <w:pPr>
              <w:jc w:val="right"/>
              <w:ind w:right="292"/>
              <w:spacing w:after="0"/>
              <w:rPr>
                <w:sz w:val="20"/>
                <w:szCs w:val="20"/>
                <w:color w:val="auto"/>
              </w:rPr>
            </w:pPr>
            <w:r>
              <w:rPr>
                <w:rFonts w:ascii="Arial" w:cs="Arial" w:eastAsia="Arial" w:hAnsi="Arial"/>
                <w:sz w:val="14"/>
                <w:szCs w:val="14"/>
                <w:b w:val="1"/>
                <w:bCs w:val="1"/>
                <w:color w:val="auto"/>
              </w:rPr>
              <w:t>July 28,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13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Maturity</w:t>
            </w:r>
          </w:p>
        </w:tc>
        <w:tc>
          <w:tcPr>
            <w:tcW w:w="2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72"/>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92"/>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Term Loan</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Debentures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8.875%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2.375%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2048</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4.800%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700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5,912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7,603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2"/>
          </w:tcPr>
          <w:p>
            <w:pPr>
              <w:ind w:left="200"/>
              <w:spacing w:after="0"/>
              <w:rPr>
                <w:sz w:val="20"/>
                <w:szCs w:val="20"/>
                <w:color w:val="auto"/>
              </w:rPr>
            </w:pPr>
            <w:r>
              <w:rPr>
                <w:rFonts w:ascii="Arial" w:cs="Arial" w:eastAsia="Arial" w:hAnsi="Arial"/>
                <w:sz w:val="18"/>
                <w:szCs w:val="18"/>
                <w:color w:val="auto"/>
              </w:rPr>
              <w:t>Total long-term debt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5,191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January 22, 2020, we completed the redemption of all $500 outstanding aggregate principal amount of our 4.25% Senior Notes due 2021. On January 24, 2020, we settled tender offers to purchase $1,200 in aggregate principal amount of certain senior unsecured debt, comprising $329 of 3.30% Senior Notes due 2021, $634 of 3.65% Senior Notes due 2023, and $237 of 3.80% Senior Notes due 2042. The total consideration for the redemption and the tender offers was $1,765 and the total carrying amount of the purchased notes was $1,691, resulting in a loss of $75 (including $65 of premium, as well as fees and other costs associated with the tender offers) which was recorded in Interest expense in the Consolidated Statement of Earnings. In addition, we paid accrued and unpaid interest on the purchased notes through the dates of settlement.</w:t>
      </w:r>
    </w:p>
    <w:p>
      <w:pPr>
        <w:spacing w:after="0" w:line="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24, 2020, we issued senior notes in an aggregate principal amount of $1,000, consisting of $500 aggregate principal amount of notes bearing interest at a fixed rate of 2.375% per annum, due April 24, 2030, and $500 aggregate principal amount of notes bearing interest at a fixed rate of 3.125% per annum, due April 24, 2050. On May 1, 2020, we used $300 of the net proceeds to repay outstanding borrowings under our revolving credit facility. The 2.375% Senior Notes due 2030 and the 3.125% Senior Notes due 2050 may each be redeemed at the applicable redemption price, in whole or in part, at our option at any time and from time to time prior to January 24, 2030, and October 24, 2049, respectively. Interest on each of the notes is due semi-annually on April 24 and October 24, commencing on October 24, 2020. The notes contain customary covenants and events of default. If a change of control triggering event occurs, we will be required to offer to purchase the notes at a purchase price equal to 101% of the principal amount plus accrued and unpaid interest, if any, to the purchase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April 26, 2020, or July 28, 2019.</w:t>
      </w:r>
    </w:p>
    <w:p>
      <w:pPr>
        <w:spacing w:after="0" w:line="6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also exposed to credit risk from our customers. During 2019, our largest customer accounted for approximately 20% of consolidated net sales from continuing operations. Our five largest customers accounted for approximately 43% of our consolidated net sales from continuing operations in 2019.</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primarily utilize foreign exchange forward purchase and sale contracts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primarily enter into foreign exchange forward purchase and sale contracts for periods consistent with the underlying debt. The notional amount of foreign exchange forward contracts accounted for as cash-flow hedges was $118 at April 26, 2020, and $146 at July 28, 2019, of which $80 at July 28, 2019 related to discontinued operations.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$25 at April 26, 2020, and $177 at July 28, 2019, of which $3 at July 28, 2019, related to discontinued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In conjunction with the debt redemption and tender offer, we entered into $900 of treasury rate lock agreements in the three-month period ended January 26, 2020, which resulted in a gain of $3. There were no forward starting interest rate swaps or treasury rate lock contracts outstanding as of April 26, 2020, or July 28, 2019.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aluminum, cocoa, corn, soybean meal,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April 26, 2020, or July 28, 2019. The notional amount of commodity contracts not designated as accounting hedges was $137 at April 26, 2020, and $183 at July 28, 2019, of which $3 at July 28, 2019, related to discontinued operations.</w:t>
      </w:r>
    </w:p>
    <w:p>
      <w:pPr>
        <w:spacing w:after="0" w:line="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$55 as of April 26, 2020, and $27 as of July 28, 2019. Unrealized gains (losses) and settlements are included in Cost of products sold in our Consolidated Statements of Earnings.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Institutional Plus Shares,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jc w:val="both"/>
        <w:spacing w:after="0" w:line="296" w:lineRule="auto"/>
        <w:rPr>
          <w:sz w:val="20"/>
          <w:szCs w:val="20"/>
          <w:color w:val="auto"/>
        </w:rPr>
      </w:pPr>
      <w:r>
        <w:rPr>
          <w:rFonts w:ascii="Arial" w:cs="Arial" w:eastAsia="Arial" w:hAnsi="Arial"/>
          <w:sz w:val="16"/>
          <w:szCs w:val="16"/>
          <w:color w:val="auto"/>
        </w:rPr>
        <w:t>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Institutional Plus Shares;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were $17 as of April 26, 2020, and $31 as of July 28, 2019.</w:t>
      </w:r>
    </w:p>
    <w:p>
      <w:pPr>
        <w:spacing w:after="0" w:line="2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April 26, 2020, and July 28,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00" w:type="dxa"/>
            <w:vAlign w:val="bottom"/>
            <w:gridSpan w:val="3"/>
            <w:vMerge w:val="restart"/>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April 26,</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July 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gridSpan w:val="3"/>
            <w:vMerge w:val="continue"/>
          </w:tcPr>
          <w:p>
            <w:pPr>
              <w:spacing w:after="0"/>
              <w:rPr>
                <w:sz w:val="16"/>
                <w:szCs w:val="16"/>
                <w:color w:val="auto"/>
              </w:rPr>
            </w:pPr>
          </w:p>
        </w:tc>
        <w:tc>
          <w:tcPr>
            <w:tcW w:w="96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Derivatives</w:t>
            </w: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42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Foreign exchange forward contracts</w:t>
            </w:r>
          </w:p>
        </w:tc>
        <w:tc>
          <w:tcPr>
            <w:tcW w:w="4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60" w:type="dxa"/>
            <w:vAlign w:val="bottom"/>
            <w:tcBorders>
              <w:bottom w:val="single" w:sz="8" w:color="CCEEFF"/>
            </w:tcBorders>
            <w:gridSpan w:val="2"/>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Borders>
              <w:top w:val="single" w:sz="8" w:color="auto"/>
            </w:tcBorders>
            <w:gridSpan w:val="2"/>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80"/>
              <w:spacing w:after="0"/>
              <w:rPr>
                <w:sz w:val="20"/>
                <w:szCs w:val="20"/>
                <w:color w:val="auto"/>
              </w:rPr>
            </w:pPr>
            <w:r>
              <w:rPr>
                <w:rFonts w:ascii="Arial" w:cs="Arial" w:eastAsia="Arial" w:hAnsi="Arial"/>
                <w:sz w:val="18"/>
                <w:szCs w:val="18"/>
                <w:color w:val="auto"/>
              </w:rPr>
              <w:t>Commodity derivative contracts</w:t>
            </w:r>
          </w:p>
        </w:tc>
        <w:tc>
          <w:tcPr>
            <w:tcW w:w="4340" w:type="dxa"/>
            <w:vAlign w:val="bottom"/>
            <w:gridSpan w:val="4"/>
          </w:tcPr>
          <w:p>
            <w:pPr>
              <w:ind w:left="20"/>
              <w:spacing w:after="0"/>
              <w:rPr>
                <w:sz w:val="20"/>
                <w:szCs w:val="20"/>
                <w:color w:val="auto"/>
              </w:rPr>
            </w:pPr>
            <w:r>
              <w:rPr>
                <w:rFonts w:ascii="Arial" w:cs="Arial" w:eastAsia="Arial" w:hAnsi="Arial"/>
                <w:sz w:val="18"/>
                <w:szCs w:val="18"/>
                <w:color w:val="auto"/>
              </w:rPr>
              <w:t>Other current assets</w:t>
            </w:r>
          </w:p>
        </w:tc>
        <w:tc>
          <w:tcPr>
            <w:tcW w:w="960" w:type="dxa"/>
            <w:vAlign w:val="bottom"/>
            <w:gridSpan w:val="2"/>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Deferred compensation derivative contracts</w:t>
            </w:r>
          </w:p>
        </w:tc>
        <w:tc>
          <w:tcPr>
            <w:tcW w:w="4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80"/>
              <w:spacing w:after="0"/>
              <w:rPr>
                <w:sz w:val="20"/>
                <w:szCs w:val="20"/>
                <w:color w:val="auto"/>
              </w:rPr>
            </w:pPr>
            <w:r>
              <w:rPr>
                <w:rFonts w:ascii="Arial" w:cs="Arial" w:eastAsia="Arial" w:hAnsi="Arial"/>
                <w:sz w:val="18"/>
                <w:szCs w:val="18"/>
                <w:color w:val="auto"/>
              </w:rPr>
              <w:t>Foreign exchange forward contracts</w:t>
            </w:r>
          </w:p>
        </w:tc>
        <w:tc>
          <w:tcPr>
            <w:tcW w:w="4340" w:type="dxa"/>
            <w:vAlign w:val="bottom"/>
            <w:gridSpan w:val="4"/>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Total asset derivatives</w:t>
            </w:r>
          </w:p>
        </w:tc>
        <w:tc>
          <w:tcPr>
            <w:tcW w:w="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Borders>
              <w:top w:val="single" w:sz="8" w:color="auto"/>
            </w:tcBorders>
            <w:gridSpan w:val="2"/>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9"/>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gridSpan w:val="3"/>
            <w:vMerge w:val="restart"/>
          </w:tcPr>
          <w:p>
            <w:pPr>
              <w:ind w:left="1240"/>
              <w:spacing w:after="0"/>
              <w:rPr>
                <w:sz w:val="20"/>
                <w:szCs w:val="20"/>
                <w:color w:val="auto"/>
              </w:rPr>
            </w:pPr>
            <w:r>
              <w:rPr>
                <w:rFonts w:ascii="Arial" w:cs="Arial" w:eastAsia="Arial" w:hAnsi="Arial"/>
                <w:sz w:val="14"/>
                <w:szCs w:val="14"/>
                <w:b w:val="1"/>
                <w:bCs w:val="1"/>
                <w:color w:val="auto"/>
              </w:rPr>
              <w:t>Balance Sheet Classification</w:t>
            </w:r>
          </w:p>
        </w:tc>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April 26,</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July 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00" w:type="dxa"/>
            <w:vAlign w:val="bottom"/>
            <w:gridSpan w:val="3"/>
            <w:vMerge w:val="continue"/>
          </w:tcPr>
          <w:p>
            <w:pPr>
              <w:spacing w:after="0"/>
              <w:rPr>
                <w:sz w:val="16"/>
                <w:szCs w:val="16"/>
                <w:color w:val="auto"/>
              </w:rPr>
            </w:pPr>
          </w:p>
        </w:tc>
        <w:tc>
          <w:tcPr>
            <w:tcW w:w="9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2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4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3"/>
                <w:szCs w:val="23"/>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derivatives designated as hedges</w:t>
            </w:r>
          </w:p>
        </w:tc>
        <w:tc>
          <w:tcPr>
            <w:tcW w:w="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Commodity derivative contracts</w:t>
            </w:r>
          </w:p>
        </w:tc>
        <w:tc>
          <w:tcPr>
            <w:tcW w:w="40" w:type="dxa"/>
            <w:vAlign w:val="bottom"/>
          </w:tcPr>
          <w:p>
            <w:pPr>
              <w:spacing w:after="0"/>
              <w:rPr>
                <w:sz w:val="21"/>
                <w:szCs w:val="21"/>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960" w:type="dxa"/>
            <w:vAlign w:val="bottom"/>
            <w:gridSpan w:val="2"/>
          </w:tcPr>
          <w:p>
            <w:pPr>
              <w:jc w:val="right"/>
              <w:ind w:right="736"/>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Commodity derivative contracts</w:t>
            </w:r>
          </w:p>
        </w:tc>
        <w:tc>
          <w:tcPr>
            <w:tcW w:w="40" w:type="dxa"/>
            <w:vAlign w:val="bottom"/>
          </w:tcPr>
          <w:p>
            <w:pPr>
              <w:spacing w:after="0"/>
              <w:rPr>
                <w:sz w:val="21"/>
                <w:szCs w:val="21"/>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not designated as hedges</w:t>
            </w:r>
          </w:p>
        </w:tc>
        <w:tc>
          <w:tcPr>
            <w:tcW w:w="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26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liability derivatives</w:t>
            </w:r>
          </w:p>
        </w:tc>
        <w:tc>
          <w:tcPr>
            <w:tcW w:w="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26</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26, 2020, and July 28, 2019, would be adjusted as detailed in the following table: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April 26, 2020</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July 28, 2019</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Subject to Netting</w:t>
            </w:r>
          </w:p>
        </w:tc>
        <w:tc>
          <w:tcPr>
            <w:tcW w:w="18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180" w:type="dxa"/>
            <w:vAlign w:val="bottom"/>
          </w:tcPr>
          <w:p>
            <w:pPr>
              <w:spacing w:after="0"/>
              <w:rPr>
                <w:sz w:val="12"/>
                <w:szCs w:val="12"/>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liability derivatives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82"/>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2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76"/>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The cash margin account balance was $18 at April 26, 2020, and $7 at July 28, 2019, which was included in Other current assets in the Consolidated Balance Sheets.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3" w:name="page24"/>
    <w:bookmarkEnd w:id="23"/>
    <w:p>
      <w:pPr>
        <w:ind w:left="340"/>
        <w:spacing w:after="0"/>
        <w:rPr>
          <w:sz w:val="20"/>
          <w:szCs w:val="20"/>
          <w:color w:val="auto"/>
        </w:rPr>
      </w:pPr>
      <w:r>
        <w:rPr>
          <w:rFonts w:ascii="Arial" w:cs="Arial" w:eastAsia="Arial" w:hAnsi="Arial"/>
          <w:sz w:val="17"/>
          <w:szCs w:val="17"/>
          <w:color w:val="auto"/>
        </w:rPr>
        <w:t>The following tables show the effect of our derivative instruments designated as cash-flow hedges for the three- and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26, 2020, and April 28, 2019, in other comprehensive income (loss) (OCI) and the Consolidated Statements of Earnings:</w:t>
      </w:r>
    </w:p>
    <w:p>
      <w:pPr>
        <w:spacing w:after="0" w:line="12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13335</wp:posOffset>
            </wp:positionV>
            <wp:extent cx="20231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26,</w:t>
            </w:r>
          </w:p>
        </w:tc>
        <w:tc>
          <w:tcPr>
            <w:tcW w:w="320" w:type="dxa"/>
            <w:vAlign w:val="bottom"/>
          </w:tcPr>
          <w:p>
            <w:pPr>
              <w:spacing w:after="0"/>
              <w:rPr>
                <w:sz w:val="14"/>
                <w:szCs w:val="14"/>
                <w:color w:val="auto"/>
              </w:rPr>
            </w:pPr>
          </w:p>
        </w:tc>
        <w:tc>
          <w:tcPr>
            <w:tcW w:w="1240" w:type="dxa"/>
            <w:vAlign w:val="bottom"/>
          </w:tcPr>
          <w:p>
            <w:pPr>
              <w:jc w:val="center"/>
              <w:ind w:right="212"/>
              <w:spacing w:after="0"/>
              <w:rPr>
                <w:sz w:val="20"/>
                <w:szCs w:val="20"/>
                <w:color w:val="auto"/>
              </w:rPr>
            </w:pPr>
            <w:r>
              <w:rPr>
                <w:rFonts w:ascii="Arial" w:cs="Arial" w:eastAsia="Arial" w:hAnsi="Arial"/>
                <w:sz w:val="14"/>
                <w:szCs w:val="14"/>
                <w:b w:val="1"/>
                <w:bCs w:val="1"/>
                <w:color w:val="auto"/>
                <w:w w:val="97"/>
              </w:rPr>
              <w:t>April 28,</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OCI derivative gain (loss) at beginning of quarter</w:t>
            </w:r>
          </w:p>
        </w:tc>
        <w:tc>
          <w:tcPr>
            <w:tcW w:w="2880" w:type="dxa"/>
            <w:vAlign w:val="bottom"/>
            <w:gridSpan w:val="4"/>
          </w:tcPr>
          <w:p>
            <w:pPr>
              <w:ind w:left="260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32"/>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8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Location in Earnings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880" w:type="dxa"/>
            <w:vAlign w:val="bottom"/>
            <w:gridSpan w:val="4"/>
          </w:tcPr>
          <w:p>
            <w:pPr>
              <w:ind w:left="20"/>
              <w:spacing w:after="0"/>
              <w:rPr>
                <w:sz w:val="20"/>
                <w:szCs w:val="20"/>
                <w:color w:val="auto"/>
              </w:rPr>
            </w:pPr>
            <w:r>
              <w:rPr>
                <w:rFonts w:ascii="Arial" w:cs="Arial" w:eastAsia="Arial" w:hAnsi="Arial"/>
                <w:sz w:val="18"/>
                <w:szCs w:val="18"/>
                <w:color w:val="auto"/>
              </w:rPr>
              <w:t>Cost of products sold</w:t>
            </w: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left="73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2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73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Forward starting interest rate swaps</w:t>
            </w:r>
          </w:p>
        </w:tc>
        <w:tc>
          <w:tcPr>
            <w:tcW w:w="2880" w:type="dxa"/>
            <w:vAlign w:val="bottom"/>
            <w:gridSpan w:val="4"/>
          </w:tcPr>
          <w:p>
            <w:pPr>
              <w:ind w:left="20"/>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OCI derivative gain (loss) at end of quarter</w:t>
            </w:r>
          </w:p>
        </w:tc>
        <w:tc>
          <w:tcPr>
            <w:tcW w:w="2880" w:type="dxa"/>
            <w:vAlign w:val="bottom"/>
            <w:tcBorders>
              <w:bottom w:val="single" w:sz="8" w:color="CCEEFF"/>
            </w:tcBorders>
            <w:gridSpan w:val="4"/>
            <w:shd w:val="clear" w:color="auto" w:fill="CCEEFF"/>
          </w:tcPr>
          <w:p>
            <w:pPr>
              <w:ind w:left="260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ind w:left="73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Nine Months Ended</w:t>
            </w:r>
          </w:p>
        </w:tc>
        <w:tc>
          <w:tcPr>
            <w:tcW w:w="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OCI derivative gain (loss) at beginning of year</w:t>
            </w:r>
          </w:p>
        </w:tc>
        <w:tc>
          <w:tcPr>
            <w:tcW w:w="2880" w:type="dxa"/>
            <w:vAlign w:val="bottom"/>
            <w:gridSpan w:val="4"/>
          </w:tcPr>
          <w:p>
            <w:pPr>
              <w:ind w:left="260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32"/>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4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8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Location in Earnings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880" w:type="dxa"/>
            <w:vAlign w:val="bottom"/>
            <w:gridSpan w:val="4"/>
          </w:tcPr>
          <w:p>
            <w:pPr>
              <w:ind w:left="20"/>
              <w:spacing w:after="0"/>
              <w:rPr>
                <w:sz w:val="20"/>
                <w:szCs w:val="20"/>
                <w:color w:val="auto"/>
              </w:rPr>
            </w:pPr>
            <w:r>
              <w:rPr>
                <w:rFonts w:ascii="Arial" w:cs="Arial" w:eastAsia="Arial" w:hAnsi="Arial"/>
                <w:sz w:val="18"/>
                <w:szCs w:val="18"/>
                <w:color w:val="auto"/>
              </w:rPr>
              <w:t>Cost of products sold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240" w:type="dxa"/>
            <w:vAlign w:val="bottom"/>
          </w:tcPr>
          <w:p>
            <w:pPr>
              <w:jc w:val="center"/>
              <w:ind w:left="732"/>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Foreign exchange forward contracts</w:t>
            </w:r>
          </w:p>
        </w:tc>
        <w:tc>
          <w:tcPr>
            <w:tcW w:w="2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73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ind w:left="100"/>
              <w:spacing w:after="0"/>
              <w:rPr>
                <w:sz w:val="20"/>
                <w:szCs w:val="20"/>
                <w:color w:val="auto"/>
              </w:rPr>
            </w:pPr>
            <w:r>
              <w:rPr>
                <w:rFonts w:ascii="Arial" w:cs="Arial" w:eastAsia="Arial" w:hAnsi="Arial"/>
                <w:sz w:val="18"/>
                <w:szCs w:val="18"/>
                <w:color w:val="auto"/>
              </w:rPr>
              <w:t>Foreign exchange forward contracts</w:t>
            </w:r>
          </w:p>
        </w:tc>
        <w:tc>
          <w:tcPr>
            <w:tcW w:w="2880" w:type="dxa"/>
            <w:vAlign w:val="bottom"/>
            <w:gridSpan w:val="4"/>
          </w:tcPr>
          <w:p>
            <w:pPr>
              <w:ind w:left="20"/>
              <w:spacing w:after="0"/>
              <w:rPr>
                <w:sz w:val="20"/>
                <w:szCs w:val="20"/>
                <w:color w:val="auto"/>
              </w:rPr>
            </w:pPr>
            <w:r>
              <w:rPr>
                <w:rFonts w:ascii="Arial" w:cs="Arial" w:eastAsia="Arial" w:hAnsi="Arial"/>
                <w:sz w:val="18"/>
                <w:szCs w:val="18"/>
                <w:color w:val="auto"/>
              </w:rPr>
              <w:t>Earnings (loss) from</w:t>
            </w:r>
          </w:p>
        </w:tc>
        <w:tc>
          <w:tcPr>
            <w:tcW w:w="12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80" w:type="dxa"/>
            <w:vAlign w:val="bottom"/>
            <w:gridSpan w:val="4"/>
          </w:tcPr>
          <w:p>
            <w:pPr>
              <w:ind w:left="20"/>
              <w:spacing w:after="0"/>
              <w:rPr>
                <w:sz w:val="20"/>
                <w:szCs w:val="20"/>
                <w:color w:val="auto"/>
              </w:rPr>
            </w:pPr>
            <w:r>
              <w:rPr>
                <w:rFonts w:ascii="Arial" w:cs="Arial" w:eastAsia="Arial" w:hAnsi="Arial"/>
                <w:sz w:val="18"/>
                <w:szCs w:val="18"/>
                <w:color w:val="auto"/>
              </w:rPr>
              <w:t>discontinued operations</w:t>
            </w: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center"/>
              <w:ind w:left="75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Forward starting interest rate swaps</w:t>
            </w:r>
          </w:p>
        </w:tc>
        <w:tc>
          <w:tcPr>
            <w:tcW w:w="2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OCI derivative gain (loss) at end of quarter</w:t>
            </w:r>
          </w:p>
        </w:tc>
        <w:tc>
          <w:tcPr>
            <w:tcW w:w="2580" w:type="dxa"/>
            <w:vAlign w:val="bottom"/>
            <w:gridSpan w:val="3"/>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center"/>
              <w:ind w:left="732"/>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$7.</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effect of our derivative instruments designated as cash-flow hedges for the three- and nine-month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26, 2020, and April 28, 2019, in the Consolidated Statements of Earnings: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left="461"/>
              <w:spacing w:after="0" w:line="153" w:lineRule="exact"/>
              <w:rPr>
                <w:sz w:val="20"/>
                <w:szCs w:val="20"/>
                <w:color w:val="auto"/>
              </w:rPr>
            </w:pPr>
            <w:r>
              <w:rPr>
                <w:rFonts w:ascii="Arial" w:cs="Arial" w:eastAsia="Arial" w:hAnsi="Arial"/>
                <w:sz w:val="14"/>
                <w:szCs w:val="14"/>
                <w:b w:val="1"/>
                <w:bCs w:val="1"/>
                <w:color w:val="auto"/>
                <w:w w:val="97"/>
              </w:rPr>
              <w:t>April 26,</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left="441"/>
              <w:spacing w:after="0" w:line="153" w:lineRule="exact"/>
              <w:rPr>
                <w:sz w:val="20"/>
                <w:szCs w:val="20"/>
                <w:color w:val="auto"/>
              </w:rPr>
            </w:pPr>
            <w:r>
              <w:rPr>
                <w:rFonts w:ascii="Arial" w:cs="Arial" w:eastAsia="Arial" w:hAnsi="Arial"/>
                <w:sz w:val="14"/>
                <w:szCs w:val="14"/>
                <w:b w:val="1"/>
                <w:bCs w:val="1"/>
                <w:color w:val="auto"/>
                <w:w w:val="97"/>
              </w:rPr>
              <w:t>April 28,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left="441"/>
              <w:spacing w:after="0" w:line="153" w:lineRule="exact"/>
              <w:rPr>
                <w:sz w:val="20"/>
                <w:szCs w:val="20"/>
                <w:color w:val="auto"/>
              </w:rPr>
            </w:pPr>
            <w:r>
              <w:rPr>
                <w:rFonts w:ascii="Arial" w:cs="Arial" w:eastAsia="Arial" w:hAnsi="Arial"/>
                <w:sz w:val="14"/>
                <w:szCs w:val="14"/>
                <w:b w:val="1"/>
                <w:bCs w:val="1"/>
                <w:color w:val="auto"/>
                <w:w w:val="97"/>
              </w:rPr>
              <w:t>April 26,</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left="461"/>
              <w:spacing w:after="0" w:line="153" w:lineRule="exact"/>
              <w:rPr>
                <w:sz w:val="20"/>
                <w:szCs w:val="20"/>
                <w:color w:val="auto"/>
              </w:rPr>
            </w:pPr>
            <w:r>
              <w:rPr>
                <w:rFonts w:ascii="Arial" w:cs="Arial" w:eastAsia="Arial" w:hAnsi="Arial"/>
                <w:sz w:val="14"/>
                <w:szCs w:val="14"/>
                <w:b w:val="1"/>
                <w:bCs w:val="1"/>
                <w:color w:val="auto"/>
              </w:rPr>
              <w:t>April 28,</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Earnings (Loss)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Earnings (Loss)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Earnings (Loss)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Earnings (Loss)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from</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Discontinued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Discontinued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Discontinued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Discontinued</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Operations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6"/>
              </w:rPr>
              <w:t>Expense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Operations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49"/>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8"/>
                <w:szCs w:val="18"/>
                <w:color w:val="auto"/>
                <w:w w:val="93"/>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1,036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loss on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gridSpan w:val="2"/>
          </w:tcPr>
          <w:p>
            <w:pPr>
              <w:ind w:left="120"/>
              <w:spacing w:after="0"/>
              <w:rPr>
                <w:sz w:val="20"/>
                <w:szCs w:val="20"/>
                <w:color w:val="auto"/>
              </w:rPr>
            </w:pPr>
            <w:r>
              <w:rPr>
                <w:rFonts w:ascii="Arial" w:cs="Arial" w:eastAsia="Arial" w:hAnsi="Arial"/>
                <w:sz w:val="18"/>
                <w:szCs w:val="18"/>
                <w:color w:val="auto"/>
                <w:w w:val="97"/>
              </w:rPr>
              <w:t>Amount of (gain) loss reclassified from</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tcPr>
          <w:p>
            <w:pPr>
              <w:jc w:val="right"/>
              <w:ind w:right="81"/>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ind w:right="79"/>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20"/>
              <w:spacing w:after="0"/>
              <w:rPr>
                <w:sz w:val="20"/>
                <w:szCs w:val="20"/>
                <w:color w:val="auto"/>
              </w:rPr>
            </w:pPr>
            <w:r>
              <w:rPr>
                <w:rFonts w:ascii="Arial" w:cs="Arial" w:eastAsia="Arial" w:hAnsi="Arial"/>
                <w:sz w:val="18"/>
                <w:szCs w:val="18"/>
                <w:color w:val="auto"/>
              </w:rPr>
              <w:t>OCI to earnings</w:t>
            </w:r>
          </w:p>
        </w:tc>
        <w:tc>
          <w:tcPr>
            <w:tcW w:w="12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center"/>
              <w:ind w:left="321"/>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8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 excluded from effectiveness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testing recognized in earnings using an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approach</w:t>
            </w:r>
          </w:p>
        </w:tc>
        <w:tc>
          <w:tcPr>
            <w:tcW w:w="12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center"/>
              <w:ind w:left="32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The following table shows the effects of our derivative instruments not designated as hedges for the three- and nine-month periods ended April 26, 2020, and April 28, 2019, in the Consolidated Statements of Earnings: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40" w:type="dxa"/>
            <w:vAlign w:val="bottom"/>
            <w:tcBorders>
              <w:bottom w:val="single" w:sz="8" w:color="auto"/>
            </w:tcBorders>
            <w:gridSpan w:val="10"/>
          </w:tcPr>
          <w:p>
            <w:pPr>
              <w:jc w:val="right"/>
              <w:ind w:right="373"/>
              <w:spacing w:after="0"/>
              <w:rPr>
                <w:sz w:val="20"/>
                <w:szCs w:val="20"/>
                <w:color w:val="auto"/>
              </w:rPr>
            </w:pPr>
            <w:r>
              <w:rPr>
                <w:rFonts w:ascii="Arial" w:cs="Arial" w:eastAsia="Arial" w:hAnsi="Arial"/>
                <w:sz w:val="14"/>
                <w:szCs w:val="14"/>
                <w:b w:val="1"/>
                <w:bCs w:val="1"/>
                <w:color w:val="auto"/>
              </w:rPr>
              <w:t>Amount of (Gain) Loss Recognized in Earnings on Derivatives</w:t>
            </w:r>
          </w:p>
        </w:tc>
      </w:tr>
      <w:tr>
        <w:trPr>
          <w:trHeight w:val="196"/>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2"/>
          </w:tcPr>
          <w:p>
            <w:pPr>
              <w:ind w:left="52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Hedges</w:t>
            </w:r>
          </w:p>
        </w:tc>
        <w:tc>
          <w:tcPr>
            <w:tcW w:w="100" w:type="dxa"/>
            <w:vAlign w:val="bottom"/>
            <w:tcBorders>
              <w:bottom w:val="single" w:sz="8" w:color="CCEEFF"/>
            </w:tcBorders>
          </w:tcPr>
          <w:p>
            <w:pPr>
              <w:spacing w:after="0"/>
              <w:rPr>
                <w:sz w:val="17"/>
                <w:szCs w:val="17"/>
                <w:color w:val="auto"/>
              </w:rPr>
            </w:pPr>
          </w:p>
        </w:tc>
        <w:tc>
          <w:tcPr>
            <w:tcW w:w="24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April 26,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5"/>
              </w:rPr>
              <w:t>April 28, 2019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April 26, 2020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April 28, 2019</w:t>
            </w: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Foreign exchange forward contracts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Other expenses / (income)</w:t>
            </w: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 contracts</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Deferred compensation derivative contracts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21"/>
                <w:szCs w:val="21"/>
                <w:color w:val="auto"/>
              </w:rPr>
            </w:pPr>
          </w:p>
        </w:tc>
        <w:tc>
          <w:tcPr>
            <w:tcW w:w="980" w:type="dxa"/>
            <w:vAlign w:val="bottom"/>
          </w:tcPr>
          <w:p>
            <w:pPr>
              <w:jc w:val="right"/>
              <w:ind w:right="76"/>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rate lock contracts</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Total (gain) loss at end of quarter</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r>
      <w:tr>
        <w:trPr>
          <w:trHeight w:val="27"/>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Entity</w:t>
      </w:r>
    </w:p>
    <w:p>
      <w:pPr>
        <w:spacing w:after="0" w:line="10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were the sole limited partner of Acre and owned a 99.8% interest. Acre is a VIE. We consolidate Acre and account for the third party ownership as a noncontrolling interest. Through April 26, 2020, we funded $86 of the capital commitment. Acre elected the fair value option to account for qualifying investments to more appropriately reflect the value of the investments in the financial statements. The investments were $76 as of July 28, 2019, and were included in Other assets on the Consolidated Balance Sheet. Changes in the fair values of investments are included in Other expenses / (income) on the Consolidated Statements of Earnings.</w:t>
      </w:r>
    </w:p>
    <w:p>
      <w:pPr>
        <w:spacing w:after="0" w:line="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entered into an agreement to sell our interest in Acre on April 26, 2020, and completed the sale on May 8, 2020, for $30. As a result of the pending sale, we recorded a loss of $45 in the third quarter. The remaining $29 of assets were reclassified to assets held for sale and are included in Other current assets on the Consolidated Balance Sheet as of April 26,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categorize financial assets and liabilities based on the following fair value hierarchy:</w:t>
      </w:r>
    </w:p>
    <w:p>
      <w:pPr>
        <w:spacing w:after="0" w:line="9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April 26, 2020, and July 28, 2019, consistent with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11"/>
          </w:tcPr>
          <w:p>
            <w:pPr>
              <w:jc w:val="center"/>
              <w:ind w:left="475"/>
              <w:spacing w:after="0"/>
              <w:rPr>
                <w:sz w:val="20"/>
                <w:szCs w:val="20"/>
                <w:color w:val="auto"/>
              </w:rPr>
            </w:pPr>
            <w:r>
              <w:rPr>
                <w:rFonts w:ascii="Arial" w:cs="Arial" w:eastAsia="Arial" w:hAnsi="Arial"/>
                <w:sz w:val="14"/>
                <w:szCs w:val="14"/>
                <w:b w:val="1"/>
                <w:bCs w:val="1"/>
                <w:color w:val="auto"/>
                <w:w w:val="93"/>
              </w:rPr>
              <w:t>Fair Value Measurements at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10"/>
          </w:tcPr>
          <w:p>
            <w:pPr>
              <w:jc w:val="center"/>
              <w:ind w:left="515"/>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8"/>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April 26, 2020 Using</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July 28, 2019 Using</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8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60"/>
              <w:spacing w:after="0" w:line="125" w:lineRule="exact"/>
              <w:rPr>
                <w:sz w:val="20"/>
                <w:szCs w:val="20"/>
                <w:color w:val="auto"/>
              </w:rPr>
            </w:pPr>
            <w:r>
              <w:rPr>
                <w:rFonts w:ascii="Arial" w:cs="Arial" w:eastAsia="Arial" w:hAnsi="Arial"/>
                <w:sz w:val="14"/>
                <w:szCs w:val="14"/>
                <w:b w:val="1"/>
                <w:bCs w:val="1"/>
                <w:color w:val="auto"/>
                <w:w w:val="97"/>
              </w:rPr>
              <w:t>April 26,</w:t>
            </w: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9"/>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3"/>
              </w:rPr>
              <w:t>July 28,</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8"/>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1"/>
              </w:rPr>
              <w:t>Assets</w:t>
            </w:r>
          </w:p>
        </w:tc>
        <w:tc>
          <w:tcPr>
            <w:tcW w:w="12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Foreign exchange</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5"/>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5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5"/>
            <w:vMerge w:val="restart"/>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00" w:type="dxa"/>
            <w:vAlign w:val="bottom"/>
            <w:gridSpan w:val="5"/>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0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Commodity derivative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58"/>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740" w:type="dxa"/>
            <w:vAlign w:val="bottom"/>
            <w:gridSpan w:val="3"/>
          </w:tcPr>
          <w:p>
            <w:pPr>
              <w:ind w:left="100"/>
              <w:spacing w:after="0" w:line="230" w:lineRule="exact"/>
              <w:rPr>
                <w:sz w:val="20"/>
                <w:szCs w:val="20"/>
                <w:color w:val="auto"/>
              </w:rPr>
            </w:pPr>
            <w:r>
              <w:rPr>
                <w:rFonts w:ascii="Arial" w:cs="Arial" w:eastAsia="Arial" w:hAnsi="Arial"/>
                <w:sz w:val="18"/>
                <w:szCs w:val="18"/>
                <w:color w:val="auto"/>
                <w:w w:val="93"/>
              </w:rPr>
              <w:t>derivative contracts</w:t>
            </w:r>
            <w:r>
              <w:rPr>
                <w:rFonts w:ascii="Arial" w:cs="Arial" w:eastAsia="Arial" w:hAnsi="Arial"/>
                <w:sz w:val="23"/>
                <w:szCs w:val="23"/>
                <w:color w:val="auto"/>
                <w:w w:val="93"/>
                <w:vertAlign w:val="superscript"/>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shd w:val="clear" w:color="auto" w:fill="CCEEFF"/>
          </w:tcPr>
          <w:p>
            <w:pPr>
              <w:spacing w:after="0"/>
              <w:rPr>
                <w:sz w:val="15"/>
                <w:szCs w:val="15"/>
                <w:color w:val="auto"/>
              </w:rPr>
            </w:pPr>
          </w:p>
        </w:tc>
        <w:tc>
          <w:tcPr>
            <w:tcW w:w="1740" w:type="dxa"/>
            <w:vAlign w:val="bottom"/>
            <w:gridSpan w:val="3"/>
            <w:shd w:val="clear" w:color="auto" w:fill="CCEEFF"/>
          </w:tcPr>
          <w:p>
            <w:pPr>
              <w:ind w:left="100"/>
              <w:spacing w:after="0" w:line="176" w:lineRule="exact"/>
              <w:rPr>
                <w:sz w:val="20"/>
                <w:szCs w:val="20"/>
                <w:color w:val="auto"/>
              </w:rPr>
            </w:pPr>
            <w:r>
              <w:rPr>
                <w:rFonts w:ascii="Arial" w:cs="Arial" w:eastAsia="Arial" w:hAnsi="Arial"/>
                <w:sz w:val="18"/>
                <w:szCs w:val="18"/>
                <w:color w:val="auto"/>
              </w:rPr>
              <w:t>compensation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4"/>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1740" w:type="dxa"/>
            <w:vAlign w:val="bottom"/>
            <w:gridSpan w:val="3"/>
            <w:shd w:val="clear" w:color="auto" w:fill="CCEEFF"/>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Fair value option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58"/>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4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gridSpan w:val="3"/>
          </w:tcPr>
          <w:p>
            <w:pPr>
              <w:ind w:left="10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(5)</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8"/>
              </w:rPr>
              <w:t>Total assets at fair value</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43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11"/>
          </w:tcPr>
          <w:p>
            <w:pPr>
              <w:jc w:val="center"/>
              <w:ind w:left="535"/>
              <w:spacing w:after="0"/>
              <w:rPr>
                <w:sz w:val="20"/>
                <w:szCs w:val="20"/>
                <w:color w:val="auto"/>
              </w:rPr>
            </w:pPr>
            <w:r>
              <w:rPr>
                <w:rFonts w:ascii="Arial" w:cs="Arial" w:eastAsia="Arial" w:hAnsi="Arial"/>
                <w:sz w:val="14"/>
                <w:szCs w:val="14"/>
                <w:b w:val="1"/>
                <w:bCs w:val="1"/>
                <w:color w:val="auto"/>
                <w:w w:val="92"/>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10"/>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7"/>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April 26, 2020 Using</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July 28, 2019 Using</w:t>
            </w: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80" w:type="dxa"/>
            <w:vAlign w:val="bottom"/>
            <w:gridSpan w:val="7"/>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80" w:type="dxa"/>
            <w:vAlign w:val="bottom"/>
            <w:gridSpan w:val="9"/>
            <w:vMerge w:val="restart"/>
          </w:tcPr>
          <w:p>
            <w:pPr>
              <w:jc w:val="center"/>
              <w:ind w:right="138"/>
              <w:spacing w:after="0"/>
              <w:rPr>
                <w:sz w:val="20"/>
                <w:szCs w:val="20"/>
                <w:color w:val="auto"/>
              </w:rPr>
            </w:pPr>
            <w:r>
              <w:rPr>
                <w:rFonts w:ascii="Arial" w:cs="Arial" w:eastAsia="Arial" w:hAnsi="Arial"/>
                <w:sz w:val="14"/>
                <w:szCs w:val="14"/>
                <w:b w:val="1"/>
                <w:bCs w:val="1"/>
                <w:color w:val="auto"/>
                <w:w w:val="97"/>
              </w:rPr>
              <w:t>Fair Value Hierarchy</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7"/>
            <w:vMerge w:val="restart"/>
          </w:tcPr>
          <w:p>
            <w:pPr>
              <w:jc w:val="center"/>
              <w:ind w:right="178"/>
              <w:spacing w:after="0"/>
              <w:rPr>
                <w:sz w:val="20"/>
                <w:szCs w:val="20"/>
                <w:color w:val="auto"/>
              </w:rPr>
            </w:pPr>
            <w:r>
              <w:rPr>
                <w:rFonts w:ascii="Arial" w:cs="Arial" w:eastAsia="Arial" w:hAnsi="Arial"/>
                <w:sz w:val="14"/>
                <w:szCs w:val="14"/>
                <w:b w:val="1"/>
                <w:bCs w:val="1"/>
                <w:color w:val="auto"/>
                <w:w w:val="97"/>
              </w:rPr>
              <w:t>Fair Value Hierarchy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7"/>
              </w:rPr>
              <w:t>April 26,</w:t>
            </w:r>
          </w:p>
        </w:tc>
        <w:tc>
          <w:tcPr>
            <w:tcW w:w="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9"/>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July 28,</w:t>
            </w: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7"/>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40" w:type="dxa"/>
            <w:vAlign w:val="bottom"/>
            <w:tcBorders>
              <w:right w:val="single" w:sz="8" w:color="CCEEFF"/>
            </w:tcBorders>
          </w:tcPr>
          <w:p>
            <w:pPr>
              <w:spacing w:after="0"/>
              <w:rPr>
                <w:sz w:val="16"/>
                <w:szCs w:val="16"/>
                <w:color w:val="auto"/>
              </w:rPr>
            </w:pPr>
          </w:p>
        </w:tc>
        <w:tc>
          <w:tcPr>
            <w:tcW w:w="17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Foreign exchange</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5"/>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4"/>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8"/>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vMerge w:val="restart"/>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forward contracts</w:t>
            </w:r>
            <w:r>
              <w:rPr>
                <w:rFonts w:ascii="Arial" w:cs="Arial" w:eastAsia="Arial" w:hAnsi="Arial"/>
                <w:sz w:val="23"/>
                <w:szCs w:val="23"/>
                <w:color w:val="auto"/>
                <w:vertAlign w:val="superscript"/>
              </w:rPr>
              <w:t>(1)</w:t>
            </w:r>
          </w:p>
        </w:tc>
        <w:tc>
          <w:tcPr>
            <w:tcW w:w="180" w:type="dxa"/>
            <w:vAlign w:val="bottom"/>
            <w:gridSpan w:val="2"/>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400" w:type="dxa"/>
            <w:vAlign w:val="bottom"/>
            <w:gridSpan w:val="5"/>
            <w:vMerge w:val="continue"/>
          </w:tcPr>
          <w:p>
            <w:pPr>
              <w:spacing w:after="0"/>
              <w:rPr>
                <w:sz w:val="19"/>
                <w:szCs w:val="19"/>
                <w:color w:val="auto"/>
              </w:rPr>
            </w:pPr>
          </w:p>
        </w:tc>
        <w:tc>
          <w:tcPr>
            <w:tcW w:w="980" w:type="dxa"/>
            <w:vAlign w:val="bottom"/>
            <w:gridSpan w:val="4"/>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00" w:type="dxa"/>
            <w:vAlign w:val="bottom"/>
            <w:gridSpan w:val="5"/>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17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Commodity derivative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174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7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w:t>
            </w:r>
          </w:p>
        </w:tc>
        <w:tc>
          <w:tcPr>
            <w:tcW w:w="10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740" w:type="dxa"/>
            <w:vAlign w:val="bottom"/>
            <w:tcBorders>
              <w:bottom w:val="single" w:sz="8" w:color="CCEEFF"/>
            </w:tcBorders>
            <w:gridSpan w:val="3"/>
          </w:tcPr>
          <w:p>
            <w:pPr>
              <w:ind w:left="120"/>
              <w:spacing w:after="0" w:line="230" w:lineRule="exact"/>
              <w:rPr>
                <w:sz w:val="20"/>
                <w:szCs w:val="20"/>
                <w:color w:val="auto"/>
              </w:rPr>
            </w:pPr>
            <w:r>
              <w:rPr>
                <w:rFonts w:ascii="Arial" w:cs="Arial" w:eastAsia="Arial" w:hAnsi="Arial"/>
                <w:sz w:val="18"/>
                <w:szCs w:val="18"/>
                <w:color w:val="auto"/>
              </w:rPr>
              <w:t>obligation</w:t>
            </w:r>
            <w:r>
              <w:rPr>
                <w:rFonts w:ascii="Arial" w:cs="Arial" w:eastAsia="Arial" w:hAnsi="Arial"/>
                <w:sz w:val="23"/>
                <w:szCs w:val="23"/>
                <w:color w:val="auto"/>
                <w:vertAlign w:val="superscript"/>
              </w:rPr>
              <w:t>(4)</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at fair</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40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w:t>
            </w:r>
          </w:p>
        </w:tc>
        <w:tc>
          <w:tcPr>
            <w:tcW w:w="1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2"/>
            <w:vMerge w:val="continue"/>
            <w:shd w:val="clear" w:color="auto" w:fill="CCEEFF"/>
          </w:tcPr>
          <w:p>
            <w:pPr>
              <w:spacing w:after="0"/>
              <w:rPr>
                <w:sz w:val="21"/>
                <w:szCs w:val="21"/>
                <w:color w:val="auto"/>
              </w:rPr>
            </w:pPr>
          </w:p>
        </w:tc>
        <w:tc>
          <w:tcPr>
            <w:tcW w:w="780" w:type="dxa"/>
            <w:vAlign w:val="bottom"/>
            <w:vMerge w:val="continue"/>
            <w:shd w:val="clear" w:color="auto" w:fill="CCEEFF"/>
          </w:tcPr>
          <w:p>
            <w:pPr>
              <w:spacing w:after="0"/>
              <w:rPr>
                <w:sz w:val="21"/>
                <w:szCs w:val="21"/>
                <w:color w:val="auto"/>
              </w:rPr>
            </w:pPr>
          </w:p>
        </w:tc>
        <w:tc>
          <w:tcPr>
            <w:tcW w:w="400" w:type="dxa"/>
            <w:vAlign w:val="bottom"/>
            <w:gridSpan w:val="5"/>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900" w:type="dxa"/>
            <w:vAlign w:val="bottom"/>
            <w:gridSpan w:val="3"/>
            <w:vMerge w:val="continue"/>
            <w:shd w:val="clear" w:color="auto" w:fill="CCEEFF"/>
          </w:tcPr>
          <w:p>
            <w:pPr>
              <w:spacing w:after="0"/>
              <w:rPr>
                <w:sz w:val="21"/>
                <w:szCs w:val="21"/>
                <w:color w:val="auto"/>
              </w:rPr>
            </w:pPr>
          </w:p>
        </w:tc>
        <w:tc>
          <w:tcPr>
            <w:tcW w:w="1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400" w:type="dxa"/>
            <w:vAlign w:val="bottom"/>
            <w:gridSpan w:val="5"/>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ind w:left="320" w:hanging="312"/>
        <w:spacing w:after="0" w:line="221"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2" w:lineRule="exact"/>
        <w:rPr>
          <w:rFonts w:ascii="Arial" w:cs="Arial" w:eastAsia="Arial" w:hAnsi="Arial"/>
          <w:sz w:val="23"/>
          <w:szCs w:val="23"/>
          <w:color w:val="auto"/>
          <w:vertAlign w:val="superscript"/>
        </w:rPr>
      </w:pPr>
    </w:p>
    <w:p>
      <w:pPr>
        <w:jc w:val="both"/>
        <w:ind w:left="340" w:hanging="332"/>
        <w:spacing w:after="0" w:line="242"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LIBOR and equity index swap rates.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Based on the fair value of the participants’ investments.</w:t>
      </w:r>
    </w:p>
    <w:p>
      <w:pPr>
        <w:spacing w:after="0" w:line="2" w:lineRule="exact"/>
        <w:rPr>
          <w:rFonts w:ascii="Arial" w:cs="Arial" w:eastAsia="Arial" w:hAnsi="Arial"/>
          <w:sz w:val="23"/>
          <w:szCs w:val="23"/>
          <w:color w:val="auto"/>
          <w:vertAlign w:val="superscript"/>
        </w:rPr>
      </w:pPr>
    </w:p>
    <w:p>
      <w:pPr>
        <w:jc w:val="both"/>
        <w:ind w:left="340" w:hanging="332"/>
        <w:spacing w:after="0" w:line="254" w:lineRule="auto"/>
        <w:tabs>
          <w:tab w:leader="none" w:pos="32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Primarily represents investments in equity securities that are not readily marketable and are accounted for under the fair value option. The investments were funded by Acre. Prior to April 26, 2020, fair value was based on analyzing recent transactions and transactions of comparable companies, and the discounted cash flow method. In addition, allocation methods, including the option pricing method, were used in distributing fair value among various equity holders according to rights and preferences. We entered into an agreement to sell our interest in Acre on April 26, 2020, and completed the sale on May 8, 2020. As a result of the pending sale, we adjusted the fair value based on the proceeds and reclassified the assets to assets held for sale on the Consolidated Balance Sheet. See Note 14 for additional information.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7"/>
          <w:szCs w:val="17"/>
          <w:color w:val="auto"/>
        </w:rPr>
        <w:t>The following table summarizes the changes in fair value of Level 3 assets for the nine-month periods ended April 26, 2020, and April 28,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26,</w:t>
            </w:r>
          </w:p>
        </w:tc>
        <w:tc>
          <w:tcPr>
            <w:tcW w:w="240" w:type="dxa"/>
            <w:vAlign w:val="bottom"/>
          </w:tcPr>
          <w:p>
            <w:pPr>
              <w:spacing w:after="0"/>
              <w:rPr>
                <w:sz w:val="13"/>
                <w:szCs w:val="13"/>
                <w:color w:val="auto"/>
              </w:rPr>
            </w:pPr>
          </w:p>
        </w:tc>
        <w:tc>
          <w:tcPr>
            <w:tcW w:w="10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April 28,</w:t>
            </w:r>
          </w:p>
        </w:tc>
      </w:tr>
      <w:tr>
        <w:trPr>
          <w:trHeight w:val="192"/>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4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77</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Gains (losses)</w:t>
            </w:r>
          </w:p>
        </w:tc>
        <w:tc>
          <w:tcPr>
            <w:tcW w:w="2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1</w:t>
            </w:r>
          </w:p>
        </w:tc>
      </w:tr>
      <w:tr>
        <w:trPr>
          <w:trHeight w:val="27"/>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78</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cash and cash equivalents, accounts receivable and accounts payable approximate fair value.</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equivalents of continuing operations were $15 at April 26, 2020. Cash equivalents of discontinued operations were $19 at July 28, 2019. Cash equivalents represent fair value as these highly liquid investments have an original maturity of three months or less. Fair value of cash equivalents is based on Level 2 inputs.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short- and long-term debt of continuing operations was $7,216 at April 26, 2020, and $8,642 at July 28, 2019. The carrying value was $6,695 at April 26, 2020, and $8,474 at July 28, 2019. The fair value and carrying value of short- and long-term debt of discontinued operations was $238 at July 28, 2019. The fair value of long-term debt is principally estimated using Level 2 inputs based on quoted market prices or pricing models using current market rates.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Repurchases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April 26, 2020.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2020, we issued time-lapse restricted stock units, unrestricted stock, and TSR performance restricted stock units. We have not issued stock options, FCF performance restricted stock units, or EPS performance restricted stock units in 2020.</w:t>
      </w:r>
    </w:p>
    <w:p>
      <w:pPr>
        <w:spacing w:after="0" w:line="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determining stock-based compensation expense, we estimate forfeitures expected to occur. Total pre-tax stock-based compensation expense and tax-related benefits recognized in Earnings from continuing operations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86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26,</w:t>
            </w:r>
          </w:p>
        </w:tc>
        <w:tc>
          <w:tcPr>
            <w:tcW w:w="220" w:type="dxa"/>
            <w:vAlign w:val="bottom"/>
          </w:tcPr>
          <w:p>
            <w:pPr>
              <w:spacing w:after="0"/>
              <w:rPr>
                <w:sz w:val="13"/>
                <w:szCs w:val="13"/>
                <w:color w:val="auto"/>
              </w:rPr>
            </w:pPr>
          </w:p>
        </w:tc>
        <w:tc>
          <w:tcPr>
            <w:tcW w:w="10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April 28,</w:t>
            </w:r>
          </w:p>
        </w:tc>
      </w:tr>
      <w:tr>
        <w:trPr>
          <w:trHeight w:val="192"/>
        </w:trPr>
        <w:tc>
          <w:tcPr>
            <w:tcW w:w="58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920" w:type="dxa"/>
            <w:vAlign w:val="bottom"/>
          </w:tcPr>
          <w:p>
            <w:pPr>
              <w:jc w:val="right"/>
              <w:ind w:right="741"/>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81"/>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7</w:t>
            </w: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pre-tax stock-based compensation expense and tax-related benefits recognized in Earnings (loss) from discontinued operations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26,</w:t>
            </w:r>
          </w:p>
        </w:tc>
        <w:tc>
          <w:tcPr>
            <w:tcW w:w="22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28,</w:t>
            </w:r>
          </w:p>
        </w:tc>
        <w:tc>
          <w:tcPr>
            <w:tcW w:w="24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26,</w:t>
            </w:r>
          </w:p>
        </w:tc>
        <w:tc>
          <w:tcPr>
            <w:tcW w:w="220" w:type="dxa"/>
            <w:vAlign w:val="bottom"/>
          </w:tcPr>
          <w:p>
            <w:pPr>
              <w:spacing w:after="0"/>
              <w:rPr>
                <w:sz w:val="13"/>
                <w:szCs w:val="13"/>
                <w:color w:val="auto"/>
              </w:rPr>
            </w:pPr>
          </w:p>
        </w:tc>
        <w:tc>
          <w:tcPr>
            <w:tcW w:w="10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April 28,</w:t>
            </w:r>
          </w:p>
        </w:tc>
      </w:tr>
      <w:tr>
        <w:trPr>
          <w:trHeight w:val="192"/>
        </w:trPr>
        <w:tc>
          <w:tcPr>
            <w:tcW w:w="45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stock-based compensation expense</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Tax-related benefits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2</w:t>
            </w:r>
          </w:p>
        </w:tc>
      </w:tr>
      <w:tr>
        <w:trPr>
          <w:trHeight w:val="904"/>
        </w:trPr>
        <w:tc>
          <w:tcPr>
            <w:tcW w:w="452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The following table summarizes stock option activity as of April 26, 2020:</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6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6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(Options in</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thousands)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28, 2019</w:t>
            </w:r>
          </w:p>
        </w:tc>
        <w:tc>
          <w:tcPr>
            <w:tcW w:w="1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47.33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April 26, 2020</w:t>
            </w:r>
          </w:p>
        </w:tc>
        <w:tc>
          <w:tcPr>
            <w:tcW w:w="1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April 26, 2020</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50.23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8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total intrinsic value of options exercised during the nine-month period ended April 26, 2020 was $2. No options were exercised during the nine-month period ended April 28, 2019.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and grant-date fair value for grants in 2019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2.79%</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3.84%</w:t>
            </w:r>
          </w:p>
        </w:tc>
      </w:tr>
      <w:tr>
        <w:trPr>
          <w:trHeight w:val="27"/>
        </w:trPr>
        <w:tc>
          <w:tcPr>
            <w:tcW w:w="9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25.28%</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260" w:type="dxa"/>
            <w:vAlign w:val="bottom"/>
          </w:tcPr>
          <w:p>
            <w:pPr>
              <w:ind w:left="300"/>
              <w:spacing w:after="0"/>
              <w:rPr>
                <w:sz w:val="20"/>
                <w:szCs w:val="20"/>
                <w:color w:val="auto"/>
              </w:rPr>
            </w:pPr>
            <w:r>
              <w:rPr>
                <w:rFonts w:ascii="Arial" w:cs="Arial" w:eastAsia="Arial" w:hAnsi="Arial"/>
                <w:sz w:val="18"/>
                <w:szCs w:val="18"/>
                <w:color w:val="auto"/>
              </w:rPr>
              <w:t>6.1 years</w:t>
            </w:r>
          </w:p>
        </w:tc>
      </w:tr>
      <w:tr>
        <w:trPr>
          <w:trHeight w:val="27"/>
        </w:trPr>
        <w:tc>
          <w:tcPr>
            <w:tcW w:w="9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$6.27</w:t>
            </w:r>
          </w:p>
        </w:tc>
      </w:tr>
      <w:tr>
        <w:trPr>
          <w:trHeight w:val="27"/>
        </w:trPr>
        <w:tc>
          <w:tcPr>
            <w:tcW w:w="9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April 26, 2020, total remaining unearned compensation related to nonvested stock options was $1, which will be amortized over the weighted-average remaining service period of 1.6 years.</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and FCF performance restricted stock units as of April 26,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Weighted-Average Grant-</w:t>
            </w:r>
          </w:p>
        </w:tc>
        <w:tc>
          <w:tcPr>
            <w:tcW w:w="0" w:type="dxa"/>
            <w:vAlign w:val="bottom"/>
          </w:tcPr>
          <w:p>
            <w:pPr>
              <w:spacing w:after="0"/>
              <w:rPr>
                <w:sz w:val="1"/>
                <w:szCs w:val="1"/>
                <w:color w:val="auto"/>
              </w:rPr>
            </w:pPr>
          </w:p>
        </w:tc>
      </w:tr>
      <w:tr>
        <w:trPr>
          <w:trHeight w:val="192"/>
        </w:trPr>
        <w:tc>
          <w:tcPr>
            <w:tcW w:w="760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52"/>
        </w:trPr>
        <w:tc>
          <w:tcPr>
            <w:tcW w:w="7600" w:type="dxa"/>
            <w:vAlign w:val="bottom"/>
          </w:tcPr>
          <w:p>
            <w:pPr>
              <w:spacing w:after="0"/>
              <w:rPr>
                <w:sz w:val="13"/>
                <w:szCs w:val="13"/>
                <w:color w:val="auto"/>
              </w:rPr>
            </w:pPr>
          </w:p>
        </w:tc>
        <w:tc>
          <w:tcPr>
            <w:tcW w:w="18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28, 2019</w:t>
            </w:r>
          </w:p>
        </w:tc>
        <w:tc>
          <w:tcPr>
            <w:tcW w:w="1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7"/>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ind w:right="17"/>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7"/>
        </w:trPr>
        <w:tc>
          <w:tcPr>
            <w:tcW w:w="7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April 26, 2020</w:t>
            </w:r>
          </w:p>
        </w:tc>
        <w:tc>
          <w:tcPr>
            <w:tcW w:w="1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23 thousand EPS performance target grants outstanding at April 26, 2020, with a grant-date fair value of $46.82. The actual number of EPS performance restricted stock units issued at the vesting date could be either 0% or 100% of the initial grant, depending on actual performance achieved. We estimate expense based on the number of awards expected to vest.</w:t>
      </w:r>
    </w:p>
    <w:p>
      <w:pPr>
        <w:spacing w:after="0" w:line="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we issued approximately 388 thousand FCF performance restricted stock units for which vesting is contingent upon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will be based upon the quoted price of our stock at the date of grant. We will expense FCF performance restricted stock units over the requisite service period of each objective. As of April 26, 2020, we have granted 258 thousand of the issued FCF performance restricted stock units, which are included in the table above. There were 168 thousand FCF performance target grants outstanding at April 26, 2020, with a weighted-average grant-date fair value of $42.16.</w:t>
      </w:r>
    </w:p>
    <w:p>
      <w:pPr>
        <w:spacing w:after="0" w:line="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April 26, 2020, total remaining unearned compensation related to nonvested time-lapse restricted stock units, EPS performance restricted stock units and FCF performance restricted units was $42, which will be amortized over the weighted-average remaining service period of 1.8 years. The fair value of restricted stock units vested during the nine-month periods ended April 26, 2020, and April 28, 2019, was $34, and $26, respectively. The weighted-average grant-date fair value of the restricted stock units granted during the nine-month period ended April 28, 2019 was $36.50.</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April 26,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4"/>
                <w:szCs w:val="14"/>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92"/>
        </w:trPr>
        <w:tc>
          <w:tcPr>
            <w:tcW w:w="784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52"/>
        </w:trPr>
        <w:tc>
          <w:tcPr>
            <w:tcW w:w="7840" w:type="dxa"/>
            <w:vAlign w:val="bottom"/>
          </w:tcPr>
          <w:p>
            <w:pPr>
              <w:spacing w:after="0"/>
              <w:rPr>
                <w:sz w:val="13"/>
                <w:szCs w:val="13"/>
                <w:color w:val="auto"/>
              </w:rPr>
            </w:pPr>
          </w:p>
        </w:tc>
        <w:tc>
          <w:tcPr>
            <w:tcW w:w="17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(Restricted stock</w:t>
            </w: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84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 in thousands)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28, 2019</w:t>
            </w:r>
          </w:p>
        </w:tc>
        <w:tc>
          <w:tcPr>
            <w:tcW w:w="16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77"/>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April 26, 2020</w:t>
            </w:r>
          </w:p>
        </w:tc>
        <w:tc>
          <w:tcPr>
            <w:tcW w:w="16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assumptions used in the Monte Carlo simulation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2.80%</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3.79%</w:t>
            </w:r>
          </w:p>
        </w:tc>
      </w:tr>
      <w:tr>
        <w:trPr>
          <w:trHeight w:val="27"/>
        </w:trPr>
        <w:tc>
          <w:tcPr>
            <w:tcW w:w="8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27.01%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24.50%</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60" w:type="dxa"/>
            <w:vAlign w:val="bottom"/>
            <w:gridSpan w:val="2"/>
          </w:tcPr>
          <w:p>
            <w:pPr>
              <w:ind w:left="360"/>
              <w:spacing w:after="0"/>
              <w:rPr>
                <w:sz w:val="20"/>
                <w:szCs w:val="20"/>
                <w:color w:val="auto"/>
              </w:rPr>
            </w:pPr>
            <w:r>
              <w:rPr>
                <w:rFonts w:ascii="Arial" w:cs="Arial" w:eastAsia="Arial" w:hAnsi="Arial"/>
                <w:sz w:val="18"/>
                <w:szCs w:val="18"/>
                <w:b w:val="1"/>
                <w:bCs w:val="1"/>
                <w:color w:val="auto"/>
              </w:rPr>
              <w:t>3 years</w:t>
            </w:r>
          </w:p>
        </w:tc>
        <w:tc>
          <w:tcPr>
            <w:tcW w:w="1260" w:type="dxa"/>
            <w:vAlign w:val="bottom"/>
          </w:tcPr>
          <w:p>
            <w:pPr>
              <w:ind w:left="380"/>
              <w:spacing w:after="0"/>
              <w:rPr>
                <w:sz w:val="20"/>
                <w:szCs w:val="20"/>
                <w:color w:val="auto"/>
              </w:rPr>
            </w:pPr>
            <w:r>
              <w:rPr>
                <w:rFonts w:ascii="Arial" w:cs="Arial" w:eastAsia="Arial" w:hAnsi="Arial"/>
                <w:sz w:val="18"/>
                <w:szCs w:val="18"/>
                <w:color w:val="auto"/>
              </w:rPr>
              <w:t>3 years</w:t>
            </w:r>
          </w:p>
        </w:tc>
      </w:tr>
    </w:tbl>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recognize compensation expense on a straight-line basis over the service period, except for awards issued to retirement eligible participants, which we expense on an accelerated basis. As of April 26, 2020, total remaining unearned compensation related to TSR performance restricted stock units was $27, which will be amortized over the weighted-average remaining service period of 2.0 years. In the first quarter of 2020, recipients of TSR performance restricted stock units earned 0% of the initial grants based upon our TSR ranking in a performance peer group during a three-year period ended July 26, 2019. In the first quarter of 2019, recipients of TSR performance restricted stock units earned 0% of the initial grants based upon our TSR ranking in a performance peer group during a three-year period ended July 27, 2018. The weighted-average grant-date fair value of the TSR performance restricted stock units granted during 2019 was $31.29.</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tax benefits of $1 in the nine-month period ended April 26, 2020, and the excess tax deficiencies of $2 in the nine-month period ended April 28, 2019, on the exercise of stock options and vested restricted stock were presented as cash flows from operating activities. Cash received from the exercise of stock options was $23 for the nine-month period ended April 26, 2020, and is reflected in cash flows from financing activities in the Consolidated Statements of Cash Flows.</w:t>
      </w:r>
    </w:p>
    <w:p>
      <w:pPr>
        <w:spacing w:after="0" w:line="61" w:lineRule="exact"/>
        <w:rPr>
          <w:sz w:val="20"/>
          <w:szCs w:val="20"/>
          <w:color w:val="auto"/>
        </w:rPr>
      </w:pPr>
    </w:p>
    <w:p>
      <w:pPr>
        <w:ind w:right="8420" w:firstLine="8"/>
        <w:spacing w:after="0" w:line="398" w:lineRule="auto"/>
        <w:tabs>
          <w:tab w:leader="none" w:pos="27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Regulatory and Litigation Matters</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January 7, 2019, three purported shareholder class action lawsuits pending in the United States District Court for the District of New Jersey were consolidated under the caption, </w:t>
      </w:r>
      <w:r>
        <w:rPr>
          <w:rFonts w:ascii="Arial" w:cs="Arial" w:eastAsia="Arial" w:hAnsi="Arial"/>
          <w:sz w:val="18"/>
          <w:szCs w:val="18"/>
          <w:i w:val="1"/>
          <w:iCs w:val="1"/>
          <w:color w:val="auto"/>
        </w:rPr>
        <w:t>In re Campbell Soup Company Securities Litigation</w:t>
      </w:r>
      <w:r>
        <w:rPr>
          <w:rFonts w:ascii="Arial" w:cs="Arial" w:eastAsia="Arial" w:hAnsi="Arial"/>
          <w:sz w:val="18"/>
          <w:szCs w:val="18"/>
          <w:color w:val="auto"/>
        </w:rPr>
        <w:t>, Civ. No. 1:18-cv-14385-NLH-JS (the Action). Oklahoma Firefighters Pension and Retirement System was appointed lead plaintiff in the Action and, on March 1, 2019, filed an amended consolidated complaint. The company, Denise Morrison (the company's former President and Chief Executive Officer), and Anthony DiSilvestro (the company's former Senior Vice President and Chief Financial Officer) are defendants in the Action. The consolidated complaint alleges that, in public statements between July 19, 2017 and May 17, 2018, the defendants made materially false and misleading statements and/or omitted material information about the company's business, operations, customer relationships, and prospects, specifically with regard to the Campbell Fresh segment. The consolidated complaint seeks unspecified monetary damages and other relief. On April 30, 2019, the defendants filed a motion to dismiss the consolidated complaint. We are vigorously defending against the Action.</w:t>
      </w:r>
    </w:p>
    <w:p>
      <w:pPr>
        <w:spacing w:after="0" w:line="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26, 2020.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ectPr>
          <w:pgSz w:w="11900" w:h="16838" w:orient="portrait"/>
          <w:cols w:equalWidth="0" w:num="1">
            <w:col w:w="11240"/>
          </w:cols>
          <w:pgMar w:left="320" w:top="989"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Financial Statement Data</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Balance Sheets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Raw materials, containers and supplies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Finished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Statements of Earnings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expenses / (income)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intangible assets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periodic benefit income other than the service cost</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Pension settlement charges</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Investment (gains) / losses</w:t>
      </w:r>
      <w:r>
        <w:rPr>
          <w:rFonts w:ascii="Arial" w:cs="Arial" w:eastAsia="Arial" w:hAnsi="Arial"/>
          <w:sz w:val="23"/>
          <w:szCs w:val="23"/>
          <w:color w:val="auto"/>
          <w:vertAlign w:val="superscript"/>
        </w:rPr>
        <w:t>(1)</w:t>
      </w:r>
    </w:p>
    <w:p>
      <w:pPr>
        <w:ind w:left="140"/>
        <w:spacing w:after="0"/>
        <w:rPr>
          <w:sz w:val="20"/>
          <w:szCs w:val="20"/>
          <w:color w:val="auto"/>
        </w:rPr>
      </w:pPr>
      <w:r>
        <w:rPr>
          <w:rFonts w:ascii="Arial" w:cs="Arial" w:eastAsia="Arial" w:hAnsi="Arial"/>
          <w:sz w:val="18"/>
          <w:szCs w:val="18"/>
          <w:color w:val="auto"/>
        </w:rPr>
        <w:t>Loss on sale of business</w:t>
      </w:r>
      <w:r>
        <w:rPr>
          <w:rFonts w:ascii="Arial" w:cs="Arial" w:eastAsia="Arial" w:hAnsi="Arial"/>
          <w:sz w:val="23"/>
          <w:szCs w:val="23"/>
          <w:color w:val="auto"/>
          <w:vertAlign w:val="superscript"/>
        </w:rPr>
        <w:t>(2)</w:t>
      </w:r>
    </w:p>
    <w:p>
      <w:pPr>
        <w:ind w:left="120"/>
        <w:spacing w:after="0"/>
        <w:rPr>
          <w:sz w:val="20"/>
          <w:szCs w:val="20"/>
          <w:color w:val="auto"/>
        </w:rPr>
      </w:pPr>
      <w:r>
        <w:rPr>
          <w:rFonts w:ascii="Arial" w:cs="Arial" w:eastAsia="Arial" w:hAnsi="Arial"/>
          <w:sz w:val="18"/>
          <w:szCs w:val="18"/>
          <w:color w:val="auto"/>
        </w:rPr>
        <w:t>Transition services fees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April 26, 2020</w:t>
            </w:r>
          </w:p>
        </w:tc>
        <w:tc>
          <w:tcPr>
            <w:tcW w:w="120" w:type="dxa"/>
            <w:vAlign w:val="bottom"/>
          </w:tcPr>
          <w:p>
            <w:pPr>
              <w:spacing w:after="0"/>
              <w:rPr>
                <w:sz w:val="14"/>
                <w:szCs w:val="14"/>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July 28,</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499"/>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291</w:t>
            </w: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600"/>
              <w:spacing w:after="0"/>
              <w:rPr>
                <w:sz w:val="20"/>
                <w:szCs w:val="20"/>
                <w:color w:val="auto"/>
              </w:rPr>
            </w:pPr>
            <w:r>
              <w:rPr>
                <w:rFonts w:ascii="Arial" w:cs="Arial" w:eastAsia="Arial" w:hAnsi="Arial"/>
                <w:sz w:val="18"/>
                <w:szCs w:val="18"/>
                <w:b w:val="1"/>
                <w:bCs w:val="1"/>
                <w:color w:val="auto"/>
              </w:rPr>
              <w:t>440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ind w:left="600"/>
              <w:spacing w:after="0"/>
              <w:rPr>
                <w:sz w:val="20"/>
                <w:szCs w:val="20"/>
                <w:color w:val="auto"/>
              </w:rPr>
            </w:pPr>
            <w:r>
              <w:rPr>
                <w:rFonts w:ascii="Arial" w:cs="Arial" w:eastAsia="Arial" w:hAnsi="Arial"/>
                <w:sz w:val="18"/>
                <w:szCs w:val="18"/>
                <w:b w:val="1"/>
                <w:bCs w:val="1"/>
                <w:color w:val="auto"/>
              </w:rPr>
              <w:t>731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26, 2020</w:t>
            </w:r>
          </w:p>
        </w:tc>
        <w:tc>
          <w:tcPr>
            <w:tcW w:w="14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28, 2019</w:t>
            </w:r>
          </w:p>
        </w:tc>
        <w:tc>
          <w:tcPr>
            <w:tcW w:w="14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April 26, 2020</w:t>
            </w:r>
          </w:p>
        </w:tc>
        <w:tc>
          <w:tcPr>
            <w:tcW w:w="120" w:type="dxa"/>
            <w:vAlign w:val="bottom"/>
          </w:tcPr>
          <w:p>
            <w:pPr>
              <w:spacing w:after="0"/>
              <w:rPr>
                <w:sz w:val="21"/>
                <w:szCs w:val="21"/>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97"/>
              </w:rPr>
              <w:t>April 28, 2019</w:t>
            </w:r>
          </w:p>
        </w:tc>
        <w:tc>
          <w:tcPr>
            <w:tcW w:w="0" w:type="dxa"/>
            <w:vAlign w:val="bottom"/>
          </w:tcPr>
          <w:p>
            <w:pPr>
              <w:spacing w:after="0"/>
              <w:rPr>
                <w:sz w:val="1"/>
                <w:szCs w:val="1"/>
                <w:color w:val="auto"/>
              </w:rPr>
            </w:pPr>
          </w:p>
        </w:tc>
      </w:tr>
      <w:tr>
        <w:trPr>
          <w:trHeight w:val="499"/>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ind w:left="600"/>
              <w:spacing w:after="0"/>
              <w:rPr>
                <w:sz w:val="20"/>
                <w:szCs w:val="20"/>
                <w:color w:val="auto"/>
              </w:rPr>
            </w:pPr>
            <w:r>
              <w:rPr>
                <w:rFonts w:ascii="Arial" w:cs="Arial" w:eastAsia="Arial" w:hAnsi="Arial"/>
                <w:sz w:val="18"/>
                <w:szCs w:val="18"/>
                <w:b w:val="1"/>
                <w:bCs w:val="1"/>
                <w:color w:val="auto"/>
              </w:rPr>
              <w:t>(68)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-2776855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-2433955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-1533525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-1190625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-847725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-505460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-162560</wp:posOffset>
            </wp:positionV>
            <wp:extent cx="7132320" cy="1974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560" w:space="720"/>
            <w:col w:w="4960"/>
          </w:cols>
          <w:pgMar w:left="320" w:top="989" w:right="339" w:bottom="1440" w:gutter="0" w:footer="0" w:header="0"/>
          <w:type w:val="continuous"/>
        </w:sectPr>
      </w:pPr>
    </w:p>
    <w:p>
      <w:pPr>
        <w:spacing w:after="0"/>
        <w:rPr>
          <w:sz w:val="20"/>
          <w:szCs w:val="20"/>
          <w:color w:val="auto"/>
        </w:rPr>
      </w:pPr>
      <w:r>
        <w:rPr>
          <w:rFonts w:ascii="Arial" w:cs="Arial" w:eastAsia="Arial" w:hAnsi="Arial"/>
          <w:sz w:val="20"/>
          <w:szCs w:val="20"/>
          <w:b w:val="1"/>
          <w:bCs w:val="1"/>
          <w:i w:val="1"/>
          <w:iCs w:val="1"/>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-143510</wp:posOffset>
            </wp:positionV>
            <wp:extent cx="31546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5"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a loss of $45 on Acre for the three- and nine-month periods ended April 26, 2020. See Note 14 for additional information.</w:t>
      </w:r>
    </w:p>
    <w:p>
      <w:pPr>
        <w:spacing w:after="0" w:line="55" w:lineRule="exact"/>
        <w:rPr>
          <w:rFonts w:ascii="Arial" w:cs="Arial" w:eastAsia="Arial" w:hAnsi="Arial"/>
          <w:sz w:val="21"/>
          <w:szCs w:val="21"/>
          <w:color w:val="auto"/>
          <w:vertAlign w:val="superscript"/>
        </w:rPr>
      </w:pPr>
    </w:p>
    <w:p>
      <w:pPr>
        <w:ind w:left="640" w:hanging="308"/>
        <w:spacing w:after="0" w:line="194" w:lineRule="auto"/>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See Note 3 for additional information.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0" w:name="page31"/>
    <w:bookmarkEnd w:id="30"/>
    <w:p>
      <w:pPr>
        <w:ind w:right="3960"/>
        <w:spacing w:after="0" w:line="354"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28, 2019, including but not limited to "Part I - Item 1A. Risk Factors" and "Part II - Item 7. Management's Discussion and Analysis of Financial Condition and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stated, the terms "we," "us," "our" and the "company" refer to Campbell Soup Company and its consolidated subsidiaries.</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we sold our U.S. refrigerated soup business, our Garden Fresh Gourmet business and our Bolthouse Farms business. We have reflected the results of operations of these businesses as discontinued operations in the Consolidated Statements of Earnings. These businesses were historically included in the Campbell Fresh reportable segment. A portion of the U.S. refrigerated soup business historically included in Campbell Fresh was retained, and is reported in Meals &amp; Beverages.</w:t>
      </w:r>
    </w:p>
    <w:p>
      <w:pPr>
        <w:spacing w:after="0" w:line="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completed the sale of our Kelsen business on September 23, 2019. On December 23, 2019, we completed the sale of our Arnott’s business and certain other international operations, including the simple meals and shelf-stable beverages businesses in Australia and Asia Pacific (the Arnott’s and other international operations). We have reflected the results of operations of the Kelsen business and the Arnott’s and other international operations (collectively referred to as Campbell International) as discontinued operations in the Consolidated Statements of Earnings. These businesses were historically included in the Snacks reportable segment. In addition, on October 11, 2019, we completed the sale of our European chips business. The results of the European chips business through the date of sale were reflected in continuing operations within the Snacks reportable segment. See Notes 3 and 6 to the Consolidated Financial Statements for additional information on these divestitures and reportable segments.</w:t>
      </w:r>
    </w:p>
    <w:p>
      <w:pPr>
        <w:spacing w:after="0" w:line="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the fourth quarter of 2019, our simple meals and shelf-stable beverages business in Latin America was managed as part of the Meals &amp; Beverages segment. Beginning in 2020, our business in Latin America is managed as part of the Snacks segment. Segment results have been adjusted to conform to the current presentation.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the spread of COVID-19 in North America, we are currently experiencing significantly higher sales for our retail products in both our Meals &amp; Beverages and Snacks segments, especially in retail chains and large grocery supermarkets. This result is attributable to a change in retail demand, as consumers have significantly increased their current food purchases for at-home consumption, which has more than offset the declines in our foodservice business. The recent higher sales trends of our retail products may lessen or reverse in the coming months if customers or consumers alter their purchasing habits.</w:t>
      </w:r>
    </w:p>
    <w:p>
      <w:pPr>
        <w:spacing w:after="0" w:line="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the current increased demand for our retail products, we have made changes in our supply chain network to increase overall production, including modifying production schedules and temporarily adjusting product mix. In the quarter, we experienced higher costs in certain areas such as front-line employee compensation and independent contractor payments, as well as incremental costs associated with newly added health screenings, temperature checks and enhanced cleaning and sanitation protocols to protect our employees and product quality standards, which may continue or increase. We are benefiting overall from increased product demand as we leverage our supply chain assets. We are also benefiting from favorable product mix. These benefits may lessen or reverse in the coming months if customers or consumers alter their purchasing habits and/or cost trends change or accelerate in ways we did not anticipate.</w:t>
      </w:r>
    </w:p>
    <w:p>
      <w:pPr>
        <w:spacing w:after="0" w:line="7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this time, we are unable to predict with any certainty the nature, timing or magnitude of any changes in future sales and/or earnings attributable to the spread of COVID-19 in North America.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04" w:lineRule="exact"/>
        <w:rPr>
          <w:sz w:val="20"/>
          <w:szCs w:val="20"/>
          <w:color w:val="auto"/>
        </w:rPr>
      </w:pPr>
    </w:p>
    <w:p>
      <w:pPr>
        <w:jc w:val="both"/>
        <w:ind w:left="660" w:hanging="328"/>
        <w:spacing w:after="0" w:line="31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sales increased 15% in 2020 to $2,238 million, due to gains in Meals &amp; Beverages and Snacks, partially offset by the impact of the divestiture of the European chips business. As a result of COVID-19, net sales accelerated in our retail products in March and April with increased demand of food purchases for at-home consumption, partly offset by declines in foodservice with stay-at-home mandates and other restrictions.</w:t>
      </w:r>
    </w:p>
    <w:p>
      <w:pPr>
        <w:spacing w:after="0" w:line="1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profit, as a percent of sales, increased to 34.5% in 2020 from 33.5% a year ago. The increase was primarily due to supply chain productivity improvements, favorable product mix, operating leverage and cost savings initiatives,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660"/>
        <w:spacing w:after="0" w:line="277" w:lineRule="auto"/>
        <w:rPr>
          <w:sz w:val="20"/>
          <w:szCs w:val="20"/>
          <w:color w:val="auto"/>
        </w:rPr>
      </w:pPr>
      <w:r>
        <w:rPr>
          <w:rFonts w:ascii="Arial" w:cs="Arial" w:eastAsia="Arial" w:hAnsi="Arial"/>
          <w:sz w:val="18"/>
          <w:szCs w:val="18"/>
          <w:color w:val="auto"/>
        </w:rPr>
        <w:t>partly offset by cost inflation and other supply chain costs, including mark-to-market losses on outstanding commodity hedges and the impact of COVID-19.</w:t>
      </w:r>
    </w:p>
    <w:p>
      <w:pPr>
        <w:spacing w:after="0" w:line="3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expense decreased to $55 million in 2020 from $89 million in 2019, primarily due to lower levels of debt.</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from continuing operations per share were $.55 in 2020, compared to $.41 a year ago. The current and prior year included expenses of $.29 and $.13 per share, respectively, from items impacting comparability as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net earnings and net earnings per share: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Continuing Operations</w:t>
      </w:r>
    </w:p>
    <w:p>
      <w:pPr>
        <w:spacing w:after="0" w:line="104" w:lineRule="exact"/>
        <w:rPr>
          <w:sz w:val="20"/>
          <w:szCs w:val="20"/>
          <w:color w:val="auto"/>
        </w:rPr>
      </w:pPr>
    </w:p>
    <w:p>
      <w:pPr>
        <w:jc w:val="both"/>
        <w:ind w:left="660" w:hanging="328"/>
        <w:spacing w:after="0" w:line="287"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implemented several cost savings initiatives in recent years. In the third quarter of 2020, we recorded implementation costs and other related costs of $10 million in Administrative expenses and $4 million in Cost of products sold (aggregate impact of $11 million after tax, or $.04 per share) related to these initiatives. Year-to-date in 2020, we recorded a pre-tax restructuring charge of $10 million and implementation costs and other related costs of $31 million in Administrative expenses, $6 million in Cost of products sold, $2 million in Marketing and selling expenses, and $1 million in Research and development expenses (aggregate impact of $38 million after tax, or $.13 per share) related to these initiatives. In the third quarter of 2019, we recorded a pre-tax restructuring charge of $2 million and implementation costs and other related costs of $12 million in Administrative expenses, $4 million in Cost of products sold, $2 million in Marketing and selling expenses and $1 million in Research and development expenses (aggregate impact of $16 million after tax, or $.05 per share) related to these initiatives. Year-to-date in 2019, we recorded a pre-tax restructuring charge of $22 million and implementation costs and other related costs of $35 million in Administrative expenses, $25 million in Cost of products sold, $6 million in Marketing and selling expenses and $2 million in Research and development expenses (aggregate impact of $68 million after tax, or $.23 per share) related to these initiatives. See Note 7 to the Consolidated Financial Statements and "Restructuring Charges and Cost Savings Initiatives" for additional information;</w:t>
      </w:r>
    </w:p>
    <w:p>
      <w:pPr>
        <w:spacing w:after="0" w:line="32"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third quarter of 2020, we recognized a pre-tax pension settlement charge in Other expenses / (income) of $54 million ($41 million after tax, or $.13 per share) associated with U.S. and Canadian pension plans. Year-to-date in 2020, we recognized a pre-tax pension settlement charge in Other expenses / (income) of $43 million ($33 million after tax, or $.11 per share) associated with U.S. and Canadian pension plans. In the third quarter of 2019, we recognized a pre-tax pension settlement charge in Other expenses / (income) of $28 million ($22 million after tax, or $.07 per share) associated with a U.S. plan. The settlements resulted from the level of lump sum distributions from the plans' assets;</w:t>
      </w:r>
    </w:p>
    <w:p>
      <w:pPr>
        <w:spacing w:after="0" w:line="39"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April 26, 2020, we entered into an agreement to sell our limited partnership interest in Acre Venture Partners, L.P. (Acre). The transaction closed on May 8, 2020. In the third quarter of 2020, we recorded a loss in Other expenses / (income) of $45 million ($35 million after tax, or $.12 per share) as a result of the pending sale. See Note 14 to the Consolidated Financial Statements for additional information;</w:t>
      </w:r>
    </w:p>
    <w:p>
      <w:pPr>
        <w:spacing w:after="0" w:line="43"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Year-to-date in 2020, we recorded a loss in Other expenses / (income) of $64 million ($41 million after tax, or $.13 per share) on the sale of our European chips business;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Year-to-date in 2020, we recorded a loss in Interest expense of $75 million ($57 million after tax, or $.19 per share) on the extinguishment of debt; and</w:t>
      </w:r>
    </w:p>
    <w:p>
      <w:pPr>
        <w:spacing w:after="0" w:line="4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Year-to-date in 2019, we recorded a tax charge of $2 million ($.01 per share) related to a transition tax on unremitted foreign earnings under the enactment of the Tax Cuts and Jobs Act.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90" w:lineRule="exact"/>
        <w:rPr>
          <w:sz w:val="20"/>
          <w:szCs w:val="20"/>
          <w:color w:val="auto"/>
        </w:rPr>
      </w:pPr>
    </w:p>
    <w:p>
      <w:pPr>
        <w:jc w:val="both"/>
        <w:ind w:left="660" w:hanging="328"/>
        <w:spacing w:after="0" w:line="270"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Year-to-date in 2020, we recognized pre-tax net gains of $1,039 million ($1,000 million after tax, or $3.29 per share) associated with the sale of Campbell International. In the third quarter of 2019, we incurred pre-tax expenses of $24 million associated with the sale process of Campbell Fresh, including transactions costs. In addition, we recorded tax expense of $29 million as deferred tax assets on Bolthouse Farms were not realizable. The aggregate impact was $47 million after tax, or $.16 per share. We also incurred costs of $2 million ($1 million after tax) associated with the planned divestiture of Campbell International. The total aggregate impact was $48 million after tax, or $.16 per share. Year-to-date in 2019, we incurred pre-tax expenses of $31 million associated with the sale process of Campbell Fresh, including transactions costs, and recorded tax expense of $29 million on the deferred tax assets that were not realizable. The aggregate impact was $52 million after tax, or $.17 per share. We also incurred costs of $7 million ($5 million after tax, or $.02 per share) associated with planned divestiture of Campbell International. The total aggregate impact was $57 million after tax, or $.19 per share;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left="660" w:hanging="328"/>
        <w:spacing w:after="0" w:line="334"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third quarter of 2019, we recorded a reversal of a $1 million pre-tax and after-tax restructuring charge related to the cost savings initiatives. See Note 7 to the Consolidated Financial Statements and "Restructuring Charges and Cost Savings Initiatives" for additional information; and</w:t>
      </w:r>
    </w:p>
    <w:p>
      <w:pPr>
        <w:jc w:val="both"/>
        <w:ind w:left="660" w:hanging="328"/>
        <w:spacing w:after="0" w:line="29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second quarter of 2019, interim impairment assessments were performed on the intangible and tangible assets within Campbell Fresh, which included Garden Fresh Gourmet, Bolthouse Farms carrot and carrot ingredients and Bolthouse Farms refrigerated beverages and salad dressings, as we continued to pursue the divestiture of these businesses. We revised our future outlook for earnings and cash flows for each of these businesses as the divestiture process progressed. We recorded non-cash impairment charges of $104 million on the tangible assets and $73 million on the intangible assets of Bolthouse Farms carrot and carrot ingredients; $96 million on the intangible assets and $9 million on the tangible assets of Bolthouse Farms refrigerated beverages and salad dressings; and $62 million on the intangible assets and $2 million on the tangible assets of Garden Fresh Gourmet. The aggregate impact of the impairment charges was $346 million ($264 million after tax, or $.87 per share).</w:t>
      </w:r>
    </w:p>
    <w:p>
      <w:pPr>
        <w:spacing w:after="0" w:line="44" w:lineRule="exact"/>
        <w:rPr>
          <w:rFonts w:ascii="Arial" w:cs="Arial" w:eastAsia="Arial" w:hAnsi="Arial"/>
          <w:sz w:val="16"/>
          <w:szCs w:val="16"/>
          <w:color w:val="auto"/>
        </w:rPr>
      </w:pPr>
    </w:p>
    <w:p>
      <w:pPr>
        <w:jc w:val="both"/>
        <w:ind w:left="660"/>
        <w:spacing w:after="0" w:line="263" w:lineRule="auto"/>
        <w:rPr>
          <w:rFonts w:ascii="Arial" w:cs="Arial" w:eastAsia="Arial" w:hAnsi="Arial"/>
          <w:sz w:val="16"/>
          <w:szCs w:val="16"/>
          <w:color w:val="auto"/>
        </w:rPr>
      </w:pPr>
      <w:r>
        <w:rPr>
          <w:rFonts w:ascii="Arial" w:cs="Arial" w:eastAsia="Arial" w:hAnsi="Arial"/>
          <w:sz w:val="18"/>
          <w:szCs w:val="18"/>
          <w:color w:val="auto"/>
        </w:rPr>
        <w:t>In the first quarter of 2019, we recorded a non-cash impairment charge of $14 million ($11 million after tax, or $.04 per share) on our U.S. refrigerated soup plant assets. Year-to-date in 2019, total non-cash impairment charges recorded were $360 million ($275 million after tax, or $.91 per share).</w:t>
      </w: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April 28, 2019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95"/>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Pension settlement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Investment losses</w:t>
            </w: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Charges associated with divestitures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jc w:val="right"/>
              <w:ind w:right="126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9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April 26,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April 28, 2019</w:t>
            </w:r>
          </w:p>
        </w:tc>
      </w:tr>
      <w:tr>
        <w:trPr>
          <w:trHeight w:val="166"/>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EPS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EPS</w:t>
            </w:r>
          </w:p>
        </w:tc>
      </w:tr>
      <w:tr>
        <w:trPr>
          <w:trHeight w:val="206"/>
        </w:trPr>
        <w:tc>
          <w:tcPr>
            <w:tcW w:w="2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7"/>
                <w:szCs w:val="17"/>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Impact</w:t>
            </w:r>
          </w:p>
        </w:tc>
      </w:tr>
      <w:tr>
        <w:trPr>
          <w:trHeight w:val="294"/>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1,036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5.07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Pension settlement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Investment losses</w:t>
            </w:r>
          </w:p>
        </w:tc>
        <w:tc>
          <w:tcPr>
            <w:tcW w:w="1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Charges associated with divestiture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Tax reform</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63"/>
        </w:trPr>
        <w:tc>
          <w:tcPr>
            <w:tcW w:w="20" w:type="dxa"/>
            <w:vAlign w:val="bottom"/>
          </w:tcPr>
          <w:p>
            <w:pPr>
              <w:spacing w:after="0"/>
              <w:rPr>
                <w:sz w:val="22"/>
                <w:szCs w:val="22"/>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960" w:type="dxa"/>
            <w:vAlign w:val="bottom"/>
            <w:gridSpan w:val="3"/>
          </w:tcPr>
          <w:p>
            <w:pPr>
              <w:spacing w:after="0" w:line="202" w:lineRule="exact"/>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Gains (charges) associated with divestitures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20" w:type="dxa"/>
            <w:vAlign w:val="bottom"/>
          </w:tcPr>
          <w:p>
            <w:pPr>
              <w:spacing w:after="0"/>
              <w:rPr>
                <w:sz w:val="21"/>
                <w:szCs w:val="21"/>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Impact of items on Earnings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may not add due to rounding.</w:t>
      </w:r>
    </w:p>
    <w:p>
      <w:pPr>
        <w:spacing w:after="0" w:line="8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Earnings from continuing operations were $166 million ($.55 per share) in the current quarter, compared to $123 million ($.41 per share) in the year-ago quarter. After adjusting for items impacting comparability, earnings from continuing operations increased reflecting sales volume gains, lower interest expense and improved gross profit performance, partially offset by increased marketing investment.</w:t>
      </w:r>
    </w:p>
    <w:p>
      <w:pPr>
        <w:spacing w:after="0" w:line="4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Earnings from continuing operations were $506 million ($1.66 per share) in the nine-month period this year, compared to $479 million ($1.59 per share) in the year-ago period. After adjusting for items impacting comparability, earnings from continuing operations increased reflecting sales volume gains, lower interest expense, an improved gross profit performance and higher other income, partially offset by increased marketing investment.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"Discontinued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3"/>
                <w:szCs w:val="13"/>
                <w:color w:val="auto"/>
              </w:rPr>
            </w:pPr>
          </w:p>
        </w:tc>
        <w:tc>
          <w:tcPr>
            <w:tcW w:w="12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26,</w:t>
            </w:r>
          </w:p>
        </w:tc>
        <w:tc>
          <w:tcPr>
            <w:tcW w:w="28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28,</w:t>
            </w:r>
          </w:p>
        </w:tc>
        <w:tc>
          <w:tcPr>
            <w:tcW w:w="14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7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Snacks</w:t>
            </w:r>
          </w:p>
        </w:tc>
        <w:tc>
          <w:tcPr>
            <w:tcW w:w="2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b w:val="1"/>
                <w:bCs w:val="1"/>
                <w:color w:val="auto"/>
              </w:rPr>
              <w:t>1,028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2,238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Meals &amp; Beverages</w:t>
            </w:r>
            <w:r>
              <w:rPr>
                <w:rFonts w:ascii="Arial" w:cs="Arial" w:eastAsia="Arial" w:hAnsi="Arial"/>
                <w:sz w:val="9"/>
                <w:szCs w:val="9"/>
                <w:b w:val="1"/>
                <w:bCs w:val="1"/>
                <w:color w:val="auto"/>
              </w:rPr>
              <w:t>(1)</w:t>
            </w:r>
          </w:p>
        </w:tc>
        <w:tc>
          <w:tcPr>
            <w:tcW w:w="1620" w:type="dxa"/>
            <w:vAlign w:val="bottom"/>
            <w:gridSpan w:val="2"/>
          </w:tcPr>
          <w:p>
            <w:pPr>
              <w:ind w:left="540"/>
              <w:spacing w:after="0"/>
              <w:rPr>
                <w:sz w:val="20"/>
                <w:szCs w:val="20"/>
                <w:color w:val="auto"/>
              </w:rPr>
            </w:pPr>
            <w:r>
              <w:rPr>
                <w:rFonts w:ascii="Arial" w:cs="Arial" w:eastAsia="Arial" w:hAnsi="Arial"/>
                <w:sz w:val="14"/>
                <w:szCs w:val="14"/>
                <w:b w:val="1"/>
                <w:bCs w:val="1"/>
                <w:color w:val="auto"/>
              </w:rPr>
              <w:t>Snacks</w:t>
            </w:r>
          </w:p>
        </w:tc>
        <w:tc>
          <w:tcPr>
            <w:tcW w:w="1520" w:type="dxa"/>
            <w:vAlign w:val="bottom"/>
          </w:tcPr>
          <w:p>
            <w:pPr>
              <w:ind w:left="600"/>
              <w:spacing w:after="0"/>
              <w:rPr>
                <w:sz w:val="20"/>
                <w:szCs w:val="20"/>
                <w:color w:val="auto"/>
              </w:rPr>
            </w:pPr>
            <w:r>
              <w:rPr>
                <w:rFonts w:ascii="Arial" w:cs="Arial" w:eastAsia="Arial" w:hAnsi="Arial"/>
                <w:sz w:val="14"/>
                <w:szCs w:val="14"/>
                <w:b w:val="1"/>
                <w:bCs w:val="1"/>
                <w:color w:val="auto"/>
              </w:rPr>
              <w:t>Total</w:t>
            </w:r>
          </w:p>
        </w:tc>
      </w:tr>
      <w:tr>
        <w:trPr>
          <w:trHeight w:val="250"/>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7"/>
        </w:trPr>
        <w:tc>
          <w:tcPr>
            <w:tcW w:w="64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6480" w:type="dxa"/>
            <w:vAlign w:val="bottom"/>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0"/>
        </w:trPr>
        <w:tc>
          <w:tcPr>
            <w:tcW w:w="64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Sum of the individual amounts does not add due to rounding.</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In Meals &amp; Beverages, sales increased 20% primarily due to gains across the U.S. retail business, including gains in soups,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pasta,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and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as well as gains in Canada, partially offset by declines in foodservice. Volume and mix increased favorably in the retail business driven by COVID-19 with increased demand of food purchases for at-home consumption, partially offset by the negative impact on the foodservice business with stay-at-home mandates and other restrictions. Sales of U.S. soup increased 35% due to gains in condensed soups, ready-to-serve soups and broth.</w:t>
      </w:r>
    </w:p>
    <w:p>
      <w:pPr>
        <w:spacing w:after="0" w:line="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Snacks, sales increased 9% reflecting a 3-point negative impact from the sale of the European chips business. Excluding the divestiture, sales increased driven by volume gains reflecting increased demand of food purchases for at-home consumption as well as base business performance. The sales increases reflect gains in fresh bakery products,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Pepperidge Farm cookies, as well as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and </w:t>
      </w:r>
      <w:r>
        <w:rPr>
          <w:rFonts w:ascii="Arial" w:cs="Arial" w:eastAsia="Arial" w:hAnsi="Arial"/>
          <w:sz w:val="17"/>
          <w:szCs w:val="17"/>
          <w:i w:val="1"/>
          <w:iCs w:val="1"/>
          <w:color w:val="auto"/>
        </w:rPr>
        <w:t>Cape Cod</w:t>
      </w:r>
      <w:r>
        <w:rPr>
          <w:rFonts w:ascii="Arial" w:cs="Arial" w:eastAsia="Arial" w:hAnsi="Arial"/>
          <w:sz w:val="17"/>
          <w:szCs w:val="17"/>
          <w:color w:val="auto"/>
        </w:rPr>
        <w:t xml:space="preserve"> potato chips, </w:t>
      </w:r>
      <w:r>
        <w:rPr>
          <w:rFonts w:ascii="Arial" w:cs="Arial" w:eastAsia="Arial" w:hAnsi="Arial"/>
          <w:sz w:val="17"/>
          <w:szCs w:val="17"/>
          <w:i w:val="1"/>
          <w:iCs w:val="1"/>
          <w:color w:val="auto"/>
        </w:rPr>
        <w:t>Pop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Secret </w:t>
      </w:r>
      <w:r>
        <w:rPr>
          <w:rFonts w:ascii="Arial" w:cs="Arial" w:eastAsia="Arial" w:hAnsi="Arial"/>
          <w:sz w:val="17"/>
          <w:szCs w:val="17"/>
          <w:color w:val="auto"/>
        </w:rPr>
        <w:t>popcorn,</w:t>
      </w:r>
      <w:r>
        <w:rPr>
          <w:rFonts w:ascii="Arial" w:cs="Arial" w:eastAsia="Arial" w:hAnsi="Arial"/>
          <w:sz w:val="17"/>
          <w:szCs w:val="17"/>
          <w:i w:val="1"/>
          <w:iCs w:val="1"/>
          <w:color w:val="auto"/>
        </w:rPr>
        <w:t xml:space="preserve"> Snyder's of Hanover </w:t>
      </w:r>
      <w:r>
        <w:rPr>
          <w:rFonts w:ascii="Arial" w:cs="Arial" w:eastAsia="Arial" w:hAnsi="Arial"/>
          <w:sz w:val="17"/>
          <w:szCs w:val="17"/>
          <w:color w:val="auto"/>
        </w:rPr>
        <w:t>pretzels,</w:t>
      </w:r>
      <w:r>
        <w:rPr>
          <w:rFonts w:ascii="Arial" w:cs="Arial" w:eastAsia="Arial" w:hAnsi="Arial"/>
          <w:sz w:val="17"/>
          <w:szCs w:val="17"/>
          <w:i w:val="1"/>
          <w:iCs w:val="1"/>
          <w:color w:val="auto"/>
        </w:rPr>
        <w:t xml:space="preserve"> Lance </w:t>
      </w:r>
      <w:r>
        <w:rPr>
          <w:rFonts w:ascii="Arial" w:cs="Arial" w:eastAsia="Arial" w:hAnsi="Arial"/>
          <w:sz w:val="17"/>
          <w:szCs w:val="17"/>
          <w:color w:val="auto"/>
        </w:rPr>
        <w:t>sandwich crackers,</w:t>
      </w:r>
      <w:r>
        <w:rPr>
          <w:rFonts w:ascii="Arial" w:cs="Arial" w:eastAsia="Arial" w:hAnsi="Arial"/>
          <w:sz w:val="17"/>
          <w:szCs w:val="17"/>
          <w:i w:val="1"/>
          <w:iCs w:val="1"/>
          <w:color w:val="auto"/>
        </w:rPr>
        <w:t xml:space="preserve"> Late July </w:t>
      </w:r>
      <w:r>
        <w:rPr>
          <w:rFonts w:ascii="Arial" w:cs="Arial" w:eastAsia="Arial" w:hAnsi="Arial"/>
          <w:sz w:val="17"/>
          <w:szCs w:val="17"/>
          <w:color w:val="auto"/>
        </w:rPr>
        <w:t>snacks and</w:t>
      </w:r>
      <w:r>
        <w:rPr>
          <w:rFonts w:ascii="Arial" w:cs="Arial" w:eastAsia="Arial" w:hAnsi="Arial"/>
          <w:sz w:val="17"/>
          <w:szCs w:val="17"/>
          <w:i w:val="1"/>
          <w:iCs w:val="1"/>
          <w:color w:val="auto"/>
        </w:rPr>
        <w:t xml:space="preserve"> Snack Factory Pretzel Crisps</w:t>
      </w:r>
      <w:r>
        <w:rPr>
          <w:rFonts w:ascii="Arial" w:cs="Arial" w:eastAsia="Arial" w:hAnsi="Arial"/>
          <w:sz w:val="17"/>
          <w:szCs w:val="17"/>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$117 million in 2020 from 2019. As a percent of sales, gross profit was 34.5% in 2020 and 33.5% in 2019.</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1.0 percentage-point increase in gross profit percentage was due to the following factors: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Margin Impact</w:t>
            </w: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1.3</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1.2</w:t>
            </w:r>
          </w:p>
        </w:tc>
      </w:tr>
      <w:tr>
        <w:trPr>
          <w:trHeight w:val="27"/>
        </w:trPr>
        <w:tc>
          <w:tcPr>
            <w:tcW w:w="9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(0.1)</w:t>
            </w:r>
          </w:p>
        </w:tc>
      </w:tr>
      <w:tr>
        <w:trPr>
          <w:trHeight w:val="27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(1.4)</w:t>
            </w:r>
          </w:p>
        </w:tc>
      </w:tr>
      <w:tr>
        <w:trPr>
          <w:trHeight w:val="288"/>
        </w:trPr>
        <w:tc>
          <w:tcPr>
            <w:tcW w:w="99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1.0%</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55" w:lineRule="exact"/>
        <w:rPr>
          <w:sz w:val="20"/>
          <w:szCs w:val="20"/>
          <w:color w:val="auto"/>
        </w:rPr>
      </w:pPr>
    </w:p>
    <w:p>
      <w:pPr>
        <w:ind w:left="340" w:hanging="332"/>
        <w:spacing w:after="0" w:line="238" w:lineRule="auto"/>
        <w:tabs>
          <w:tab w:leader="none" w:pos="32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Includes an estimated positive margin impact of 1.6 from the benefit of operating leverage and cost savings initiatives, which was more than offset by cost inflation and other factors, including mark-to-market losses on outstanding commodity hedges and the impact of COVID-19.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Marketing and selling expenses as a percent of sales were 10.7% in 2020 compared to 11.0% in 2019. Marketing and selling expenses increased 11% in 2020 from 2019. The increase was primarily due to higher advertising and consumer promotion expenses (approximately 9 percentage points); higher incentive compensation (approximately 5 percentage points) and higher selling expenses (approximately 3 percentage points), partially offset by increased benefits from cost savings initiatives (approximately 3 percentage points); lower costs related to marketing overhead (approximately 1 percentage point) and lower costs associated with cost savings initiatives (approximately 1 percentage point). The increase in advertising and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consumer promotion expenses was primarily in Meals &amp; Beverages due to increased support of U.S. soup, and in Snacks due to increased support of key brands.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6.9% in 2020 compared to 7.7% in 2019. Administrative expenses increased 3% in 2020 from 2019. The increase was primarily due to higher incentive compensation (approximately 7 percentage points); higher general administrative costs and inflation (approximately 5 percentage points) and higher information technology costs (approximately 5 percentage points), partially offset by increased benefits from cost savings initiatives (approximately 7 percentage points); lower benefit costs (approximately 6 percentage points) and lower costs associated with cost savings initiatives (approximately 1 percentage point).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9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Other expenses were $81 million in 2020 compared to $20 million in 2019. Other expenses in 2020 included a pension settlement charge of $54 million associated with U.S. and Canadian pension plans and a loss of $45 million on Acre. Other expenses in 2019 included a pension settlement charge of $28 million associated with a U.S. pension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29% in 2020 from 2019.</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26,</w:t>
            </w:r>
          </w:p>
        </w:tc>
        <w:tc>
          <w:tcPr>
            <w:tcW w:w="300" w:type="dxa"/>
            <w:vAlign w:val="bottom"/>
          </w:tcPr>
          <w:p>
            <w:pPr>
              <w:spacing w:after="0"/>
              <w:rPr>
                <w:sz w:val="13"/>
                <w:szCs w:val="13"/>
                <w:color w:val="auto"/>
              </w:rPr>
            </w:pPr>
          </w:p>
        </w:tc>
        <w:tc>
          <w:tcPr>
            <w:tcW w:w="116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April 28,</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204</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Snacks</w:t>
            </w:r>
          </w:p>
        </w:tc>
        <w:tc>
          <w:tcPr>
            <w:tcW w:w="280" w:type="dxa"/>
            <w:vAlign w:val="bottom"/>
          </w:tcPr>
          <w:p>
            <w:pPr>
              <w:spacing w:after="0"/>
              <w:rPr>
                <w:sz w:val="21"/>
                <w:szCs w:val="21"/>
                <w:color w:val="auto"/>
              </w:rPr>
            </w:pPr>
          </w:p>
        </w:tc>
        <w:tc>
          <w:tcPr>
            <w:tcW w:w="1180" w:type="dxa"/>
            <w:vAlign w:val="bottom"/>
          </w:tcPr>
          <w:p>
            <w:pPr>
              <w:jc w:val="right"/>
              <w:ind w:right="156"/>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129</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333</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192024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20240" cy="342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Operating earnings from Meals &amp; Beverages increased 35%. The increase was primarily due to sales volume gains and improved gross profit performance, partially offset by increased marketing support. Gross profit performance was impacted by improved operating leverage and favorable product mix, as well as the benefits of supply chain productivity improvements and cost savings initiatives, partially offset by cost inflation and higher other supply chain costs reflecting COVID-19 related costs.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Snacks increased 19%. The increase was primarily due to sales volume gains and improved gross profit performance, partially offset by increased marketing support and higher selling expenses. Gross profit performance was impacted by favorable product mix and improved operating leverage, as well as the benefit of supply chain productivity improvements, partially offset by cost inflation and higher other supply chain costs reflecting COVID-19 related costs.</w:t>
      </w:r>
    </w:p>
    <w:p>
      <w:pPr>
        <w:spacing w:after="0" w:line="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Corporate in 2020 included a pension settlement charge of $54 million associated with U.S. and Canadian pension plans, a loss of $45 million on Acre and costs of $14 million related to costs savings initiatives. Corporate in 2019 included a pension settlement charge of $28 million associated with a U.S. pension plan and costs of $19 million related to cost savings initiatives. Excluding these amounts, the remaining increase in expenses primarily reflects mark-to-market losses on outstanding commodity hedges, partially offset by higher other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decreased to $55 million in 2020 from $89 million in 2019. The decrease in interest expense was due to lower levels of debt as we used the net proceeds from the businesses sold to reduce debt.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tax rate was 23.9% in 2020 and 21.2% in 2019. The effective tax rate increased in 2020 primarily due to favorable return to provision adjustments recorded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April 26,</w:t>
            </w:r>
          </w:p>
        </w:tc>
        <w:tc>
          <w:tcPr>
            <w:tcW w:w="220" w:type="dxa"/>
            <w:vAlign w:val="bottom"/>
          </w:tcPr>
          <w:p>
            <w:pPr>
              <w:spacing w:after="0"/>
              <w:rPr>
                <w:sz w:val="13"/>
                <w:szCs w:val="13"/>
                <w:color w:val="auto"/>
              </w:rPr>
            </w:pPr>
          </w:p>
        </w:tc>
        <w:tc>
          <w:tcPr>
            <w:tcW w:w="1300" w:type="dxa"/>
            <w:vAlign w:val="bottom"/>
            <w:gridSpan w:val="4"/>
          </w:tcPr>
          <w:p>
            <w:pPr>
              <w:ind w:left="220"/>
              <w:spacing w:after="0" w:line="153" w:lineRule="exact"/>
              <w:rPr>
                <w:sz w:val="20"/>
                <w:szCs w:val="20"/>
                <w:color w:val="auto"/>
              </w:rPr>
            </w:pPr>
            <w:r>
              <w:rPr>
                <w:rFonts w:ascii="Arial" w:cs="Arial" w:eastAsia="Arial" w:hAnsi="Arial"/>
                <w:sz w:val="14"/>
                <w:szCs w:val="14"/>
                <w:b w:val="1"/>
                <w:bCs w:val="1"/>
                <w:color w:val="auto"/>
              </w:rPr>
              <w:t>April 28,</w:t>
            </w:r>
          </w:p>
        </w:tc>
        <w:tc>
          <w:tcPr>
            <w:tcW w:w="14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92"/>
        </w:trPr>
        <w:tc>
          <w:tcPr>
            <w:tcW w:w="64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Snacks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ind w:right="57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6,583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6,327</w:t>
            </w: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4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6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48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n/m - Not meaningful.</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1820" w:type="dxa"/>
            <w:vAlign w:val="bottom"/>
            <w:gridSpan w:val="6"/>
          </w:tcPr>
          <w:p>
            <w:pPr>
              <w:ind w:left="160"/>
              <w:spacing w:after="0"/>
              <w:rPr>
                <w:sz w:val="20"/>
                <w:szCs w:val="20"/>
                <w:color w:val="auto"/>
              </w:rPr>
            </w:pPr>
            <w:r>
              <w:rPr>
                <w:rFonts w:ascii="Arial" w:cs="Arial" w:eastAsia="Arial" w:hAnsi="Arial"/>
                <w:sz w:val="14"/>
                <w:szCs w:val="14"/>
                <w:b w:val="1"/>
                <w:bCs w:val="1"/>
                <w:color w:val="auto"/>
              </w:rPr>
              <w:t>Meals &amp; Beverages</w:t>
            </w:r>
          </w:p>
        </w:tc>
        <w:tc>
          <w:tcPr>
            <w:tcW w:w="220" w:type="dxa"/>
            <w:vAlign w:val="bottom"/>
          </w:tcPr>
          <w:p>
            <w:pPr>
              <w:spacing w:after="0"/>
              <w:rPr>
                <w:sz w:val="19"/>
                <w:szCs w:val="19"/>
                <w:color w:val="auto"/>
              </w:rPr>
            </w:pPr>
          </w:p>
        </w:tc>
        <w:tc>
          <w:tcPr>
            <w:tcW w:w="1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Snacks</w:t>
            </w:r>
          </w:p>
        </w:tc>
        <w:tc>
          <w:tcPr>
            <w:tcW w:w="1420" w:type="dxa"/>
            <w:vAlign w:val="bottom"/>
          </w:tcPr>
          <w:p>
            <w:pPr>
              <w:jc w:val="right"/>
              <w:ind w:right="5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center"/>
              <w:ind w:right="415"/>
              <w:spacing w:after="0"/>
              <w:rPr>
                <w:sz w:val="20"/>
                <w:szCs w:val="20"/>
                <w:color w:val="auto"/>
              </w:rPr>
            </w:pPr>
            <w:r>
              <w:rPr>
                <w:rFonts w:ascii="Arial" w:cs="Arial" w:eastAsia="Arial" w:hAnsi="Arial"/>
                <w:sz w:val="18"/>
                <w:szCs w:val="18"/>
                <w:color w:val="auto"/>
                <w:w w:val="92"/>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center"/>
              <w:ind w:right="315"/>
              <w:spacing w:after="0"/>
              <w:rPr>
                <w:sz w:val="20"/>
                <w:szCs w:val="20"/>
                <w:color w:val="auto"/>
              </w:rPr>
            </w:pPr>
            <w:r>
              <w:rPr>
                <w:rFonts w:ascii="Arial" w:cs="Arial" w:eastAsia="Arial" w:hAnsi="Arial"/>
                <w:sz w:val="18"/>
                <w:szCs w:val="18"/>
                <w:color w:val="auto"/>
                <w:w w:val="92"/>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Price and Sales Allowances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right="435"/>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jc w:val="center"/>
              <w:ind w:right="64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63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Promotional Spending</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right="435"/>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gridSpan w:val="4"/>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jc w:val="center"/>
              <w:ind w:right="8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080" w:type="dxa"/>
            <w:vAlign w:val="bottom"/>
          </w:tcPr>
          <w:p>
            <w:pPr>
              <w:jc w:val="center"/>
              <w:ind w:right="335"/>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ind w:right="5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80" w:type="dxa"/>
            <w:vAlign w:val="bottom"/>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ind w:right="415"/>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ind w:right="315"/>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8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In Meals &amp; Beverages, sales increased 5% primarily due to gains in the U.S. retail business driven by U.S. soup,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as well as gains in Canada, partially offset by declines in foodservice driven by the loss of a refrigerated soup contract. Volume and mix increased favorably in the retail business driven by COVID-19, with increased demand of food purchases for at-home consumption in March and April, partially offset by the negative impact on the foodservice business with stay-at-home mandates and other restrictions. Sales of U.S. soup increased 8% due to gains in condensed soups, ready-to-serve soups and broth.</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Snacks, sales increased 3% reflecting a 2-point negative impact from the sale of the European chips business. Excluding the divestiture, sales increased driven by volume gains reflecting increased demand of food purchases for at-home consumption in March and April, as well as base business performance. The sales increases reflect gains in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Pepperidge Farm cookies and fresh bakery products, as well as </w:t>
      </w:r>
      <w:r>
        <w:rPr>
          <w:rFonts w:ascii="Arial" w:cs="Arial" w:eastAsia="Arial" w:hAnsi="Arial"/>
          <w:sz w:val="17"/>
          <w:szCs w:val="17"/>
          <w:i w:val="1"/>
          <w:iCs w:val="1"/>
          <w:color w:val="auto"/>
        </w:rPr>
        <w:t>Kettle Brand</w:t>
      </w:r>
      <w:r>
        <w:rPr>
          <w:rFonts w:ascii="Arial" w:cs="Arial" w:eastAsia="Arial" w:hAnsi="Arial"/>
          <w:sz w:val="17"/>
          <w:szCs w:val="17"/>
          <w:color w:val="auto"/>
        </w:rPr>
        <w:t xml:space="preserve"> and </w:t>
      </w:r>
      <w:r>
        <w:rPr>
          <w:rFonts w:ascii="Arial" w:cs="Arial" w:eastAsia="Arial" w:hAnsi="Arial"/>
          <w:sz w:val="17"/>
          <w:szCs w:val="17"/>
          <w:i w:val="1"/>
          <w:iCs w:val="1"/>
          <w:color w:val="auto"/>
        </w:rPr>
        <w:t>Cape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Cod </w:t>
      </w:r>
      <w:r>
        <w:rPr>
          <w:rFonts w:ascii="Arial" w:cs="Arial" w:eastAsia="Arial" w:hAnsi="Arial"/>
          <w:sz w:val="17"/>
          <w:szCs w:val="17"/>
          <w:color w:val="auto"/>
        </w:rPr>
        <w:t>potato chips,</w:t>
      </w:r>
      <w:r>
        <w:rPr>
          <w:rFonts w:ascii="Arial" w:cs="Arial" w:eastAsia="Arial" w:hAnsi="Arial"/>
          <w:sz w:val="17"/>
          <w:szCs w:val="17"/>
          <w:i w:val="1"/>
          <w:iCs w:val="1"/>
          <w:color w:val="auto"/>
        </w:rPr>
        <w:t xml:space="preserve"> Pop Secret </w:t>
      </w:r>
      <w:r>
        <w:rPr>
          <w:rFonts w:ascii="Arial" w:cs="Arial" w:eastAsia="Arial" w:hAnsi="Arial"/>
          <w:sz w:val="17"/>
          <w:szCs w:val="17"/>
          <w:color w:val="auto"/>
        </w:rPr>
        <w:t>popcorn,</w:t>
      </w:r>
      <w:r>
        <w:rPr>
          <w:rFonts w:ascii="Arial" w:cs="Arial" w:eastAsia="Arial" w:hAnsi="Arial"/>
          <w:sz w:val="17"/>
          <w:szCs w:val="17"/>
          <w:i w:val="1"/>
          <w:iCs w:val="1"/>
          <w:color w:val="auto"/>
        </w:rPr>
        <w:t xml:space="preserve"> Snyder's of Hanover </w:t>
      </w:r>
      <w:r>
        <w:rPr>
          <w:rFonts w:ascii="Arial" w:cs="Arial" w:eastAsia="Arial" w:hAnsi="Arial"/>
          <w:sz w:val="17"/>
          <w:szCs w:val="17"/>
          <w:color w:val="auto"/>
        </w:rPr>
        <w:t>pretzels,</w:t>
      </w:r>
      <w:r>
        <w:rPr>
          <w:rFonts w:ascii="Arial" w:cs="Arial" w:eastAsia="Arial" w:hAnsi="Arial"/>
          <w:sz w:val="17"/>
          <w:szCs w:val="17"/>
          <w:i w:val="1"/>
          <w:iCs w:val="1"/>
          <w:color w:val="auto"/>
        </w:rPr>
        <w:t xml:space="preserve"> Lance </w:t>
      </w:r>
      <w:r>
        <w:rPr>
          <w:rFonts w:ascii="Arial" w:cs="Arial" w:eastAsia="Arial" w:hAnsi="Arial"/>
          <w:sz w:val="17"/>
          <w:szCs w:val="17"/>
          <w:color w:val="auto"/>
        </w:rPr>
        <w:t>sandwich crackers,</w:t>
      </w:r>
      <w:r>
        <w:rPr>
          <w:rFonts w:ascii="Arial" w:cs="Arial" w:eastAsia="Arial" w:hAnsi="Arial"/>
          <w:sz w:val="17"/>
          <w:szCs w:val="17"/>
          <w:i w:val="1"/>
          <w:iCs w:val="1"/>
          <w:color w:val="auto"/>
        </w:rPr>
        <w:t xml:space="preserve"> Late July </w:t>
      </w:r>
      <w:r>
        <w:rPr>
          <w:rFonts w:ascii="Arial" w:cs="Arial" w:eastAsia="Arial" w:hAnsi="Arial"/>
          <w:sz w:val="17"/>
          <w:szCs w:val="17"/>
          <w:color w:val="auto"/>
        </w:rPr>
        <w:t>snacks and</w:t>
      </w:r>
      <w:r>
        <w:rPr>
          <w:rFonts w:ascii="Arial" w:cs="Arial" w:eastAsia="Arial" w:hAnsi="Arial"/>
          <w:sz w:val="17"/>
          <w:szCs w:val="17"/>
          <w:i w:val="1"/>
          <w:iCs w:val="1"/>
          <w:color w:val="auto"/>
        </w:rPr>
        <w:t xml:space="preserve"> Snack Factory Pretzel Crisps, </w:t>
      </w:r>
      <w:r>
        <w:rPr>
          <w:rFonts w:ascii="Arial" w:cs="Arial" w:eastAsia="Arial" w:hAnsi="Arial"/>
          <w:sz w:val="17"/>
          <w:szCs w:val="17"/>
          <w:color w:val="auto"/>
        </w:rPr>
        <w:t>partially</w:t>
      </w:r>
      <w:r>
        <w:rPr>
          <w:rFonts w:ascii="Arial" w:cs="Arial" w:eastAsia="Arial" w:hAnsi="Arial"/>
          <w:sz w:val="17"/>
          <w:szCs w:val="17"/>
          <w:i w:val="1"/>
          <w:iCs w:val="1"/>
          <w:color w:val="auto"/>
        </w:rPr>
        <w:t xml:space="preserve"> </w:t>
      </w:r>
      <w:r>
        <w:rPr>
          <w:rFonts w:ascii="Arial" w:cs="Arial" w:eastAsia="Arial" w:hAnsi="Arial"/>
          <w:sz w:val="17"/>
          <w:szCs w:val="17"/>
          <w:color w:val="auto"/>
        </w:rPr>
        <w:t>offset by declines in partner brands within the Snyder's-Lance portfolio. Partner brands, which consist of third-party branded products that we sell, declined as we continued our planned prioritization of select partners to reduce complexity and improve execution.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$165 million in 2020 from 2019. As a percent of sales, gross profit was 34.2% in 2020 and 33.0% in 2019.</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1.2 percentage-point increase in gross profit percentage was due to the following factors: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Margin Impact</w:t>
            </w:r>
          </w:p>
        </w:tc>
      </w:tr>
      <w:tr>
        <w:trPr>
          <w:trHeight w:val="249"/>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1.3</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Pr>
          <w:p>
            <w:pPr>
              <w:jc w:val="right"/>
              <w:ind w:right="433"/>
              <w:spacing w:after="0"/>
              <w:rPr>
                <w:sz w:val="20"/>
                <w:szCs w:val="20"/>
                <w:color w:val="auto"/>
              </w:rPr>
            </w:pPr>
            <w:r>
              <w:rPr>
                <w:rFonts w:ascii="Arial" w:cs="Arial" w:eastAsia="Arial" w:hAnsi="Arial"/>
                <w:sz w:val="18"/>
                <w:szCs w:val="18"/>
                <w:b w:val="1"/>
                <w:bCs w:val="1"/>
                <w:color w:val="auto"/>
              </w:rPr>
              <w:t>0.7</w:t>
            </w:r>
          </w:p>
        </w:tc>
      </w:tr>
      <w:tr>
        <w:trPr>
          <w:trHeight w:val="27"/>
        </w:trPr>
        <w:tc>
          <w:tcPr>
            <w:tcW w:w="9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b w:val="1"/>
                <w:bCs w:val="1"/>
                <w:color w:val="auto"/>
              </w:rPr>
              <w:t>0.4</w:t>
            </w: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auto"/>
              </w:rPr>
              <w:t>Lower restructuring-related costs</w:t>
            </w:r>
          </w:p>
        </w:tc>
        <w:tc>
          <w:tcPr>
            <w:tcW w:w="1260" w:type="dxa"/>
            <w:vAlign w:val="bottom"/>
          </w:tcPr>
          <w:p>
            <w:pPr>
              <w:jc w:val="right"/>
              <w:ind w:right="433"/>
              <w:spacing w:after="0"/>
              <w:rPr>
                <w:sz w:val="20"/>
                <w:szCs w:val="20"/>
                <w:color w:val="auto"/>
              </w:rPr>
            </w:pPr>
            <w:r>
              <w:rPr>
                <w:rFonts w:ascii="Arial" w:cs="Arial" w:eastAsia="Arial" w:hAnsi="Arial"/>
                <w:sz w:val="18"/>
                <w:szCs w:val="18"/>
                <w:b w:val="1"/>
                <w:bCs w:val="1"/>
                <w:color w:val="auto"/>
              </w:rPr>
              <w:t>0.3</w:t>
            </w:r>
          </w:p>
        </w:tc>
      </w:tr>
      <w:tr>
        <w:trPr>
          <w:trHeight w:val="27"/>
        </w:trPr>
        <w:tc>
          <w:tcPr>
            <w:tcW w:w="9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b w:val="1"/>
                <w:bCs w:val="1"/>
                <w:color w:val="auto"/>
              </w:rPr>
              <w:t>(0.5)</w:t>
            </w:r>
          </w:p>
        </w:tc>
      </w:tr>
      <w:tr>
        <w:trPr>
          <w:trHeight w:val="312"/>
        </w:trPr>
        <w:tc>
          <w:tcPr>
            <w:tcW w:w="9980" w:type="dxa"/>
            <w:vAlign w:val="bottom"/>
          </w:tcPr>
          <w:p>
            <w:pPr>
              <w:ind w:left="20"/>
              <w:spacing w:after="0"/>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3"/>
                <w:szCs w:val="23"/>
                <w:color w:val="auto"/>
                <w:vertAlign w:val="superscript"/>
              </w:rPr>
              <w:t>(1)</w:t>
            </w:r>
          </w:p>
        </w:tc>
        <w:tc>
          <w:tcPr>
            <w:tcW w:w="1260" w:type="dxa"/>
            <w:vAlign w:val="bottom"/>
          </w:tcPr>
          <w:p>
            <w:pPr>
              <w:jc w:val="right"/>
              <w:ind w:right="373"/>
              <w:spacing w:after="0"/>
              <w:rPr>
                <w:sz w:val="20"/>
                <w:szCs w:val="20"/>
                <w:color w:val="auto"/>
              </w:rPr>
            </w:pPr>
            <w:r>
              <w:rPr>
                <w:rFonts w:ascii="Arial" w:cs="Arial" w:eastAsia="Arial" w:hAnsi="Arial"/>
                <w:sz w:val="18"/>
                <w:szCs w:val="18"/>
                <w:b w:val="1"/>
                <w:bCs w:val="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10400"/>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47625</wp:posOffset>
            </wp:positionV>
            <wp:extent cx="7975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left="340" w:hanging="332"/>
        <w:spacing w:after="0" w:line="238" w:lineRule="auto"/>
        <w:tabs>
          <w:tab w:leader="none" w:pos="328" w:val="left"/>
        </w:tabs>
        <w:numPr>
          <w:ilvl w:val="0"/>
          <w:numId w:val="30"/>
        </w:numPr>
        <w:rPr>
          <w:rFonts w:ascii="Arial" w:cs="Arial" w:eastAsia="Arial" w:hAnsi="Arial"/>
          <w:sz w:val="22"/>
          <w:szCs w:val="22"/>
          <w:color w:val="auto"/>
          <w:vertAlign w:val="superscript"/>
        </w:rPr>
      </w:pPr>
      <w:r>
        <w:rPr>
          <w:rFonts w:ascii="Arial" w:cs="Arial" w:eastAsia="Arial" w:hAnsi="Arial"/>
          <w:sz w:val="17"/>
          <w:szCs w:val="17"/>
          <w:color w:val="auto"/>
        </w:rPr>
        <w:t>Includes an estimated positive margin impact of 1.2 from the benefit of cost savings initiatives and operating leverage, which was more than offset by cost inflation and other factors, including mark-to-market losses on outstanding commodity hedges and the impact of COVID-19.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Marketing and selling expenses as a percent of sales were 10.4% in 2020 compared to 10.2% in 2019. Marketing and selling expenses increased 5% in 2020 from 2019. The increase was primarily due to higher advertising and consumer promotion expenses (approximately 7 percentage points); higher incentive compensation (approximately 2 percentage points); higher selling expenses (approximately 1 percentage point) and higher costs related to marketing overhead (approximately 1 percentage point), partially offset by increased benefits from cost savings initiatives (approximately 5 percentage points) and lower costs associated with cost savings initiatives (approximately 1 percentage point). The increase in advertising and consumer promotion expenses was primarily in Meals &amp; Beverages due to increase support of U.S. soup, and in Snacks due to increased support of key brands.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6.6% in 2020 compared to 7.0% in 2019. Administrative expenses decreased 2% in 2020 from 2019. The decrease was primarily due to increased benefits from cost savings initiatives (approximately 8 percentage points) and costs associated with the proxy contest in the prior year (approximately 2 percentage points), partially offset by higher information technology costs (approximately 3 percentage points); higher incentive compensation (approximately 3 percentage points) and higher inflation and general administrative costs (approximately 2 percentage points).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expenses were $115 million in 2020 compared to $12 million in 2019. Other expenses in 2020 included a loss of $64 million on the sale of the European chips business, a loss of $45 million on Acre, and a pension settlement charge of $43 million. Other expenses in 2019 included a pension settlement charge of $28 million. Excluding these amounts, the remaining increase in other income was primarily due to higher net periodic benefit income and transition services fees in 2020.</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7% in 2020 from 2019.</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26,</w:t>
            </w:r>
          </w:p>
        </w:tc>
        <w:tc>
          <w:tcPr>
            <w:tcW w:w="300" w:type="dxa"/>
            <w:vAlign w:val="bottom"/>
          </w:tcPr>
          <w:p>
            <w:pPr>
              <w:spacing w:after="0"/>
              <w:rPr>
                <w:sz w:val="13"/>
                <w:szCs w:val="13"/>
                <w:color w:val="auto"/>
              </w:rPr>
            </w:pPr>
          </w:p>
        </w:tc>
        <w:tc>
          <w:tcPr>
            <w:tcW w:w="116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April 28,</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747</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Snacks</w:t>
            </w:r>
          </w:p>
        </w:tc>
        <w:tc>
          <w:tcPr>
            <w:tcW w:w="280" w:type="dxa"/>
            <w:vAlign w:val="bottom"/>
          </w:tcPr>
          <w:p>
            <w:pPr>
              <w:spacing w:after="0"/>
              <w:rPr>
                <w:sz w:val="21"/>
                <w:szCs w:val="21"/>
                <w:color w:val="auto"/>
              </w:rPr>
            </w:pPr>
          </w:p>
        </w:tc>
        <w:tc>
          <w:tcPr>
            <w:tcW w:w="1180" w:type="dxa"/>
            <w:vAlign w:val="bottom"/>
          </w:tcPr>
          <w:p>
            <w:pPr>
              <w:jc w:val="right"/>
              <w:ind w:right="156"/>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1,133</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Earnings before interest and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56"/>
              <w:spacing w:after="0"/>
              <w:rPr>
                <w:sz w:val="20"/>
                <w:szCs w:val="20"/>
                <w:color w:val="auto"/>
              </w:rPr>
            </w:pPr>
            <w:r>
              <w:rPr>
                <w:rFonts w:ascii="Arial" w:cs="Arial" w:eastAsia="Arial" w:hAnsi="Arial"/>
                <w:sz w:val="18"/>
                <w:szCs w:val="18"/>
                <w:b w:val="1"/>
                <w:bCs w:val="1"/>
                <w:color w:val="auto"/>
              </w:rPr>
              <w:t>940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spacing w:after="0" w:line="2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2"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7"/>
          <w:szCs w:val="17"/>
          <w:color w:val="auto"/>
        </w:rPr>
        <w:t>Operating earnings from Meals &amp; Beverages increased 7%. The increase was primarily due to sales volume gains and improved gross profit performance, partially offset by increased marketing support and higher administrative expenses. Gross profit performance was impacted by the benefits of supply chain productivity improvements and cost savings initiatives, as well as improved operating leverage and favorable product mix, partially offset by cost inflation and other supply chain costs, including COVID-19 related costs incurred in the third quarter.</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Snacks increased 8%. The increase was primarily due to improved gross profit performance and sales volume gains, partially offset by increased marketing support. Gross profit performance was impacted by the benefits of cost savings initiatives and supply chain productivity improvements, favorable product mix and improved operating leverage, partially offset by cost inflation and other supply chain costs, including COVID-19 related costs incurred in the third quarter.</w:t>
      </w:r>
    </w:p>
    <w:p>
      <w:pPr>
        <w:spacing w:after="0" w:line="6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Corporate in 2020 included a loss of $64 million from the sale of the European chips business, a loss of $45 million on Acre, a pension settlement charge of $43 million associated with U.S. and Canadian pension plans and costs of $40 million related to costs savings initiatives. Corporate in 2019 included costs of $68 million related to cost savings initiatives and a $28 million pension settlement charge associated with a U.S. pension plan. Excluding these amounts, the remaining decrease in expenses primarily reflects lower administrative expenses and higher other income.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$284 million in 2020 from $271 million in 2019. The increase in interest expense was due to a loss on extinguishment of debt of $75 million, partially offset by lower levels of debt and lower average interest rates on the debt portfolio.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23.2% in 2020 and 23.5% in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Multi-year Cost Savings Initiatives and Snyder's-Lance Cost Transformation Program and Integration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fiscal 2015, we implemented initiatives to reduce costs and to streamline our organizational structure.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recent years, we expanded these initiatives by further optimizing our supply chain and manufacturing networks, including closing our manufacturing facility in Toronto, Ontario, as well as our information technology infrastructure.</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 to implement this program. In addition, we have identified opportunities for additional cost synergies as we integrate Snyder's-Lance.</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charges recorded in Earnings from continuing operations related to these initiatives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Pr>
          <w:p>
            <w:pPr>
              <w:spacing w:after="0"/>
              <w:rPr>
                <w:sz w:val="10"/>
                <w:szCs w:val="10"/>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April 26, 2020</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April 28, 2019</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April 26, 2020</w:t>
            </w:r>
          </w:p>
        </w:tc>
        <w:tc>
          <w:tcPr>
            <w:tcW w:w="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April 28, 2019</w:t>
            </w:r>
          </w:p>
        </w:tc>
        <w:tc>
          <w:tcPr>
            <w:tcW w:w="100" w:type="dxa"/>
            <w:vAlign w:val="bottom"/>
          </w:tcPr>
          <w:p>
            <w:pPr>
              <w:spacing w:after="0"/>
              <w:rPr>
                <w:sz w:val="10"/>
                <w:szCs w:val="10"/>
                <w:color w:val="auto"/>
              </w:rPr>
            </w:pPr>
          </w:p>
        </w:tc>
        <w:tc>
          <w:tcPr>
            <w:tcW w:w="15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5"/>
              </w:rPr>
              <w:t>Recognized as of April</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26, 2020</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Total pre-tax charges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Aggregate after-tax impact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6"/>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 impact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480" w:type="dxa"/>
            <w:vAlign w:val="bottom"/>
            <w:gridSpan w:val="11"/>
          </w:tcPr>
          <w:p>
            <w:pPr>
              <w:ind w:left="340"/>
              <w:spacing w:after="0"/>
              <w:rPr>
                <w:sz w:val="20"/>
                <w:szCs w:val="20"/>
                <w:color w:val="auto"/>
              </w:rPr>
            </w:pPr>
            <w:r>
              <w:rPr>
                <w:rFonts w:ascii="Arial" w:cs="Arial" w:eastAsia="Arial" w:hAnsi="Arial"/>
                <w:sz w:val="18"/>
                <w:szCs w:val="18"/>
                <w:color w:val="auto"/>
                <w:w w:val="90"/>
              </w:rPr>
              <w:t>A summary of the pre-tax charges (gains) recorded in Earnings (loss) from discontinued operations is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0"/>
                <w:szCs w:val="10"/>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April 26, 2020</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April 28, 2019</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9"/>
              </w:rPr>
              <w:t>April 26, 2020</w:t>
            </w:r>
          </w:p>
        </w:tc>
        <w:tc>
          <w:tcPr>
            <w:tcW w:w="8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April 28, 2019</w:t>
            </w:r>
          </w:p>
        </w:tc>
        <w:tc>
          <w:tcPr>
            <w:tcW w:w="100" w:type="dxa"/>
            <w:vAlign w:val="bottom"/>
          </w:tcPr>
          <w:p>
            <w:pPr>
              <w:spacing w:after="0"/>
              <w:rPr>
                <w:sz w:val="10"/>
                <w:szCs w:val="10"/>
                <w:color w:val="auto"/>
              </w:rPr>
            </w:pPr>
          </w:p>
        </w:tc>
        <w:tc>
          <w:tcPr>
            <w:tcW w:w="15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5"/>
              </w:rPr>
              <w:t>Recognized as of April</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rPr>
              <w:t>26, 2020</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3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charges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$19 million of severance pay and benefits and $4 million of implementation costs and other related costs.</w:t>
      </w:r>
    </w:p>
    <w:p>
      <w:pPr>
        <w:spacing w:after="0" w:line="82" w:lineRule="exact"/>
        <w:rPr>
          <w:sz w:val="20"/>
          <w:szCs w:val="20"/>
          <w:color w:val="auto"/>
        </w:rPr>
      </w:pPr>
    </w:p>
    <w:p>
      <w:pPr>
        <w:ind w:firstLine="324"/>
        <w:spacing w:after="0" w:line="275" w:lineRule="auto"/>
        <w:rPr>
          <w:sz w:val="20"/>
          <w:szCs w:val="20"/>
          <w:color w:val="auto"/>
        </w:rPr>
      </w:pPr>
      <w:r>
        <w:rPr>
          <w:rFonts w:ascii="Arial" w:cs="Arial" w:eastAsia="Arial" w:hAnsi="Arial"/>
          <w:sz w:val="18"/>
          <w:szCs w:val="18"/>
          <w:color w:val="auto"/>
        </w:rPr>
        <w:t>As of April 28, 2019, we incurred substantially all of the costs for actions associated with discontinued operations. All of the costs were cash expenditures.</w:t>
      </w:r>
    </w:p>
    <w:p>
      <w:pPr>
        <w:sectPr>
          <w:pgSz w:w="11900" w:h="16838" w:orient="portrait"/>
          <w:cols w:equalWidth="0" w:num="1">
            <w:col w:w="11240"/>
          </w:cols>
          <w:pgMar w:left="320" w:top="989" w:right="339" w:bottom="1440" w:gutter="0" w:footer="0" w:header="0"/>
        </w:sectPr>
      </w:pPr>
    </w:p>
    <w:p>
      <w:pPr>
        <w:spacing w:after="0" w:line="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pre-tax costs in Earnings from continuing operations associated with these initiatives is as follows:</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9803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Severance pay and benefits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9803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Implementation costs and other related 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58"/>
        <w:spacing w:after="0"/>
        <w:rPr>
          <w:sz w:val="20"/>
          <w:szCs w:val="20"/>
          <w:color w:val="auto"/>
        </w:rPr>
      </w:pPr>
      <w:r>
        <w:rPr>
          <w:rFonts w:ascii="Arial" w:cs="Arial" w:eastAsia="Arial" w:hAnsi="Arial"/>
          <w:sz w:val="12"/>
          <w:szCs w:val="12"/>
          <w:b w:val="1"/>
          <w:bCs w:val="1"/>
          <w:color w:val="auto"/>
        </w:rPr>
        <w:t>Recognized as of April</w:t>
      </w:r>
    </w:p>
    <w:p>
      <w:pPr>
        <w:spacing w:after="0" w:line="27" w:lineRule="exact"/>
        <w:rPr>
          <w:sz w:val="20"/>
          <w:szCs w:val="20"/>
          <w:color w:val="auto"/>
        </w:rPr>
      </w:pPr>
    </w:p>
    <w:p>
      <w:pPr>
        <w:jc w:val="center"/>
        <w:ind w:right="78"/>
        <w:spacing w:after="0"/>
        <w:rPr>
          <w:sz w:val="20"/>
          <w:szCs w:val="20"/>
          <w:color w:val="auto"/>
        </w:rPr>
      </w:pPr>
      <w:r>
        <w:rPr>
          <w:rFonts w:ascii="Arial" w:cs="Arial" w:eastAsia="Arial" w:hAnsi="Arial"/>
          <w:sz w:val="14"/>
          <w:szCs w:val="14"/>
          <w:b w:val="1"/>
          <w:bCs w:val="1"/>
          <w:color w:val="auto"/>
        </w:rPr>
        <w:t>26, 2020</w:t>
      </w:r>
    </w:p>
    <w:p>
      <w:pPr>
        <w:spacing w:after="0" w:line="47" w:lineRule="exact"/>
        <w:rPr>
          <w:sz w:val="20"/>
          <w:szCs w:val="20"/>
          <w:color w:val="auto"/>
        </w:rPr>
      </w:pPr>
    </w:p>
    <w:p>
      <w:pPr>
        <w:ind w:left="1082" w:hanging="1082"/>
        <w:spacing w:after="0"/>
        <w:tabs>
          <w:tab w:leader="none" w:pos="10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215</w:t>
      </w:r>
    </w:p>
    <w:p>
      <w:pPr>
        <w:spacing w:after="0" w:line="63" w:lineRule="exact"/>
        <w:rPr>
          <w:rFonts w:ascii="Arial" w:cs="Arial" w:eastAsia="Arial" w:hAnsi="Arial"/>
          <w:sz w:val="18"/>
          <w:szCs w:val="18"/>
          <w:color w:val="auto"/>
        </w:rPr>
      </w:pPr>
    </w:p>
    <w:p>
      <w:pPr>
        <w:ind w:left="1182"/>
        <w:spacing w:after="0"/>
        <w:rPr>
          <w:rFonts w:ascii="Arial" w:cs="Arial" w:eastAsia="Arial" w:hAnsi="Arial"/>
          <w:sz w:val="18"/>
          <w:szCs w:val="18"/>
          <w:color w:val="auto"/>
        </w:rPr>
      </w:pPr>
      <w:r>
        <w:rPr>
          <w:rFonts w:ascii="Arial" w:cs="Arial" w:eastAsia="Arial" w:hAnsi="Arial"/>
          <w:sz w:val="18"/>
          <w:szCs w:val="18"/>
          <w:color w:val="auto"/>
        </w:rPr>
        <w:t>65</w:t>
      </w:r>
    </w:p>
    <w:p>
      <w:pPr>
        <w:spacing w:after="0" w:line="63" w:lineRule="exact"/>
        <w:rPr>
          <w:sz w:val="20"/>
          <w:szCs w:val="20"/>
          <w:color w:val="auto"/>
        </w:rPr>
      </w:pPr>
    </w:p>
    <w:p>
      <w:pPr>
        <w:ind w:left="1082"/>
        <w:spacing w:after="0"/>
        <w:rPr>
          <w:sz w:val="20"/>
          <w:szCs w:val="20"/>
          <w:color w:val="auto"/>
        </w:rPr>
      </w:pPr>
      <w:r>
        <w:rPr>
          <w:rFonts w:ascii="Arial" w:cs="Arial" w:eastAsia="Arial" w:hAnsi="Arial"/>
          <w:sz w:val="18"/>
          <w:szCs w:val="18"/>
          <w:color w:val="auto"/>
        </w:rPr>
        <w:t>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68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7" w:lineRule="exact"/>
        <w:rPr>
          <w:sz w:val="20"/>
          <w:szCs w:val="20"/>
          <w:color w:val="auto"/>
        </w:rPr>
      </w:pPr>
    </w:p>
    <w:p>
      <w:pPr>
        <w:ind w:left="1082" w:hanging="1082"/>
        <w:spacing w:after="0"/>
        <w:tabs>
          <w:tab w:leader="none" w:pos="10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968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57785</wp:posOffset>
            </wp:positionV>
            <wp:extent cx="9683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8958" w:space="720"/>
            <w:col w:w="1562"/>
          </w:cols>
          <w:pgMar w:left="320" w:top="989" w:right="33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auto"/>
        </w:rPr>
        <w:t>The total estimated pre-tax costs for actions associated with continuing operations that have been identified are approximately $665 million to $690 million. This estimate will be updated as costs for the expanded initiatives are developed.</w:t>
      </w:r>
    </w:p>
    <w:p>
      <w:pPr>
        <w:sectPr>
          <w:pgSz w:w="11900" w:h="16838" w:orient="portrait"/>
          <w:cols w:equalWidth="0" w:num="1">
            <w:col w:w="11240"/>
          </w:cols>
          <w:pgMar w:left="320" w:top="989" w:right="3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39" w:name="page40"/>
    <w:bookmarkEnd w:id="39"/>
    <w:p>
      <w:pPr>
        <w:jc w:val="both"/>
        <w:ind w:firstLine="324"/>
        <w:spacing w:after="0" w:line="279" w:lineRule="auto"/>
        <w:rPr>
          <w:sz w:val="20"/>
          <w:szCs w:val="20"/>
          <w:color w:val="auto"/>
        </w:rPr>
      </w:pPr>
      <w:r>
        <w:rPr>
          <w:rFonts w:ascii="Arial" w:cs="Arial" w:eastAsia="Arial" w:hAnsi="Arial"/>
          <w:sz w:val="17"/>
          <w:szCs w:val="17"/>
          <w:color w:val="auto"/>
        </w:rPr>
        <w:t>We expect the costs for actions associated with continuing operations that have been identified to date to consist of the following: approximately $215 million to $220 million in severance pay and benefits; approximately $65 million in asset impairment and accelerated depreciation; and approximately $385 million to $405 million in implementation costs and other related costs. We expect these pre-tax costs to be associated with our segments as follows: Meals &amp; Beverages - approximately 33%; Snacks - approximately 42%; and Corporate - approximately 25%.</w:t>
      </w:r>
    </w:p>
    <w:p>
      <w:pPr>
        <w:spacing w:after="0" w:line="3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Of the aggregate $665 million to $690 million of pre-tax costs associated with continuing operations identified to date, we expect approximately $590 million to $615 million will be cash expenditures. In addition, we expect to invest approximately $420 million in capital expenditures through 2021, of which we invested $311 million as of April 26, 2020. The capital expenditures primarily relate to the U.S. warehouse optimization project, improvement of quality, safety and cost structure across the Snyder’s-Lance manufacturing network, implementation of an SAP enterprise-resource planning system for Snyder's-Lance, optimization of information technology infrastructure and applications, transition of production of the Toronto manufacturing facility to our U.S. thermal plants, insourcing of manufacturing for certain simple meal products, and optimization of the Snyder’s-Lance warehouse and distribution network.</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to incur the costs for the actions associated with continuing operations that have been identified to date through 2021 and to fund the costs through cash flows from operations and short-term borrowings.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initiatives for actions associated with continuing operations that have been identified to date to generate pre-tax savings of $710 million in 2020, and once all phases are implemented, to generate annual ongoing savings of approximately $850 million by the end of 2022. In the nine-month period ended April 26, 2020, we generated an additional $120 million of pre-tax savings. The annual pre-tax savings associated with continuing operations generated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28, 2019</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 2018</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30, 2017</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 2016</w:t>
            </w:r>
          </w:p>
        </w:tc>
        <w:tc>
          <w:tcPr>
            <w:tcW w:w="12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w w:val="93"/>
              </w:rPr>
              <w:t>August 2, 2015</w:t>
            </w:r>
          </w:p>
        </w:tc>
      </w:tr>
      <w:tr>
        <w:trPr>
          <w:trHeight w:val="24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pre-tax savings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85</w:t>
            </w:r>
          </w:p>
        </w:tc>
      </w:tr>
      <w:tr>
        <w:trPr>
          <w:trHeight w:val="27"/>
        </w:trPr>
        <w:tc>
          <w:tcPr>
            <w:tcW w:w="4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initiatives for actions associated with discontinued operations generated pre-tax savings of over $90 million in 2019 and $60 million in 2018.</w:t>
      </w:r>
    </w:p>
    <w:p>
      <w:pPr>
        <w:spacing w:after="0" w:line="1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7"/>
          <w:szCs w:val="17"/>
          <w:color w:val="auto"/>
        </w:rPr>
        <w:t>Segment operating results do not include restructuring charges, implementation costs and other related costs because we evaluate segment performance excluding such charges. A summary of the pre-tax costs in Earnings from continuing operations associated with segments is as follows:</w:t>
      </w: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April 26, 2020</w:t>
            </w: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3"/>
                <w:szCs w:val="13"/>
                <w:color w:val="auto"/>
              </w:rPr>
            </w:pPr>
          </w:p>
        </w:tc>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Nine Months</w:t>
            </w:r>
          </w:p>
        </w:tc>
        <w:tc>
          <w:tcPr>
            <w:tcW w:w="1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Costs Incurred to Date</w:t>
            </w: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Meals &amp;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Snacks</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63"/>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25, 2019, we sold our U.S. refrigerated soup business, and on April 25, 2019, we sold our Garden Fresh Gourmet business. Proceeds were $55 million. On June 16, 2019, we sold our Bolthouse Farms business. Proceeds were $500 million. Beginning in the third quarter of 2019, we have reflected the results of these businesses as discontinued operations in the Consolidated Statements of Earnings for all periods presented. These businesses were historically included in the Campbell Fresh reportable segment.</w:t>
      </w:r>
    </w:p>
    <w:p>
      <w:pPr>
        <w:spacing w:after="0" w:line="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completed the sale of our Kelsen business on September 23, 2019, for $322 million. We also completed the sale of the Arnott’s and other international operations on December 23, 2019, for $2,286 million. The purchase price was subject to certain post-closing adjustments, which resulted in $4 million of additional proceeds in the third quarter of 2020. Beginning in the fourth quarter of 2019, we have reflected the results of operations of the Kelsen business and the Arnott’s and other international operations, or Campbell International, as discontinued operations in the Consolidated Statements of Earnings for all periods presented. These businesses were historically included in the Snacks reportable segment.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Campbell</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Campbell Fresh</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vMerge w:val="restart"/>
          </w:tcPr>
          <w:p>
            <w:pPr>
              <w:jc w:val="right"/>
              <w:ind w:right="372"/>
              <w:spacing w:after="0"/>
              <w:rPr>
                <w:sz w:val="20"/>
                <w:szCs w:val="20"/>
                <w:color w:val="auto"/>
              </w:rPr>
            </w:pPr>
            <w:r>
              <w:rPr>
                <w:rFonts w:ascii="Arial" w:cs="Arial" w:eastAsia="Arial" w:hAnsi="Arial"/>
                <w:sz w:val="14"/>
                <w:szCs w:val="14"/>
                <w:b w:val="1"/>
                <w:bCs w:val="1"/>
                <w:color w:val="auto"/>
              </w:rPr>
              <w:t>Campbell International</w:t>
            </w:r>
          </w:p>
        </w:tc>
        <w:tc>
          <w:tcPr>
            <w:tcW w:w="8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Campbell Fresh</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April 28, 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28, 2019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April 26, 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28, 2019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28, 2019</w:t>
            </w: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359</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50"/>
        </w:trPr>
        <w:tc>
          <w:tcPr>
            <w:tcW w:w="5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Taxes on earnings (loss) from operations</w:t>
            </w:r>
          </w:p>
        </w:tc>
        <w:tc>
          <w:tcPr>
            <w:tcW w:w="12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Gain (loss) on sale of businesses / costs associated with selling the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Tax expense (benefit) on sale / costs associated with selling the</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businesses</w:t>
            </w:r>
          </w:p>
        </w:tc>
        <w:tc>
          <w:tcPr>
            <w:tcW w:w="1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Campbell International sales and earnings from operations decreased reflecting the sales of the businesses.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sale of the Arnott's and other international operations resulted in a substantial capital gain for tax purposes. We were able to utilize capital losses, which were offset with valuation allowances as of July 28, 2019, to offset the capital gain.</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second quarter of 2019, we recorded impairment charges of $346 million ($264 million after tax, or $.87 per share) on the reporting units in Campbell Fresh. Year-to-date in 2019, we recorded non-cash impairment charges of $360 million ($275 million after tax, or $.91 per share). In addition, in the third quarter of 2019, we recorded tax expense of $29 million as deferred tax assets on Bolthouse Farms were not realizable. See "Overview"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completed the sale of our Kelsen business on September 23, 2019, for $322 million. On September 30, 2019, we repaid $399 million of our single draw 3-year senior unsecured term loan facility using net proceeds from the Kelsen sale and the issuance of commercial paper. In addition, on October 11, 2019, we completed the sale of our European chips business for £63 million, or $77 million.</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completed the sale of the Arnott’s and other international operations on December 23, 2019, for $2,286 million. The purchase price was subject to certain post-closing adjustments, which resulted in $4 million of additional proceeds in the third quarter of 2020. We used the net proceeds from the sale to reduce our debt through a series of actions. On December 31, 2019, we repaid the $100 million outstanding balance on our senior unsecured term loan facility. On January 22, 2020, we completed the redemption of all $500 million outstanding aggregate principal amount of our 4.25% Senior Notes due 2021. On January 24, 2020, we settled tender offers to purchase $1,200 million in aggregate principal amount of certain unsecured debt, comprising $329 million of 3.30% Senior Notes due 2021, $634 million of 3.65% Senior Notes due 2023, and $237 million of 3.80% Senior Notes due 2042. The total consideration for the redemption and the tender offers was $1,765 million and the total carrying amount of the purchased notes was $1,691 million, resulting in a loss of $75 million (including $65 million of premium, as well as fees and other costs associated with the tender offers) which was recorded in Interest expense in the Consolidated Statement of Earnings. In addition, we paid accrued and unpaid interest on the purchased notes through the dates of settlement. The net divestiture proceeds remaining after these debt reduction activities were used to reduce commercial paper borrowings. See Note 12 to the Consolidated Financial Statements for additional information.</w:t>
      </w:r>
    </w:p>
    <w:p>
      <w:pPr>
        <w:spacing w:after="0" w:line="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generated cash flows from operations of $1,125 million in 2020, compared to $1,148 million in 2019. The decline in 2020 was primarily due to changes in working capital, partially offset by higher cash earnings.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while extending payment terms for accounts payables. We had negative working capital of $523 million as of April 26, 2020, and $1,418 million as of July 28, 2019. Total debt maturing within one year was $1,504 million as of April 26, 2020, and $1,371 million as of July 28, 2019.</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Capital expenditures were $220 million in 2020 and $274 million in 2019, reflecting delays in certain projects impacted by the current operating environment. Capital expenditures are expected to total approximately $300 million in 2020. Major capital projects for 2020 include the implementation of an SAP enterprise-resource planning system for Snyder's-Lance, a </w:t>
      </w:r>
      <w:r>
        <w:rPr>
          <w:rFonts w:ascii="Arial" w:cs="Arial" w:eastAsia="Arial" w:hAnsi="Arial"/>
          <w:sz w:val="18"/>
          <w:szCs w:val="18"/>
          <w:i w:val="1"/>
          <w:iCs w:val="1"/>
          <w:color w:val="auto"/>
        </w:rPr>
        <w:t>Milano</w:t>
      </w:r>
      <w:r>
        <w:rPr>
          <w:rFonts w:ascii="Arial" w:cs="Arial" w:eastAsia="Arial" w:hAnsi="Arial"/>
          <w:sz w:val="18"/>
          <w:szCs w:val="18"/>
          <w:color w:val="auto"/>
        </w:rPr>
        <w:t xml:space="preserve"> cookie capacity expansion project, a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 capacity expansion project and chip capacity expansion projects.</w:t>
      </w:r>
    </w:p>
    <w:p>
      <w:pPr>
        <w:spacing w:after="0" w:line="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Pepperidge Farm and Snyder’s-Lance have a direct-store-delivery distribution model that uses independent contractor distributors. In order to maintain and expand this model, we routinely purchase and sell routes. The purchase and sale proceeds of the routes are reflected in investing activities.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 payments were $320 million in 2020 and $318 million in 2019.</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suspended our share repurchases as of the second quarter of 2018. See Note 16 to the Consolidated Financial Statements for additional information.</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2019, we repaid and terminated the AUD $335 million, or $227 million, balance outstanding under our single-draw syndicated facility. The repayment was funded through the issuance of commercial paper.</w:t>
      </w:r>
    </w:p>
    <w:p>
      <w:pPr>
        <w:spacing w:after="0" w:line="4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April 26, 2020, we had $1,504 million of short-term borrowings due within one year, of which $485 million was comprised of commercial paper borrowings. As of April 26, 2020, we issued $39 million of standby letters of credit. We have a committed revolving credit facility totaling $1,850 million that matures in December 2021. At April 26, 2020, there was $300 million borrowed under the facility and $1 million of standby letters of credit that we issued under it. The U.S. facility supports our commercial paper programs and other general corporate purposes. We expect to continue to access the commercial paper markets, bank credit lines and utilize cash flows from operations to support our short-term liquidity requirements.</w:t>
      </w:r>
    </w:p>
    <w:p>
      <w:pPr>
        <w:spacing w:after="0" w:line="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the impacts of the COVID-19 outbreak have reduced the availability and attractiveness of commercial paper borrowings. Primarily in response to the uncertainty surrounding the operating environment and the commercial paper market, as well as favorable credit markets at the time, on April 24, 2020, we issued senior unsecured notes in an aggregate principal amount of $1,000 million, consisting of $500 million aggregate principal amount of notes bearing interest at a fixed rate of 2.375% per annum, due April 24, 2030, and $500 million aggregate principal amount of notes bearing interest at a fixed rate of 3.125% per annum, due April 24, 2050. On May 1, 2020, we used $300 million of the net proceeds to repay outstanding borrowings under our revolving credit facility, and we intend to use the remaining net proceeds to repay a portion of our outstanding commercial paper as it comes due and for general corporate purposes, thereby lessening our reliance on commercial paper. The 2.375% Senior Notes due 2030 and the 3.125% Senior Notes due 2050 may each be redeemed at the applicable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redemption price, in whole or in part, at our option at any time and from time to time prior to January 24, 2030, and October 24, 2049, respectively. Interest on each of the notes is due semi-annually on April 24 and October 24, commencing on October 24, 2020. The notes contain customary covenants and events of default. If a change of control triggering event occurs, we will be required to offer to purchase the notes at a purchase price equal to 101% of the principal amount plus accrued and unpaid interest, if any, to the purchase date.</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credit facilities and debt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28, 2019 (2019 Annual Report on Form 10-K). The accounting policies we used in preparing these financial statements are substantially consistent with those we applied in our 2019 Annual Report on Form 10-K, with the exception of the adoption of revised guidance on leases as described in Notes 2 and 11 to the Consolidated Financial Statements. Our significant accounting estimates are described in Management’s Discussion and Analysis included in the 2019 Annual Report on Form 10-K.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2019 Annual Report on Form 10-K, could affect our actual results and could cause such results to vary materially from those expressed in any forward-looking statements made by, or on behalf of, us:</w:t>
      </w:r>
    </w:p>
    <w:p>
      <w:pPr>
        <w:spacing w:after="0" w:line="62" w:lineRule="exact"/>
        <w:rPr>
          <w:sz w:val="20"/>
          <w:szCs w:val="20"/>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our strategy, including growing sales in snacks and maintaining our market share position in soup;</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impacts of, and associated responses to the COVID-19 pandemic;</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cost savings initiatives and the integration of recent acquisitions;</w:t>
      </w:r>
    </w:p>
    <w:p>
      <w:pPr>
        <w:spacing w:after="0" w:line="10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disruptions to our supply chain and/or operations, as well as fluctuations in the supply of and inflation in energy and raw and packaging materials cost;</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9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activist investors;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other pandemics or other calamities.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2019 Annual Report on Form 10-K. There have been no significant changes in our portfolio of financial instruments or market risk exposures from the 2019 year-end.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April 26, 2020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8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w:t>
      </w:r>
    </w:p>
    <w:p>
      <w:pPr>
        <w:spacing w:after="0" w:line="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April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18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20, 2020, we filed a Current Report on Form 8-K to, among other things, supplement the risk factors previously disclosed in our Annual Report on Form 10-K for the year ended July 28, 2019 and subsequent SEC filings. These risks factors, along with those previously disclosed, could materially adversely affect our business or financial results. Additional risks and uncertainties that are not presently known to us or that we deem immaterial may also impair our business or financial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Operational Risk Factor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outbreak of COVID-19 and associated responses could adversely impact our business and results of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COVID-19 pandemic has significantly impacted economic activity and markets throughout the world. In response, governmental authorities have implemented numerous measures in an attempt to contain the virus, such as travel bans and restrictions, quarantines, shelter-in-place orders and business shutdowns. These impacts and associated responses of the COVID-19 pandemic could adversely impact our business and results of operations in a number of ways, including but not limited to:</w:t>
      </w:r>
    </w:p>
    <w:p>
      <w:pPr>
        <w:spacing w:after="0" w:line="65" w:lineRule="exact"/>
        <w:rPr>
          <w:sz w:val="20"/>
          <w:szCs w:val="20"/>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shutdown of one or more of our manufacturing, warehousing or distribution facilities, or disruption in our supply chain, including but not limited to, as a result of illness, government restrictions or other workforce disruptions;</w:t>
      </w:r>
    </w:p>
    <w:p>
      <w:pPr>
        <w:spacing w:after="0" w:line="3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of third parties on which we rely, including but not limited to, those that supply our packaging, ingredients, equipment and other necessary operating materials, co-manufacturers and independent contractors, to meet their obligations to us, or significant disruptions in their ability to do so;</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strain on our supply chain, which could result from continued increased retailer and consumer demand for our products;</w:t>
      </w:r>
    </w:p>
    <w:p>
      <w:pPr>
        <w:spacing w:after="0" w:line="10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disruption to our distribution capabilities or to our distribution channels, including those of our suppliers, contract manufacturers, logistics service providers or independent distributors;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reductions in the availability of one or more of our products as we prioritize the production of other products due to increased demand;</w:t>
      </w:r>
    </w:p>
    <w:p>
      <w:pPr>
        <w:spacing w:after="0" w:line="115"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commodity cost volatility, which may not be sufficiently offset by our commodity hedging activities;</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pricing and access volatility in the capital and commercial paper markets, which might cause us to not be able to continue to access preferred sources of liquidity when we would like, and our borrowing costs could increase;</w:t>
      </w:r>
    </w:p>
    <w:p>
      <w:pPr>
        <w:spacing w:after="0" w:line="4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have experienced higher costs in certain areas such as front-line employee compensation and independent contractor payments, as well as incremental costs associated with newly added health screenings, temperature checks and enhanced cleaning and sanitation protocols to protect our employees and product quality standards, which could continue or could increase in these or other areas;</w:t>
      </w:r>
    </w:p>
    <w:p>
      <w:pPr>
        <w:spacing w:after="0" w:line="30"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while we have experienced increased demand for our retail products, we may experience significant reductions or volatility in demand for one or more of our products, which may be caused by, among other things: the temporary inability of consumers to purchase our products due to illness, quarantine or other travel restrictions, or financial hardship; the easing of governmental authority restrictions and business closings; or pantry-loading activity;</w:t>
      </w:r>
    </w:p>
    <w:p>
      <w:pPr>
        <w:spacing w:after="0" w:line="6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change in demand for or availability of our products as a result of retailers, distributors, or carriers modifying their inventory, fulfillment or shipping practices;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inability to effectively modify our trade promotion and advertising activities to reflect changing consumer shopping habits due to, among other things, reduced in-store visits and travel restrictions;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shift in consumer spending as a result of an economic downturn could result in consumers moving to private label or lower price products; and</w:t>
      </w:r>
    </w:p>
    <w:p>
      <w:pPr>
        <w:spacing w:after="0" w:line="12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continued decrease in demand at restaurants or other away from home dining establishments resulting from government restrictions and social distancing measures, which adversely affects our foodservice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firstLine="324"/>
        <w:spacing w:after="0" w:line="311" w:lineRule="auto"/>
        <w:rPr>
          <w:sz w:val="20"/>
          <w:szCs w:val="20"/>
          <w:color w:val="auto"/>
        </w:rPr>
      </w:pPr>
      <w:r>
        <w:rPr>
          <w:rFonts w:ascii="Arial" w:cs="Arial" w:eastAsia="Arial" w:hAnsi="Arial"/>
          <w:sz w:val="16"/>
          <w:szCs w:val="16"/>
          <w:color w:val="auto"/>
        </w:rPr>
        <w:t>Further, we have recently delayed the implementation of system upgrades and certain other cost-saving and enabler projects due to the COVID-19 pandemic. Continued disruptions and uncertainties related to the COVID-19 pandemic for a sustained period of time could result in additional delays or modifications to our strategic plans and other initiatives and hinder our ability to achieve our cost savings and enabler objectives on the same timelines.</w:t>
      </w:r>
    </w:p>
    <w:p>
      <w:pPr>
        <w:spacing w:after="0" w:line="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and other impacts of the COVID-19 pandemic could have the effect of heightening many of the other risk factors incorporated by reference herein. The ultimate impact depends on the severity and duration of the current COVID-19 pandemic and actions taken by governmental authorities and other third parties in response, each of which is uncertain, rapidly changing and difficult to predict. Any of these disruptions could adversely impact our business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960" w:type="dxa"/>
            <w:vAlign w:val="bottom"/>
            <w:gridSpan w:val="4"/>
          </w:tcPr>
          <w:p>
            <w:pPr>
              <w:ind w:left="2540"/>
              <w:spacing w:after="0"/>
              <w:rPr>
                <w:sz w:val="20"/>
                <w:szCs w:val="20"/>
                <w:color w:val="auto"/>
              </w:rPr>
            </w:pPr>
            <w:r>
              <w:rPr>
                <w:rFonts w:ascii="Arial" w:cs="Arial" w:eastAsia="Arial" w:hAnsi="Arial"/>
                <w:sz w:val="18"/>
                <w:szCs w:val="18"/>
                <w:color w:val="auto"/>
              </w:rPr>
              <w:t>INDEX TO EXHIBITS</w:t>
            </w:r>
          </w:p>
        </w:tc>
      </w:tr>
      <w:tr>
        <w:trPr>
          <w:trHeight w:val="311"/>
        </w:trPr>
        <w:tc>
          <w:tcPr>
            <w:tcW w:w="320" w:type="dxa"/>
            <w:vAlign w:val="bottom"/>
            <w:gridSpan w:val="2"/>
          </w:tcPr>
          <w:p>
            <w:pPr>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color w:val="0000FF"/>
                <w:w w:val="96"/>
              </w:rPr>
            </w:pPr>
            <w:hyperlink r:id="rId75">
              <w:r>
                <w:rPr>
                  <w:rFonts w:ascii="Arial" w:cs="Arial" w:eastAsia="Arial" w:hAnsi="Arial"/>
                  <w:sz w:val="18"/>
                  <w:szCs w:val="18"/>
                  <w:color w:val="0000FF"/>
                  <w:w w:val="96"/>
                </w:rPr>
                <w:t xml:space="preserve">Indenture </w:t>
              </w:r>
              <w:r>
                <w:rPr>
                  <w:rFonts w:ascii="Arial" w:cs="Arial" w:eastAsia="Arial" w:hAnsi="Arial"/>
                  <w:sz w:val="18"/>
                  <w:szCs w:val="18"/>
                  <w:u w:val="single" w:color="auto"/>
                  <w:color w:val="0000FF"/>
                  <w:w w:val="96"/>
                </w:rPr>
                <w:t>dated as of March 19, 2015 between Registrant and Wells Fargo Bank, National Association, as trustee, incorporated</w:t>
              </w:r>
              <w:r>
                <w:rPr>
                  <w:rFonts w:ascii="Arial" w:cs="Arial" w:eastAsia="Arial" w:hAnsi="Arial"/>
                  <w:sz w:val="18"/>
                  <w:szCs w:val="18"/>
                  <w:color w:val="0000FF"/>
                  <w:w w:val="96"/>
                </w:rPr>
                <w:t xml:space="preserve"> by</w:t>
              </w:r>
            </w:hyperlink>
          </w:p>
        </w:tc>
      </w:tr>
      <w:tr>
        <w:trPr>
          <w:trHeight w:val="40"/>
        </w:trPr>
        <w:tc>
          <w:tcPr>
            <w:tcW w:w="240" w:type="dxa"/>
            <w:vAlign w:val="bottom"/>
            <w:tcBorders>
              <w:bottom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40" w:type="dxa"/>
            <w:vAlign w:val="bottom"/>
          </w:tcPr>
          <w:p>
            <w:pPr>
              <w:spacing w:after="0"/>
              <w:rPr>
                <w:sz w:val="3"/>
                <w:szCs w:val="3"/>
                <w:color w:val="auto"/>
              </w:rPr>
            </w:pPr>
          </w:p>
        </w:tc>
        <w:tc>
          <w:tcPr>
            <w:tcW w:w="7740" w:type="dxa"/>
            <w:vAlign w:val="bottom"/>
          </w:tcPr>
          <w:p>
            <w:pPr>
              <w:spacing w:after="0"/>
              <w:rPr>
                <w:sz w:val="3"/>
                <w:szCs w:val="3"/>
                <w:color w:val="auto"/>
              </w:rPr>
            </w:pPr>
          </w:p>
        </w:tc>
        <w:tc>
          <w:tcPr>
            <w:tcW w:w="540" w:type="dxa"/>
            <w:vAlign w:val="bottom"/>
            <w:tcBorders>
              <w:bottom w:val="single" w:sz="8" w:color="0000FF"/>
            </w:tcBorders>
            <w:shd w:val="clear" w:color="auto" w:fill="0000FF"/>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40" w:type="dxa"/>
            <w:vAlign w:val="bottom"/>
            <w:gridSpan w:val="3"/>
          </w:tcPr>
          <w:p>
            <w:pPr>
              <w:spacing w:after="0" w:line="184" w:lineRule="exact"/>
              <w:rPr>
                <w:rFonts w:ascii="Arial" w:cs="Arial" w:eastAsia="Arial" w:hAnsi="Arial"/>
                <w:sz w:val="18"/>
                <w:szCs w:val="18"/>
                <w:u w:val="single" w:color="auto"/>
                <w:color w:val="0000FF"/>
                <w:w w:val="95"/>
              </w:rPr>
            </w:pPr>
            <w:hyperlink r:id="rId75">
              <w:r>
                <w:rPr>
                  <w:rFonts w:ascii="Arial" w:cs="Arial" w:eastAsia="Arial" w:hAnsi="Arial"/>
                  <w:sz w:val="18"/>
                  <w:szCs w:val="18"/>
                  <w:u w:val="single" w:color="auto"/>
                  <w:color w:val="0000FF"/>
                  <w:w w:val="95"/>
                </w:rPr>
                <w:t>reference to Registrant's Current Report on Form 8-K (SEC file number 1-3822) filed with the SEC on April 24, 2020.</w:t>
              </w:r>
            </w:hyperlink>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1120" w:type="dxa"/>
            <w:vAlign w:val="bottom"/>
            <w:gridSpan w:val="4"/>
          </w:tcPr>
          <w:p>
            <w:pPr>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2.1</w:t>
            </w:r>
          </w:p>
        </w:tc>
        <w:tc>
          <w:tcPr>
            <w:tcW w:w="10060" w:type="dxa"/>
            <w:vAlign w:val="bottom"/>
            <w:gridSpan w:val="6"/>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Form of 2030 Note, incorporated by reference to Registrant's Current Report on Form 8-K (SEC file number 1-3822) filed with the SEC on</w:t>
              </w:r>
            </w:hyperlink>
          </w:p>
        </w:tc>
      </w:tr>
      <w:tr>
        <w:trPr>
          <w:trHeight w:val="136"/>
        </w:trPr>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10040" w:type="dxa"/>
            <w:vAlign w:val="bottom"/>
            <w:tcBorders>
              <w:top w:val="single" w:sz="8" w:color="0000FF"/>
            </w:tcBorders>
            <w:gridSpan w:val="5"/>
          </w:tcPr>
          <w:p>
            <w:pPr>
              <w:spacing w:after="0" w:line="136" w:lineRule="exact"/>
              <w:rPr>
                <w:rFonts w:ascii="Arial" w:cs="Arial" w:eastAsia="Arial" w:hAnsi="Arial"/>
                <w:sz w:val="15"/>
                <w:szCs w:val="15"/>
                <w:color w:val="0000FF"/>
              </w:rPr>
            </w:pPr>
            <w:hyperlink r:id="rId76">
              <w:r>
                <w:rPr>
                  <w:rFonts w:ascii="Arial" w:cs="Arial" w:eastAsia="Arial" w:hAnsi="Arial"/>
                  <w:sz w:val="15"/>
                  <w:szCs w:val="15"/>
                  <w:color w:val="0000FF"/>
                </w:rPr>
                <w:t>April 24, 2020.</w:t>
              </w:r>
            </w:hyperlink>
          </w:p>
        </w:tc>
        <w:tc>
          <w:tcPr>
            <w:tcW w:w="20" w:type="dxa"/>
            <w:vAlign w:val="bottom"/>
          </w:tcPr>
          <w:p>
            <w:pPr>
              <w:spacing w:after="0"/>
              <w:rPr>
                <w:sz w:val="11"/>
                <w:szCs w:val="11"/>
                <w:color w:val="auto"/>
              </w:rPr>
            </w:pPr>
          </w:p>
        </w:tc>
      </w:tr>
      <w:tr>
        <w:trPr>
          <w:trHeight w:val="20"/>
        </w:trPr>
        <w:tc>
          <w:tcPr>
            <w:tcW w:w="3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960" w:type="dxa"/>
            <w:vAlign w:val="bottom"/>
            <w:gridSpan w:val="4"/>
          </w:tcPr>
          <w:p>
            <w:pPr>
              <w:spacing w:after="0" w:line="20" w:lineRule="exact"/>
              <w:rPr>
                <w:sz w:val="1"/>
                <w:szCs w:val="1"/>
                <w:color w:val="auto"/>
              </w:rPr>
            </w:pPr>
          </w:p>
        </w:tc>
      </w:tr>
      <w:tr>
        <w:trPr>
          <w:trHeight w:val="324"/>
        </w:trPr>
        <w:tc>
          <w:tcPr>
            <w:tcW w:w="1120" w:type="dxa"/>
            <w:vAlign w:val="bottom"/>
            <w:gridSpan w:val="4"/>
          </w:tcPr>
          <w:p>
            <w:pPr>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2.2</w:t>
            </w:r>
          </w:p>
        </w:tc>
        <w:tc>
          <w:tcPr>
            <w:tcW w:w="10060" w:type="dxa"/>
            <w:vAlign w:val="bottom"/>
            <w:gridSpan w:val="6"/>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2050 Note, incorporated by reference to Registrant's Current Report on Form 8-K (SEC file number 1-3822) filed with the SEC on</w:t>
              </w:r>
            </w:hyperlink>
          </w:p>
        </w:tc>
      </w:tr>
      <w:tr>
        <w:trPr>
          <w:trHeight w:val="136"/>
        </w:trPr>
        <w:tc>
          <w:tcPr>
            <w:tcW w:w="2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10040" w:type="dxa"/>
            <w:vAlign w:val="bottom"/>
            <w:tcBorders>
              <w:top w:val="single" w:sz="8" w:color="0000FF"/>
            </w:tcBorders>
            <w:gridSpan w:val="5"/>
          </w:tcPr>
          <w:p>
            <w:pPr>
              <w:spacing w:after="0" w:line="136" w:lineRule="exact"/>
              <w:rPr>
                <w:rFonts w:ascii="Arial" w:cs="Arial" w:eastAsia="Arial" w:hAnsi="Arial"/>
                <w:sz w:val="15"/>
                <w:szCs w:val="15"/>
                <w:color w:val="0000FF"/>
              </w:rPr>
            </w:pPr>
            <w:hyperlink r:id="rId77">
              <w:r>
                <w:rPr>
                  <w:rFonts w:ascii="Arial" w:cs="Arial" w:eastAsia="Arial" w:hAnsi="Arial"/>
                  <w:sz w:val="15"/>
                  <w:szCs w:val="15"/>
                  <w:color w:val="0000FF"/>
                </w:rPr>
                <w:t>April 24, 2020.</w:t>
              </w:r>
            </w:hyperlink>
          </w:p>
        </w:tc>
        <w:tc>
          <w:tcPr>
            <w:tcW w:w="20" w:type="dxa"/>
            <w:vAlign w:val="bottom"/>
          </w:tcPr>
          <w:p>
            <w:pPr>
              <w:spacing w:after="0"/>
              <w:rPr>
                <w:sz w:val="11"/>
                <w:szCs w:val="11"/>
                <w:color w:val="auto"/>
              </w:rPr>
            </w:pPr>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960" w:type="dxa"/>
            <w:vAlign w:val="bottom"/>
            <w:gridSpan w:val="4"/>
          </w:tcPr>
          <w:p>
            <w:pPr>
              <w:spacing w:after="0" w:line="20" w:lineRule="exact"/>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u w:val="single" w:color="auto"/>
                <w:color w:val="0000FF"/>
                <w:w w:val="85"/>
              </w:rPr>
            </w:pPr>
            <w:hyperlink w:anchor="page49">
              <w:r>
                <w:rPr>
                  <w:rFonts w:ascii="Arial" w:cs="Arial" w:eastAsia="Arial" w:hAnsi="Arial"/>
                  <w:sz w:val="18"/>
                  <w:szCs w:val="18"/>
                  <w:u w:val="single" w:color="auto"/>
                  <w:color w:val="0000FF"/>
                  <w:w w:val="85"/>
                </w:rPr>
                <w:t>31.1</w:t>
              </w:r>
            </w:hyperlink>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Mark A. Clouse pursuant to Rule 13a-14(a).</w:t>
              </w:r>
            </w:hyperlink>
          </w:p>
        </w:tc>
      </w:tr>
      <w:tr>
        <w:trPr>
          <w:trHeight w:val="324"/>
        </w:trPr>
        <w:tc>
          <w:tcPr>
            <w:tcW w:w="320" w:type="dxa"/>
            <w:vAlign w:val="bottom"/>
            <w:gridSpan w:val="2"/>
          </w:tcPr>
          <w:p>
            <w:pPr>
              <w:spacing w:after="0"/>
              <w:rPr>
                <w:rFonts w:ascii="Arial" w:cs="Arial" w:eastAsia="Arial" w:hAnsi="Arial"/>
                <w:sz w:val="18"/>
                <w:szCs w:val="18"/>
                <w:u w:val="single" w:color="auto"/>
                <w:color w:val="0000FF"/>
                <w:w w:val="85"/>
              </w:rPr>
            </w:pPr>
            <w:hyperlink w:anchor="page50">
              <w:r>
                <w:rPr>
                  <w:rFonts w:ascii="Arial" w:cs="Arial" w:eastAsia="Arial" w:hAnsi="Arial"/>
                  <w:sz w:val="18"/>
                  <w:szCs w:val="18"/>
                  <w:u w:val="single" w:color="auto"/>
                  <w:color w:val="0000FF"/>
                  <w:w w:val="85"/>
                </w:rPr>
                <w:t>31.2</w:t>
              </w:r>
            </w:hyperlink>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of Mick Beekhuizen pursuant to Rule 13a-14(a).</w:t>
              </w:r>
            </w:hyperlink>
          </w:p>
        </w:tc>
      </w:tr>
      <w:tr>
        <w:trPr>
          <w:trHeight w:val="324"/>
        </w:trPr>
        <w:tc>
          <w:tcPr>
            <w:tcW w:w="320" w:type="dxa"/>
            <w:vAlign w:val="bottom"/>
            <w:gridSpan w:val="2"/>
          </w:tcPr>
          <w:p>
            <w:pPr>
              <w:spacing w:after="0"/>
              <w:rPr>
                <w:rFonts w:ascii="Arial" w:cs="Arial" w:eastAsia="Arial" w:hAnsi="Arial"/>
                <w:sz w:val="18"/>
                <w:szCs w:val="18"/>
                <w:u w:val="single" w:color="auto"/>
                <w:color w:val="0000FF"/>
                <w:w w:val="85"/>
              </w:rPr>
            </w:pPr>
            <w:hyperlink w:anchor="page51">
              <w:r>
                <w:rPr>
                  <w:rFonts w:ascii="Arial" w:cs="Arial" w:eastAsia="Arial" w:hAnsi="Arial"/>
                  <w:sz w:val="18"/>
                  <w:szCs w:val="18"/>
                  <w:u w:val="single" w:color="auto"/>
                  <w:color w:val="0000FF"/>
                  <w:w w:val="85"/>
                </w:rPr>
                <w:t>32.1</w:t>
              </w:r>
            </w:hyperlink>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color w:val="0000FF"/>
              </w:rPr>
            </w:pPr>
            <w:hyperlink w:anchor="page51">
              <w:r>
                <w:rPr>
                  <w:rFonts w:ascii="Arial" w:cs="Arial" w:eastAsia="Arial" w:hAnsi="Arial"/>
                  <w:sz w:val="18"/>
                  <w:szCs w:val="18"/>
                  <w:u w:val="single" w:color="auto"/>
                  <w:color w:val="0000FF"/>
                </w:rPr>
                <w:t>Certification of Mark A. Clouse pursuant to 18 U.S.C. Section 1350</w:t>
              </w:r>
              <w:r>
                <w:rPr>
                  <w:rFonts w:ascii="Arial" w:cs="Arial" w:eastAsia="Arial" w:hAnsi="Arial"/>
                  <w:sz w:val="18"/>
                  <w:szCs w:val="18"/>
                  <w:color w:val="0000FF"/>
                </w:rPr>
                <w:t>.</w:t>
              </w:r>
            </w:hyperlink>
          </w:p>
        </w:tc>
      </w:tr>
      <w:tr>
        <w:trPr>
          <w:trHeight w:val="297"/>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60" w:type="dxa"/>
            <w:vAlign w:val="bottom"/>
            <w:gridSpan w:val="6"/>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Mick Beekhuizen pursuant to 18 U.S.C. Section 1350.</w:t>
              </w:r>
            </w:hyperlink>
          </w:p>
        </w:tc>
      </w:tr>
      <w:tr>
        <w:trPr>
          <w:trHeight w:val="371"/>
        </w:trPr>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6"/>
          </w:tcPr>
          <w:p>
            <w:pPr>
              <w:spacing w:after="0"/>
              <w:rPr>
                <w:sz w:val="20"/>
                <w:szCs w:val="20"/>
                <w:color w:val="auto"/>
              </w:rPr>
            </w:pPr>
            <w:r>
              <w:rPr>
                <w:rFonts w:ascii="Arial" w:cs="Arial" w:eastAsia="Arial" w:hAnsi="Arial"/>
                <w:sz w:val="18"/>
                <w:szCs w:val="18"/>
                <w:color w:val="auto"/>
                <w:w w:val="97"/>
              </w:rPr>
              <w:t>Inline XBRL Instance Document - the instance document does not appear on the Interactive Data File because its XBRL tags are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6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64"/>
        </w:trPr>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Extension Schema Document.</w:t>
            </w:r>
          </w:p>
        </w:tc>
      </w:tr>
      <w:tr>
        <w:trPr>
          <w:trHeight w:val="365"/>
        </w:trPr>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364"/>
        </w:trPr>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364"/>
        </w:trPr>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365"/>
        </w:trPr>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134" w:lineRule="exact"/>
        <w:rPr>
          <w:sz w:val="20"/>
          <w:szCs w:val="20"/>
          <w:color w:val="auto"/>
        </w:rPr>
      </w:pPr>
    </w:p>
    <w:p>
      <w:pPr>
        <w:ind w:left="1120" w:hanging="1114"/>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(included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895" w:right="399" w:bottom="1440" w:gutter="0" w:footer="0" w:header="0"/>
        </w:sectPr>
      </w:pPr>
    </w:p>
    <w:bookmarkStart w:id="47" w:name="page48"/>
    <w:bookmarkEnd w:id="4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June 3, 2020</w:t>
      </w:r>
    </w:p>
    <w:p>
      <w:pPr>
        <w:spacing w:after="0" w:line="59"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CAMPBELL SOUP COMPANY</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31750</wp:posOffset>
            </wp:positionV>
            <wp:extent cx="31546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Mick Beekhuizen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Executive Vice President and Chief Financial Officer</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31750</wp:posOffset>
            </wp:positionV>
            <wp:extent cx="31546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891" w:right="4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A. Clouse, certify that:</w:t>
      </w:r>
    </w:p>
    <w:p>
      <w:pPr>
        <w:spacing w:after="0" w:line="171" w:lineRule="exact"/>
        <w:rPr>
          <w:sz w:val="20"/>
          <w:szCs w:val="20"/>
          <w:color w:val="auto"/>
        </w:rPr>
      </w:pPr>
    </w:p>
    <w:p>
      <w:pPr>
        <w:ind w:left="400" w:hanging="190"/>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2020</w:t>
      </w:r>
    </w:p>
    <w:p>
      <w:pPr>
        <w:spacing w:after="0" w:line="252" w:lineRule="exact"/>
        <w:rPr>
          <w:sz w:val="20"/>
          <w:szCs w:val="20"/>
          <w:color w:val="auto"/>
        </w:rPr>
      </w:pPr>
    </w:p>
    <w:p>
      <w:pPr>
        <w:ind w:left="4180"/>
        <w:spacing w:after="0"/>
        <w:tabs>
          <w:tab w:leader="none" w:pos="4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3180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77"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100" w:space="320"/>
            <w:col w:w="5820"/>
          </w:cols>
          <w:pgMar w:left="320" w:top="891" w:right="339" w:bottom="1440" w:gutter="0" w:footer="0" w:header="0"/>
          <w:type w:val="continuous"/>
        </w:sectPr>
      </w:pPr>
    </w:p>
    <w:p>
      <w:pPr>
        <w:ind w:left="46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000" w:space="420"/>
            <w:col w:w="5820"/>
          </w:cols>
          <w:pgMar w:left="320" w:top="891" w:right="3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Mick Beekhuizen, certify that:</w:t>
      </w:r>
    </w:p>
    <w:p>
      <w:pPr>
        <w:spacing w:after="0" w:line="171" w:lineRule="exact"/>
        <w:rPr>
          <w:sz w:val="20"/>
          <w:szCs w:val="20"/>
          <w:color w:val="auto"/>
        </w:rPr>
      </w:pPr>
    </w:p>
    <w:p>
      <w:pPr>
        <w:ind w:left="400" w:hanging="190"/>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260" w:firstLine="210"/>
        <w:spacing w:after="0" w:line="342" w:lineRule="auto"/>
        <w:tabs>
          <w:tab w:leader="none" w:pos="38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40" w:firstLine="210"/>
        <w:spacing w:after="0" w:line="277" w:lineRule="auto"/>
        <w:tabs>
          <w:tab w:leader="none" w:pos="382"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210"/>
        <w:spacing w:after="0" w:line="263" w:lineRule="auto"/>
        <w:tabs>
          <w:tab w:leader="none" w:pos="3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right="440" w:firstLine="453"/>
        <w:spacing w:after="0" w:line="263" w:lineRule="auto"/>
        <w:tabs>
          <w:tab w:leader="none" w:pos="6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right="40" w:firstLine="453"/>
        <w:spacing w:after="0" w:line="263"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940" w:firstLine="453"/>
        <w:spacing w:after="0" w:line="342" w:lineRule="auto"/>
        <w:tabs>
          <w:tab w:leader="none" w:pos="63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40" w:firstLine="453"/>
        <w:spacing w:after="0" w:line="263"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80" w:firstLine="210"/>
        <w:spacing w:after="0" w:line="308" w:lineRule="auto"/>
        <w:tabs>
          <w:tab w:leader="none" w:pos="37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340" w:firstLine="453"/>
        <w:spacing w:after="0" w:line="277" w:lineRule="auto"/>
        <w:tabs>
          <w:tab w:leader="none" w:pos="63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300" w:firstLine="453"/>
        <w:spacing w:after="0" w:line="277" w:lineRule="auto"/>
        <w:tabs>
          <w:tab w:leader="none" w:pos="6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p>
      <w:pPr>
        <w:ind w:left="4160"/>
        <w:spacing w:after="0"/>
        <w:tabs>
          <w:tab w:leader="none" w:pos="4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31750</wp:posOffset>
            </wp:positionV>
            <wp:extent cx="3145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p>
      <w:pPr>
        <w:ind w:left="4600"/>
        <w:spacing w:after="0"/>
        <w:tabs>
          <w:tab w:leader="none" w:pos="5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Mick Beekhuizen</w:t>
      </w:r>
    </w:p>
    <w:p>
      <w:pPr>
        <w:spacing w:after="0" w:line="63" w:lineRule="exact"/>
        <w:rPr>
          <w:sz w:val="20"/>
          <w:szCs w:val="20"/>
          <w:color w:val="auto"/>
        </w:rPr>
      </w:pPr>
    </w:p>
    <w:p>
      <w:pPr>
        <w:ind w:left="460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80" w:firstLine="202"/>
        <w:spacing w:after="0" w:line="263"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26, 2020 (the “Report”), I, Mark A. Clouse, President and Chief Executive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p>
      <w:pPr>
        <w:ind w:left="4160"/>
        <w:spacing w:after="0"/>
        <w:tabs>
          <w:tab w:leader="none" w:pos="4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Clouse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31750</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77"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Mark A. Clouse</w:t>
      </w:r>
    </w:p>
    <w:p>
      <w:pPr>
        <w:spacing w:after="0" w:line="86" w:lineRule="exact"/>
        <w:rPr>
          <w:sz w:val="20"/>
          <w:szCs w:val="20"/>
          <w:color w:val="auto"/>
        </w:rPr>
      </w:pPr>
    </w:p>
    <w:p>
      <w:pPr>
        <w:sectPr>
          <w:pgSz w:w="11900" w:h="16838" w:orient="portrait"/>
          <w:cols w:equalWidth="0" w:num="2">
            <w:col w:w="5080" w:space="340"/>
            <w:col w:w="5820"/>
          </w:cols>
          <w:pgMar w:left="320" w:top="891" w:right="339" w:bottom="1440" w:gutter="0" w:footer="0" w:header="0"/>
          <w:type w:val="continuous"/>
        </w:sectPr>
      </w:pPr>
    </w:p>
    <w:p>
      <w:pPr>
        <w:ind w:left="46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4980" w:space="440"/>
            <w:col w:w="582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20" w:firstLine="202"/>
        <w:spacing w:after="0" w:line="263"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26, 2020 (the “Report”), I, Mick Beekhuizen, Executive Vice President and Chief Financial Officer of the Company, hereby certify, pursuant to 18 U.S.C. Section 1350, as adopted pursuant to Section 906 of the Sarbanes-Oxley Act of 2002, that, to my knowledge:</w:t>
      </w:r>
    </w:p>
    <w:p>
      <w:pPr>
        <w:spacing w:after="0" w:line="130" w:lineRule="exact"/>
        <w:rPr>
          <w:sz w:val="20"/>
          <w:szCs w:val="20"/>
          <w:color w:val="auto"/>
        </w:rPr>
      </w:pPr>
    </w:p>
    <w:p>
      <w:pPr>
        <w:ind w:left="700" w:hanging="24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47"/>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2020</w:t>
      </w:r>
    </w:p>
    <w:p>
      <w:pPr>
        <w:spacing w:after="0" w:line="63" w:lineRule="exact"/>
        <w:rPr>
          <w:sz w:val="20"/>
          <w:szCs w:val="20"/>
          <w:color w:val="auto"/>
        </w:rPr>
      </w:pPr>
    </w:p>
    <w:p>
      <w:pPr>
        <w:ind w:left="4180"/>
        <w:spacing w:after="0"/>
        <w:tabs>
          <w:tab w:leader="none" w:pos="4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Mick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31750</wp:posOffset>
            </wp:positionV>
            <wp:extent cx="31718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ind w:left="4620"/>
        <w:spacing w:after="0"/>
        <w:tabs>
          <w:tab w:leader="none" w:pos="5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Mick Beekhuizen</w:t>
      </w:r>
    </w:p>
    <w:p>
      <w:pPr>
        <w:spacing w:after="0" w:line="63" w:lineRule="exact"/>
        <w:rPr>
          <w:sz w:val="20"/>
          <w:szCs w:val="20"/>
          <w:color w:val="auto"/>
        </w:rPr>
      </w:pPr>
    </w:p>
    <w:p>
      <w:pPr>
        <w:ind w:left="462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1."/>
      <w:numFmt w:val="decimal"/>
      <w:start w:val="3"/>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5"/>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2"/>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8"/>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04"/>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5" Type="http://schemas.openxmlformats.org/officeDocument/2006/relationships/hyperlink" Target="https://www.sec.gov/Archives/edgar/data/16732/000119312515097806/d801200dex41.htm" TargetMode="External"/><Relationship Id="rId76" Type="http://schemas.openxmlformats.org/officeDocument/2006/relationships/hyperlink" Target="https://www.sec.gov/Archives/edgar/data/16732/000119312520119114/d916212dex421.htm" TargetMode="External"/><Relationship Id="rId77" Type="http://schemas.openxmlformats.org/officeDocument/2006/relationships/hyperlink" Target="https://www.sec.gov/Archives/edgar/data/16732/000119312520119114/d916212dex4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2020-06-03T06:26:10Z</dcterms:created>
  <dcterms:modified xsi:type="dcterms:W3CDTF">2020-06-03T06:26:10Z</dcterms:modified>
</cp:coreProperties>
</file>