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4100" w:right="2960" w:hanging="4094"/>
        <w:spacing w:after="0" w:line="248" w:lineRule="auto"/>
        <w:tabs>
          <w:tab w:leader="none" w:pos="19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3,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2965450</wp:posOffset>
            </wp:positionH>
            <wp:positionV relativeFrom="paragraph">
              <wp:posOffset>10795</wp:posOffset>
            </wp:positionV>
            <wp:extent cx="121158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15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CAMPBELL'S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13"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01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0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013" w:right="3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240"/>
          </w:cols>
          <w:pgMar w:left="320" w:top="1013" w:right="339" w:bottom="1440" w:gutter="0" w:footer="0" w:header="0"/>
          <w:type w:val="continuous"/>
        </w:sectPr>
      </w:pP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01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Nasdaq Stock Market LLC</w:t>
      </w:r>
    </w:p>
    <w:p>
      <w:pPr>
        <w:spacing w:after="0" w:line="200" w:lineRule="exact"/>
        <w:rPr>
          <w:sz w:val="24"/>
          <w:szCs w:val="24"/>
          <w:color w:val="auto"/>
        </w:rPr>
      </w:pPr>
    </w:p>
    <w:p>
      <w:pPr>
        <w:sectPr>
          <w:pgSz w:w="11900" w:h="16838" w:orient="portrait"/>
          <w:cols w:equalWidth="0" w:num="3">
            <w:col w:w="4740" w:space="720"/>
            <w:col w:w="1800" w:space="720"/>
            <w:col w:w="3260"/>
          </w:cols>
          <w:pgMar w:left="320" w:top="1013" w:right="339" w:bottom="1440" w:gutter="0" w:footer="0" w:header="0"/>
          <w:type w:val="continuous"/>
        </w:sectPr>
      </w:pPr>
    </w:p>
    <w:p>
      <w:pPr>
        <w:spacing w:after="0" w:line="12" w:lineRule="exact"/>
        <w:rPr>
          <w:sz w:val="24"/>
          <w:szCs w:val="24"/>
          <w:color w:val="auto"/>
        </w:rPr>
      </w:pPr>
    </w:p>
    <w:p>
      <w:pPr>
        <w:jc w:val="both"/>
        <w:ind w:firstLine="318"/>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4"/>
          <w:szCs w:val="24"/>
          <w:color w:val="auto"/>
        </w:rPr>
      </w:pPr>
    </w:p>
    <w:p>
      <w:pPr>
        <w:ind w:right="3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00"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298,206,243 shares of capital stock outstanding as of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29</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43</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40" w:type="dxa"/>
            <w:vAlign w:val="bottom"/>
          </w:tcPr>
          <w:p>
            <w:pPr>
              <w:spacing w:after="0"/>
              <w:rPr>
                <w:sz w:val="16"/>
                <w:szCs w:val="16"/>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3, 2025</w:t>
            </w:r>
          </w:p>
        </w:tc>
      </w:tr>
      <w:tr>
        <w:trPr>
          <w:trHeight w:val="24"/>
        </w:trPr>
        <w:tc>
          <w:tcPr>
            <w:tcW w:w="6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1,451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5"/>
        </w:trPr>
        <w:tc>
          <w:tcPr>
            <w:tcW w:w="6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154</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2,559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2,735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4,993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4,325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25"/>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1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5"/>
        </w:trPr>
        <w:tc>
          <w:tcPr>
            <w:tcW w:w="6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taxes</w:t>
            </w:r>
          </w:p>
        </w:tc>
        <w:tc>
          <w:tcPr>
            <w:tcW w:w="1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2,954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6,146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1,434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11,112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10,992</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(Note 17)</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4,803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5"/>
        </w:trPr>
        <w:tc>
          <w:tcPr>
            <w:tcW w:w="6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4,028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4,030</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8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6"/>
                <w:szCs w:val="16"/>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sales of businesses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divestitures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routes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routes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businesses, net of cash divested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9"/>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4"/>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ind w:left="280"/>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ind w:right="109"/>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26, 2025</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($.39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1"/>
                <w:szCs w:val="11"/>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27, 2025</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755" w:right="3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Net earnings (loss)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($1.15 per share)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purchased</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issued under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based compensation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20" w:type="dxa"/>
            <w:vAlign w:val="bottom"/>
          </w:tcPr>
          <w:p>
            <w:pPr>
              <w:jc w:val="right"/>
              <w:ind w:right="1909"/>
              <w:spacing w:after="0"/>
              <w:rPr>
                <w:sz w:val="20"/>
                <w:szCs w:val="20"/>
                <w:color w:val="auto"/>
              </w:rPr>
            </w:pPr>
            <w:r>
              <w:rPr>
                <w:rFonts w:ascii="Times New Roman" w:cs="Times New Roman" w:eastAsia="Times New Roman" w:hAnsi="Times New Roman"/>
                <w:sz w:val="14"/>
                <w:szCs w:val="14"/>
                <w:color w:val="auto"/>
              </w:rPr>
              <w:t>457</w:t>
            </w:r>
          </w:p>
        </w:tc>
        <w:tc>
          <w:tcPr>
            <w:tcW w:w="1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9"/>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2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(345)</w:t>
            </w:r>
          </w:p>
        </w:tc>
        <w:tc>
          <w:tcPr>
            <w:tcW w:w="1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199"/>
        </w:trPr>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(1)</w:t>
            </w: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(60)</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31"/>
        </w:trPr>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60</w:t>
            </w: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(22)</w:t>
            </w:r>
          </w:p>
        </w:tc>
        <w:tc>
          <w:tcPr>
            <w:tcW w:w="262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(16)</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-572770</wp:posOffset>
            </wp:positionV>
            <wp:extent cx="7117715"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-320675</wp:posOffset>
            </wp:positionV>
            <wp:extent cx="7117715" cy="12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12636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560" w:space="720"/>
            <w:col w:w="6940"/>
          </w:cols>
          <w:pgMar w:left="320" w:top="755" w:right="35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2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27, 2025</w:t>
            </w: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4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415</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4,665</w:t>
            </w:r>
          </w:p>
        </w:tc>
        <w:tc>
          <w:tcPr>
            <w:tcW w:w="62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6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February 1, 2026</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(1,188)</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396</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4,796</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124</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($.39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420" w:type="dxa"/>
            <w:vAlign w:val="bottom"/>
          </w:tcPr>
          <w:p>
            <w:pPr>
              <w:spacing w:after="0"/>
              <w:rPr>
                <w:sz w:val="11"/>
                <w:szCs w:val="11"/>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w:t>
            </w:r>
          </w:p>
        </w:tc>
        <w:tc>
          <w:tcPr>
            <w:tcW w:w="380" w:type="dxa"/>
            <w:vAlign w:val="bottom"/>
          </w:tcPr>
          <w:p>
            <w:pPr>
              <w:spacing w:after="0"/>
              <w:rPr>
                <w:sz w:val="11"/>
                <w:szCs w:val="11"/>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3, 2026</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(1,183)</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405</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4,803</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3,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4,694</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463</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463</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($1.17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(352)</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(352)</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50</w:t>
            </w:r>
          </w:p>
        </w:tc>
        <w:tc>
          <w:tcPr>
            <w:tcW w:w="4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3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3, 2026</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(1,183)</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405</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4,803</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8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The Campbell's Company and its consolidated subsidiaries.</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3, 2025. Certain reclassifications to our previously reported financial information were made to conform to the current-period presentation.</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2, 2026. There will be 52 weeks in 2026. There were 53 weeks in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improve income tax disclosures by requiring disaggregated information about a reporting entity’s effective tax rate reconciliation as well as information on income taxes paid. The guidance is effective for annual periods beginning after December 15, 2024. Early adoption is permitted. The guidance should be applied on a prospective basis with the option to apply the standard retrospectively. We are currently evaluating the impact that the new guidance will have on our consolidated financial statements. We will adopt the new guidance beginning with our 2026 annual reporting.</w:t>
      </w:r>
    </w:p>
    <w:p>
      <w:pPr>
        <w:spacing w:after="0" w:line="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may be applied on a prospective basis or retrospectively. We are currently evaluating the impact that the new guidance will have on our consolidated financial statements.</w:t>
      </w:r>
    </w:p>
    <w:p>
      <w:pPr>
        <w:spacing w:after="0" w:line="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Early adoption is permitted. The guidance may be applied on a prospective, retrospective or modified transition approach. We are currently evaluating the impact that the new guidance will have on our consolidated financial statements.</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guidance to clarify and improve hedge accounting guidance. The guidance, which is intended to more closely align hedge accounting with the economics of an entity’s risk management activities, is effective for fiscal years beginning after December 15, 2026, and interim periods within those fiscal years. Early adoption is permitted. The guidance is to be applied on a prospective basis.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guidance on the accounting for government grants received by business entities. The guidance defines government grants and establishes recognition, presentation and disclosure requirements. The guidance is effective for fiscal years beginning after December 15, 2028, and interim periods within those fiscal years. Early adoption is permitted. The guidance may be applied on a modified transition approach or retrospectively. We are currently evaluating the impact that the new guidance will have on our consolidated financial statements.</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May 2026, the FASB issued guidance on the accounting and disclosure requirements related to environmental credits and environmental credit programs. The guidance is effective for fiscal years beginning after December 15, 2027, and interim periods within those fiscal years. Early adoption is permitted. The guidance should be applied on a retrospective basis. We are currently evaluating the impact that the new guidance will have on our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tomato-based pasta sauces. Subsequent to the end of the third quarter, we acquired the 49% interests in La Regina on May 4, 2026. The aggregate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jc w:val="both"/>
        <w:spacing w:after="0" w:line="248" w:lineRule="auto"/>
        <w:rPr>
          <w:sz w:val="20"/>
          <w:szCs w:val="20"/>
          <w:color w:val="auto"/>
        </w:rPr>
      </w:pPr>
      <w:r>
        <w:rPr>
          <w:rFonts w:ascii="Times New Roman" w:cs="Times New Roman" w:eastAsia="Times New Roman" w:hAnsi="Times New Roman"/>
          <w:sz w:val="18"/>
          <w:szCs w:val="18"/>
          <w:color w:val="auto"/>
        </w:rPr>
        <w:t>consideration for the transaction is $286 million to be paid in two tranches: (i) $146 million was paid in cash at the closing, and (ii) $140 million will be payable at our sole discretion in either cash or unregistered shares of our capital stock (not to exceed 19.9% of our outstanding capital stock and voting power prior to issuance) on the first anniversary of the closing. The remaining 51% of the outstanding equity interests of La Regina are subject to a call option granted to us and a put option granted to La Regina. The call option may be exercised from the first anniversary of the closing until the later of the tenth anniversary of the closing and the date of cessation of the material commercial agreements between the parties. Under the call option, we may, during specified exercise periods, acquire additional equity interests in increments of not less than 2% from La Regina equity holders at a price based on an implied total equity value of approximately $584 million, subject to the payment of a control premium of up to 20% and to a 20% reduction for specified material adverse changes. The put option may be exercised from three years after the first anniversary of the closing until the tenth anniversary of the closing. Under the put option, La Regina equity holders may require us to purchase all or a portion of their remaining equity interests during a defined exercise period, subject to certain conditions and similar pricing mechanics as the call option. We will consolidate the results of La Regina and reflect the remaining 51% of the outstanding equity interests as non-controlling interests in our consolidated financial statements. We are currently in the process of finalizing the accounting and related disclosures for this transaction.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Divestitures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for $70 million. We recognized a pre-tax loss on the sale of $25 million, or $19 million after tax. In connection with the sale, we provided certain transition services to support the business. The business had net sales of $9 million through August 26, 2024. Earnings were not material. The results of the business were reflected within the Snacks reportable segment.</w:t>
      </w:r>
    </w:p>
    <w:p>
      <w:pPr>
        <w:spacing w:after="0" w:line="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entered into an agreement to sell our noosa yoghurt business in November 2024. The noosa yoghurt business was purchased as part of the Sovos Brands, Inc. (Sovos Brands) acquisition. In the second quarter of 2025, we recorded $15 million of tax expense related to the sale of the business. We completed the sale on February 24, 2025, for $188 million, subject to certain customary purchase price adjustments, which resulted in $5 million of additional proceeds in the first quarter of 2026. The after-tax loss recorded on the sale in 2025 was $15 million. In connection with the sale, we provided certain transition services to support the business. Net sales of the business were $16 million and $99 million for the three- and nine-month periods ended April 27, 2025, respectively. Earnings were not material in the periods. The results of the business were reflected within the Meals &amp; Beverages reportable segment.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9"/>
                <w:szCs w:val="9"/>
                <w:b w:val="1"/>
                <w:bCs w:val="1"/>
                <w:color w:val="auto"/>
              </w:rPr>
              <w:t>(2)</w:t>
            </w:r>
          </w:p>
        </w:tc>
        <w:tc>
          <w:tcPr>
            <w:tcW w:w="15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3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28,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27,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3,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May 3, 2026, August 3, 2025, April 27, 2025 and July 28, 2024.</w:t>
      </w:r>
    </w:p>
    <w:p>
      <w:pPr>
        <w:ind w:left="320" w:hanging="314"/>
        <w:spacing w:after="0" w:line="192"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$2 million as of May 3, 2026, April 27, 2025 and July 28, 2024, and $3 million as of August 3, 2025.</w:t>
      </w:r>
    </w:p>
    <w:p>
      <w:pPr>
        <w:ind w:left="320" w:hanging="314"/>
        <w:spacing w:after="0" w:line="201"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$2 million as of May 3, 2026, August 3, 2025 and April 27, 2025, and $1 million as of July 28, 2024.</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related to noncontrolling interests were not material.</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2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9"/>
                <w:szCs w:val="9"/>
                <w:color w:val="auto"/>
              </w:rPr>
            </w:pPr>
          </w:p>
        </w:tc>
        <w:tc>
          <w:tcPr>
            <w:tcW w:w="10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9"/>
        </w:trPr>
        <w:tc>
          <w:tcPr>
            <w:tcW w:w="3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Total before tax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Tax expense (benefit)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Loss (gain), 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adjustments: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  Other expenses / (income)</w:t>
            </w:r>
          </w:p>
        </w:tc>
        <w:tc>
          <w:tcPr>
            <w:tcW w:w="0" w:type="dxa"/>
            <w:vAlign w:val="bottom"/>
          </w:tcPr>
          <w:p>
            <w:pPr>
              <w:spacing w:after="0"/>
              <w:rPr>
                <w:sz w:val="1"/>
                <w:szCs w:val="1"/>
                <w:color w:val="auto"/>
              </w:rPr>
            </w:pPr>
          </w:p>
        </w:tc>
      </w:tr>
      <w:tr>
        <w:trPr>
          <w:trHeight w:val="225"/>
        </w:trPr>
        <w:tc>
          <w:tcPr>
            <w:tcW w:w="3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Tax expense (benefit)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Loss (gain), net of tax</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August 3, 2025</w:t>
            </w: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43"/>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May 3, 2026</w:t>
            </w: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May 3, 2026</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9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Indefinite-lived trademarks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6" w:lineRule="exact"/>
        <w:rPr>
          <w:sz w:val="20"/>
          <w:szCs w:val="20"/>
          <w:color w:val="auto"/>
        </w:rPr>
      </w:pPr>
    </w:p>
    <w:p>
      <w:pPr>
        <w:ind w:left="320" w:hanging="314"/>
        <w:spacing w:after="0" w:line="226" w:lineRule="auto"/>
        <w:tabs>
          <w:tab w:leader="none" w:pos="3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and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Stella D'oro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Archway</w:t>
      </w:r>
      <w:r>
        <w:rPr>
          <w:rFonts w:ascii="Times New Roman" w:cs="Times New Roman" w:eastAsia="Times New Roman" w:hAnsi="Times New Roman"/>
          <w:sz w:val="18"/>
          <w:szCs w:val="18"/>
          <w:color w:val="auto"/>
        </w:rPr>
        <w:t>, collectively referred to as our "Allied brands."</w:t>
      </w:r>
    </w:p>
    <w:p>
      <w:pPr>
        <w:spacing w:after="0" w:line="7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$10 million and $31 million for the three- and nine-month periods ended May 3, 2026, and $19 million and $58 million for the three- and nine-month periods ended April 27, 2025, respectively. Amortization expense for the three- and nine-month periods ended April 27, 2025 included accelerated amortization expense of $6 million and $20 million, respectively, on customer relationships, which began in the fourth quarter of 2023 due to the loss of certain contract manufacturing customers. As of May 3, 2026, amortizable intangible assets had a weighted-average remaining useful life of 18 years. Amortization expense is estimated to be approximately $40 million per year for each of the next five fiscal years.</w:t>
      </w:r>
    </w:p>
    <w:p>
      <w:pPr>
        <w:spacing w:after="0" w:line="4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 xml:space="preserve">As of the 2025 annual impairment testing, indefinite-lived trademarks with approximately 10% or less of excess coverage of fair value over carrying value had an aggregate carrying value of $2.587 billion and included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from the potential impact of tariffs, shifting global trade policies and geopolitical conflicts.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two operating segments, which are also our reportable segments, are as follows:</w:t>
      </w:r>
    </w:p>
    <w:p>
      <w:pPr>
        <w:spacing w:after="0" w:line="98" w:lineRule="exact"/>
        <w:rPr>
          <w:sz w:val="20"/>
          <w:szCs w:val="20"/>
          <w:color w:val="auto"/>
        </w:rPr>
      </w:pPr>
    </w:p>
    <w:p>
      <w:pPr>
        <w:jc w:val="both"/>
        <w:ind w:left="640" w:hanging="316"/>
        <w:spacing w:after="0" w:line="250" w:lineRule="auto"/>
        <w:tabs>
          <w:tab w:leader="none" w:pos="609"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Meals &amp; Beverages, which consists of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pasta;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as of March 12, 2024,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w:t>
      </w:r>
      <w:r>
        <w:rPr>
          <w:rFonts w:ascii="Times New Roman" w:cs="Times New Roman" w:eastAsia="Times New Roman" w:hAnsi="Times New Roman"/>
          <w:sz w:val="18"/>
          <w:szCs w:val="18"/>
          <w:i w:val="1"/>
          <w:iCs w:val="1"/>
          <w:color w:val="auto"/>
        </w:rPr>
        <w:t>Michael Angelo’s</w:t>
      </w:r>
      <w:r>
        <w:rPr>
          <w:rFonts w:ascii="Times New Roman" w:cs="Times New Roman" w:eastAsia="Times New Roman" w:hAnsi="Times New Roman"/>
          <w:sz w:val="18"/>
          <w:szCs w:val="18"/>
          <w:color w:val="auto"/>
        </w:rPr>
        <w:t xml:space="preserve"> frozen entrées and pasta sauces;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xml:space="preserve"> yogurts. The noosa yoghurt business was sold on February 24, 2025. The segment also includes snacking products in foodservice and Canada, and beginning in 2026, the snacking and meals and beverages retail business in Latin America; and</w:t>
      </w:r>
    </w:p>
    <w:p>
      <w:pPr>
        <w:spacing w:after="0" w:line="51" w:lineRule="exact"/>
        <w:rPr>
          <w:rFonts w:ascii="Arial" w:cs="Arial" w:eastAsia="Arial" w:hAnsi="Arial"/>
          <w:sz w:val="18"/>
          <w:szCs w:val="18"/>
          <w:color w:val="auto"/>
        </w:rPr>
      </w:pPr>
    </w:p>
    <w:p>
      <w:pPr>
        <w:jc w:val="both"/>
        <w:ind w:left="640" w:hanging="316"/>
        <w:spacing w:after="0" w:line="283" w:lineRule="auto"/>
        <w:tabs>
          <w:tab w:leader="none" w:pos="609"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other snacking products in retail in the U.S. The segment also included the results of our Pop Secret popcorn business, which was sold on August 26, 2024.</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Through the fourth quarter of 2025, the snacking and meals and beverages retail business in Latin America was managed under our Snacks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2026, the business is managed under our Meals &amp; Beverages segment. Segment results have been adjusted retrospectively to reflect this change.</w:t>
      </w:r>
    </w:p>
    <w:p>
      <w:pPr>
        <w:spacing w:after="0" w:line="8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refer to the following products as our "leadership brands":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stocks and canned poultry;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Pepperidge Farm cookies, crackers and 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p>
    <w:p>
      <w:pPr>
        <w:spacing w:after="0" w:line="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Our CODM uses segment operating earnings as the profit measure in evaluating segment performance during the annual plan and forecasting process and in monitoring actual performance versus plan. Segment operating earnings are comprised of earnings before interest, taxes and costs associated with restructuring activities, cost savings and optimization initiatives, impairment charges, accelerated amortization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and curtailment gains and losses are reflected in Corporate and not included in segment operating results. Asset information by segment is not discretely maintained for internal reporting or used in evaluating performance by the CODM.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6"/>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1"/>
                <w:szCs w:val="11"/>
                <w:color w:val="auto"/>
              </w:rPr>
            </w:pPr>
          </w:p>
        </w:tc>
        <w:tc>
          <w:tcPr>
            <w:tcW w:w="880" w:type="dxa"/>
            <w:vAlign w:val="bottom"/>
            <w:gridSpan w:val="3"/>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Meals &amp;</w:t>
            </w:r>
          </w:p>
        </w:tc>
        <w:tc>
          <w:tcPr>
            <w:tcW w:w="180" w:type="dxa"/>
            <w:vAlign w:val="bottom"/>
          </w:tcPr>
          <w:p>
            <w:pPr>
              <w:spacing w:after="0"/>
              <w:rPr>
                <w:sz w:val="11"/>
                <w:szCs w:val="11"/>
                <w:color w:val="auto"/>
              </w:rPr>
            </w:pPr>
          </w:p>
        </w:tc>
        <w:tc>
          <w:tcPr>
            <w:tcW w:w="720" w:type="dxa"/>
            <w:vAlign w:val="bottom"/>
            <w:gridSpan w:val="4"/>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103"/>
              <w:spacing w:after="0" w:line="133" w:lineRule="exact"/>
              <w:rPr>
                <w:sz w:val="20"/>
                <w:szCs w:val="20"/>
                <w:color w:val="auto"/>
              </w:rPr>
            </w:pPr>
            <w:r>
              <w:rPr>
                <w:rFonts w:ascii="Times New Roman" w:cs="Times New Roman" w:eastAsia="Times New Roman" w:hAnsi="Times New Roman"/>
                <w:sz w:val="14"/>
                <w:szCs w:val="14"/>
                <w:b w:val="1"/>
                <w:bCs w:val="1"/>
                <w:color w:val="auto"/>
              </w:rPr>
              <w:t>Meals &amp;</w:t>
            </w:r>
          </w:p>
        </w:tc>
        <w:tc>
          <w:tcPr>
            <w:tcW w:w="100" w:type="dxa"/>
            <w:vAlign w:val="bottom"/>
          </w:tcPr>
          <w:p>
            <w:pPr>
              <w:spacing w:after="0"/>
              <w:rPr>
                <w:sz w:val="11"/>
                <w:szCs w:val="11"/>
                <w:color w:val="auto"/>
              </w:rPr>
            </w:pPr>
          </w:p>
        </w:tc>
        <w:tc>
          <w:tcPr>
            <w:tcW w:w="10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80" w:type="dxa"/>
            <w:vAlign w:val="bottom"/>
          </w:tcPr>
          <w:p>
            <w:pPr>
              <w:spacing w:after="0"/>
              <w:rPr>
                <w:sz w:val="16"/>
                <w:szCs w:val="16"/>
                <w:color w:val="auto"/>
              </w:rPr>
            </w:pPr>
          </w:p>
        </w:tc>
        <w:tc>
          <w:tcPr>
            <w:tcW w:w="7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Corporate expense (income)</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6"/>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1"/>
                <w:szCs w:val="11"/>
                <w:color w:val="auto"/>
              </w:rPr>
            </w:pPr>
          </w:p>
        </w:tc>
        <w:tc>
          <w:tcPr>
            <w:tcW w:w="880" w:type="dxa"/>
            <w:vAlign w:val="bottom"/>
            <w:gridSpan w:val="3"/>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Meals &amp;</w:t>
            </w:r>
          </w:p>
        </w:tc>
        <w:tc>
          <w:tcPr>
            <w:tcW w:w="180" w:type="dxa"/>
            <w:vAlign w:val="bottom"/>
          </w:tcPr>
          <w:p>
            <w:pPr>
              <w:spacing w:after="0"/>
              <w:rPr>
                <w:sz w:val="11"/>
                <w:szCs w:val="11"/>
                <w:color w:val="auto"/>
              </w:rPr>
            </w:pPr>
          </w:p>
        </w:tc>
        <w:tc>
          <w:tcPr>
            <w:tcW w:w="720" w:type="dxa"/>
            <w:vAlign w:val="bottom"/>
            <w:gridSpan w:val="4"/>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103"/>
              <w:spacing w:after="0" w:line="133" w:lineRule="exact"/>
              <w:rPr>
                <w:sz w:val="20"/>
                <w:szCs w:val="20"/>
                <w:color w:val="auto"/>
              </w:rPr>
            </w:pPr>
            <w:r>
              <w:rPr>
                <w:rFonts w:ascii="Times New Roman" w:cs="Times New Roman" w:eastAsia="Times New Roman" w:hAnsi="Times New Roman"/>
                <w:sz w:val="14"/>
                <w:szCs w:val="14"/>
                <w:b w:val="1"/>
                <w:bCs w:val="1"/>
                <w:color w:val="auto"/>
              </w:rPr>
              <w:t>Meals &amp;</w:t>
            </w:r>
          </w:p>
        </w:tc>
        <w:tc>
          <w:tcPr>
            <w:tcW w:w="100" w:type="dxa"/>
            <w:vAlign w:val="bottom"/>
          </w:tcPr>
          <w:p>
            <w:pPr>
              <w:spacing w:after="0"/>
              <w:rPr>
                <w:sz w:val="11"/>
                <w:szCs w:val="11"/>
                <w:color w:val="auto"/>
              </w:rPr>
            </w:pPr>
          </w:p>
        </w:tc>
        <w:tc>
          <w:tcPr>
            <w:tcW w:w="10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80" w:type="dxa"/>
            <w:vAlign w:val="bottom"/>
          </w:tcPr>
          <w:p>
            <w:pPr>
              <w:spacing w:after="0"/>
              <w:rPr>
                <w:sz w:val="16"/>
                <w:szCs w:val="16"/>
                <w:color w:val="auto"/>
              </w:rPr>
            </w:pPr>
          </w:p>
        </w:tc>
        <w:tc>
          <w:tcPr>
            <w:tcW w:w="7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4,741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285</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Corporate expense (income)</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184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spacing w:after="0"/>
              <w:rPr>
                <w:sz w:val="19"/>
                <w:szCs w:val="19"/>
                <w:color w:val="auto"/>
              </w:rPr>
            </w:pPr>
          </w:p>
        </w:tc>
        <w:tc>
          <w:tcPr>
            <w:tcW w:w="7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5"/>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spacing w:after="0"/>
              <w:rPr>
                <w:sz w:val="19"/>
                <w:szCs w:val="19"/>
                <w:color w:val="auto"/>
              </w:rPr>
            </w:pPr>
          </w:p>
        </w:tc>
        <w:tc>
          <w:tcPr>
            <w:tcW w:w="7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85" w:lineRule="exact"/>
        <w:rPr>
          <w:sz w:val="20"/>
          <w:szCs w:val="20"/>
          <w:color w:val="auto"/>
        </w:rPr>
      </w:pPr>
    </w:p>
    <w:p>
      <w:pPr>
        <w:ind w:left="320" w:hanging="314"/>
        <w:spacing w:after="0" w:line="225"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for each of the reportable segments include marketing and selling expenses, administrative expenses, research and development expenses and expense for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ind w:left="320" w:hanging="314"/>
        <w:spacing w:after="0" w:line="242"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cost savings and optimization initiatives were $60 million and $112 million in the three- and nine-month periods ended May 3, 2026, and $25 million and $74 million in the three- and nine-month periods ended April 27, 2025, respectively. Unrealized mark-to-market adjustments on outstanding undesignated commodity hedges were gains of $6 million and $20 million in the three- and nine-month periods ended May 3, 2026, and losses of $10 million and gains of $8 million in the three- and nine-month periods ended April 27, 2025, respectively. Litigation expenses related to the Plum baby food and snacks business, which was divested on May 3, 2021, and certain other litigation matters were $11 million in the nine-month period ended May 3, 2026, and $4 million and $6 million in the three- and nine-month periods ended April 27, 2025, respectively. Costs associated with an acquisition were $2 million and $4 million in the three- and nine-month periods ended May 3, 2026, respectively. Pension actuarial and curtailment gains of $30 million were included in the three- and nine-month periods ended May 3, 2026 and a postretirement actuarial loss of $2 million was included in the nine-month period ended April 27, 2025. Insurance recoveries of $1 million related to a cybersecurity incident were included in the nine-month periods ended May 3, 2026 and April 27, 2025, respectively. Accelerated amortization expense related to customer relationship intangible assets was $6 million and $20 million in the three- and nine-month periods ended April 27, 2025, respectively. Intangible asset impairment charges were $150 million and $176 million in the three- and nine-month periods ended April 27, 2025, respectively. A loss on the sale of our Pop Secret popcorn business of $25 million was included in the nine-month period ended April 27, 2025.</w:t>
      </w:r>
    </w:p>
    <w:p>
      <w:pPr>
        <w:spacing w:after="0" w:line="4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for additional information.</w:t>
      </w:r>
    </w:p>
    <w:p>
      <w:pPr>
        <w:spacing w:after="0" w:line="67" w:lineRule="exact"/>
        <w:rPr>
          <w:rFonts w:ascii="Times New Roman" w:cs="Times New Roman" w:eastAsia="Times New Roman" w:hAnsi="Times New Roman"/>
          <w:sz w:val="23"/>
          <w:szCs w:val="23"/>
          <w:color w:val="auto"/>
          <w:vertAlign w:val="superscript"/>
        </w:rPr>
      </w:pPr>
    </w:p>
    <w:p>
      <w:pPr>
        <w:ind w:left="320" w:right="4420" w:hanging="314"/>
        <w:spacing w:after="0" w:line="276"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primarily corporate offices and enterprise-wide information technology systems. Our net sales based on product categories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pasta, frozen entrées, canned poultry, frozen pizza, gravies, beans and yogurts.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49" w:lineRule="exact"/>
        <w:rPr>
          <w:sz w:val="20"/>
          <w:szCs w:val="20"/>
          <w:color w:val="auto"/>
        </w:rPr>
      </w:pPr>
    </w:p>
    <w:p>
      <w:pPr>
        <w:ind w:right="4800" w:firstLine="6"/>
        <w:spacing w:after="0" w:line="346" w:lineRule="auto"/>
        <w:tabs>
          <w:tab w:leader="none" w:pos="17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Charges, Cost Savings Initiatives and Other Optimization Initiatives </w:t>
      </w:r>
      <w:r>
        <w:rPr>
          <w:rFonts w:ascii="Times New Roman" w:cs="Times New Roman" w:eastAsia="Times New Roman" w:hAnsi="Times New Roman"/>
          <w:sz w:val="18"/>
          <w:szCs w:val="18"/>
          <w:b w:val="1"/>
          <w:bCs w:val="1"/>
          <w:i w:val="1"/>
          <w:iCs w:val="1"/>
          <w:color w:val="auto"/>
        </w:rPr>
        <w:t>2025 Cost Savings Initiatives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As of July 28, 2024, we substantially completed our previous multi-year cost savings initiatives and Snyder's-Lance, Inc. cost transformation program and integration and had identified initial opportunities for cost synergies as we integrated Sovos Brands. Certain initiatives from those programs have been incorporated into our 2025 cost savings initiatives. In the third quarter of 2026, we commenced a voluntary early retirement program as part of our cost savings initiatives. The program was available to certain salaried employees who met age and length-of-service criteria. The eligible employees were entitled to receive severance pay and benefits, including enhanced pension benefits for certain employees. Substantially all electing employees will depart the company by December 2026. Cost estimates for the 2025 initiatives, as well as timing for certain activities, are continuing to be developed.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82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May 3,</w:t>
            </w:r>
          </w:p>
        </w:tc>
        <w:tc>
          <w:tcPr>
            <w:tcW w:w="0" w:type="dxa"/>
            <w:vAlign w:val="bottom"/>
          </w:tcPr>
          <w:p>
            <w:pPr>
              <w:spacing w:after="0"/>
              <w:rPr>
                <w:sz w:val="1"/>
                <w:szCs w:val="1"/>
                <w:color w:val="auto"/>
              </w:rPr>
            </w:pPr>
          </w:p>
        </w:tc>
      </w:tr>
      <w:tr>
        <w:trPr>
          <w:trHeight w:val="114"/>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9"/>
                <w:szCs w:val="9"/>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20" w:type="dxa"/>
            <w:vAlign w:val="bottom"/>
          </w:tcPr>
          <w:p>
            <w:pPr>
              <w:spacing w:after="0"/>
              <w:rPr>
                <w:sz w:val="9"/>
                <w:szCs w:val="9"/>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40" w:type="dxa"/>
            <w:vAlign w:val="bottom"/>
          </w:tcPr>
          <w:p>
            <w:pPr>
              <w:spacing w:after="0"/>
              <w:rPr>
                <w:sz w:val="9"/>
                <w:szCs w:val="9"/>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00" w:type="dxa"/>
            <w:vAlign w:val="bottom"/>
          </w:tcPr>
          <w:p>
            <w:pPr>
              <w:spacing w:after="0"/>
              <w:rPr>
                <w:sz w:val="9"/>
                <w:szCs w:val="9"/>
                <w:color w:val="auto"/>
              </w:rPr>
            </w:pPr>
          </w:p>
        </w:tc>
        <w:tc>
          <w:tcPr>
            <w:tcW w:w="12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w w:val="99"/>
              </w:rPr>
              <w:t>A summary of the cumulative pre-tax costs associated with the initiatives is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May 3,</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$310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$90 million in severance pay and benefits; approximately $55 million in asset impairment and accelerated depreciation; and approximately $165 million in implementation costs and other related costs. We expect these pre-tax costs to be associated with our segments as follows: Meals &amp; Beverages - approximately 54%; Snacks - approximately 26% and Corporate - approximately 20%.</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$310 million of pre-tax costs identified to date, we expect approximately $215 million will be cash expenditures. In addition, we expect to invest approximately $220 million in capital expenditures, of which we invested $208 million as of May 3, 2026.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Costs and Other</w:t>
            </w:r>
          </w:p>
        </w:tc>
        <w:tc>
          <w:tcPr>
            <w:tcW w:w="16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Cash Exit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4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Benefits</w:t>
            </w:r>
            <w:r>
              <w:rPr>
                <w:rFonts w:ascii="Times New Roman" w:cs="Times New Roman" w:eastAsia="Times New Roman" w:hAnsi="Times New Roman"/>
                <w:sz w:val="9"/>
                <w:szCs w:val="9"/>
                <w:b w:val="1"/>
                <w:bCs w:val="1"/>
                <w:color w:val="auto"/>
              </w:rPr>
              <w:t>(3)</w:t>
            </w:r>
          </w:p>
        </w:tc>
        <w:tc>
          <w:tcPr>
            <w:tcW w:w="142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89"/>
              </w:rPr>
              <w:t>Costs</w:t>
            </w:r>
            <w:r>
              <w:rPr>
                <w:rFonts w:ascii="Times New Roman" w:cs="Times New Roman" w:eastAsia="Times New Roman" w:hAnsi="Times New Roman"/>
                <w:sz w:val="18"/>
                <w:szCs w:val="18"/>
                <w:b w:val="1"/>
                <w:bCs w:val="1"/>
                <w:color w:val="auto"/>
                <w:w w:val="89"/>
                <w:vertAlign w:val="superscript"/>
              </w:rPr>
              <w:t>(4)</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(5)</w:t>
            </w: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4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Accrued balance at August 3, 2025</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2026 charges</w:t>
            </w:r>
          </w:p>
        </w:tc>
        <w:tc>
          <w:tcPr>
            <w:tcW w:w="120" w:type="dxa"/>
            <w:vAlign w:val="bottom"/>
          </w:tcPr>
          <w:p>
            <w:pPr>
              <w:spacing w:after="0"/>
              <w:rPr>
                <w:sz w:val="19"/>
                <w:szCs w:val="19"/>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spacing w:after="0"/>
              <w:rPr>
                <w:sz w:val="19"/>
                <w:szCs w:val="19"/>
                <w:color w:val="auto"/>
              </w:rPr>
            </w:pP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2026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3"/>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4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May 3, 2026</w:t>
            </w:r>
            <w:r>
              <w:rPr>
                <w:rFonts w:ascii="Times New Roman" w:cs="Times New Roman" w:eastAsia="Times New Roman" w:hAnsi="Times New Roman"/>
                <w:sz w:val="22"/>
                <w:szCs w:val="22"/>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0"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$14 million of severance pay and benefits recorded in Other liabilities in the Consolidated Balance Sheet.</w:t>
      </w:r>
    </w:p>
    <w:p>
      <w:pPr>
        <w:ind w:left="320" w:hanging="314"/>
        <w:spacing w:after="0" w:line="191"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special termination pension benefits offered under the voluntary early retirement program. See Note 10.</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costs that are not reflected in the restructuring reserve in the Consolidated Balance Sheet.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0"/>
                <w:szCs w:val="10"/>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0"/>
                <w:szCs w:val="10"/>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0"/>
                <w:szCs w:val="10"/>
                <w:color w:val="auto"/>
              </w:rPr>
            </w:pPr>
          </w:p>
        </w:tc>
        <w:tc>
          <w:tcPr>
            <w:tcW w:w="1260" w:type="dxa"/>
            <w:vAlign w:val="bottom"/>
          </w:tcPr>
          <w:p>
            <w:pPr>
              <w:jc w:val="right"/>
              <w:ind w:right="98"/>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5"/>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Optimization Initiatives</w:t>
      </w:r>
    </w:p>
    <w:p>
      <w:pPr>
        <w:spacing w:after="0" w:line="10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 and nine-month periods ended May 3, 2026, we incurred $2 million and $20 million in Marketing and selling expenses related to this initiative, respectively. In the three- and nine-month periods ended April 27, 2025, we incurred $9 million and $17 million in Marketing and selling expenses and $1 million in Administrative expenses related to this initiative, respectively. As of May 3, 2026, we have incurred $45 million in Marketing and selling expenses and $1 million in Administrative expenses related to this initiative.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 (EPS)</w:t>
      </w:r>
    </w:p>
    <w:p>
      <w:pPr>
        <w:spacing w:after="0" w:line="10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May 3, 2026 excludes approximately 1 million stock options that would have been antidilutive. The earnings per share calculation for the three- and nine-month periods ended April 27, 2025 excludes less than 1 million stock options that would have been antidilutive.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2"/>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April 27, 2025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April 27, 2025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April 27, 2025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April 27, 2025</w:t>
            </w:r>
          </w:p>
        </w:tc>
        <w:tc>
          <w:tcPr>
            <w:tcW w:w="0" w:type="dxa"/>
            <w:vAlign w:val="bottom"/>
          </w:tcPr>
          <w:p>
            <w:pPr>
              <w:spacing w:after="0"/>
              <w:rPr>
                <w:sz w:val="1"/>
                <w:szCs w:val="1"/>
                <w:color w:val="auto"/>
              </w:rPr>
            </w:pPr>
          </w:p>
        </w:tc>
      </w:tr>
      <w:tr>
        <w:trPr>
          <w:trHeight w:val="225"/>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Expected return on plan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 of prior</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Special termination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Curtailment losses (gains)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2"/>
        </w:trPr>
        <w:tc>
          <w:tcPr>
            <w:tcW w:w="19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special termination pension benefits for the three- and nine-month periods ended May 3, 2026 related to a voluntary early retirement program offered under our cost savings initiatives. See also Note 8.</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curtailment gains for three- and nine-month periods ended May 3, 2026 primarily related to plan amendments of certain pension plans to freeze future benefit accruals (other than interest credits on already accrued benefits), effective as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August 1, 2028, for certain salaried employees.</w:t>
      </w:r>
    </w:p>
    <w:p>
      <w:pPr>
        <w:spacing w:after="0" w:line="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actuarial gains for the three- and nine-month periods ended May 3, 2026 resulted from the remeasurement of certain pension plans in the third quarter due to plan amendments and activity under our cost savings initiatives. The actuarial gains were primarily due to gains on plan assets that exceeded the expected return, partially offset by decreases in the discount rates used to determine the benefit obligations. The actuarial loss for the nine-month period ended April 27, 2025 resulted from the remeasurement of our postretirement plan in the first quarter due to a plan amendment. The actuarial loss was primarily due to a decrease in the discount rate used to determine the benefit obligation.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25"/>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20" w:type="dxa"/>
            <w:vAlign w:val="bottom"/>
            <w:gridSpan w:val="5"/>
            <w:vMerge w:val="restart"/>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1"/>
                <w:szCs w:val="11"/>
                <w:color w:val="auto"/>
              </w:rPr>
            </w:pPr>
          </w:p>
        </w:tc>
        <w:tc>
          <w:tcPr>
            <w:tcW w:w="106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520" w:type="dxa"/>
            <w:vAlign w:val="bottom"/>
            <w:gridSpan w:val="5"/>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20" w:type="dxa"/>
            <w:vAlign w:val="bottom"/>
            <w:gridSpan w:val="5"/>
            <w:vMerge w:val="restart"/>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1"/>
                <w:szCs w:val="11"/>
                <w:color w:val="auto"/>
              </w:rPr>
            </w:pPr>
          </w:p>
        </w:tc>
        <w:tc>
          <w:tcPr>
            <w:tcW w:w="1060" w:type="dxa"/>
            <w:vAlign w:val="bottom"/>
          </w:tcPr>
          <w:p>
            <w:pPr>
              <w:jc w:val="center"/>
              <w:ind w:right="57"/>
              <w:spacing w:after="0" w:line="134"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520" w:type="dxa"/>
            <w:vAlign w:val="bottom"/>
            <w:gridSpan w:val="5"/>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99"/>
        </w:trPr>
        <w:tc>
          <w:tcPr>
            <w:tcW w:w="7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April 27, 2025</w:t>
            </w:r>
          </w:p>
        </w:tc>
        <w:tc>
          <w:tcPr>
            <w:tcW w:w="0" w:type="dxa"/>
            <w:vAlign w:val="bottom"/>
          </w:tcPr>
          <w:p>
            <w:pPr>
              <w:spacing w:after="0"/>
              <w:rPr>
                <w:sz w:val="1"/>
                <w:szCs w:val="1"/>
                <w:color w:val="auto"/>
              </w:rPr>
            </w:pPr>
          </w:p>
        </w:tc>
      </w:tr>
      <w:tr>
        <w:trPr>
          <w:trHeight w:val="21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3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3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3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3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3"/>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34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828"/>
        </w:trPr>
        <w:tc>
          <w:tcPr>
            <w:tcW w:w="5380" w:type="dxa"/>
            <w:vAlign w:val="bottom"/>
          </w:tcPr>
          <w:p>
            <w:pPr>
              <w:spacing w:after="0"/>
              <w:rPr>
                <w:sz w:val="24"/>
                <w:szCs w:val="24"/>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 Short-term Borrowings and Long-term Debt</w:t>
      </w:r>
    </w:p>
    <w:p>
      <w:pPr>
        <w:spacing w:after="0" w:line="10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December 15, 2025, pursuant to the registration statement, we completed the issuance of senior unsecured notes, consisting of $550 million aggregate principal amount of notes bearing interest at a fixed rate of 4.55% per annum, due March 21, 2031, with interest payable semi-annually on each of March 21 and September 21 commencing March 21, 2026. 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a portion of the net proceeds from the issuance of the notes to repay a portion of our outstanding commercial paper and used the remaining proceeds to repay existing indebtedness and for general corporate purposes. In March 2026, we used a portion of the net proceeds from the issuance of the notes along with cash on hand and the issuance of commercial paper to repay $400 million aggregate principal amount of senior notes that matured in March 2026.</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second quarter of 2026, we entered into fixed-to-floating interest rate swaps with a notional amount of $600 million. The instruments effectively convert a portion of our $800 million 4.75% Notes due March 23, 2035 from fixed-rate to variable-rate debt with interest based on the Secured Overnight Financing Rate (SOFR) plus a margin. See Note 13 for additional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May 3, 2026, or August 3, 2025.</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exposed to credit risk from our customers. During 2025, our largest customer accounted for approximately 21% of our consolidated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five largest customers accounted for approximately 47% of our consolidated net sales in 2025.</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$223 million as of May 3, 2026, and $183 million as of August 3, 2025.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$99 million as of May 3, 2026, and $413 million as of August 3,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8" w:name="page19"/>
    <w:bookmarkEnd w:id="18"/>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amount of $700 million at a gain of less than $1 million. The gain on these instruments was recorded in other comprehensive income (loss) and will be recognized in Interest expense over the life of the debt. There were no forward starting interest rate swaps or treasury lock contracts outstanding as of May 3, 2026 and August 3, 2025.</w:t>
      </w:r>
    </w:p>
    <w:p>
      <w:pPr>
        <w:spacing w:after="0" w:line="5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second quarter of 2026, we entered into fixed-to-floating interest rate swaps to hedge changes in the fair value of a portion of our previously issued senior unsecured notes attributable to the change in the benchmark interest rate. The instruments effectively convert a portion of our $800 million 4.75% Notes due March 23, 2035 from fixed-rate to variable-rate debt with interest based on SOFR plus a margin. The fixed-to-floating interest rate swaps are designated as fair-value hedges. Changes in the fair value of these instruments are recorded in Interest expense along with the offsetting changes in the fair value of the related hedged portion of long-term debt. The notional amount of fixed-to-floating interest rate swaps was $600 million as of May 3, 2026. There were no fixed-to-floating interest rate swaps outstanding as of August 3,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cocoa, aluminum, soybean meal and corn. Commodity futures, options and swap contracts are either designated as cash-flow hedging instruments or are undesignated. We hedge a portion of commodity requirements for periods typically up to 18 months. There were no commodity contracts designated as cash-flow hedges as of May 3, 2026, or August 3, 2025. The notional amount of commodity contracts not designated as accounting hedges was $90 million as of May 3, 2026, and $184 million as of August 3, 2025. The change in fair value on undesignated instruments is recorded in Cost of products sold.</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$58 million as of May 3, 2026, and $49 million as of August 3, 2025.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$76 million as of May 3, 2026, and August 3, 2025.</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a gross basis as recorded in the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0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5"/>
        </w:trPr>
        <w:tc>
          <w:tcPr>
            <w:tcW w:w="48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0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161"/>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20" w:type="dxa"/>
            <w:vAlign w:val="bottom"/>
          </w:tcPr>
          <w:p>
            <w:pPr>
              <w:spacing w:after="0"/>
              <w:rPr>
                <w:sz w:val="13"/>
                <w:szCs w:val="13"/>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Fixed-to-floating interest rate swaps</w:t>
            </w: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5"/>
        </w:trPr>
        <w:tc>
          <w:tcPr>
            <w:tcW w:w="4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May 3, 2026, and August 3, 2025,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A cash margin asset balance of less than $1 million at May 3, 2026, and a liability balance of less than $1 million at August 3, 2025, were included in Other current assets and Accrued liabilities, respectively,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in other comprehensive income (loss) (OCI)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 Cash-flow Hedge</w:t>
            </w:r>
          </w:p>
        </w:tc>
      </w:tr>
      <w:tr>
        <w:trPr>
          <w:trHeight w:val="192"/>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OCI Activity</w:t>
            </w:r>
          </w:p>
        </w:tc>
      </w:tr>
      <w:tr>
        <w:trPr>
          <w:trHeight w:val="192"/>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172"/>
        </w:trPr>
        <w:tc>
          <w:tcPr>
            <w:tcW w:w="61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40"/>
        </w:trPr>
        <w:tc>
          <w:tcPr>
            <w:tcW w:w="154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76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5"/>
        </w:trPr>
        <w:tc>
          <w:tcPr>
            <w:tcW w:w="618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76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6180" w:type="dxa"/>
            <w:vAlign w:val="bottom"/>
            <w:tcBorders>
              <w:top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80" w:type="dxa"/>
            <w:vAlign w:val="bottom"/>
            <w:tcBorders>
              <w:top w:val="single" w:sz="8" w:color="CCEEFF"/>
            </w:tcBorders>
            <w:gridSpan w:val="2"/>
          </w:tcPr>
          <w:p>
            <w:pPr>
              <w:spacing w:after="0"/>
              <w:rPr>
                <w:sz w:val="19"/>
                <w:szCs w:val="19"/>
                <w:color w:val="auto"/>
              </w:rPr>
            </w:pPr>
          </w:p>
        </w:tc>
        <w:tc>
          <w:tcPr>
            <w:tcW w:w="11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15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5"/>
        </w:trPr>
        <w:tc>
          <w:tcPr>
            <w:tcW w:w="154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464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760" w:type="dxa"/>
            <w:vAlign w:val="bottom"/>
            <w:gridSpan w:val="3"/>
            <w:shd w:val="clear" w:color="auto" w:fill="CCEEFF"/>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76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80" w:type="dxa"/>
            <w:vAlign w:val="bottom"/>
            <w:gridSpan w:val="2"/>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1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$5 million.</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in which the effects of derivative instruments designated as cash-flow and fair-value hedges are recorded and the total effect of hedge activity on these line items: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13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tcPr>
          <w:p>
            <w:pPr>
              <w:spacing w:after="0"/>
              <w:rPr>
                <w:sz w:val="11"/>
                <w:szCs w:val="11"/>
                <w:color w:val="auto"/>
              </w:rPr>
            </w:pPr>
          </w:p>
        </w:tc>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340" w:type="dxa"/>
            <w:vAlign w:val="bottom"/>
          </w:tcPr>
          <w:p>
            <w:pPr>
              <w:spacing w:after="0"/>
              <w:rPr>
                <w:sz w:val="11"/>
                <w:szCs w:val="11"/>
                <w:color w:val="auto"/>
              </w:rPr>
            </w:pPr>
          </w:p>
        </w:tc>
        <w:tc>
          <w:tcPr>
            <w:tcW w:w="84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1"/>
        </w:trPr>
        <w:tc>
          <w:tcPr>
            <w:tcW w:w="50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3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4"/>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1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fair-value hedges: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recognized on hedged item in earnings</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of loss (gain) on derivative recognized in earnings</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13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tcPr>
          <w:p>
            <w:pPr>
              <w:spacing w:after="0"/>
              <w:rPr>
                <w:sz w:val="11"/>
                <w:szCs w:val="11"/>
                <w:color w:val="auto"/>
              </w:rPr>
            </w:pPr>
          </w:p>
        </w:tc>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340" w:type="dxa"/>
            <w:vAlign w:val="bottom"/>
          </w:tcPr>
          <w:p>
            <w:pPr>
              <w:spacing w:after="0"/>
              <w:rPr>
                <w:sz w:val="11"/>
                <w:szCs w:val="11"/>
                <w:color w:val="auto"/>
              </w:rPr>
            </w:pPr>
          </w:p>
        </w:tc>
        <w:tc>
          <w:tcPr>
            <w:tcW w:w="84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1"/>
        </w:trPr>
        <w:tc>
          <w:tcPr>
            <w:tcW w:w="50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3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4"/>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1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fair-value hedges: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recognized on hedged item in earnings</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of loss (gain) on derivative recognized in earnings</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2"/>
        </w:trPr>
        <w:tc>
          <w:tcPr>
            <w:tcW w:w="5000" w:type="dxa"/>
            <w:vAlign w:val="bottom"/>
          </w:tcPr>
          <w:p>
            <w:pPr>
              <w:spacing w:after="0"/>
              <w:rPr>
                <w:sz w:val="24"/>
                <w:szCs w:val="24"/>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location of the amounts recorded in the Consolidated Balance Sheets related to the cumulative fair value basis adjustments for fair-value hedges: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Cumulative Amount of Fair-value</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272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 of Hedged Liabilities</w:t>
            </w:r>
          </w:p>
        </w:tc>
        <w:tc>
          <w:tcPr>
            <w:tcW w:w="2360" w:type="dxa"/>
            <w:vAlign w:val="bottom"/>
            <w:gridSpan w:val="4"/>
          </w:tcPr>
          <w:p>
            <w:pPr>
              <w:jc w:val="center"/>
              <w:ind w:right="43"/>
              <w:spacing w:after="0" w:line="144" w:lineRule="exact"/>
              <w:rPr>
                <w:sz w:val="20"/>
                <w:szCs w:val="20"/>
                <w:color w:val="auto"/>
              </w:rPr>
            </w:pPr>
            <w:r>
              <w:rPr>
                <w:rFonts w:ascii="Times New Roman" w:cs="Times New Roman" w:eastAsia="Times New Roman" w:hAnsi="Times New Roman"/>
                <w:sz w:val="14"/>
                <w:szCs w:val="14"/>
                <w:b w:val="1"/>
                <w:bCs w:val="1"/>
                <w:color w:val="auto"/>
              </w:rPr>
              <w:t>Hedging Loss (Gain) Included in the</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720" w:type="dxa"/>
            <w:vAlign w:val="bottom"/>
            <w:gridSpan w:val="7"/>
            <w:vMerge w:val="continue"/>
          </w:tcPr>
          <w:p>
            <w:pPr>
              <w:spacing w:after="0"/>
              <w:rPr>
                <w:sz w:val="16"/>
                <w:szCs w:val="16"/>
                <w:color w:val="auto"/>
              </w:rPr>
            </w:pPr>
          </w:p>
        </w:tc>
        <w:tc>
          <w:tcPr>
            <w:tcW w:w="2360" w:type="dxa"/>
            <w:vAlign w:val="bottom"/>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3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43"/>
              <w:spacing w:after="0" w:line="134"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3"/>
              <w:spacing w:after="0" w:line="134"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6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583</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26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13"/>
                <w:szCs w:val="13"/>
                <w:color w:val="auto"/>
              </w:rPr>
            </w:pPr>
          </w:p>
        </w:tc>
        <w:tc>
          <w:tcPr>
            <w:tcW w:w="10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191"/>
        </w:trPr>
        <w:tc>
          <w:tcPr>
            <w:tcW w:w="3380" w:type="dxa"/>
            <w:vAlign w:val="bottom"/>
            <w:vMerge w:val="continue"/>
          </w:tcPr>
          <w:p>
            <w:pPr>
              <w:spacing w:after="0"/>
              <w:rPr>
                <w:sz w:val="16"/>
                <w:szCs w:val="16"/>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present our financial assets and liabilities that are measured at fair value on a recurring basis consistent with the fair value hierarchy: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9"/>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gridSpan w:val="7"/>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3, 2026 Using</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August 3, 2025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May 3, 2026</w:t>
            </w:r>
          </w:p>
        </w:tc>
        <w:tc>
          <w:tcPr>
            <w:tcW w:w="22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200" w:type="dxa"/>
            <w:vAlign w:val="bottom"/>
          </w:tcPr>
          <w:p>
            <w:pPr>
              <w:spacing w:after="0"/>
              <w:rPr>
                <w:sz w:val="16"/>
                <w:szCs w:val="16"/>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8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8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4"/>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9"/>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May 3, 2026 Using</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6"/>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August 3, 2025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3"/>
            <w:vMerge w:val="restart"/>
          </w:tcPr>
          <w:p>
            <w:pPr>
              <w:jc w:val="center"/>
              <w:ind w:right="32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May 3, 2026</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gridSpan w:val="3"/>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4"/>
                <w:szCs w:val="14"/>
                <w:color w:val="auto"/>
              </w:rPr>
            </w:pPr>
          </w:p>
        </w:tc>
        <w:tc>
          <w:tcPr>
            <w:tcW w:w="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Fixed-to-floating</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2"/>
                <w:szCs w:val="22"/>
                <w:color w:val="auto"/>
                <w:vertAlign w:val="superscript"/>
              </w:rPr>
              <w:t>(5)</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gridSpan w:val="2"/>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80" w:type="dxa"/>
            <w:vAlign w:val="bottom"/>
            <w:gridSpan w:val="3"/>
          </w:tcPr>
          <w:p>
            <w:pPr>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equity and fixed income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SOFR swap rates.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60" w:type="dxa"/>
            <w:vAlign w:val="bottom"/>
          </w:tcPr>
          <w:p>
            <w:pPr>
              <w:spacing w:after="0"/>
              <w:rPr>
                <w:sz w:val="19"/>
                <w:szCs w:val="19"/>
                <w:color w:val="auto"/>
              </w:rPr>
            </w:pPr>
          </w:p>
        </w:tc>
        <w:tc>
          <w:tcPr>
            <w:tcW w:w="1040" w:type="dxa"/>
            <w:vAlign w:val="bottom"/>
          </w:tcPr>
          <w:p>
            <w:pPr>
              <w:jc w:val="center"/>
              <w:ind w:left="698"/>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695"/>
              <w:spacing w:after="0"/>
              <w:rPr>
                <w:sz w:val="20"/>
                <w:szCs w:val="20"/>
                <w:color w:val="auto"/>
              </w:rPr>
            </w:pPr>
            <w:r>
              <w:rPr>
                <w:rFonts w:ascii="Times New Roman" w:cs="Times New Roman" w:eastAsia="Times New Roman" w:hAnsi="Times New Roman"/>
                <w:sz w:val="18"/>
                <w:szCs w:val="18"/>
                <w:color w:val="auto"/>
                <w:w w:val="95"/>
              </w:rPr>
              <w:t>(6)</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21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 Cash equivalents represent fair value as these highly liquid investments have an original maturity of three months or less. There were no cash equivalents with fair value based on Level 2 inputs at May 3, 2026, and August 3, 2025.</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$6.479 billion at May 3, 2026, and $6.545 billion at August 3, 2025. The carrying value was $7.01 billion at May 3, 2026, and $6.857 billion at August 3, 2025.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nine-month periods ended May 3, 2026 and April 27, 2025, we repurchased 805 thousand shares at a cost of $26 million and 1.247 million shares at a cost of $60 million, respectively, pursuant to our anti-dilutive share repurchase programs. As of May 3, 2026, approximately $172 million remained available under the September 2024 program and approximately $301 million remained available under the September 2021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performance restricted stock units subject to a relative total shareholder return (TSR) modifier, performance restricted stock units and TSR performance restricted stock units). In 2026, we issued time-lapse restricted stock units, unrestricted stock, and performance restricted stock units subject to a TSR modifier. We last issued TSR performance restricted stock units and performance restricted stock units in 2025 and stock options in 2019.</w:t>
      </w:r>
    </w:p>
    <w:p>
      <w:pPr>
        <w:spacing w:after="0" w:line="6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connection with the Sovos Brands acquisition, in the third quarter of 2024, we issued time-lapse restricted stock units (Replacement units) in exchange for certain Sovos Brands restricted stock units and performance restricted stock units. The Replacement units were subject to the same terms and conditions of the original Sovos Brands restricted stock units and performance restricted stock units. Certain Replacement units were subject to accelerated vesting.</w:t>
      </w:r>
    </w:p>
    <w:p>
      <w:pPr>
        <w:spacing w:after="0" w:line="4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180" w:type="dxa"/>
            <w:vAlign w:val="bottom"/>
            <w:gridSpan w:val="4"/>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2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20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3,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50.21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May 3,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44.84</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May 3, 2026</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44.84</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 options were exercised during the nine-month period ended April 27, 2025.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3,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May 3,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2022 through 2025, we granted performance restricted stock units that will be earned upon the achievement of our EPS compound annual growth rate goal, measured over a three-year period. The actual number of the performance restricted stock units issued at the vesting date could range from 0% to 200% of the initial grant depending on performance achieved. The fair value of the performance restricted stock units was based upon the quoted price of our stock at the date of grant. We expense performance restricted stock units on a straight-line basis over the service period, except for awards issued to retirement-eligible participants, which we expense on an accelerated basis. We estimate expense based on the number of awards expected to vest. In the first quarter of 2026, recipients of the performance restricted stock units earned 48% of the initial grants based upon performance achieved during a three-year period ended August 3, 2025. In the first quarter of 2025, recipients of the performance restricted stock units earned 100% of the initial grants based upon performance achieved during a three-year period ended July 28, 2024. There were 516 thousand of the performance target grants outstanding at May 3, 2026, with a weighted-average grant-date fair value of $44.28.</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May 3, 2026, total remaining unearned compensation related to nonvested time-lapse restricted stock units and performance restricted stock units was $49 million, which will be amortized over the weighted-average remaining service period of 1.9 years. The fair value of time-lapse and performance restricted stock units vested during the nine-month periods ended May 3, 2026, and April 27, 2025, was $36 million and $68 million, respectively. The weighted-average grant-date fair value of the time-lapse and performance restricted stock units granted during the nine-month period ended April 27, 2025 was $47.97.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color w:val="auto"/>
        </w:rPr>
        <w:t>The following table summarizes performance restricted stock units subject to a TSR modifier and TSR performance restricted stock units activity: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4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3,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May 3,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estimated the fair value of performance restricted stock units subject to a TSR modifier and TSR performance restricted stock units at the grant date using a Monte Carlo simulation.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Weighted-average assumptions used in the Monte Carlo simulation for grants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6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86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86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22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3.56%</w:t>
            </w: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4.80%</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3.06%</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23.76%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22.43%</w:t>
            </w: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2026, we granted performance restricted stock units that will be earned upon the achievement of our annual EPS and organic net sales growth rate goals during a three-year period subject to a relative TSR modifier. The number of units earned based upon the achievement of each growth rate goal may be further increased or reduced based upon our TSR ranking during a three-year period compared to the respective TSR of companies in a performance peer group. The actual number of performance restricted stock units subject to a TSR modifier ultimately issued at the vesting date could range from 0% to 250% of the initial grant depending on performance achieved.</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expense performance restricted stock units subject to a TSR modifier and TSR performance restricted stock units on a straight-line basis over the service period, except for awards issued to retirement eligible participants, which we expense on an accelerated basis. As of May 3, 2026, total remaining unearned compensation related to performance restricted stock units subject to a TSR modifier and TSR performance restricted stock units was $17 million, which will be amortized over the weighted-average remaining service period of 2.0 years. In the first quarter of 2026, recipients of TSR performance restricted stock units earned 50% of the initial grants based upon our TSR ranking in a performance peer group during a three-year period ended August 1, 2025.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The fair value of TSR performance restricted stock units vested during the nine-month periods ended May 3, 2026, and April 27, 2025, was $4 million and $23 million, respectively. The weighted-average grant-date fair value of the TSR performance restricted stock units granted during the nine-month period ended April 27, 2025, was $45.23.</w:t>
      </w:r>
    </w:p>
    <w:p>
      <w:pPr>
        <w:spacing w:after="0" w:line="151" w:lineRule="exact"/>
        <w:rPr>
          <w:sz w:val="20"/>
          <w:szCs w:val="20"/>
          <w:color w:val="auto"/>
        </w:rPr>
      </w:pPr>
    </w:p>
    <w:p>
      <w:pPr>
        <w:ind w:right="8460" w:firstLine="6"/>
        <w:spacing w:after="0" w:line="367" w:lineRule="auto"/>
        <w:tabs>
          <w:tab w:leader="none" w:pos="26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6" w:name="page27"/>
    <w:bookmarkEnd w:id="26"/>
    <w:p>
      <w:pPr>
        <w:jc w:val="both"/>
        <w:spacing w:after="0" w:line="274" w:lineRule="auto"/>
        <w:rPr>
          <w:sz w:val="20"/>
          <w:szCs w:val="20"/>
          <w:color w:val="auto"/>
        </w:rPr>
      </w:pPr>
      <w:r>
        <w:rPr>
          <w:rFonts w:ascii="Times New Roman" w:cs="Times New Roman" w:eastAsia="Times New Roman" w:hAnsi="Times New Roman"/>
          <w:sz w:val="18"/>
          <w:szCs w:val="18"/>
          <w:color w:val="auto"/>
        </w:rPr>
        <w:t>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18"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litigation proceedings are ongoing.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6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May 3, 2026.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May 3,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$253 million at May 3, 2026 and $240 million at August 3,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Supplemental Financial Statement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Pr>
          <w:p>
            <w:pPr>
              <w:spacing w:after="0"/>
              <w:rPr>
                <w:sz w:val="16"/>
                <w:szCs w:val="16"/>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0" w:type="dxa"/>
            <w:vAlign w:val="bottom"/>
          </w:tcPr>
          <w:p>
            <w:pPr>
              <w:spacing w:after="0"/>
              <w:rPr>
                <w:sz w:val="1"/>
                <w:szCs w:val="1"/>
                <w:color w:val="auto"/>
              </w:rPr>
            </w:pPr>
          </w:p>
        </w:tc>
      </w:tr>
      <w:tr>
        <w:trPr>
          <w:trHeight w:val="24"/>
        </w:trPr>
        <w:tc>
          <w:tcPr>
            <w:tcW w:w="4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4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5"/>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4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2772"/>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42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2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Impairment of intangible assets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Net periodic benefit expense (income) other than the service cost</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Loss on sales of businesses</w:t>
            </w:r>
            <w:r>
              <w:rPr>
                <w:rFonts w:ascii="Times New Roman" w:cs="Times New Roman" w:eastAsia="Times New Roman" w:hAnsi="Times New Roman"/>
                <w:sz w:val="22"/>
                <w:szCs w:val="22"/>
                <w:color w:val="auto"/>
                <w:vertAlign w:val="superscript"/>
              </w:rPr>
              <w:t>(5)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6" w:lineRule="exact"/>
        <w:rPr>
          <w:sz w:val="20"/>
          <w:szCs w:val="20"/>
          <w:color w:val="auto"/>
        </w:rPr>
      </w:pPr>
    </w:p>
    <w:p>
      <w:pPr>
        <w:jc w:val="both"/>
        <w:ind w:left="320" w:hanging="314"/>
        <w:spacing w:after="0" w:line="232"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 the third quarter of 2025, we recognized an impairment charge of $150 million on our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In the second quarter of 2025, we recognized an impairment charge of $15 million on our Allied brands trademarks and an impairment charge of $11 million on our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w:t>
      </w:r>
    </w:p>
    <w:p>
      <w:pPr>
        <w:spacing w:after="0" w:line="35"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$6 million and $20 million in the three- and nine-month periods ended April 27, 2025.</w:t>
      </w:r>
    </w:p>
    <w:p>
      <w:pPr>
        <w:sectPr>
          <w:pgSz w:w="11900" w:h="16838" w:orient="portrait"/>
          <w:cols w:equalWidth="0" w:num="1">
            <w:col w:w="11240"/>
          </w:cols>
          <w:pgMar w:left="320" w:top="1003" w:right="339" w:bottom="1440" w:gutter="0" w:footer="0" w:header="0"/>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special termination pension benefits in the three- and nine-month periods ended May 3, 2026. See Note 10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w:t>
      </w:r>
    </w:p>
    <w:p>
      <w:pPr>
        <w:spacing w:after="0" w:line="25" w:lineRule="exact"/>
        <w:rPr>
          <w:sz w:val="20"/>
          <w:szCs w:val="20"/>
          <w:color w:val="auto"/>
        </w:rPr>
      </w:pPr>
    </w:p>
    <w:p>
      <w:pPr>
        <w:sectPr>
          <w:pgSz w:w="11900" w:h="16838" w:orient="portrait"/>
          <w:cols w:equalWidth="0" w:num="2">
            <w:col w:w="140" w:space="180"/>
            <w:col w:w="10920"/>
          </w:cols>
          <w:pgMar w:left="320" w:top="1003" w:right="339" w:bottom="1440" w:gutter="0" w:footer="0" w:header="0"/>
          <w:type w:val="continuous"/>
        </w:sectPr>
      </w:pPr>
    </w:p>
    <w:p>
      <w:pPr>
        <w:ind w:left="320" w:hanging="314"/>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3, 2025,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The Campbell's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On February 24, 2025, we completed the sale of our noosa yoghurt business. For additional information on the divestitures, see Note 4 to the Consolidated Financial Statements.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Through the fourth quarter of 2025, the snacking and meals and beverages retail business in Latin America was managed under our Snacks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2026, the business is managed under our Meals &amp; Beverages segment. Segment results have been adjusted retrospectively to reflect this change.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tomato-based pasta sauces. The aggregate consideration for the transaction is $286 million to be paid in two tranches. Subsequent to the end of the third quarter, we acquired the 49% interests in La Regina on May 4, 2026 for $146 million in cash. The remaining 51% of the outstanding equity interests of La Regina are subject to a call option granted to us and a put option granted to La Regina. For additional information on this transaction, see our Form 8-K filed with the U.S. Securities and Exchange Commission on December 9, 2025, and Note 3 to the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0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industry continues to navigate a dynamic operating and regulatory environment driven by commodity cost volatility, supply chain pressures, tariffs and shifting global trade policies, evolving consumer purchasing and spending patterns and other economic uncertainties. On a year-to-date basis, through the third quarter, we have experienced elevated input cost inflation, impacts from tariffs and other supply chain costs. We expect elevated inflationary pressures to persist through the remainder of 2026 and anticipate the need to benefit from continued supply chain productivity, cost savings initiatives and tariff mitigation efforts to offset some of these costs. We expect consumer trends to continue to evolve and our volumes to improve over time; however, shifting consumer behaviors, economic pressures, and the challenges of persistent inflation may continue to negatively impact our volumes throughout 2026. Although we have no operations in the Middle East, the ongoing geopolitical conflicts in that region, including between Iran and the United States, have caused significant disruption to energy supplies and increases in global energy prices, which has heightened inflationary pressures, disrupted global supply chains and adversely impacted consumer spending patterns. As the situation is rapidly changing, we will continue to evaluate the evolving macroeconomic environment and take actions to mitigate the impact on our business, consolidated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4% in the quarter to $2.366 billion primarily due to unfavorable volume/mix and the impact of the noosa divestiture, partially offset by favorable net price realization.</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27.5% in 2026 compared to 29.4% in the prior-year quarter. The decrease was primarily due to the gross impact of tariffs and the impact of cost inflation and other supply chain costs, partially offset by benefits from supply chain productivity improvements and favorable net price realization.</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$.41 in 2026, compared to $.22 in the prior-year quarter. The current quarter included expenses of $.09 per share and the prior-year quarter included expenses of $.51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The Campbell's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8"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third quarter of 2026, we recorded Restructuring charges of $9 million and implementation costs and other related costs of $38 million in Other expenses / (income), $12 million in Cost of products sold, $6 million in Administrative expenses, $1 million in Marketing and selling expenses and $1 million in Research and development expenses related to these initiatives. In the third quarter of 2025, we recorded Restructuring charges of $6 million and implementation costs and other related costs of $7 million in Cost of products sold, $7 million in Administrative expenses, and $1 million in Research and development expenses related to these initiatives. Year-to-date in 2026, we recorded Restructuring charges of $15 million and implementation costs and other related costs of $38 million in Other expenses / (income), $28 million in Cost of products sold, $21 million in Administrative expenses, $3 million in Marketing and selling expenses and $2 million in Research and development expenses related to these initiatives. Year-to-date in 2025, we recorded Restructuring charges of $17 million and implementation costs and other related costs of $26 million in Administrative expenses, $25 million in Cost of products sold, $3 million in Research and development expenses and $2 million in Marketing and selling expenses related to these initiatives.</w:t>
      </w:r>
    </w:p>
    <w:p>
      <w:pPr>
        <w:spacing w:after="0" w:line="73" w:lineRule="exact"/>
        <w:rPr>
          <w:rFonts w:ascii="Times New Roman" w:cs="Times New Roman" w:eastAsia="Times New Roman" w:hAnsi="Times New Roman"/>
          <w:sz w:val="18"/>
          <w:szCs w:val="18"/>
          <w:color w:val="auto"/>
        </w:rPr>
      </w:pPr>
    </w:p>
    <w:p>
      <w:pPr>
        <w:jc w:val="both"/>
        <w:ind w:left="6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began implementation of an optimization initiative to improve the effectiveness of our Snacks direct-store-delivery route-to-market network. In the third quarter of 2026, we recognized $2 million in Marketing and selling expenses related to this initiative. In the third quarter of 2025, we recognized $9 million in Marketing and selling expenses and $1 million in Administrative expenses related to this initiative. Year-to-date in 2026, we recognized $20 million in Marketing and selling expenses related to this initiative. Year-to-date in 2025, we recognized $17 million in Marketing and selling expenses and $1 million in Administrative expenses related to this initiative.</w:t>
      </w:r>
    </w:p>
    <w:p>
      <w:pPr>
        <w:spacing w:after="0" w:line="52"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2026, the total aggregate impact related to the cost savings and optimization initiatives was $69 million ($52 million after tax, or $.17 per share). In the third quarter of 2025, the total aggregate impact related to the cost savings and optimization initiatives was $31 million ($24 million after tax, or $.08 per share). Year-to-date in 2026, the total aggregate impact related to the cost savings and optimization initiatives was $127 million ($96 million after tax, or $.32 per share). Year-to-date in 2025, the total aggregate impact related to the cost savings and optimization initiatives was $91 million ($70 million after tax, or $.23 per share). See Note 8 to the Consolidated Financial Statements and "Restructuring Charges, Cost Savings Initiatives and Other Optimization Initiatives" for additional information;</w:t>
      </w:r>
    </w:p>
    <w:p>
      <w:pPr>
        <w:spacing w:after="0" w:line="65"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2026, we recognized gains in Cost of products sold of $6 million ($5 million after tax, or $.02 per share) associated with unrealized mark-to-market adjustments on outstanding undesignated commodity hedges. In the third quarter of 2025, we recognized losses in Cost of products sold of $10 million ($7 million after tax, or $.02 per share) associated with unrealized mark-to-market adjustments on outstanding undesignated commodity hedges. Year-to-date in 2026, we recognized gains in Cost of products sold of $20 million ($15 million after tax, or $.05 per share) associated with unrealized mark-to-market adjustments on outstanding undesignated commodity hedges. Year-to-date in 2025, we recognized gains in Cost of products sold of $8 million ($6 million after tax, or $.02 per share) associated with unrealized mark-to-market adjustments on outstanding undesignated commodity hedges;</w:t>
      </w:r>
    </w:p>
    <w:p>
      <w:pPr>
        <w:spacing w:after="0" w:line="6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2026, we recognized actuarial and curtailment gains in Other expenses / (income) of $30 million ($23 million after tax, or $.08 per share). The actuarial and curtailment gains were related to interim remeasurements of certain pension plans due to plan amendments and activity under our cost savings initiatives. Year-to-date in 2025, we recognized an actuarial loss in Other expenses / (income) of $2 million ($1 million after tax) related to an interim remeasurement of our postretirement plan due to a plan amendment;</w:t>
      </w:r>
    </w:p>
    <w:p>
      <w:pPr>
        <w:spacing w:after="0" w:line="4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we entered into purchase agreements to acquire 49% of the issued and outstanding equity interests of La Regina. Subsequent to the end of the third quarter, the acquisition was completed on May 4, 2026. In the third quarter of 2026, we recognized costs associated with the acquisition in Other expenses / (income) of $2 million ($2 million after tax, or $.01 per share). Year-to-date in 2026, we recognized costs associated with the acquisition in Other expenses / (income) of $4 million ($4 million after tax, or $.01 per share);</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2026, we recorded litigation expenses in Administrative expenses of $11 million ($8 million after tax, or $.03 per share) related to the Plum baby food and snacks business (Plum), which was divested on May 3, 2021, and certain other litigation matters. In the third quarter of 2025, we recorded litigation expenses in Administrative expenses of $4 million ($4 million after tax, or $.01 per share) related to Plum and certain other litigation matters. Year-to-date in 2025, we recorded litigation expenses in Administrative expenses of $6 million ($6 million after tax, or $.02 per share) related to Plum and certain other litigation matters;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0" w:name="page31"/>
    <w:bookmarkEnd w:id="30"/>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2026 and 2025, we recognized insurance recoveries in Administrative expenses of $1 million ($1 million after tax) related to a cybersecurity incident that was identified in the fourth quarter of 2023;</w:t>
      </w:r>
    </w:p>
    <w:p>
      <w:pPr>
        <w:spacing w:after="0" w:line="28"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third quarter of 2025, the company performed an interim impairment assessment on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within the Snacks segment and recognized an impairment charge of $150 million ($112 million after tax, or $.37 per share) on the trademark.</w:t>
      </w:r>
    </w:p>
    <w:p>
      <w:pPr>
        <w:spacing w:after="0" w:line="42" w:lineRule="exact"/>
        <w:rPr>
          <w:rFonts w:ascii="Times New Roman" w:cs="Times New Roman" w:eastAsia="Times New Roman" w:hAnsi="Times New Roman"/>
          <w:sz w:val="18"/>
          <w:szCs w:val="18"/>
          <w:color w:val="auto"/>
        </w:rPr>
      </w:pPr>
    </w:p>
    <w:p>
      <w:pPr>
        <w:jc w:val="both"/>
        <w:ind w:left="6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our "Allied brands," and recognized an impairment charge of $15 million on the trademarks.</w:t>
      </w:r>
    </w:p>
    <w:p>
      <w:pPr>
        <w:spacing w:after="0" w:line="56" w:lineRule="exact"/>
        <w:rPr>
          <w:rFonts w:ascii="Times New Roman" w:cs="Times New Roman" w:eastAsia="Times New Roman" w:hAnsi="Times New Roman"/>
          <w:sz w:val="18"/>
          <w:szCs w:val="18"/>
          <w:color w:val="auto"/>
        </w:rPr>
      </w:pPr>
    </w:p>
    <w:p>
      <w:pPr>
        <w:ind w:left="6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and recognized an impairment charge of $11 million on the trademark.</w:t>
      </w:r>
    </w:p>
    <w:p>
      <w:pPr>
        <w:spacing w:after="0" w:line="29" w:lineRule="exact"/>
        <w:rPr>
          <w:rFonts w:ascii="Times New Roman" w:cs="Times New Roman" w:eastAsia="Times New Roman" w:hAnsi="Times New Roman"/>
          <w:sz w:val="18"/>
          <w:szCs w:val="18"/>
          <w:color w:val="auto"/>
        </w:rPr>
      </w:pPr>
    </w:p>
    <w:p>
      <w:pPr>
        <w:ind w:left="640" w:right="1060"/>
        <w:spacing w:after="0" w:line="3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2025, the total aggregate impact of the impairment charges was $176 million ($131 million after tax, or $.44 per share). The charges were included in Other expenses / (income);</w:t>
      </w:r>
    </w:p>
    <w:p>
      <w:pPr>
        <w:jc w:val="both"/>
        <w:ind w:left="640" w:hanging="316"/>
        <w:spacing w:after="0" w:line="252"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completed the sale of our noosa yoghurt business. In the second quarter of 2025, we recorded $15 million ($.05 per share) of tax expense related to the sale. Year-to-date in 2025, we recorded an after-tax loss of $15 million ($.05 per share) on the sale of the business. In the first quarter of 2025, we recorded a loss in Other expenses / (income) of $25 million ($19 million after tax, or $.06 per share) on the sale of our Pop Secret popcorn business. Year-to-date in 2025, the total aggregate impact of charges associated with divestitures was $25 million ($34 million after tax, or $.11 per share); and</w:t>
      </w:r>
    </w:p>
    <w:p>
      <w:pPr>
        <w:spacing w:after="0" w:line="52"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recorded accelerated amortization expense in Other expenses / (income) of $6 million ($5 million after tax, or $.02 per share) related to customer relationship intangible assets due to the loss of certain contract manufacturing customers, which began in the fourth quarter of 2023. Year-to-date in 2025, we recorded accelerated amortization expense in Other expenses / (income) of $20 million ($15 million after tax, or $.05 per share).</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174"/>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actuarial and curtailment gains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694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50" w:lineRule="exact"/>
        <w:rPr>
          <w:sz w:val="20"/>
          <w:szCs w:val="20"/>
          <w:color w:val="auto"/>
        </w:rPr>
      </w:pPr>
    </w:p>
    <w:p>
      <w:pPr>
        <w:ind w:left="160" w:hanging="154"/>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Sum of the individual amounts may not add due to rounding.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April 27, 2025</w:t>
            </w:r>
          </w:p>
        </w:tc>
      </w:tr>
      <w:tr>
        <w:trPr>
          <w:trHeight w:val="174"/>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actuarial and curtailment gains (losses)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Cybersecurity incident recoveries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earnings attributable to The Campbell's Company were $124 million ($.41 per share) in the current quarter, compared to $66 million ($.22 per share) in the year-ago quarter. After adjusting for items impacting comparability, earnings decreased primarily due to lower gross profit. The estimated net impact of tariffs was approximately $.07 per share in the current quarter.</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The Campbell's Company were $463 million ($1.55 per share) in the nine-month period this year, compared to $457 million ($1.52 per share) in the year-ago period. After adjusting for items impacting comparability, earnings decreased primarily due to lower gross profit, partially offset by lower administrative expenses and lower marketing and selling expenses. The estimated net impact of tariffs was approximately $.17 per share in the current year. The negative impact from divestitures was approximately $.02 per share in the current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20" w:type="dxa"/>
            <w:vAlign w:val="bottom"/>
            <w:tcBorders>
              <w:bottom w:val="single" w:sz="8" w:color="CCEEFF"/>
            </w:tcBorders>
            <w:gridSpan w:val="4"/>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20" w:type="dxa"/>
            <w:vAlign w:val="bottom"/>
            <w:tcBorders>
              <w:bottom w:val="single" w:sz="8" w:color="CCEEFF"/>
            </w:tcBorders>
            <w:gridSpan w:val="4"/>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0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Total</w:t>
            </w:r>
            <w:r>
              <w:rPr>
                <w:rFonts w:ascii="Times New Roman" w:cs="Times New Roman" w:eastAsia="Times New Roman" w:hAnsi="Times New Roman"/>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1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9"/>
              </w:rPr>
              <w:t>(5)%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9"/>
              </w:rPr>
              <w:t>(6)%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(5)%</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88"/>
              </w:rPr>
              <w:t>2</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7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9"/>
              </w:rPr>
              <w:t>(4)%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decreased 4%. Excluding the impact from the divestiture of the noosa yoghurt business, sales decreased primarily due to declines in U.S. soup,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and Canada, partially offset by gains in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Sales of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decreased due primarily to the timing of shipments related to the implementation of our existing SAP enterprise-resource planning system for Sovos Brands, Inc. (Sovos Brands) in the prior year. Unfavorable volume/mix was partially offset by favorable net price realization. Sales were impacted by an approximate 1% headwind from the net impact of the Sovos Brands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2" w:name="page33"/>
    <w:bookmarkEnd w:id="32"/>
    <w:p>
      <w:pPr>
        <w:spacing w:after="0" w:line="274" w:lineRule="auto"/>
        <w:rPr>
          <w:sz w:val="20"/>
          <w:szCs w:val="20"/>
          <w:color w:val="auto"/>
        </w:rPr>
      </w:pPr>
      <w:r>
        <w:rPr>
          <w:rFonts w:ascii="Times New Roman" w:cs="Times New Roman" w:eastAsia="Times New Roman" w:hAnsi="Times New Roman"/>
          <w:sz w:val="18"/>
          <w:szCs w:val="18"/>
          <w:color w:val="auto"/>
        </w:rPr>
        <w:t>SAP implementation in the prior year and the storm-related shipment delays in January this year. Sales of U.S. soup decreased 8% driven primarily by condensed and ready-to-serve soups.</w:t>
      </w:r>
    </w:p>
    <w:p>
      <w:pPr>
        <w:spacing w:after="0" w:line="3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Snacks, sales decreased 4% due to declines in crackers, pretzels, third-party partner brands and contract manufacturing, chips and fresh bakery. Sales were impacted by volume/mix declines, partially offset by favorable net price realization.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$78 million in 2026 from 2025. As a percent of sales, gross profit declined to 27.5% in 2026 from 29.4% in 2025, due in part to the negative impact of tariffs.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190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(530)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costs associated with cost savings initiatives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110</w:t>
            </w:r>
          </w:p>
        </w:tc>
      </w:tr>
      <w:tr>
        <w:trPr>
          <w:trHeight w:val="218"/>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(190)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jc w:val="both"/>
        <w:ind w:left="320" w:hanging="314"/>
        <w:spacing w:after="0" w:line="231"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negative margin impact of 310 basis points from the gross impact of tariffs, partially offset by a positive margin impact of 70 basis points from the change in unrealized mark-to-market adjustments on outstanding undesignated commodity hedges and an estimated positive margin impact of 30 basis points from the benefit of cost savings initiatives.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9.0% in 2026 compared to 8.7% in 2025. Marketing and selling expenses decreased 1% in 2026 from 2025. The decrease was primarily due to lower costs associated with cost savings and optimization initiatives (approximately 3 points), partially offset by higher advertising and consumer promotion expense (approximately 1 point). The increase in advertising and consumer promotion expense was primarily driven by Meals &amp; Beverages.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6.6% in 2026 compared to 6.5% in 2025. Administrative expenses decreased 4% in 2026 from 2025. The decrease was primarily due to increased benefits from cost savings initiatives (approximately 4 points); a reduction in certain litigation expenses (approximately 2 points) and lower incentive compensation (approximately 2 points), partially offset by higher general administrative costs (approximately 4 points).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expenses were $8 million in 2026 compared to $160 million in 2025. Other expenses in 2026 included costs associated with cost savings initiatives of $38 million, costs associated with an acquisition of $2 million and pension actuarial and curtailment gains of $30 million. Other expenses in 2025 included an impairment charge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of $150 million and accelerated amortization expense of $6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22% in 2026 from 2025.</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Pr>
          <w:p>
            <w:pPr>
              <w:spacing w:after="0"/>
              <w:rPr>
                <w:sz w:val="16"/>
                <w:szCs w:val="16"/>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(16)</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140</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(32)</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393</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3"/>
              </w:rPr>
              <w:t>(22)</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20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decreased 16%. The decrease was primarily due to lower gross profit. Gross profit margin decreased primarily due to the gross impact of tariffs, cost inflation and other supply chain costs and unfavorable volume/mix, partially offset by supply chain productivity improvements, favorable net price realization and benefits from cost savings initiatives.</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32%. The decrease was primarily due to lower gross profit. Gross profit margin decreased primarily due to cost inflation and other supply chain costs, unfavorable volume/mix and the gross impact of tariffs, partially offset by supply chain productivity improvements, favorable net price realization and benefits from cost savings initiatives.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2026 included the following:</w:t>
      </w:r>
    </w:p>
    <w:p>
      <w:pPr>
        <w:spacing w:after="0" w:line="98" w:lineRule="exact"/>
        <w:rPr>
          <w:sz w:val="20"/>
          <w:szCs w:val="20"/>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$60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costs associated with an acquisition;</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of pension actuarial and curtailment gains; and</w:t>
      </w:r>
    </w:p>
    <w:p>
      <w:pPr>
        <w:spacing w:after="0" w:line="97" w:lineRule="exact"/>
        <w:rPr>
          <w:rFonts w:ascii="Times New Roman" w:cs="Times New Roman" w:eastAsia="Times New Roman" w:hAnsi="Times New Roman"/>
          <w:sz w:val="18"/>
          <w:szCs w:val="18"/>
          <w:color w:val="auto"/>
        </w:rPr>
      </w:pPr>
    </w:p>
    <w:p>
      <w:pPr>
        <w:ind w:left="320" w:right="3840" w:firstLine="163"/>
        <w:spacing w:after="0" w:line="344" w:lineRule="auto"/>
        <w:tabs>
          <w:tab w:leader="none" w:pos="6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unrealized mark-to-market gains on outstanding undesignated commodity hedges. Corporate expense in 2025 included the following:</w:t>
      </w: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million of an impairment charge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$25 million related to cost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unrealized mark-to-market losses on outstanding undesignated commodity hedges;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accelerated amortization expense;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certain litigation expenses, including expenses related to Plum.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$83 million in 2026 decreased from $85 million in 2025 primarily due to lower levels of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effective tax rate was 22.0% in 2026 and 18.5% in 2025. The increase in the effective tax rate was primarily due to timing of recognition of tax expense related to the impairment charge in the prior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right="96"/>
              <w:spacing w:after="0"/>
              <w:rPr>
                <w:sz w:val="20"/>
                <w:szCs w:val="20"/>
                <w:color w:val="auto"/>
              </w:rPr>
            </w:pPr>
            <w:r>
              <w:rPr>
                <w:rFonts w:ascii="Times New Roman" w:cs="Times New Roman" w:eastAsia="Times New Roman" w:hAnsi="Times New Roman"/>
                <w:sz w:val="18"/>
                <w:szCs w:val="18"/>
                <w:color w:val="auto"/>
                <w:w w:val="94"/>
              </w:rPr>
              <w:t>(5)%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5"/>
        </w:trPr>
        <w:tc>
          <w:tcPr>
            <w:tcW w:w="75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96"/>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25"/>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right="136"/>
              <w:spacing w:after="0"/>
              <w:rPr>
                <w:sz w:val="20"/>
                <w:szCs w:val="20"/>
                <w:color w:val="auto"/>
              </w:rPr>
            </w:pPr>
            <w:r>
              <w:rPr>
                <w:rFonts w:ascii="Times New Roman" w:cs="Times New Roman" w:eastAsia="Times New Roman" w:hAnsi="Times New Roman"/>
                <w:sz w:val="18"/>
                <w:szCs w:val="18"/>
                <w:color w:val="auto"/>
                <w:w w:val="99"/>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right="96"/>
              <w:spacing w:after="0"/>
              <w:rPr>
                <w:sz w:val="20"/>
                <w:szCs w:val="20"/>
                <w:color w:val="auto"/>
              </w:rPr>
            </w:pPr>
            <w:r>
              <w:rPr>
                <w:rFonts w:ascii="Times New Roman" w:cs="Times New Roman" w:eastAsia="Times New Roman" w:hAnsi="Times New Roman"/>
                <w:sz w:val="18"/>
                <w:szCs w:val="18"/>
                <w:color w:val="auto"/>
                <w:w w:val="94"/>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decreased 4%. Excluding the impact from the divestiture of the noosa yoghurt business, sales decreased primarily due to declines in U.S. soup, Canada,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beverages and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partially offset by gains in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Unfavorable volume/mix was partially offset by favorable net price realization. Sales of U.S. soup decreased 4% primarily due to decreases in ready-to-serve soups and condensed soups, partially offset by increases in broth.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Snacks, sales decreased 4%. Excluding the impact from the divestiture of the Pop Secret popcorn business, sales decreased primarily due to declines in chips, crackers, third-party partner brands and contract manufacturing, fresh bakery related to supply constraints and declines in pretzels, partially offset by gains in Pepperidge Farm cookies. Sales were impacted by volume/mix declines, partially offset by favorable net price realization.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$255 million in 2026 from 2025. As a percent of sales, gross profit declined to 28.4% in 2026 from 30.4% in 2025, due in part to the negative impact of tariffs.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(510)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280</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jc w:val="both"/>
        <w:ind w:left="320" w:hanging="314"/>
        <w:spacing w:after="0" w:line="231" w:lineRule="auto"/>
        <w:tabs>
          <w:tab w:leader="none" w:pos="30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negative margin impact of 240 basis points from the gross impact of tariffs, partially offset by an estimated positive margin impact of 30 basis points from the benefit of cost savings initiatives and a positive margin impact of 20 basis points from the change in unrealized mark-to-market adjustments on outstanding undesignated commodity hedges.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9.5% in 2026 compared to 9.1% in 2025. Marketing and selling expenses were comparable in 2026 and 2025. Lower selling expenses (approximately 1 point); increased benefits from cost savings initiatives (approximately 1 point) and lower incentive compensation (approximately 1 point) were offset by higher marketing expenses (approximately 1 point); higher costs associated with costs savings and optimization initiatives (approximately 1 point) and higher benefit-related costs (approximately 1 point).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6.3% in 2026 and 2025. Administrative expenses decreased 4% in 2026 from 2025. The decrease was primarily due to increased benefits from cost savings initiatives (approximately 4 points); lower incentive compensation (approximately 2 points) and lower costs associated with cost savings initiatives (approximately 1 point), partially offset by higher general administrative costs and inflation (approximately 2 points) and an increase in certain litigation expenses (approximately 1 point).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Other expenses were $24 million in 2026 compared to $244 million in 2025. Other expenses in 2026 included cost associated with cost savings initiatives of $38 million, costs associated with an acquisition of $4 million and pension actuarial and curtailment gains of $30 million. Other expenses in 2025 included impairment charges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 of $176 million, a loss of $25 million on the sale of the Pop Secret popcorn business, accelerated amortization expense of $20 million and a postretirement actuarial loss of $2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18% in 2026 from 2025.</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(15)</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385</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(26)</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1,277</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3"/>
              </w:rPr>
              <w:t>(18)</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decreased 15%. The decrease was primarily due to lower gross profit and the impact of the divestiture. Gross profit margin decreased primarily due to the gross impact of tariffs, cost inflation and other supply chain costs and unfavorable volume/mix, partially offset by supply chain productivity improvements, favorable net price realization and benefits from cost savings initiatives.</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26%. The decrease was primarily due to lower gross profit. Gross profit margin decreased primarily due to cost inflation and other supply chain costs, the gross impact of tariffs and unfavorable volume/mix, partially offset by supply chain productivity improvements, favorable net price realization and benefits from cost savings initiatives.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2026 included the following:</w:t>
      </w:r>
    </w:p>
    <w:p>
      <w:pPr>
        <w:spacing w:after="0" w:line="85" w:lineRule="exact"/>
        <w:rPr>
          <w:sz w:val="20"/>
          <w:szCs w:val="20"/>
          <w:color w:val="auto"/>
        </w:rPr>
      </w:pPr>
    </w:p>
    <w:p>
      <w:pPr>
        <w:ind w:left="640" w:hanging="15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$112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of certain litigation expenses, including expenses related to Plum;</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costs associated with an acquisition;</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of pension actuarial and curtailment gains;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96" w:lineRule="exact"/>
        <w:rPr>
          <w:sz w:val="20"/>
          <w:szCs w:val="20"/>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$176 million of impairment charges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$74 million related to cost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loss on the sale of the Pop Secret popcorn business;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certain litigation expenses, including expenses related to Plum;</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postretirement actuarial loss;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$246 million in 2026 decreased from $260 million in 2025 primarily due to lower levels of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23.8% in 2026 and 25.3% in 2025. The decrease in the effective tax rate was primarily due to $15 million of tax expense related to the sale of the noosa yoghurt business in the prior year, partially offset by excess tax benefits in the prior year and shortfalls in the current year associated with the vesting of stock-based compensation awards.</w:t>
      </w:r>
    </w:p>
    <w:p>
      <w:pPr>
        <w:spacing w:after="0" w:line="55" w:lineRule="exact"/>
        <w:rPr>
          <w:sz w:val="20"/>
          <w:szCs w:val="20"/>
          <w:color w:val="auto"/>
        </w:rPr>
      </w:pPr>
    </w:p>
    <w:p>
      <w:pPr>
        <w:ind w:right="5240"/>
        <w:spacing w:after="0" w:line="3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Cost Savings Initiatives and Other Optimization Initiatives </w:t>
      </w:r>
      <w:r>
        <w:rPr>
          <w:rFonts w:ascii="Times New Roman" w:cs="Times New Roman" w:eastAsia="Times New Roman" w:hAnsi="Times New Roman"/>
          <w:sz w:val="18"/>
          <w:szCs w:val="18"/>
          <w:i w:val="1"/>
          <w:iCs w:val="1"/>
          <w:color w:val="auto"/>
        </w:rPr>
        <w:t>2025 Cost Savings Initiatives</w:t>
      </w:r>
    </w:p>
    <w:p>
      <w:pPr>
        <w:spacing w:after="0" w:line="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As of July 28, 2024, we substantially completed our previous multi-year cost savings initiatives and Snyder's-Lance, Inc. cost transformation program and integration and had identified initial opportunities for cost synergies as we integrated Sovos Brands. Certain initiatives from those programs have been incorporated into our 2025 cost savings initiatives. In the third quarter of 2026, we commenced a voluntary early retirement program as part of our cost savings initiatives. The program was available to certain salaried employees who met age and length-of-service criteria. The eligible employees were entitled to receive severance pay and benefits, including enhanced pension benefits for certain employees. Substantially all electing employees will depart the company by December 2026. Cost estimates for the 2025 initiatives, as well as timing for certain activities, are continuing to be developed.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May</w:t>
            </w:r>
          </w:p>
        </w:tc>
        <w:tc>
          <w:tcPr>
            <w:tcW w:w="0" w:type="dxa"/>
            <w:vAlign w:val="bottom"/>
          </w:tcPr>
          <w:p>
            <w:pPr>
              <w:spacing w:after="0"/>
              <w:rPr>
                <w:sz w:val="1"/>
                <w:szCs w:val="1"/>
                <w:color w:val="auto"/>
              </w:rPr>
            </w:pPr>
          </w:p>
        </w:tc>
      </w:tr>
      <w:tr>
        <w:trPr>
          <w:trHeight w:val="114"/>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20" w:type="dxa"/>
            <w:vAlign w:val="bottom"/>
          </w:tcPr>
          <w:p>
            <w:pPr>
              <w:spacing w:after="0"/>
              <w:rPr>
                <w:sz w:val="9"/>
                <w:szCs w:val="9"/>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200" w:type="dxa"/>
            <w:vAlign w:val="bottom"/>
          </w:tcPr>
          <w:p>
            <w:pPr>
              <w:spacing w:after="0"/>
              <w:rPr>
                <w:sz w:val="9"/>
                <w:szCs w:val="9"/>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20" w:type="dxa"/>
            <w:vAlign w:val="bottom"/>
          </w:tcPr>
          <w:p>
            <w:pPr>
              <w:spacing w:after="0"/>
              <w:rPr>
                <w:sz w:val="9"/>
                <w:szCs w:val="9"/>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9"/>
                <w:szCs w:val="9"/>
                <w:color w:val="auto"/>
              </w:rPr>
            </w:pPr>
          </w:p>
        </w:tc>
        <w:tc>
          <w:tcPr>
            <w:tcW w:w="12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3, 2026</w:t>
            </w: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8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 summary of the cumulative pre-tax costs associated with the initiatives is as follows: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May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3, 2026</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$310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$90 million in severance pay and benefits; approximately $55 million in asset impairment and accelerated depreciation; and approximately $165 million in implementation costs and other related costs. We expect these pre-tax costs to be associated with our segments as follows: Meals &amp; Beverages - approximately 54%; Snacks - approximately 26% and Corporate - approximately 20%.</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$310 million of pre-tax costs identified to date, we expect approximately $215 million will be cash expenditures. In addition, we expect to invest approximately $220 million in capital expenditures, of which we invested $208 million as of May 3, 2026.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$375 million by the end of 2028. As of May 3, 2026, we have generated total program-to-date pre-tax savings of $200 million.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w:t>
            </w: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summary</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pre-tax</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associated</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w:t>
            </w:r>
          </w:p>
        </w:tc>
        <w:tc>
          <w:tcPr>
            <w:tcW w:w="220" w:type="dxa"/>
            <w:vAlign w:val="bottom"/>
          </w:tcPr>
          <w:p>
            <w:pPr>
              <w:spacing w:after="0"/>
              <w:rPr>
                <w:sz w:val="19"/>
                <w:szCs w:val="19"/>
                <w:color w:val="auto"/>
              </w:rPr>
            </w:pP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segments</w:t>
            </w:r>
          </w:p>
        </w:tc>
        <w:tc>
          <w:tcPr>
            <w:tcW w:w="3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82"/>
              </w:rPr>
              <w:t>is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follows:</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95"/>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9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 and nine-month periods ended May 3, 2026, we incurred $2 million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18"/>
          <w:szCs w:val="18"/>
          <w:color w:val="auto"/>
        </w:rPr>
        <w:t>$20 million in Marketing and selling expenses related to this initiative, respectively. In the three- and nine-month periods ended April 27, 2025, we incurred $9 million and $17 million in Marketing and selling expenses and $1 million in Administrative expenses related to this initiative, respectively. As of May 3, 2026, we have incurred $45 million in Marketing and selling expenses and $1 million in Administrative expenses related to this initiative.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Future Initiatives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continue to explore additional opportunities for cost savings designed to enhance operating efficiency, which may result in additional restructuring actions in the future.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$839 million in 2026, compared to $872 million in 2025. The decline in 2026 was primarily due to lower cash earnings, partially offset by changes in working capital.</w:t>
      </w:r>
    </w:p>
    <w:p>
      <w:pPr>
        <w:spacing w:after="0" w:line="18"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had negative working capital of $395 million as of May 3, 2026, and $674 million as of August 3, 2025. Current assets were less than current liabilities, which included debt maturing in one year, due to a focus on lowering core working capital requirements. Total debt maturing within one year was $864 million as of May 3, 2026, and $762 million as of August 3, 2025.</w:t>
      </w:r>
    </w:p>
    <w:p>
      <w:pPr>
        <w:spacing w:after="0" w:line="7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approximately $253 million at May 3, 2026 and $240 million at August 3,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Capital expenditures were $297 million in 2026 and $296 million in 2025. Capital expenditures in 2026 included network optimization for our Meals &amp; Beverages business, information technology projects and wastewater initiatives. Capital expenditures are expected to total approximately $370 million in 2026.</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On February 24, 2025, we sold the noosa yoghurt business for $188 million, subject to certain customary purchase price adjustments, which resulted in $5 million of additional proceeds in the first quarter of 2026.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$354 million in 2026 and $343 million in 2025. The regular quarterly dividend paid on our capital stock was $.39 per share in both the third quarter of 2026 and 2025. On February 25, 2026, the Board of Directors declared a regular quarterly dividend of $.39 per share payable on May 4, 2026 to shareholders of record at the close of business on April 2, 2026. On May 13, 2026, the Board of Directors declared a regular quarterly dividend of $.39 per share payable on August 3, 2026 to shareholders of record at the close of business on July 2, 2026.</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During the nine-month periods ended May 3, 2026 and April 27, 2025, we repurchased 805 thousand shares at a cost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$26 million and 1.247 million shares at a cost of $60 million, respectively, pursuant to our anti-dilutive share repurchase programs. As of May 3, 2026, approximately $172 million remained available under the September 2024 program and approximately $301 million remained available under the September 2021 program. See Note 15 to the Consolidated Financial Statements and “Unregistered Sales of Equity Securities and Use of Proceeds” for additional information.</w:t>
      </w:r>
    </w:p>
    <w:p>
      <w:pPr>
        <w:spacing w:after="0" w:line="4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October 2, 2024, pursuant to the registration statement, we completed the issuance of senior unsecured notes of $1.15 billion, consisting of:</w:t>
      </w:r>
    </w:p>
    <w:p>
      <w:pPr>
        <w:spacing w:after="0" w:line="98" w:lineRule="exact"/>
        <w:rPr>
          <w:sz w:val="20"/>
          <w:szCs w:val="20"/>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6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15, 2025, pursuant to the registration statement, we completed the issuance of senior unsecured notes, consisting of $550 million aggregate principal amount of notes bearing interest at a fixed rate of 4.55% per annum, due March 21, 2031, with interest payable semi-annually on each of March 21 and September 21 commencing March 21, 2026. 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a portion of the net proceeds from the issuance of the notes to repay a portion of our outstanding commercial paper and used the remaining proceeds to repay existing indebtedness and for general corporate purposes. In March 2026, we used a portion of the net proceeds from the issuance of the notes along with cash on hand and the issuance of commercial paper to repay $400 million aggregate principal amount of senior notes that matured in March 2026.</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May 3, 2026, we had $864 million of short-term borrowings due within one year, of which $340 million was comprised of commercial paper borrowings. As of May 3, 2026, we issued $45 million of standby letters of credit.</w:t>
      </w:r>
    </w:p>
    <w:p>
      <w:pPr>
        <w:spacing w:after="0" w:line="4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The 2024 Revolving Credit Facility Agreement remained unused at May 3, 2026,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 Our credit ratings remain at investment grade. A downgrade in one or more of our credit ratings could impact our ability to issue unsecured debt securities and potentially increase borrowing costs under our 2024 Revolving Credit Facility Agreement but would not affect our ability to borrow under such credit facility. A downgrade in one or more of our credit ratings would also impact our ability to access the commercial paper markets.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87" w:lineRule="exact"/>
        <w:rPr>
          <w:sz w:val="20"/>
          <w:szCs w:val="20"/>
          <w:color w:val="auto"/>
        </w:rPr>
      </w:pPr>
    </w:p>
    <w:p>
      <w:pPr>
        <w:jc w:val="both"/>
        <w:ind w:firstLine="318"/>
        <w:spacing w:after="0" w:line="219"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3, 2025 (2025 Annual Report on Form 10-K). The accounting policies we used in preparing these financial statements are substantially consistent with those we applied in our 2025 Annual Report on Form 10-K. Our critical accounting estimates are described in Management’s Discussion and Analysis included in the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2025 Annual Report on Form 10-K, could affect our actual results and could cause such results to vary materially from those expressed in any forward-looking statements made by, or on behalf of, us:</w:t>
      </w:r>
    </w:p>
    <w:p>
      <w:pPr>
        <w:spacing w:after="0" w:line="32" w:lineRule="exact"/>
        <w:rPr>
          <w:sz w:val="20"/>
          <w:szCs w:val="20"/>
          <w:color w:val="auto"/>
        </w:rPr>
      </w:pPr>
    </w:p>
    <w:p>
      <w:pPr>
        <w:ind w:left="640" w:right="160" w:hanging="316"/>
        <w:spacing w:after="0" w:line="25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volatility in financial markets, deteriorating economic conditions and other external factors, including the impact and application of new or changes to existing governmental laws, regulations, and policies;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imposed and threatened tariffs by the U.S. and reciprocal tariffs by its trading partners;</w:t>
      </w:r>
    </w:p>
    <w:p>
      <w:pPr>
        <w:spacing w:after="0" w:line="84" w:lineRule="exact"/>
        <w:rPr>
          <w:rFonts w:ascii="Times New Roman" w:cs="Times New Roman" w:eastAsia="Times New Roman" w:hAnsi="Times New Roman"/>
          <w:sz w:val="18"/>
          <w:szCs w:val="18"/>
          <w:color w:val="auto"/>
        </w:rPr>
      </w:pPr>
    </w:p>
    <w:p>
      <w:pPr>
        <w:ind w:left="640" w:right="7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 including those related to ongoing geopolitical conflicts and tariffs;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contract manufacturer and supplier relationships;</w:t>
      </w:r>
    </w:p>
    <w:p>
      <w:pPr>
        <w:spacing w:after="0" w:line="84" w:lineRule="exact"/>
        <w:rPr>
          <w:rFonts w:ascii="Times New Roman" w:cs="Times New Roman" w:eastAsia="Times New Roman" w:hAnsi="Times New Roman"/>
          <w:sz w:val="18"/>
          <w:szCs w:val="18"/>
          <w:color w:val="auto"/>
        </w:rPr>
      </w:pPr>
    </w:p>
    <w:p>
      <w:pPr>
        <w:ind w:left="640" w:right="560" w:hanging="316"/>
        <w:spacing w:after="0" w:line="25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sales growth in and/or maintenance of our market share position in snacks, soups, sauces and beverages;</w:t>
      </w:r>
    </w:p>
    <w:p>
      <w:pPr>
        <w:spacing w:after="0" w:line="45" w:lineRule="exact"/>
        <w:rPr>
          <w:rFonts w:ascii="Times New Roman" w:cs="Times New Roman" w:eastAsia="Times New Roman" w:hAnsi="Times New Roman"/>
          <w:sz w:val="18"/>
          <w:szCs w:val="18"/>
          <w:color w:val="auto"/>
        </w:rPr>
      </w:pPr>
    </w:p>
    <w:p>
      <w:pPr>
        <w:ind w:left="640" w:right="82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84"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savings and any other synergies from the Sovos Brands transaction may not be fully realized or may take longer or cost more to be realized than expected, including that the Sovos Brands transaction may not be accretive to the extent anticipated;</w:t>
      </w:r>
    </w:p>
    <w:p>
      <w:pPr>
        <w:spacing w:after="0" w:line="44" w:lineRule="exact"/>
        <w:rPr>
          <w:rFonts w:ascii="Times New Roman" w:cs="Times New Roman" w:eastAsia="Times New Roman" w:hAnsi="Times New Roman"/>
          <w:sz w:val="18"/>
          <w:szCs w:val="18"/>
          <w:color w:val="auto"/>
        </w:rPr>
      </w:pPr>
    </w:p>
    <w:p>
      <w:pPr>
        <w:ind w:left="640" w:right="36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La Regina transaction, including that the benefits from the transaction may not be fully realized or may take longer or cost more to be realized than expected;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right="86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0" w:name="page41"/>
    <w:bookmarkEnd w:id="40"/>
    <w:p>
      <w:pPr>
        <w:ind w:left="640" w:right="20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7"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outlook or downgrade in our public credit ratings;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 and</w:t>
      </w:r>
    </w:p>
    <w:p>
      <w:pPr>
        <w:spacing w:after="0" w:line="84"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4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our 2025 Annual Report on Form 10-K. During the second quarter ended February 1, 2026, we entered into fixed-to-floating interest rate swaps accounted for as fair-value hedges. These instruments have a notional amount of $600 million and effectively convert a portion of our $800 million 4.75% Notes due March 23, 2035 from fixed-rate to variable-rate debt. The fair value of the instruments was a loss of $10 million as of May 3, 2026. There were no fixed-to-floating interest rate swaps outstanding as of August 3,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May 3, 2026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May 3, 2026.</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1" w:name="page42"/>
    <w:bookmarkEnd w:id="4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17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May 3, 2026 was: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1"/>
                <w:szCs w:val="11"/>
                <w:color w:val="auto"/>
              </w:rPr>
            </w:pPr>
          </w:p>
        </w:tc>
        <w:tc>
          <w:tcPr>
            <w:tcW w:w="1360" w:type="dxa"/>
            <w:vAlign w:val="bottom"/>
            <w:gridSpan w:val="2"/>
          </w:tcPr>
          <w:p>
            <w:pPr>
              <w:jc w:val="center"/>
              <w:ind w:right="540"/>
              <w:spacing w:after="0" w:line="133"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4"/>
                <w:szCs w:val="14"/>
                <w:b w:val="1"/>
                <w:bCs w:val="1"/>
                <w:color w:val="auto"/>
                <w:vertAlign w:val="superscript"/>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2"/>
                <w:szCs w:val="12"/>
                <w:color w:val="auto"/>
              </w:rPr>
            </w:pPr>
          </w:p>
        </w:tc>
        <w:tc>
          <w:tcPr>
            <w:tcW w:w="12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2/2/26 - 2/27/26</w:t>
            </w:r>
          </w:p>
        </w:tc>
        <w:tc>
          <w:tcPr>
            <w:tcW w:w="16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3/2/26 - 3/31/26</w:t>
            </w: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4/1/26 - 5/1/26</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jc w:val="right"/>
              <w:ind w:right="1900"/>
              <w:spacing w:after="0"/>
              <w:rPr>
                <w:sz w:val="20"/>
                <w:szCs w:val="20"/>
                <w:color w:val="auto"/>
              </w:rPr>
            </w:pPr>
            <w:r>
              <w:rPr>
                <w:rFonts w:ascii="Times New Roman" w:cs="Times New Roman" w:eastAsia="Times New Roman" w:hAnsi="Times New Roman"/>
                <w:sz w:val="16"/>
                <w:szCs w:val="16"/>
                <w:color w:val="auto"/>
                <w:w w:val="98"/>
              </w:rPr>
              <w:t>____________________________________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7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4"/>
        <w:spacing w:after="0" w:line="236" w:lineRule="auto"/>
        <w:tabs>
          <w:tab w:leader="none" w:pos="30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May 3, 2026,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42" w:name="page43"/>
    <w:bookmarkEnd w:id="42"/>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0" w:type="dxa"/>
            <w:vAlign w:val="bottom"/>
            <w:gridSpan w:val="8"/>
          </w:tcPr>
          <w:p>
            <w:pPr>
              <w:ind w:left="76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Closing Memorandum and Amendment Agreement, dated as of May 4, 2026, by and among Felice Romano, Antonio Romano, Luigi</w:t>
            </w:r>
          </w:p>
        </w:tc>
      </w:tr>
      <w:tr>
        <w:trPr>
          <w:trHeight w:val="152"/>
        </w:trPr>
        <w:tc>
          <w:tcPr>
            <w:tcW w:w="110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7"/>
                <w:szCs w:val="17"/>
                <w:color w:val="0000FF"/>
              </w:rPr>
              <w:t>Romano, Natalina Romano, Evolve S.r.l., F.A.L. Holdings LLC, Felix Global Holdings, Corporation, Campbell Investment Company</w:t>
            </w:r>
          </w:p>
        </w:tc>
        <w:tc>
          <w:tcPr>
            <w:tcW w:w="46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7"/>
                <w:szCs w:val="17"/>
                <w:color w:val="0000FF"/>
              </w:rPr>
              <w:t>and</w:t>
            </w:r>
          </w:p>
        </w:tc>
      </w:tr>
      <w:tr>
        <w:trPr>
          <w:trHeight w:val="152"/>
        </w:trPr>
        <w:tc>
          <w:tcPr>
            <w:tcW w:w="110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Campbell Soup Supply Company L.L.C.</w:t>
            </w:r>
          </w:p>
        </w:tc>
        <w:tc>
          <w:tcPr>
            <w:tcW w:w="686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Second Amendment to the Campbell Soup Company Supplemental Employees' Retirement Plan, effective as of March 10, 2026.</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Mick J. Beekhuizen pursuant to Rule 13a-14(a).</w:t>
            </w:r>
          </w:p>
        </w:tc>
        <w:tc>
          <w:tcPr>
            <w:tcW w:w="4580" w:type="dxa"/>
            <w:vAlign w:val="bottom"/>
            <w:tcBorders>
              <w:top w:val="single" w:sz="8" w:color="0000FF"/>
            </w:tcBorders>
            <w:gridSpan w:val="3"/>
          </w:tcPr>
          <w:p>
            <w:pPr>
              <w:spacing w:after="0"/>
              <w:rPr>
                <w:sz w:val="24"/>
                <w:szCs w:val="24"/>
                <w:color w:val="auto"/>
              </w:rPr>
            </w:pPr>
          </w:p>
        </w:tc>
        <w:tc>
          <w:tcPr>
            <w:tcW w:w="780" w:type="dxa"/>
            <w:vAlign w:val="bottom"/>
            <w:gridSpan w:val="3"/>
          </w:tcPr>
          <w:p>
            <w:pPr>
              <w:spacing w:after="0"/>
              <w:rPr>
                <w:sz w:val="24"/>
                <w:szCs w:val="24"/>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Todd E. Cunfer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Todd E. Cunfer pursuant to 18 U.S.C. Section 1350.</w:t>
            </w:r>
          </w:p>
        </w:tc>
        <w:tc>
          <w:tcPr>
            <w:tcW w:w="4760" w:type="dxa"/>
            <w:vAlign w:val="bottom"/>
            <w:gridSpan w:val="4"/>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40" w:hanging="1103"/>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82"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in this document marked with “[</w:t>
      </w:r>
      <w:r>
        <w:rPr>
          <w:rFonts w:ascii="Times New Roman" w:cs="Times New Roman" w:eastAsia="Times New Roman" w:hAnsi="Times New Roman"/>
          <w:sz w:val="18"/>
          <w:szCs w:val="18"/>
          <w:i w:val="1"/>
          <w:iCs w:val="1"/>
          <w:color w:val="auto"/>
        </w:rPr>
        <w:t>Redacted</w:t>
      </w:r>
      <w:r>
        <w:rPr>
          <w:rFonts w:ascii="Times New Roman" w:cs="Times New Roman" w:eastAsia="Times New Roman" w:hAnsi="Times New Roman"/>
          <w:sz w:val="18"/>
          <w:szCs w:val="18"/>
          <w:color w:val="auto"/>
        </w:rPr>
        <w:t>]” has been excluded pursuant to Item 601(b)(2) of Regulation S-K. Such excluded information is not material and is treated by the registrant as private and confidential. An unredacted copy of the document will be furnished supplementally to the SEC upon request. Schedules and exhibits have been omitted pursuant to Item 601(b)(2) of Regulation S-K. A copy of any omitted schedule or exhibit will be furnished supplementally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exhibit is a management contract or compensatory plan or arrangement.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4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702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Todd E. Cunfer</w:t>
      </w:r>
    </w:p>
    <w:p>
      <w:pPr>
        <w:spacing w:after="0" w:line="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Kelly L. Palumbo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702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Kelly L. Palumbo</w:t>
      </w:r>
    </w:p>
    <w:p>
      <w:pPr>
        <w:spacing w:after="0" w:line="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874" w:right="4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line="261" w:lineRule="auto"/>
        <w:rPr>
          <w:sz w:val="20"/>
          <w:szCs w:val="20"/>
          <w:color w:val="auto"/>
        </w:rPr>
      </w:pPr>
      <w:r>
        <w:rPr>
          <w:rFonts w:ascii="Arial" w:cs="Arial" w:eastAsia="Arial" w:hAnsi="Arial"/>
          <w:sz w:val="21"/>
          <w:szCs w:val="21"/>
          <w:b w:val="1"/>
          <w:bCs w:val="1"/>
          <w:color w:val="auto"/>
        </w:rPr>
        <w:t>Certain information in this document marked with “[</w:t>
      </w:r>
      <w:r>
        <w:rPr>
          <w:rFonts w:ascii="Arial" w:cs="Arial" w:eastAsia="Arial" w:hAnsi="Arial"/>
          <w:sz w:val="21"/>
          <w:szCs w:val="21"/>
          <w:b w:val="1"/>
          <w:bCs w:val="1"/>
          <w:i w:val="1"/>
          <w:iCs w:val="1"/>
          <w:color w:val="auto"/>
        </w:rPr>
        <w:t>Redacted</w:t>
      </w:r>
      <w:r>
        <w:rPr>
          <w:rFonts w:ascii="Arial" w:cs="Arial" w:eastAsia="Arial" w:hAnsi="Arial"/>
          <w:sz w:val="21"/>
          <w:szCs w:val="21"/>
          <w:b w:val="1"/>
          <w:bCs w:val="1"/>
          <w:color w:val="auto"/>
        </w:rPr>
        <w:t>]” has been excluded pursuant to Item 601(b)(2) of Regulation S-K. Such excluded information is not material and is treated by the registrant as private and confidential.</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To:</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Felice Romano</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Redacted</w:t>
      </w:r>
      <w:r>
        <w:rPr>
          <w:rFonts w:ascii="Arial" w:cs="Arial" w:eastAsia="Arial" w:hAnsi="Arial"/>
          <w:sz w:val="21"/>
          <w:szCs w:val="21"/>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Antonio Romano</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Redacted</w:t>
      </w:r>
      <w:r>
        <w:rPr>
          <w:rFonts w:ascii="Arial" w:cs="Arial" w:eastAsia="Arial" w:hAnsi="Arial"/>
          <w:sz w:val="21"/>
          <w:szCs w:val="2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Luigi Romano</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Redacted</w:t>
      </w:r>
      <w:r>
        <w:rPr>
          <w:rFonts w:ascii="Arial" w:cs="Arial" w:eastAsia="Arial" w:hAnsi="Arial"/>
          <w:sz w:val="21"/>
          <w:szCs w:val="21"/>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Natalina Romano</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Redacted</w:t>
      </w:r>
      <w:r>
        <w:rPr>
          <w:rFonts w:ascii="Arial" w:cs="Arial" w:eastAsia="Arial" w:hAnsi="Arial"/>
          <w:sz w:val="21"/>
          <w:szCs w:val="21"/>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Evolve S.r.l.</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Via Toledo, 424</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80134 – Napoli (NA)</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360 Madison Av. 7th Floor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101017 – New York (NY)</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Felix Global Holdings,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Wilmington, 919 North Market Street, Suite 950</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19801, New Castle (DE)</w:t>
      </w:r>
    </w:p>
    <w:p>
      <w:pPr>
        <w:spacing w:after="0" w:line="249" w:lineRule="exact"/>
        <w:rPr>
          <w:sz w:val="20"/>
          <w:szCs w:val="20"/>
          <w:color w:val="auto"/>
        </w:rPr>
      </w:pPr>
    </w:p>
    <w:p>
      <w:pPr>
        <w:ind w:left="9500"/>
        <w:spacing w:after="0"/>
        <w:rPr>
          <w:sz w:val="20"/>
          <w:szCs w:val="20"/>
          <w:color w:val="auto"/>
        </w:rPr>
      </w:pPr>
      <w:r>
        <w:rPr>
          <w:rFonts w:ascii="Arial" w:cs="Arial" w:eastAsia="Arial" w:hAnsi="Arial"/>
          <w:sz w:val="19"/>
          <w:szCs w:val="19"/>
          <w:color w:val="auto"/>
        </w:rPr>
        <w:t xml:space="preserve">Rome, May 4, </w:t>
      </w:r>
      <w:r>
        <w:rPr>
          <w:rFonts w:ascii="Arial" w:cs="Arial" w:eastAsia="Arial" w:hAnsi="Arial"/>
          <w:sz w:val="21"/>
          <w:szCs w:val="21"/>
          <w:color w:val="auto"/>
        </w:rPr>
        <w:t>2026</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21"/>
          <w:szCs w:val="21"/>
          <w:color w:val="auto"/>
        </w:rPr>
        <w:t>Sirs,</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 acceptance for closing </w:t>
      </w:r>
      <w:r>
        <w:rPr>
          <w:rFonts w:ascii="Arial" w:cs="Arial" w:eastAsia="Arial" w:hAnsi="Arial"/>
          <w:sz w:val="21"/>
          <w:szCs w:val="21"/>
          <w:b w:val="1"/>
          <w:bCs w:val="1"/>
          <w:color w:val="auto"/>
        </w:rPr>
        <w:t>memorandum</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21"/>
          <w:szCs w:val="21"/>
          <w:color w:val="auto"/>
        </w:rPr>
        <w:t>Sirs,</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We acknowledge receipt of your proposal of closing memorandum and amendment agreement setting out certain arrangements, acknowledgements and amendments with reference to (i) the sale and purchase agreement regarding the transfer of 49% of the share capital of La Regina di Antonio Romano S.p.A., executed on December 8, 2025, and (ii) the equity purchase agreement regarding the transfer of 49% of the share capital of La Regina Atlantica, LLC, executed on December 8, 2025, and we hereby return you a copy duly signed by way of full, irrevocable and unconditional acceptance.</w:t>
      </w: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1240"/>
          </w:cols>
          <w:pgMar w:left="320" w:top="358" w:right="339" w:bottom="1440" w:gutter="0" w:footer="0" w:header="0"/>
        </w:sectPr>
      </w:pPr>
    </w:p>
    <w:bookmarkStart w:id="45" w:name="page46"/>
    <w:bookmarkEnd w:id="45"/>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“To:</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Campbell Investment </w:t>
      </w:r>
      <w:r>
        <w:rPr>
          <w:rFonts w:ascii="Arial" w:cs="Arial" w:eastAsia="Arial" w:hAnsi="Arial"/>
          <w:sz w:val="21"/>
          <w:szCs w:val="21"/>
          <w:b w:val="1"/>
          <w:bCs w:val="1"/>
          <w:color w:val="auto"/>
        </w:rPr>
        <w:t>Company</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One Campbell Place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Camden, NJ 08103</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Camden County, USA</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Campbell Soup Supply Company </w:t>
      </w:r>
      <w:r>
        <w:rPr>
          <w:rFonts w:ascii="Arial" w:cs="Arial" w:eastAsia="Arial" w:hAnsi="Arial"/>
          <w:sz w:val="21"/>
          <w:szCs w:val="21"/>
          <w:b w:val="1"/>
          <w:bCs w:val="1"/>
          <w:color w:val="auto"/>
        </w:rPr>
        <w:t>L.L.C.</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One Campbell </w:t>
      </w:r>
      <w:r>
        <w:rPr>
          <w:rFonts w:ascii="Arial" w:cs="Arial" w:eastAsia="Arial" w:hAnsi="Arial"/>
          <w:sz w:val="21"/>
          <w:szCs w:val="21"/>
          <w:color w:val="auto"/>
        </w:rPr>
        <w:t>Place</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Camden NJ, EIN 22-</w:t>
      </w:r>
      <w:r>
        <w:rPr>
          <w:rFonts w:ascii="Arial" w:cs="Arial" w:eastAsia="Arial" w:hAnsi="Arial"/>
          <w:sz w:val="21"/>
          <w:szCs w:val="21"/>
          <w:color w:val="auto"/>
        </w:rPr>
        <w:t>2365218,</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Camden County, </w:t>
      </w:r>
      <w:r>
        <w:rPr>
          <w:rFonts w:ascii="Arial" w:cs="Arial" w:eastAsia="Arial" w:hAnsi="Arial"/>
          <w:sz w:val="21"/>
          <w:szCs w:val="21"/>
          <w:color w:val="auto"/>
        </w:rPr>
        <w:t>USA</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 xml:space="preserve">Rome, May 4, </w:t>
      </w:r>
      <w:r>
        <w:rPr>
          <w:rFonts w:ascii="Arial" w:cs="Arial" w:eastAsia="Arial" w:hAnsi="Arial"/>
          <w:sz w:val="21"/>
          <w:szCs w:val="21"/>
          <w:color w:val="auto"/>
        </w:rPr>
        <w:t>2026</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21"/>
          <w:szCs w:val="21"/>
          <w:color w:val="auto"/>
        </w:rPr>
        <w:t>Sirs,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 proposal for closing </w:t>
      </w:r>
      <w:r>
        <w:rPr>
          <w:rFonts w:ascii="Arial" w:cs="Arial" w:eastAsia="Arial" w:hAnsi="Arial"/>
          <w:sz w:val="21"/>
          <w:szCs w:val="21"/>
          <w:b w:val="1"/>
          <w:bCs w:val="1"/>
          <w:color w:val="auto"/>
        </w:rPr>
        <w:t>memorandum</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21"/>
          <w:szCs w:val="21"/>
          <w:color w:val="auto"/>
        </w:rPr>
        <w:t>Sirs,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With reference to our recent discussions and understandings, please find below our proposal of closing memorandum and amendment agreement setting out certain arrangements, acknowledgements and amendments with reference to (i) the sale and purchase agreement regarding the transfer of 49% of the share capital of La Regina di Antonio Romano S.p.A., executed on December 8, 2025, and (ii) the equity purchase agreement regarding the transfer of 49% of the share capital of La Regina Atlantica, LLC, executed on December 8, 2025.</w:t>
      </w:r>
    </w:p>
    <w:p>
      <w:pPr>
        <w:jc w:val="center"/>
        <w:ind w:right="-319"/>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9"/>
          <w:szCs w:val="19"/>
          <w:b w:val="1"/>
          <w:bCs w:val="1"/>
          <w:color w:val="auto"/>
        </w:rPr>
        <w:t xml:space="preserve">CLOSING MEMORANDUM AND AMENDMENT </w:t>
      </w:r>
      <w:r>
        <w:rPr>
          <w:rFonts w:ascii="Arial" w:cs="Arial" w:eastAsia="Arial" w:hAnsi="Arial"/>
          <w:sz w:val="21"/>
          <w:szCs w:val="21"/>
          <w:b w:val="1"/>
          <w:bCs w:val="1"/>
          <w:color w:val="auto"/>
        </w:rPr>
        <w:t>AGREEMENT</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This closing memorandum and amendment agreement (the “</w:t>
      </w:r>
      <w:r>
        <w:rPr>
          <w:rFonts w:ascii="Arial" w:cs="Arial" w:eastAsia="Arial" w:hAnsi="Arial"/>
          <w:sz w:val="19"/>
          <w:szCs w:val="19"/>
          <w:b w:val="1"/>
          <w:bCs w:val="1"/>
          <w:color w:val="auto"/>
        </w:rPr>
        <w:t>Closing Memorandum</w:t>
      </w:r>
      <w:r>
        <w:rPr>
          <w:rFonts w:ascii="Arial" w:cs="Arial" w:eastAsia="Arial" w:hAnsi="Arial"/>
          <w:sz w:val="19"/>
          <w:szCs w:val="19"/>
          <w:color w:val="auto"/>
        </w:rPr>
        <w:t>”) is made and entered into by and among:</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Felice Romano</w:t>
      </w:r>
      <w:r>
        <w:rPr>
          <w:rFonts w:ascii="Arial" w:cs="Arial" w:eastAsia="Arial" w:hAnsi="Arial"/>
          <w:sz w:val="19"/>
          <w:szCs w:val="19"/>
          <w:color w:val="auto"/>
        </w:rPr>
        <w:t>, [</w:t>
      </w:r>
      <w:r>
        <w:rPr>
          <w:rFonts w:ascii="Arial" w:cs="Arial" w:eastAsia="Arial" w:hAnsi="Arial"/>
          <w:sz w:val="19"/>
          <w:szCs w:val="19"/>
          <w:i w:val="1"/>
          <w:iCs w:val="1"/>
          <w:color w:val="auto"/>
        </w:rPr>
        <w:t>Redacted</w:t>
      </w:r>
      <w:r>
        <w:rPr>
          <w:rFonts w:ascii="Arial" w:cs="Arial" w:eastAsia="Arial" w:hAnsi="Arial"/>
          <w:sz w:val="19"/>
          <w:szCs w:val="19"/>
          <w:color w:val="auto"/>
        </w:rPr>
        <w:t>] (“</w:t>
      </w:r>
      <w:r>
        <w:rPr>
          <w:rFonts w:ascii="Arial" w:cs="Arial" w:eastAsia="Arial" w:hAnsi="Arial"/>
          <w:sz w:val="19"/>
          <w:szCs w:val="19"/>
          <w:b w:val="1"/>
          <w:bCs w:val="1"/>
          <w:color w:val="auto"/>
        </w:rPr>
        <w:t>FR</w:t>
      </w:r>
      <w:r>
        <w:rPr>
          <w:rFonts w:ascii="Arial" w:cs="Arial" w:eastAsia="Arial" w:hAnsi="Arial"/>
          <w:sz w:val="19"/>
          <w:szCs w:val="19"/>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Antonio Romano</w:t>
      </w:r>
      <w:r>
        <w:rPr>
          <w:rFonts w:ascii="Arial" w:cs="Arial" w:eastAsia="Arial" w:hAnsi="Arial"/>
          <w:sz w:val="19"/>
          <w:szCs w:val="19"/>
          <w:color w:val="auto"/>
        </w:rPr>
        <w:t>, [</w:t>
      </w:r>
      <w:r>
        <w:rPr>
          <w:rFonts w:ascii="Arial" w:cs="Arial" w:eastAsia="Arial" w:hAnsi="Arial"/>
          <w:sz w:val="19"/>
          <w:szCs w:val="19"/>
          <w:i w:val="1"/>
          <w:iCs w:val="1"/>
          <w:color w:val="auto"/>
        </w:rPr>
        <w:t>Redacted</w:t>
      </w:r>
      <w:r>
        <w:rPr>
          <w:rFonts w:ascii="Arial" w:cs="Arial" w:eastAsia="Arial" w:hAnsi="Arial"/>
          <w:sz w:val="19"/>
          <w:szCs w:val="19"/>
          <w:color w:val="auto"/>
        </w:rPr>
        <w:t>] (“</w:t>
      </w:r>
      <w:r>
        <w:rPr>
          <w:rFonts w:ascii="Arial" w:cs="Arial" w:eastAsia="Arial" w:hAnsi="Arial"/>
          <w:sz w:val="19"/>
          <w:szCs w:val="19"/>
          <w:b w:val="1"/>
          <w:bCs w:val="1"/>
          <w:color w:val="auto"/>
        </w:rPr>
        <w:t>AR</w:t>
      </w:r>
      <w:r>
        <w:rPr>
          <w:rFonts w:ascii="Arial" w:cs="Arial" w:eastAsia="Arial" w:hAnsi="Arial"/>
          <w:sz w:val="19"/>
          <w:szCs w:val="19"/>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Luigi Romano</w:t>
      </w:r>
      <w:r>
        <w:rPr>
          <w:rFonts w:ascii="Arial" w:cs="Arial" w:eastAsia="Arial" w:hAnsi="Arial"/>
          <w:sz w:val="19"/>
          <w:szCs w:val="19"/>
          <w:color w:val="auto"/>
        </w:rPr>
        <w:t>, [</w:t>
      </w:r>
      <w:r>
        <w:rPr>
          <w:rFonts w:ascii="Arial" w:cs="Arial" w:eastAsia="Arial" w:hAnsi="Arial"/>
          <w:sz w:val="19"/>
          <w:szCs w:val="19"/>
          <w:i w:val="1"/>
          <w:iCs w:val="1"/>
          <w:color w:val="auto"/>
        </w:rPr>
        <w:t>Redacted</w:t>
      </w:r>
      <w:r>
        <w:rPr>
          <w:rFonts w:ascii="Arial" w:cs="Arial" w:eastAsia="Arial" w:hAnsi="Arial"/>
          <w:sz w:val="19"/>
          <w:szCs w:val="19"/>
          <w:color w:val="auto"/>
        </w:rPr>
        <w:t>] (“</w:t>
      </w:r>
      <w:r>
        <w:rPr>
          <w:rFonts w:ascii="Arial" w:cs="Arial" w:eastAsia="Arial" w:hAnsi="Arial"/>
          <w:sz w:val="19"/>
          <w:szCs w:val="19"/>
          <w:b w:val="1"/>
          <w:bCs w:val="1"/>
          <w:color w:val="auto"/>
        </w:rPr>
        <w:t>LR</w:t>
      </w:r>
      <w:r>
        <w:rPr>
          <w:rFonts w:ascii="Arial" w:cs="Arial" w:eastAsia="Arial" w:hAnsi="Arial"/>
          <w:sz w:val="19"/>
          <w:szCs w:val="19"/>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Natalina Romano</w:t>
      </w:r>
      <w:r>
        <w:rPr>
          <w:rFonts w:ascii="Arial" w:cs="Arial" w:eastAsia="Arial" w:hAnsi="Arial"/>
          <w:sz w:val="19"/>
          <w:szCs w:val="19"/>
          <w:color w:val="auto"/>
        </w:rPr>
        <w:t>, [</w:t>
      </w:r>
      <w:r>
        <w:rPr>
          <w:rFonts w:ascii="Arial" w:cs="Arial" w:eastAsia="Arial" w:hAnsi="Arial"/>
          <w:sz w:val="19"/>
          <w:szCs w:val="19"/>
          <w:i w:val="1"/>
          <w:iCs w:val="1"/>
          <w:color w:val="auto"/>
        </w:rPr>
        <w:t>Redacted</w:t>
      </w:r>
      <w:r>
        <w:rPr>
          <w:rFonts w:ascii="Arial" w:cs="Arial" w:eastAsia="Arial" w:hAnsi="Arial"/>
          <w:sz w:val="19"/>
          <w:szCs w:val="19"/>
          <w:color w:val="auto"/>
        </w:rPr>
        <w:t>] (“</w:t>
      </w:r>
      <w:r>
        <w:rPr>
          <w:rFonts w:ascii="Arial" w:cs="Arial" w:eastAsia="Arial" w:hAnsi="Arial"/>
          <w:sz w:val="19"/>
          <w:szCs w:val="19"/>
          <w:b w:val="1"/>
          <w:bCs w:val="1"/>
          <w:color w:val="auto"/>
        </w:rPr>
        <w:t>NR</w:t>
      </w:r>
      <w:r>
        <w:rPr>
          <w:rFonts w:ascii="Arial" w:cs="Arial" w:eastAsia="Arial" w:hAnsi="Arial"/>
          <w:sz w:val="19"/>
          <w:szCs w:val="19"/>
          <w:color w:val="auto"/>
        </w:rPr>
        <w:t>”);</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Evolve S.r.l.</w:t>
      </w:r>
      <w:r>
        <w:rPr>
          <w:rFonts w:ascii="Arial" w:cs="Arial" w:eastAsia="Arial" w:hAnsi="Arial"/>
          <w:sz w:val="19"/>
          <w:szCs w:val="19"/>
          <w:color w:val="auto"/>
        </w:rPr>
        <w:t>, a limited liability company (</w:t>
      </w:r>
      <w:r>
        <w:rPr>
          <w:rFonts w:ascii="Arial" w:cs="Arial" w:eastAsia="Arial" w:hAnsi="Arial"/>
          <w:sz w:val="19"/>
          <w:szCs w:val="19"/>
          <w:i w:val="1"/>
          <w:iCs w:val="1"/>
          <w:color w:val="auto"/>
        </w:rPr>
        <w:t>società a responsabilità limitata</w:t>
      </w:r>
      <w:r>
        <w:rPr>
          <w:rFonts w:ascii="Arial" w:cs="Arial" w:eastAsia="Arial" w:hAnsi="Arial"/>
          <w:sz w:val="19"/>
          <w:szCs w:val="19"/>
          <w:color w:val="auto"/>
        </w:rPr>
        <w:t>) incorporated under the laws of Italy, having its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 at Napoli, Via Toledo 424, Italian fiscal code, [</w:t>
      </w:r>
      <w:r>
        <w:rPr>
          <w:rFonts w:ascii="Arial" w:cs="Arial" w:eastAsia="Arial" w:hAnsi="Arial"/>
          <w:sz w:val="19"/>
          <w:szCs w:val="19"/>
          <w:i w:val="1"/>
          <w:iCs w:val="1"/>
          <w:color w:val="auto"/>
        </w:rPr>
        <w:t>Redacted</w:t>
      </w:r>
      <w:r>
        <w:rPr>
          <w:rFonts w:ascii="Arial" w:cs="Arial" w:eastAsia="Arial" w:hAnsi="Arial"/>
          <w:sz w:val="19"/>
          <w:szCs w:val="19"/>
          <w:color w:val="auto"/>
        </w:rPr>
        <w:t>], represented herein by Mr. Antonio Romano as Sole Director, duly authorized for the purposes hereof by virtue of the corporate by-laws and the resolution of the shareholders’ meetings passed on December 5, 2025 and April 20, 2026(“</w:t>
      </w:r>
      <w:r>
        <w:rPr>
          <w:rFonts w:ascii="Arial" w:cs="Arial" w:eastAsia="Arial" w:hAnsi="Arial"/>
          <w:sz w:val="19"/>
          <w:szCs w:val="19"/>
          <w:b w:val="1"/>
          <w:bCs w:val="1"/>
          <w:color w:val="auto"/>
        </w:rPr>
        <w:t>Evolve</w:t>
      </w:r>
      <w:r>
        <w:rPr>
          <w:rFonts w:ascii="Arial" w:cs="Arial" w:eastAsia="Arial" w:hAnsi="Arial"/>
          <w:sz w:val="19"/>
          <w:szCs w:val="19"/>
          <w:color w:val="auto"/>
        </w:rPr>
        <w:t>”);</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color w:val="auto"/>
        </w:rPr>
        <w:t>F.A.L. Holdings LLC</w:t>
      </w:r>
      <w:r>
        <w:rPr>
          <w:rFonts w:ascii="Arial" w:cs="Arial" w:eastAsia="Arial" w:hAnsi="Arial"/>
          <w:sz w:val="19"/>
          <w:szCs w:val="19"/>
          <w:color w:val="auto"/>
        </w:rPr>
        <w:t>, a company organized under the laws of USA, with registered office in 360 Madison Av. 7</w:t>
      </w:r>
      <w:r>
        <w:rPr>
          <w:rFonts w:ascii="Arial" w:cs="Arial" w:eastAsia="Arial" w:hAnsi="Arial"/>
          <w:sz w:val="25"/>
          <w:szCs w:val="25"/>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Floor,</w:t>
      </w:r>
      <w:r>
        <w:rPr>
          <w:rFonts w:ascii="Arial" w:cs="Arial" w:eastAsia="Arial" w:hAnsi="Arial"/>
          <w:sz w:val="19"/>
          <w:szCs w:val="19"/>
          <w:b w:val="1"/>
          <w:bCs w:val="1"/>
          <w:color w:val="auto"/>
        </w:rPr>
        <w:t xml:space="preserve"> </w:t>
      </w:r>
      <w:r>
        <w:rPr>
          <w:rFonts w:ascii="Arial" w:cs="Arial" w:eastAsia="Arial" w:hAnsi="Arial"/>
          <w:sz w:val="19"/>
          <w:szCs w:val="19"/>
          <w:color w:val="auto"/>
        </w:rPr>
        <w:t>101017New York (NY), registered with the Companies Register of New York, duly represented by Felice Romano, as special attorney-in-fact, granted with the necessary powers pursuant to the resolution of the Sole Director of December 4, 2025 (“</w:t>
      </w:r>
      <w:r>
        <w:rPr>
          <w:rFonts w:ascii="Arial" w:cs="Arial" w:eastAsia="Arial" w:hAnsi="Arial"/>
          <w:sz w:val="19"/>
          <w:szCs w:val="19"/>
          <w:b w:val="1"/>
          <w:bCs w:val="1"/>
          <w:color w:val="auto"/>
        </w:rPr>
        <w:t>FAL</w:t>
      </w:r>
      <w:r>
        <w:rPr>
          <w:rFonts w:ascii="Arial" w:cs="Arial" w:eastAsia="Arial" w:hAnsi="Arial"/>
          <w:sz w:val="19"/>
          <w:szCs w:val="19"/>
          <w:color w:val="auto"/>
        </w:rPr>
        <w:t>” and, jointly with FR, AR, LR, NR and Evolve, the “</w:t>
      </w:r>
      <w:r>
        <w:rPr>
          <w:rFonts w:ascii="Arial" w:cs="Arial" w:eastAsia="Arial" w:hAnsi="Arial"/>
          <w:sz w:val="19"/>
          <w:szCs w:val="19"/>
          <w:b w:val="1"/>
          <w:bCs w:val="1"/>
          <w:color w:val="auto"/>
        </w:rPr>
        <w:t>La Regina Sellers</w:t>
      </w:r>
      <w:r>
        <w:rPr>
          <w:rFonts w:ascii="Arial" w:cs="Arial" w:eastAsia="Arial" w:hAnsi="Arial"/>
          <w:sz w:val="19"/>
          <w:szCs w:val="19"/>
          <w:color w:val="auto"/>
        </w:rPr>
        <w:t xml:space="preserve">” and each a “ </w:t>
      </w:r>
      <w:r>
        <w:rPr>
          <w:rFonts w:ascii="Arial" w:cs="Arial" w:eastAsia="Arial" w:hAnsi="Arial"/>
          <w:sz w:val="19"/>
          <w:szCs w:val="19"/>
          <w:b w:val="1"/>
          <w:bCs w:val="1"/>
          <w:color w:val="auto"/>
        </w:rPr>
        <w:t>La Regina Seller</w:t>
      </w:r>
      <w:r>
        <w:rPr>
          <w:rFonts w:ascii="Arial" w:cs="Arial" w:eastAsia="Arial" w:hAnsi="Arial"/>
          <w:sz w:val="19"/>
          <w:szCs w:val="19"/>
          <w:color w:val="auto"/>
        </w:rPr>
        <w: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Felix Global Holdings, Corporation</w:t>
      </w:r>
      <w:r>
        <w:rPr>
          <w:rFonts w:ascii="Arial" w:cs="Arial" w:eastAsia="Arial" w:hAnsi="Arial"/>
          <w:sz w:val="19"/>
          <w:szCs w:val="19"/>
          <w:color w:val="auto"/>
        </w:rPr>
        <w:t>, a Delaware corporation with registered office in One Campbell Place, Camden NJ, EIN 22-2365218, duly represented by Luigi Romano, as Chairman, granted with the necessary powers pursuant to the omnibus written consent of the Chairman and the Sole Shareholder of December 4, 2025 (“Felix” or the “</w:t>
      </w:r>
      <w:r>
        <w:rPr>
          <w:rFonts w:ascii="Arial" w:cs="Arial" w:eastAsia="Arial" w:hAnsi="Arial"/>
          <w:sz w:val="19"/>
          <w:szCs w:val="19"/>
          <w:b w:val="1"/>
          <w:bCs w:val="1"/>
          <w:color w:val="auto"/>
        </w:rPr>
        <w:t>Atlantica Seller</w:t>
      </w:r>
      <w:r>
        <w:rPr>
          <w:rFonts w:ascii="Arial" w:cs="Arial" w:eastAsia="Arial" w:hAnsi="Arial"/>
          <w:sz w:val="19"/>
          <w:szCs w:val="19"/>
          <w:color w:val="auto"/>
        </w:rPr>
        <w: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i w:val="1"/>
          <w:iCs w:val="1"/>
          <w:color w:val="auto"/>
        </w:rPr>
        <w:t>- on the one side -</w:t>
      </w:r>
    </w:p>
    <w:p>
      <w:pPr>
        <w:spacing w:after="0" w:line="7"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w:t>
      </w:r>
    </w:p>
    <w:p>
      <w:pPr>
        <w:spacing w:after="0" w:line="1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Campbell Investment Company</w:t>
      </w:r>
      <w:r>
        <w:rPr>
          <w:rFonts w:ascii="Arial" w:cs="Arial" w:eastAsia="Arial" w:hAnsi="Arial"/>
          <w:sz w:val="19"/>
          <w:szCs w:val="19"/>
          <w:color w:val="auto"/>
        </w:rPr>
        <w:t>, a company organized under the laws of Delaware, with registered office in One Campbell</w:t>
      </w:r>
      <w:r>
        <w:rPr>
          <w:rFonts w:ascii="Arial" w:cs="Arial" w:eastAsia="Arial" w:hAnsi="Arial"/>
          <w:sz w:val="19"/>
          <w:szCs w:val="19"/>
          <w:b w:val="1"/>
          <w:bCs w:val="1"/>
          <w:color w:val="auto"/>
        </w:rPr>
        <w:t xml:space="preserve"> </w:t>
      </w:r>
      <w:r>
        <w:rPr>
          <w:rFonts w:ascii="Arial" w:cs="Arial" w:eastAsia="Arial" w:hAnsi="Arial"/>
          <w:sz w:val="19"/>
          <w:szCs w:val="19"/>
          <w:color w:val="auto"/>
        </w:rPr>
        <w:t>Place, Camden NJ, [</w:t>
      </w:r>
      <w:r>
        <w:rPr>
          <w:rFonts w:ascii="Arial" w:cs="Arial" w:eastAsia="Arial" w:hAnsi="Arial"/>
          <w:sz w:val="19"/>
          <w:szCs w:val="19"/>
          <w:i w:val="1"/>
          <w:iCs w:val="1"/>
          <w:color w:val="auto"/>
        </w:rPr>
        <w:t>Redacted</w:t>
      </w:r>
      <w:r>
        <w:rPr>
          <w:rFonts w:ascii="Arial" w:cs="Arial" w:eastAsia="Arial" w:hAnsi="Arial"/>
          <w:sz w:val="19"/>
          <w:szCs w:val="19"/>
          <w:color w:val="auto"/>
        </w:rPr>
        <w:t>], duly represented by Miles Jason Hinderliter, as attorney-in-fact pursuant to a special power of attorney dated April 29, 2025 (“</w:t>
      </w:r>
      <w:r>
        <w:rPr>
          <w:rFonts w:ascii="Arial" w:cs="Arial" w:eastAsia="Arial" w:hAnsi="Arial"/>
          <w:sz w:val="19"/>
          <w:szCs w:val="19"/>
          <w:b w:val="1"/>
          <w:bCs w:val="1"/>
          <w:color w:val="auto"/>
        </w:rPr>
        <w:t>Campbell</w:t>
      </w:r>
      <w:r>
        <w:rPr>
          <w:rFonts w:ascii="Arial" w:cs="Arial" w:eastAsia="Arial" w:hAnsi="Arial"/>
          <w:sz w:val="19"/>
          <w:szCs w:val="19"/>
          <w:color w:val="auto"/>
        </w:rPr>
        <w:t>” or “</w:t>
      </w:r>
      <w:r>
        <w:rPr>
          <w:rFonts w:ascii="Arial" w:cs="Arial" w:eastAsia="Arial" w:hAnsi="Arial"/>
          <w:sz w:val="19"/>
          <w:szCs w:val="19"/>
          <w:b w:val="1"/>
          <w:bCs w:val="1"/>
          <w:color w:val="auto"/>
        </w:rPr>
        <w:t>La Regina Purchaser</w:t>
      </w:r>
      <w:r>
        <w:rPr>
          <w:rFonts w:ascii="Arial" w:cs="Arial" w:eastAsia="Arial" w:hAnsi="Arial"/>
          <w:sz w:val="19"/>
          <w:szCs w:val="19"/>
          <w:color w:val="auto"/>
        </w:rPr>
        <w:t>”); and</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Campbell Soup Supply Company L.L.C.</w:t>
      </w:r>
      <w:r>
        <w:rPr>
          <w:rFonts w:ascii="Arial" w:cs="Arial" w:eastAsia="Arial" w:hAnsi="Arial"/>
          <w:sz w:val="19"/>
          <w:szCs w:val="19"/>
          <w:color w:val="auto"/>
        </w:rPr>
        <w:t>, a Delaware limited liability Company, with registered office in One Campbell Place,</w:t>
      </w:r>
      <w:r>
        <w:rPr>
          <w:rFonts w:ascii="Arial" w:cs="Arial" w:eastAsia="Arial" w:hAnsi="Arial"/>
          <w:sz w:val="19"/>
          <w:szCs w:val="19"/>
          <w:b w:val="1"/>
          <w:bCs w:val="1"/>
          <w:color w:val="auto"/>
        </w:rPr>
        <w:t xml:space="preserve"> </w:t>
      </w:r>
      <w:r>
        <w:rPr>
          <w:rFonts w:ascii="Arial" w:cs="Arial" w:eastAsia="Arial" w:hAnsi="Arial"/>
          <w:sz w:val="19"/>
          <w:szCs w:val="19"/>
          <w:color w:val="auto"/>
        </w:rPr>
        <w:t>Camden NJ, [</w:t>
      </w:r>
      <w:r>
        <w:rPr>
          <w:rFonts w:ascii="Arial" w:cs="Arial" w:eastAsia="Arial" w:hAnsi="Arial"/>
          <w:sz w:val="19"/>
          <w:szCs w:val="19"/>
          <w:i w:val="1"/>
          <w:iCs w:val="1"/>
          <w:color w:val="auto"/>
        </w:rPr>
        <w:t>Redacted</w:t>
      </w:r>
      <w:r>
        <w:rPr>
          <w:rFonts w:ascii="Arial" w:cs="Arial" w:eastAsia="Arial" w:hAnsi="Arial"/>
          <w:sz w:val="19"/>
          <w:szCs w:val="19"/>
          <w:color w:val="auto"/>
        </w:rPr>
        <w:t>], duly represented by Miles Jason Hinderliter, as legal representative, pursuant to the resolution of the Board of Directors dated November 19, 2025 (“</w:t>
      </w:r>
      <w:r>
        <w:rPr>
          <w:rFonts w:ascii="Arial" w:cs="Arial" w:eastAsia="Arial" w:hAnsi="Arial"/>
          <w:sz w:val="19"/>
          <w:szCs w:val="19"/>
          <w:b w:val="1"/>
          <w:bCs w:val="1"/>
          <w:color w:val="auto"/>
        </w:rPr>
        <w:t>CSSC</w:t>
      </w:r>
      <w:r>
        <w:rPr>
          <w:rFonts w:ascii="Arial" w:cs="Arial" w:eastAsia="Arial" w:hAnsi="Arial"/>
          <w:sz w:val="19"/>
          <w:szCs w:val="19"/>
          <w:color w:val="auto"/>
        </w:rPr>
        <w:t>” or “</w:t>
      </w:r>
      <w:r>
        <w:rPr>
          <w:rFonts w:ascii="Arial" w:cs="Arial" w:eastAsia="Arial" w:hAnsi="Arial"/>
          <w:sz w:val="19"/>
          <w:szCs w:val="19"/>
          <w:b w:val="1"/>
          <w:bCs w:val="1"/>
          <w:color w:val="auto"/>
        </w:rPr>
        <w:t>Atlantica Purchaser</w:t>
      </w:r>
      <w:r>
        <w:rPr>
          <w:rFonts w:ascii="Arial" w:cs="Arial" w:eastAsia="Arial" w:hAnsi="Arial"/>
          <w:sz w:val="19"/>
          <w:szCs w:val="19"/>
          <w:color w:val="auto"/>
        </w:rPr>
        <w:t>”);</w:t>
      </w:r>
    </w:p>
    <w:p>
      <w:pPr>
        <w:spacing w:after="0" w:line="186" w:lineRule="exact"/>
        <w:rPr>
          <w:sz w:val="20"/>
          <w:szCs w:val="20"/>
          <w:color w:val="auto"/>
        </w:rPr>
      </w:pPr>
    </w:p>
    <w:p>
      <w:pPr>
        <w:ind w:left="9400"/>
        <w:spacing w:after="0"/>
        <w:rPr>
          <w:sz w:val="20"/>
          <w:szCs w:val="20"/>
          <w:color w:val="auto"/>
        </w:rPr>
      </w:pPr>
      <w:r>
        <w:rPr>
          <w:rFonts w:ascii="Arial" w:cs="Arial" w:eastAsia="Arial" w:hAnsi="Arial"/>
          <w:sz w:val="21"/>
          <w:szCs w:val="21"/>
          <w:i w:val="1"/>
          <w:iCs w:val="1"/>
          <w:color w:val="auto"/>
        </w:rPr>
        <w:t>- on the other side -</w:t>
      </w:r>
    </w:p>
    <w:p>
      <w:pPr>
        <w:spacing w:after="0" w:line="265" w:lineRule="exact"/>
        <w:rPr>
          <w:sz w:val="20"/>
          <w:szCs w:val="20"/>
          <w:color w:val="auto"/>
        </w:rPr>
      </w:pPr>
    </w:p>
    <w:p>
      <w:pPr>
        <w:ind w:right="60"/>
        <w:spacing w:after="0" w:line="303" w:lineRule="auto"/>
        <w:rPr>
          <w:sz w:val="20"/>
          <w:szCs w:val="20"/>
          <w:color w:val="auto"/>
        </w:rPr>
      </w:pPr>
      <w:r>
        <w:rPr>
          <w:rFonts w:ascii="Arial" w:cs="Arial" w:eastAsia="Arial" w:hAnsi="Arial"/>
          <w:sz w:val="19"/>
          <w:szCs w:val="19"/>
          <w:color w:val="auto"/>
        </w:rPr>
        <w:t>(for the purposes of this Agreement, the La Regina Sellers, Atlantica Seller, La Regina Purchaser and the Atlantica Purchaser are hereafter also jointly referred to as the “</w:t>
      </w:r>
      <w:r>
        <w:rPr>
          <w:rFonts w:ascii="Arial" w:cs="Arial" w:eastAsia="Arial" w:hAnsi="Arial"/>
          <w:sz w:val="21"/>
          <w:szCs w:val="21"/>
          <w:b w:val="1"/>
          <w:bCs w:val="1"/>
          <w:color w:val="auto"/>
        </w:rPr>
        <w:t>Parties</w:t>
      </w:r>
      <w:r>
        <w:rPr>
          <w:rFonts w:ascii="Arial" w:cs="Arial" w:eastAsia="Arial" w:hAnsi="Arial"/>
          <w:sz w:val="19"/>
          <w:szCs w:val="19"/>
          <w:color w:val="auto"/>
        </w:rPr>
        <w:t>” and each as a “</w:t>
      </w:r>
      <w:r>
        <w:rPr>
          <w:rFonts w:ascii="Arial" w:cs="Arial" w:eastAsia="Arial" w:hAnsi="Arial"/>
          <w:sz w:val="21"/>
          <w:szCs w:val="21"/>
          <w:b w:val="1"/>
          <w:bCs w:val="1"/>
          <w:color w:val="auto"/>
        </w:rPr>
        <w:t>Party</w:t>
      </w:r>
      <w:r>
        <w:rPr>
          <w:rFonts w:ascii="Arial" w:cs="Arial" w:eastAsia="Arial" w:hAnsi="Arial"/>
          <w:sz w:val="19"/>
          <w:szCs w:val="19"/>
          <w:color w:val="auto"/>
        </w:rPr>
        <w:t>”).</w:t>
      </w:r>
    </w:p>
    <w:p>
      <w:pPr>
        <w:sectPr>
          <w:pgSz w:w="11900" w:h="16838" w:orient="portrait"/>
          <w:cols w:equalWidth="0" w:num="1">
            <w:col w:w="11240"/>
          </w:cols>
          <w:pgMar w:left="320" w:top="138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9"/>
          <w:szCs w:val="19"/>
          <w:b w:val="1"/>
          <w:bCs w:val="1"/>
          <w:color w:val="auto"/>
        </w:rPr>
        <w:t>WHEREAS</w:t>
      </w:r>
    </w:p>
    <w:p>
      <w:pPr>
        <w:spacing w:after="0" w:line="259" w:lineRule="exact"/>
        <w:rPr>
          <w:sz w:val="20"/>
          <w:szCs w:val="20"/>
          <w:color w:val="auto"/>
        </w:rPr>
      </w:pPr>
    </w:p>
    <w:p>
      <w:pPr>
        <w:jc w:val="both"/>
        <w:ind w:left="640" w:hanging="316"/>
        <w:spacing w:after="0" w:line="260"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On December 8, 2025, the La Regina Sellers and Campbell executed a sale and purchase agreement (the “</w:t>
      </w:r>
      <w:r>
        <w:rPr>
          <w:rFonts w:ascii="Arial" w:cs="Arial" w:eastAsia="Arial" w:hAnsi="Arial"/>
          <w:sz w:val="19"/>
          <w:szCs w:val="19"/>
          <w:b w:val="1"/>
          <w:bCs w:val="1"/>
          <w:color w:val="auto"/>
        </w:rPr>
        <w:t>La Regina</w:t>
      </w:r>
      <w:r>
        <w:rPr>
          <w:rFonts w:ascii="Arial" w:cs="Arial" w:eastAsia="Arial" w:hAnsi="Arial"/>
          <w:sz w:val="19"/>
          <w:szCs w:val="19"/>
          <w:color w:val="auto"/>
        </w:rPr>
        <w:t xml:space="preserve"> </w:t>
      </w:r>
      <w:r>
        <w:rPr>
          <w:rFonts w:ascii="Arial" w:cs="Arial" w:eastAsia="Arial" w:hAnsi="Arial"/>
          <w:sz w:val="19"/>
          <w:szCs w:val="19"/>
          <w:b w:val="1"/>
          <w:bCs w:val="1"/>
          <w:color w:val="auto"/>
        </w:rPr>
        <w:t>SPA</w:t>
      </w:r>
      <w:r>
        <w:rPr>
          <w:rFonts w:ascii="Arial" w:cs="Arial" w:eastAsia="Arial" w:hAnsi="Arial"/>
          <w:sz w:val="19"/>
          <w:szCs w:val="19"/>
          <w:color w:val="auto"/>
        </w:rPr>
        <w:t>”) related to the purchase from the La Regina Sellers by the La Regina Purchaser of 49% (forty nine percent)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 capital of La Regina di San Marzano di Antonio Romano S.p.A., a company organized under the laws of Italy, with registered office in Scafati (SA), [</w:t>
      </w:r>
      <w:r>
        <w:rPr>
          <w:rFonts w:ascii="Arial" w:cs="Arial" w:eastAsia="Arial" w:hAnsi="Arial"/>
          <w:sz w:val="19"/>
          <w:szCs w:val="19"/>
          <w:i w:val="1"/>
          <w:iCs w:val="1"/>
          <w:color w:val="auto"/>
        </w:rPr>
        <w:t>Redacted</w:t>
      </w:r>
      <w:r>
        <w:rPr>
          <w:rFonts w:ascii="Arial" w:cs="Arial" w:eastAsia="Arial" w:hAnsi="Arial"/>
          <w:sz w:val="19"/>
          <w:szCs w:val="19"/>
          <w:color w:val="auto"/>
        </w:rPr>
        <w:t>], corporate capital entirely paid in of Euro 8,000,000.00 (“</w:t>
      </w:r>
      <w:r>
        <w:rPr>
          <w:rFonts w:ascii="Arial" w:cs="Arial" w:eastAsia="Arial" w:hAnsi="Arial"/>
          <w:sz w:val="19"/>
          <w:szCs w:val="19"/>
          <w:b w:val="1"/>
          <w:bCs w:val="1"/>
          <w:color w:val="auto"/>
        </w:rPr>
        <w:t>La Regina</w:t>
      </w:r>
      <w:r>
        <w:rPr>
          <w:rFonts w:ascii="Arial" w:cs="Arial" w:eastAsia="Arial" w:hAnsi="Arial"/>
          <w:sz w:val="19"/>
          <w:szCs w:val="19"/>
          <w:color w:val="auto"/>
        </w:rPr>
        <w:t>”).</w:t>
      </w:r>
    </w:p>
    <w:p>
      <w:pPr>
        <w:jc w:val="both"/>
        <w:ind w:left="640" w:hanging="316"/>
        <w:spacing w:after="0" w:line="257" w:lineRule="auto"/>
        <w:tabs>
          <w:tab w:leader="none" w:pos="674" w:val="left"/>
        </w:tabs>
        <w:numPr>
          <w:ilvl w:val="0"/>
          <w:numId w:val="36"/>
        </w:numPr>
        <w:rPr>
          <w:rFonts w:ascii="Arial" w:cs="Arial" w:eastAsia="Arial" w:hAnsi="Arial"/>
          <w:sz w:val="19"/>
          <w:szCs w:val="19"/>
          <w:color w:val="auto"/>
        </w:rPr>
      </w:pPr>
      <w:r>
        <w:rPr>
          <w:rFonts w:ascii="Arial" w:cs="Arial" w:eastAsia="Arial" w:hAnsi="Arial"/>
          <w:sz w:val="19"/>
          <w:szCs w:val="19"/>
          <w:color w:val="auto"/>
        </w:rPr>
        <w:t>On December 8, 2025, the Atlantica Seller and CSSC executed an equity purchase agreement (the “</w:t>
      </w:r>
      <w:r>
        <w:rPr>
          <w:rFonts w:ascii="Arial" w:cs="Arial" w:eastAsia="Arial" w:hAnsi="Arial"/>
          <w:sz w:val="19"/>
          <w:szCs w:val="19"/>
          <w:b w:val="1"/>
          <w:bCs w:val="1"/>
          <w:color w:val="auto"/>
        </w:rPr>
        <w:t>La Regina EPA</w:t>
      </w:r>
      <w:r>
        <w:rPr>
          <w:rFonts w:ascii="Arial" w:cs="Arial" w:eastAsia="Arial" w:hAnsi="Arial"/>
          <w:sz w:val="19"/>
          <w:szCs w:val="19"/>
          <w:color w:val="auto"/>
        </w:rPr>
        <w:t>”) related to, among other things, the purchase from the Atlantica Seller by the Atlantica Purchaser of 49% (forty nine percent) of the equity value of La Regina Atlantica, LLC, a Georgia limited liability company (“</w:t>
      </w:r>
      <w:r>
        <w:rPr>
          <w:rFonts w:ascii="Arial" w:cs="Arial" w:eastAsia="Arial" w:hAnsi="Arial"/>
          <w:sz w:val="19"/>
          <w:szCs w:val="19"/>
          <w:b w:val="1"/>
          <w:bCs w:val="1"/>
          <w:color w:val="auto"/>
        </w:rPr>
        <w:t>Atlantica</w:t>
      </w:r>
      <w:r>
        <w:rPr>
          <w:rFonts w:ascii="Arial" w:cs="Arial" w:eastAsia="Arial" w:hAnsi="Arial"/>
          <w:sz w:val="19"/>
          <w:szCs w:val="19"/>
          <w:color w:val="auto"/>
        </w:rPr>
        <w:t>”).</w:t>
      </w:r>
    </w:p>
    <w:p>
      <w:pPr>
        <w:jc w:val="both"/>
        <w:ind w:left="640" w:hanging="316"/>
        <w:spacing w:after="0" w:line="255" w:lineRule="auto"/>
        <w:tabs>
          <w:tab w:leader="none" w:pos="684" w:val="left"/>
        </w:tabs>
        <w:numPr>
          <w:ilvl w:val="0"/>
          <w:numId w:val="36"/>
        </w:numPr>
        <w:rPr>
          <w:rFonts w:ascii="Arial" w:cs="Arial" w:eastAsia="Arial" w:hAnsi="Arial"/>
          <w:sz w:val="19"/>
          <w:szCs w:val="19"/>
          <w:color w:val="auto"/>
        </w:rPr>
      </w:pPr>
      <w:r>
        <w:rPr>
          <w:rFonts w:ascii="Arial" w:cs="Arial" w:eastAsia="Arial" w:hAnsi="Arial"/>
          <w:sz w:val="19"/>
          <w:szCs w:val="19"/>
          <w:color w:val="auto"/>
        </w:rPr>
        <w:t>On April 16, 2026 the La Regina Sellers and the Atlantica Seller, respectively, (i) for the purpose of Clause 7.2 of each of the La Regina SPA and the La Regina EPA, notified to the La Regina Purchaser and the Atlantica Purchaser that no Leakage (as defined in the La Regina SPA and the La Regina EPA, as applicable) has occurred prior to the date of such notice nor is expected to occur on or prior to the Closing (as defined in the La Regina SPA and the La Regina EPA, as applicable). In addition, the La Regina Sellers (i) communicated the amount of the First Tranche Purchase Price pursuant to Clause 5.3 of the La Regina SPA, and (ii) by way of derogating from Clauses 2.1, 5.4 and 5.5 of the La Regina SPA, proposed certain amendments to (a) the allocation of the Shares (as defined in the La Regina SPA) to be transferred at Closing, (b) the Price Allocation (as defined in the La Regina SPA), and (c) the terms and modalities for payment of the Purchase Price (as defined in the La Regina SPA).</w:t>
      </w:r>
    </w:p>
    <w:p>
      <w:pPr>
        <w:spacing w:after="0" w:line="4" w:lineRule="exact"/>
        <w:rPr>
          <w:rFonts w:ascii="Arial" w:cs="Arial" w:eastAsia="Arial" w:hAnsi="Arial"/>
          <w:sz w:val="19"/>
          <w:szCs w:val="19"/>
          <w:color w:val="auto"/>
        </w:rPr>
      </w:pPr>
    </w:p>
    <w:p>
      <w:pPr>
        <w:jc w:val="both"/>
        <w:ind w:left="640" w:hanging="316"/>
        <w:spacing w:after="0" w:line="254" w:lineRule="auto"/>
        <w:tabs>
          <w:tab w:leader="none" w:pos="671" w:val="left"/>
        </w:tabs>
        <w:numPr>
          <w:ilvl w:val="0"/>
          <w:numId w:val="36"/>
        </w:numPr>
        <w:rPr>
          <w:rFonts w:ascii="Arial" w:cs="Arial" w:eastAsia="Arial" w:hAnsi="Arial"/>
          <w:sz w:val="19"/>
          <w:szCs w:val="19"/>
          <w:color w:val="auto"/>
        </w:rPr>
      </w:pPr>
      <w:r>
        <w:rPr>
          <w:rFonts w:ascii="Arial" w:cs="Arial" w:eastAsia="Arial" w:hAnsi="Arial"/>
          <w:sz w:val="19"/>
          <w:szCs w:val="19"/>
          <w:color w:val="auto"/>
        </w:rPr>
        <w:t>Following the fulfilment of the conditions precedent set forth under Clause 6.1. of the La Regina SPA and the La Regina EPA, as subsequently amended by this Closing Memorandum, in accordance with Clause 9.1 of the La Regina SPA and the La Regina SPA, the Closing Date (as defined in the La Regina SPA and the La Regina EPA, as applicable) is on the date hereof, May 4, 2026.</w:t>
      </w:r>
    </w:p>
    <w:p>
      <w:pPr>
        <w:spacing w:after="0" w:line="2" w:lineRule="exact"/>
        <w:rPr>
          <w:rFonts w:ascii="Arial" w:cs="Arial" w:eastAsia="Arial" w:hAnsi="Arial"/>
          <w:sz w:val="19"/>
          <w:szCs w:val="19"/>
          <w:color w:val="auto"/>
        </w:rPr>
      </w:pPr>
    </w:p>
    <w:p>
      <w:pPr>
        <w:jc w:val="both"/>
        <w:ind w:left="640" w:hanging="316"/>
        <w:spacing w:after="0" w:line="283" w:lineRule="auto"/>
        <w:tabs>
          <w:tab w:leader="none" w:pos="674" w:val="left"/>
        </w:tabs>
        <w:numPr>
          <w:ilvl w:val="0"/>
          <w:numId w:val="36"/>
        </w:numPr>
        <w:rPr>
          <w:rFonts w:ascii="Arial" w:cs="Arial" w:eastAsia="Arial" w:hAnsi="Arial"/>
          <w:sz w:val="19"/>
          <w:szCs w:val="19"/>
          <w:color w:val="auto"/>
        </w:rPr>
      </w:pPr>
      <w:r>
        <w:rPr>
          <w:rFonts w:ascii="Arial" w:cs="Arial" w:eastAsia="Arial" w:hAnsi="Arial"/>
          <w:sz w:val="19"/>
          <w:szCs w:val="19"/>
          <w:color w:val="auto"/>
        </w:rPr>
        <w:t>By executing this Closing Memorandum and in the context of Closing, also taking into account the proposed amendments referred to in Recital (C) above, the Parties wish to set out some arrangements and make certain acknowledgements relating to the Transaction (as defined in the La Regina SPA and the La Regina EPA, as applicable), as well as certain further amendments to the La Regina SPA and the La Regina EPA, as set out herein.</w:t>
      </w:r>
    </w:p>
    <w:p>
      <w:pPr>
        <w:spacing w:after="0" w:line="182" w:lineRule="exact"/>
        <w:rPr>
          <w:sz w:val="20"/>
          <w:szCs w:val="20"/>
          <w:color w:val="auto"/>
        </w:rPr>
      </w:pPr>
    </w:p>
    <w:p>
      <w:pPr>
        <w:ind w:right="220"/>
        <w:spacing w:after="0" w:line="29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having premised the above which, together with the annexes, if any, constitutes an integral and substantial</w:t>
      </w:r>
      <w:r>
        <w:rPr>
          <w:rFonts w:ascii="Arial" w:cs="Arial" w:eastAsia="Arial" w:hAnsi="Arial"/>
          <w:sz w:val="19"/>
          <w:szCs w:val="19"/>
          <w:b w:val="1"/>
          <w:bCs w:val="1"/>
          <w:color w:val="auto"/>
        </w:rPr>
        <w:t xml:space="preserve"> </w:t>
      </w:r>
      <w:r>
        <w:rPr>
          <w:rFonts w:ascii="Arial" w:cs="Arial" w:eastAsia="Arial" w:hAnsi="Arial"/>
          <w:sz w:val="19"/>
          <w:szCs w:val="19"/>
          <w:color w:val="auto"/>
        </w:rPr>
        <w:t>part of this Closing Memorandum, the Parties agree and covenant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INTERPRETATION</w:t>
      </w:r>
    </w:p>
    <w:p>
      <w:pPr>
        <w:spacing w:after="0" w:line="267" w:lineRule="exact"/>
        <w:rPr>
          <w:sz w:val="20"/>
          <w:szCs w:val="20"/>
          <w:color w:val="auto"/>
        </w:rPr>
      </w:pPr>
    </w:p>
    <w:p>
      <w:pPr>
        <w:ind w:left="640" w:right="240" w:hanging="635"/>
        <w:spacing w:after="0" w:line="288" w:lineRule="auto"/>
        <w:tabs>
          <w:tab w:leader="none" w:pos="62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color w:val="auto"/>
        </w:rPr>
        <w:t>All terms used with capital letters not otherwise defined herein shall have the same meaning attributed to them in the La Regina SPA and the La Regina EPA.</w:t>
      </w:r>
    </w:p>
    <w:p>
      <w:pPr>
        <w:spacing w:after="0" w:line="196"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 REGINA SPA</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2.1.SHARE ALLOCATION AND TRANSFER</w:t>
      </w:r>
    </w:p>
    <w:p>
      <w:pPr>
        <w:spacing w:after="0" w:line="269" w:lineRule="exact"/>
        <w:rPr>
          <w:sz w:val="20"/>
          <w:szCs w:val="20"/>
          <w:color w:val="auto"/>
        </w:rPr>
      </w:pPr>
    </w:p>
    <w:p>
      <w:pPr>
        <w:jc w:val="both"/>
        <w:ind w:left="640" w:hanging="635"/>
        <w:spacing w:after="0" w:line="275" w:lineRule="auto"/>
        <w:tabs>
          <w:tab w:leader="none" w:pos="62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21"/>
          <w:szCs w:val="21"/>
          <w:color w:val="auto"/>
        </w:rPr>
        <w:t>The Parties hereby agree and acknowledge that, on the Closing Date, the Shares have been sold and transferred to the La Regina Purchaser by the following La Regina Sellers, and that Schedule 2.1 to the La Regina SPA shall be replaced in its entirety as follows:</w:t>
      </w:r>
    </w:p>
    <w:p>
      <w:pPr>
        <w:sectPr>
          <w:pgSz w:w="11900" w:h="16838" w:orient="portrait"/>
          <w:cols w:equalWidth="0" w:num="1">
            <w:col w:w="11240"/>
          </w:cols>
          <w:pgMar w:left="320" w:top="1388" w:right="339" w:bottom="1440" w:gutter="0" w:footer="0" w:header="0"/>
        </w:sectPr>
      </w:pPr>
    </w:p>
    <w:bookmarkStart w:id="48" w:name="page49"/>
    <w:bookmarkEnd w:id="48"/>
    <w:p>
      <w:pPr>
        <w:spacing w:after="0"/>
        <w:rPr>
          <w:sz w:val="20"/>
          <w:szCs w:val="20"/>
          <w:color w:val="auto"/>
        </w:rPr>
      </w:pPr>
      <w:r>
        <w:rPr>
          <w:rFonts w:ascii="Arial" w:cs="Arial" w:eastAsia="Arial" w:hAnsi="Arial"/>
          <w:sz w:val="21"/>
          <w:szCs w:val="21"/>
          <w:color w:val="auto"/>
        </w:rPr>
        <w:t>“</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40" w:type="dxa"/>
            <w:vAlign w:val="bottom"/>
            <w:tcBorders>
              <w:top w:val="single" w:sz="8" w:color="auto"/>
              <w:left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rPr>
              <w:t>Shareholder</w:t>
            </w:r>
          </w:p>
        </w:tc>
        <w:tc>
          <w:tcPr>
            <w:tcW w:w="2600" w:type="dxa"/>
            <w:vAlign w:val="bottom"/>
            <w:tcBorders>
              <w:top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rPr>
              <w:t>Percentage (%) of share</w:t>
            </w:r>
          </w:p>
        </w:tc>
        <w:tc>
          <w:tcPr>
            <w:tcW w:w="2600" w:type="dxa"/>
            <w:vAlign w:val="bottom"/>
            <w:tcBorders>
              <w:top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rPr>
              <w:t>Value (Euro)</w:t>
            </w:r>
          </w:p>
        </w:tc>
        <w:tc>
          <w:tcPr>
            <w:tcW w:w="2600" w:type="dxa"/>
            <w:vAlign w:val="bottom"/>
            <w:tcBorders>
              <w:top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w w:val="97"/>
              </w:rPr>
              <w:t>Title</w:t>
            </w:r>
          </w:p>
        </w:tc>
      </w:tr>
      <w:tr>
        <w:trPr>
          <w:trHeight w:val="291"/>
        </w:trPr>
        <w:tc>
          <w:tcPr>
            <w:tcW w:w="2640" w:type="dxa"/>
            <w:vAlign w:val="bottom"/>
            <w:tcBorders>
              <w:left w:val="single" w:sz="8" w:color="auto"/>
              <w:bottom w:val="single" w:sz="8" w:color="auto"/>
              <w:right w:val="single" w:sz="8" w:color="auto"/>
            </w:tcBorders>
            <w:shd w:val="clear" w:color="auto" w:fill="001F5F"/>
          </w:tcPr>
          <w:p>
            <w:pPr>
              <w:spacing w:after="0"/>
              <w:rPr>
                <w:sz w:val="24"/>
                <w:szCs w:val="24"/>
                <w:color w:val="auto"/>
              </w:rPr>
            </w:pPr>
          </w:p>
        </w:tc>
        <w:tc>
          <w:tcPr>
            <w:tcW w:w="2600" w:type="dxa"/>
            <w:vAlign w:val="bottom"/>
            <w:tcBorders>
              <w:bottom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w w:val="99"/>
              </w:rPr>
              <w:t>capital</w:t>
            </w:r>
          </w:p>
        </w:tc>
        <w:tc>
          <w:tcPr>
            <w:tcW w:w="2600" w:type="dxa"/>
            <w:vAlign w:val="bottom"/>
            <w:tcBorders>
              <w:bottom w:val="single" w:sz="8" w:color="auto"/>
              <w:right w:val="single" w:sz="8" w:color="auto"/>
            </w:tcBorders>
            <w:shd w:val="clear" w:color="auto" w:fill="001F5F"/>
          </w:tcPr>
          <w:p>
            <w:pPr>
              <w:spacing w:after="0"/>
              <w:rPr>
                <w:sz w:val="24"/>
                <w:szCs w:val="24"/>
                <w:color w:val="auto"/>
              </w:rPr>
            </w:pPr>
          </w:p>
        </w:tc>
        <w:tc>
          <w:tcPr>
            <w:tcW w:w="2600" w:type="dxa"/>
            <w:vAlign w:val="bottom"/>
            <w:tcBorders>
              <w:bottom w:val="single" w:sz="8" w:color="auto"/>
              <w:right w:val="single" w:sz="8" w:color="auto"/>
            </w:tcBorders>
            <w:shd w:val="clear" w:color="auto" w:fill="001F5F"/>
          </w:tcPr>
          <w:p>
            <w:pPr>
              <w:spacing w:after="0"/>
              <w:rPr>
                <w:sz w:val="24"/>
                <w:szCs w:val="24"/>
                <w:color w:val="auto"/>
              </w:rPr>
            </w:pPr>
          </w:p>
        </w:tc>
      </w:tr>
      <w:tr>
        <w:trPr>
          <w:trHeight w:val="327"/>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Evolve</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Full ownership (piena</w:t>
            </w:r>
          </w:p>
        </w:tc>
      </w:tr>
      <w:tr>
        <w:trPr>
          <w:trHeight w:val="345"/>
        </w:trPr>
        <w:tc>
          <w:tcPr>
            <w:tcW w:w="26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proprietà)</w:t>
            </w:r>
          </w:p>
        </w:tc>
      </w:tr>
      <w:tr>
        <w:trPr>
          <w:trHeight w:val="51"/>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r>
      <w:tr>
        <w:trPr>
          <w:trHeight w:val="326"/>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w w:val="99"/>
              </w:rPr>
              <w:t>FR</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Full ownership (piena</w:t>
            </w:r>
          </w:p>
        </w:tc>
      </w:tr>
      <w:tr>
        <w:trPr>
          <w:trHeight w:val="331"/>
        </w:trPr>
        <w:tc>
          <w:tcPr>
            <w:tcW w:w="26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proprietà)</w:t>
            </w:r>
          </w:p>
        </w:tc>
      </w:tr>
      <w:tr>
        <w:trPr>
          <w:trHeight w:val="64"/>
        </w:trPr>
        <w:tc>
          <w:tcPr>
            <w:tcW w:w="264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r>
      <w:tr>
        <w:trPr>
          <w:trHeight w:val="326"/>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LR</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Full ownership (piena</w:t>
            </w:r>
          </w:p>
        </w:tc>
      </w:tr>
      <w:tr>
        <w:trPr>
          <w:trHeight w:val="331"/>
        </w:trPr>
        <w:tc>
          <w:tcPr>
            <w:tcW w:w="26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proprietà)</w:t>
            </w:r>
          </w:p>
        </w:tc>
      </w:tr>
      <w:tr>
        <w:trPr>
          <w:trHeight w:val="64"/>
        </w:trPr>
        <w:tc>
          <w:tcPr>
            <w:tcW w:w="264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r>
      <w:tr>
        <w:trPr>
          <w:trHeight w:val="326"/>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w w:val="98"/>
              </w:rPr>
              <w:t>NR</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Full ownership (piena</w:t>
            </w:r>
          </w:p>
        </w:tc>
      </w:tr>
      <w:tr>
        <w:trPr>
          <w:trHeight w:val="345"/>
        </w:trPr>
        <w:tc>
          <w:tcPr>
            <w:tcW w:w="26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proprietà)</w:t>
            </w:r>
          </w:p>
        </w:tc>
      </w:tr>
      <w:tr>
        <w:trPr>
          <w:trHeight w:val="51"/>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r>
      <w:tr>
        <w:trPr>
          <w:trHeight w:val="326"/>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AR</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Full ownership (piena</w:t>
            </w:r>
          </w:p>
        </w:tc>
      </w:tr>
      <w:tr>
        <w:trPr>
          <w:trHeight w:val="344"/>
        </w:trPr>
        <w:tc>
          <w:tcPr>
            <w:tcW w:w="264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1"/>
                <w:szCs w:val="21"/>
                <w:i w:val="1"/>
                <w:iCs w:val="1"/>
                <w:color w:val="auto"/>
              </w:rPr>
              <w:t>proprietà)</w:t>
            </w:r>
          </w:p>
        </w:tc>
      </w:tr>
      <w:tr>
        <w:trPr>
          <w:trHeight w:val="51"/>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r>
      <w:tr>
        <w:trPr>
          <w:trHeight w:val="284"/>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i w:val="1"/>
                <w:iCs w:val="1"/>
                <w:color w:val="auto"/>
                <w:w w:val="99"/>
              </w:rPr>
              <w:t>Total</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i w:val="1"/>
                <w:iCs w:val="1"/>
                <w:color w:val="auto"/>
                <w:w w:val="99"/>
              </w:rPr>
              <w:t>49%</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i w:val="1"/>
                <w:iCs w:val="1"/>
                <w:color w:val="auto"/>
                <w:w w:val="99"/>
              </w:rPr>
              <w:t>3,920,000.00</w:t>
            </w: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40" w:lineRule="exact"/>
        <w:rPr>
          <w:sz w:val="20"/>
          <w:szCs w:val="20"/>
          <w:color w:val="auto"/>
        </w:rPr>
      </w:pPr>
    </w:p>
    <w:p>
      <w:pPr>
        <w:ind w:left="640" w:hanging="635"/>
        <w:spacing w:after="0" w:line="302" w:lineRule="auto"/>
        <w:tabs>
          <w:tab w:leader="none" w:pos="620" w:val="left"/>
        </w:tabs>
        <w:rPr>
          <w:sz w:val="20"/>
          <w:szCs w:val="20"/>
          <w:color w:val="auto"/>
        </w:rPr>
      </w:pPr>
      <w:r>
        <w:rPr>
          <w:rFonts w:ascii="Arial" w:cs="Arial" w:eastAsia="Arial" w:hAnsi="Arial"/>
          <w:sz w:val="19"/>
          <w:szCs w:val="19"/>
          <w:color w:val="auto"/>
        </w:rPr>
        <w:t>2.1.2.</w:t>
        <w:tab/>
        <w:t>FAL shall not transfer any of its La Regina’s shares at Closing and, accordingly, shall continue to own shares representing [Redacted] of the share capital of La Regina, while FR will continue to own [Redacted] of the share capital of La Regina.</w:t>
      </w:r>
    </w:p>
    <w:p>
      <w:pPr>
        <w:spacing w:after="0" w:line="152" w:lineRule="exact"/>
        <w:rPr>
          <w:sz w:val="20"/>
          <w:szCs w:val="20"/>
          <w:color w:val="auto"/>
        </w:rPr>
      </w:pPr>
    </w:p>
    <w:p>
      <w:pPr>
        <w:ind w:left="640" w:hanging="635"/>
        <w:spacing w:after="0" w:line="302" w:lineRule="auto"/>
        <w:tabs>
          <w:tab w:leader="none" w:pos="620" w:val="left"/>
        </w:tabs>
        <w:rPr>
          <w:sz w:val="20"/>
          <w:szCs w:val="20"/>
          <w:color w:val="auto"/>
        </w:rPr>
      </w:pPr>
      <w:r>
        <w:rPr>
          <w:rFonts w:ascii="Arial" w:cs="Arial" w:eastAsia="Arial" w:hAnsi="Arial"/>
          <w:sz w:val="19"/>
          <w:szCs w:val="19"/>
          <w:color w:val="auto"/>
        </w:rPr>
        <w:t>2.1.3.</w:t>
        <w:tab/>
        <w:t>In light of the understandings referred to Sections 2.1.1 and 2.1.2 above, the definition of “Sellers’ Banks Accounts” contained in Clause 1.101 of the La Regina SPA shall be amended and replaced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Sellers’ Banks Accounts</w:t>
      </w:r>
      <w:r>
        <w:rPr>
          <w:rFonts w:ascii="Arial" w:cs="Arial" w:eastAsia="Arial" w:hAnsi="Arial"/>
          <w:sz w:val="21"/>
          <w:szCs w:val="21"/>
          <w:i w:val="1"/>
          <w:iCs w:val="1"/>
          <w:color w:val="auto"/>
        </w:rPr>
        <w:t>”: means the following bank accounts opened in the name of each Seller:</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2360" w:type="dxa"/>
            <w:vAlign w:val="bottom"/>
            <w:tcBorders>
              <w:top w:val="single" w:sz="8" w:color="auto"/>
              <w:left w:val="single" w:sz="8" w:color="auto"/>
              <w:bottom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rPr>
              <w:t>Sellers</w:t>
            </w:r>
          </w:p>
        </w:tc>
        <w:tc>
          <w:tcPr>
            <w:tcW w:w="3500" w:type="dxa"/>
            <w:vAlign w:val="bottom"/>
            <w:tcBorders>
              <w:top w:val="single" w:sz="8" w:color="auto"/>
              <w:bottom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rPr>
              <w:t>Bank</w:t>
            </w:r>
          </w:p>
        </w:tc>
        <w:tc>
          <w:tcPr>
            <w:tcW w:w="4860" w:type="dxa"/>
            <w:vAlign w:val="bottom"/>
            <w:tcBorders>
              <w:top w:val="single" w:sz="8" w:color="auto"/>
              <w:bottom w:val="single" w:sz="8" w:color="auto"/>
              <w:right w:val="single" w:sz="8" w:color="auto"/>
            </w:tcBorders>
            <w:shd w:val="clear" w:color="auto" w:fill="001F5F"/>
          </w:tcPr>
          <w:p>
            <w:pPr>
              <w:jc w:val="center"/>
              <w:spacing w:after="0"/>
              <w:rPr>
                <w:sz w:val="20"/>
                <w:szCs w:val="20"/>
                <w:color w:val="auto"/>
              </w:rPr>
            </w:pPr>
            <w:r>
              <w:rPr>
                <w:rFonts w:ascii="Arial" w:cs="Arial" w:eastAsia="Arial" w:hAnsi="Arial"/>
                <w:sz w:val="21"/>
                <w:szCs w:val="21"/>
                <w:b w:val="1"/>
                <w:bCs w:val="1"/>
                <w:i w:val="1"/>
                <w:iCs w:val="1"/>
                <w:color w:val="FFFFFF"/>
              </w:rPr>
              <w:t>IBAN / Routing number</w:t>
            </w:r>
          </w:p>
        </w:tc>
      </w:tr>
      <w:tr>
        <w:trPr>
          <w:trHeight w:val="28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w w:val="99"/>
              </w:rPr>
              <w:t>FR</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r>
      <w:tr>
        <w:trPr>
          <w:trHeight w:val="285"/>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AR</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r>
      <w:tr>
        <w:trPr>
          <w:trHeight w:val="285"/>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LR</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r>
      <w:tr>
        <w:trPr>
          <w:trHeight w:val="285"/>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w w:val="98"/>
              </w:rPr>
              <w:t>NR</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r>
      <w:tr>
        <w:trPr>
          <w:trHeight w:val="285"/>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Evolve</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i w:val="1"/>
                <w:iCs w:val="1"/>
                <w:color w:val="auto"/>
              </w:rPr>
              <w:t>[Redacted]</w:t>
            </w:r>
          </w:p>
        </w:tc>
      </w:tr>
    </w:tbl>
    <w:p>
      <w:pPr>
        <w:sectPr>
          <w:pgSz w:w="11900" w:h="16838" w:orient="portrait"/>
          <w:cols w:equalWidth="0" w:num="1">
            <w:col w:w="11240"/>
          </w:cols>
          <w:pgMar w:left="320" w:top="1398" w:right="339"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2.2.PRICE ALLOCATION AND PAYMENT</w:t>
      </w:r>
    </w:p>
    <w:p>
      <w:pPr>
        <w:spacing w:after="0" w:line="20" w:lineRule="exact"/>
        <w:rPr>
          <w:sz w:val="20"/>
          <w:szCs w:val="20"/>
          <w:color w:val="auto"/>
        </w:rPr>
      </w:pPr>
    </w:p>
    <w:p>
      <w:pPr>
        <w:jc w:val="both"/>
        <w:ind w:left="640" w:hanging="635"/>
        <w:spacing w:after="0" w:line="260" w:lineRule="auto"/>
        <w:tabs>
          <w:tab w:leader="none" w:pos="620" w:val="left"/>
        </w:tabs>
        <w:rPr>
          <w:sz w:val="20"/>
          <w:szCs w:val="20"/>
          <w:color w:val="auto"/>
        </w:rPr>
      </w:pPr>
      <w:r>
        <w:rPr>
          <w:rFonts w:ascii="Arial" w:cs="Arial" w:eastAsia="Arial" w:hAnsi="Arial"/>
          <w:sz w:val="19"/>
          <w:szCs w:val="19"/>
          <w:color w:val="auto"/>
        </w:rPr>
        <w:t>2.2.1.</w:t>
        <w:tab/>
        <w:t>The Parties hereby agree and acknowledge that Clauses 5.2 and 5.4 of the La Regina SPA shall be amended and replaced in their entirety so that (i) the First Tranche Purchase Price have been allocated, split and paid among the La Regina Sellers as described in Annex 1 (First Tranche Purchase Price calculation) to this Closing Memorandum, and (ii) the Second Tranche Purchase Price shall be paid by the La Regina Purchaser to Evolve only, which, therefore, shall not receive any consideration on the Closing Date. Therefore, the Parties hereby agree and acknowledge that:</w:t>
      </w:r>
    </w:p>
    <w:p>
      <w:pPr>
        <w:spacing w:after="0" w:line="203" w:lineRule="exact"/>
        <w:rPr>
          <w:sz w:val="20"/>
          <w:szCs w:val="20"/>
          <w:color w:val="auto"/>
        </w:rPr>
      </w:pPr>
    </w:p>
    <w:p>
      <w:pPr>
        <w:jc w:val="both"/>
        <w:ind w:left="880" w:hanging="238"/>
        <w:spacing w:after="0" w:line="263" w:lineRule="auto"/>
        <w:tabs>
          <w:tab w:leader="none" w:pos="958" w:val="left"/>
        </w:tabs>
        <w:numPr>
          <w:ilvl w:val="0"/>
          <w:numId w:val="38"/>
        </w:numPr>
        <w:rPr>
          <w:rFonts w:ascii="Arial" w:cs="Arial" w:eastAsia="Arial" w:hAnsi="Arial"/>
          <w:sz w:val="19"/>
          <w:szCs w:val="19"/>
          <w:color w:val="auto"/>
        </w:rPr>
      </w:pPr>
      <w:r>
        <w:rPr>
          <w:rFonts w:ascii="Arial" w:cs="Arial" w:eastAsia="Arial" w:hAnsi="Arial"/>
          <w:sz w:val="19"/>
          <w:szCs w:val="19"/>
          <w:color w:val="auto"/>
        </w:rPr>
        <w:t>Clause 5.2 of the La Regina SPA shall be deemed amended and replaced as follows: “</w:t>
      </w:r>
      <w:r>
        <w:rPr>
          <w:rFonts w:ascii="Arial" w:cs="Arial" w:eastAsia="Arial" w:hAnsi="Arial"/>
          <w:sz w:val="19"/>
          <w:szCs w:val="19"/>
          <w:i w:val="1"/>
          <w:iCs w:val="1"/>
          <w:color w:val="auto"/>
        </w:rPr>
        <w:t>The First Tranche Purchase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Price shall be allocated, split and paid among the Sellers as described in </w:t>
      </w:r>
      <w:r>
        <w:rPr>
          <w:rFonts w:ascii="Arial" w:cs="Arial" w:eastAsia="Arial" w:hAnsi="Arial"/>
          <w:sz w:val="19"/>
          <w:szCs w:val="19"/>
          <w:i w:val="1"/>
          <w:iCs w:val="1"/>
          <w:u w:val="single" w:color="auto"/>
          <w:color w:val="auto"/>
        </w:rPr>
        <w:t>Annex 1</w:t>
      </w:r>
      <w:r>
        <w:rPr>
          <w:rFonts w:ascii="Arial" w:cs="Arial" w:eastAsia="Arial" w:hAnsi="Arial"/>
          <w:sz w:val="19"/>
          <w:szCs w:val="19"/>
          <w:i w:val="1"/>
          <w:iCs w:val="1"/>
          <w:color w:val="auto"/>
        </w:rPr>
        <w:t xml:space="preserve"> (First Tranche Purchase Price calculation) to the Closing Memorandum (the "</w:t>
      </w:r>
      <w:r>
        <w:rPr>
          <w:rFonts w:ascii="Arial" w:cs="Arial" w:eastAsia="Arial" w:hAnsi="Arial"/>
          <w:sz w:val="19"/>
          <w:szCs w:val="19"/>
          <w:b w:val="1"/>
          <w:bCs w:val="1"/>
          <w:i w:val="1"/>
          <w:iCs w:val="1"/>
          <w:color w:val="auto"/>
        </w:rPr>
        <w:t>Price Allocation</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left="880" w:hanging="238"/>
        <w:spacing w:after="0" w:line="252" w:lineRule="auto"/>
        <w:tabs>
          <w:tab w:leader="none" w:pos="958" w:val="left"/>
        </w:tabs>
        <w:numPr>
          <w:ilvl w:val="0"/>
          <w:numId w:val="38"/>
        </w:numPr>
        <w:rPr>
          <w:rFonts w:ascii="Arial" w:cs="Arial" w:eastAsia="Arial" w:hAnsi="Arial"/>
          <w:sz w:val="19"/>
          <w:szCs w:val="19"/>
          <w:color w:val="auto"/>
        </w:rPr>
      </w:pPr>
      <w:r>
        <w:rPr>
          <w:rFonts w:ascii="Arial" w:cs="Arial" w:eastAsia="Arial" w:hAnsi="Arial"/>
          <w:sz w:val="19"/>
          <w:szCs w:val="19"/>
          <w:color w:val="auto"/>
        </w:rPr>
        <w:t>Clause 5.4 of the La Regina SPA shall be deemed amended and replaced as follows: “</w:t>
      </w:r>
      <w:r>
        <w:rPr>
          <w:rFonts w:ascii="Arial" w:cs="Arial" w:eastAsia="Arial" w:hAnsi="Arial"/>
          <w:sz w:val="19"/>
          <w:szCs w:val="19"/>
          <w:i w:val="1"/>
          <w:iCs w:val="1"/>
          <w:color w:val="auto"/>
        </w:rPr>
        <w:t>The First Tranche Purchase</w:t>
      </w:r>
      <w:r>
        <w:rPr>
          <w:rFonts w:ascii="Arial" w:cs="Arial" w:eastAsia="Arial" w:hAnsi="Arial"/>
          <w:sz w:val="19"/>
          <w:szCs w:val="19"/>
          <w:color w:val="auto"/>
        </w:rPr>
        <w:t xml:space="preserve"> </w:t>
      </w:r>
      <w:r>
        <w:rPr>
          <w:rFonts w:ascii="Arial" w:cs="Arial" w:eastAsia="Arial" w:hAnsi="Arial"/>
          <w:sz w:val="19"/>
          <w:szCs w:val="19"/>
          <w:i w:val="1"/>
          <w:iCs w:val="1"/>
          <w:color w:val="auto"/>
        </w:rPr>
        <w:t>Price shall be paid by Purchaser to the Sellers (other than Evolve) on the Closing Date in immediately available funds, by wire transfer to the respective Sellers' Banks Accounts, in accordance with the Price Allocation</w:t>
      </w:r>
      <w:r>
        <w:rPr>
          <w:rFonts w:ascii="Arial" w:cs="Arial" w:eastAsia="Arial" w:hAnsi="Arial"/>
          <w:sz w:val="19"/>
          <w:szCs w:val="19"/>
          <w:color w:val="auto"/>
        </w:rPr>
        <w:t>.”; and</w:t>
      </w:r>
    </w:p>
    <w:p>
      <w:pPr>
        <w:jc w:val="both"/>
        <w:ind w:left="880" w:hanging="238"/>
        <w:spacing w:after="0" w:line="258" w:lineRule="auto"/>
        <w:tabs>
          <w:tab w:leader="none" w:pos="933" w:val="left"/>
        </w:tabs>
        <w:numPr>
          <w:ilvl w:val="0"/>
          <w:numId w:val="38"/>
        </w:numPr>
        <w:rPr>
          <w:rFonts w:ascii="Arial" w:cs="Arial" w:eastAsia="Arial" w:hAnsi="Arial"/>
          <w:sz w:val="19"/>
          <w:szCs w:val="19"/>
          <w:color w:val="auto"/>
        </w:rPr>
      </w:pPr>
      <w:r>
        <w:rPr>
          <w:rFonts w:ascii="Arial" w:cs="Arial" w:eastAsia="Arial" w:hAnsi="Arial"/>
          <w:sz w:val="19"/>
          <w:szCs w:val="19"/>
          <w:color w:val="auto"/>
        </w:rPr>
        <w:t>Clause 5.5 of the La Regina SPA shall be deemed amended and replaced as follows: “</w:t>
      </w:r>
      <w:r>
        <w:rPr>
          <w:rFonts w:ascii="Arial" w:cs="Arial" w:eastAsia="Arial" w:hAnsi="Arial"/>
          <w:sz w:val="19"/>
          <w:szCs w:val="19"/>
          <w:i w:val="1"/>
          <w:iCs w:val="1"/>
          <w:color w:val="auto"/>
        </w:rPr>
        <w:t>The Second Tranche Purchase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Price shall be paid by Purchaser to Evolve as at the First Anniversary Date, at the Purchaser's absolute discretion, either in: (x) immediately available funds, by wire transfer to the relevant Sellers’ Bank Account; or (y) listed shares issued by The Campbell's Company at the terms and conditions set forth in </w:t>
      </w:r>
      <w:r>
        <w:rPr>
          <w:rFonts w:ascii="Arial" w:cs="Arial" w:eastAsia="Arial" w:hAnsi="Arial"/>
          <w:sz w:val="19"/>
          <w:szCs w:val="19"/>
          <w:i w:val="1"/>
          <w:iCs w:val="1"/>
          <w:u w:val="single" w:color="auto"/>
          <w:color w:val="auto"/>
        </w:rPr>
        <w:t>Schedule 5.5</w:t>
      </w:r>
      <w:r>
        <w:rPr>
          <w:rFonts w:ascii="Arial" w:cs="Arial" w:eastAsia="Arial" w:hAnsi="Arial"/>
          <w:sz w:val="19"/>
          <w:szCs w:val="19"/>
          <w:i w:val="1"/>
          <w:iCs w:val="1"/>
          <w:color w:val="auto"/>
        </w:rPr>
        <w:t xml:space="preserve">; or (z) part in immediately available funds pursuant to (x) and in part in listed shares issued by The Campbell's Company pursuant to (y). In this respect, the Sellers acknowledge and agree that, in the event that the Purchaser elects not to pay the entire Second Tranche Purchase Price in listed shares issued by The Campbell's Company pursuant to (y) above, the Purchaser will be entitled to pay the Call Option Price (as defined in the Options Agreement) and/or the Put Option Price (as defined in the Options Agreement) pursuant to the Options Agreement in listed shares issued by The Campbell's Company at the terms and conditions set forth in </w:t>
      </w:r>
      <w:r>
        <w:rPr>
          <w:rFonts w:ascii="Arial" w:cs="Arial" w:eastAsia="Arial" w:hAnsi="Arial"/>
          <w:sz w:val="19"/>
          <w:szCs w:val="19"/>
          <w:i w:val="1"/>
          <w:iCs w:val="1"/>
          <w:u w:val="single" w:color="auto"/>
          <w:color w:val="auto"/>
        </w:rPr>
        <w:t>Schedule 5.5</w:t>
      </w:r>
      <w:r>
        <w:rPr>
          <w:rFonts w:ascii="Arial" w:cs="Arial" w:eastAsia="Arial" w:hAnsi="Arial"/>
          <w:sz w:val="19"/>
          <w:szCs w:val="19"/>
          <w:i w:val="1"/>
          <w:iCs w:val="1"/>
          <w:color w:val="auto"/>
        </w:rPr>
        <w:t xml:space="preserve"> up to a maximum amount equal to the difference between USD 140,000,000 (one hundred forty million) and the portion of the aggregate of the Second Tranche Purchase Price paid in listed shares issued by The Campbell's Company pursuant to this Agreement and the Second Tranche Purchase Price (as defined in the La Regina Atlantica SPA) paid in listed shares issued by The Campbell's Company pursuant to the La Regina Atlantica SPA, as at the First Anniversary Date</w:t>
      </w:r>
      <w:r>
        <w:rPr>
          <w:rFonts w:ascii="Arial" w:cs="Arial" w:eastAsia="Arial" w:hAnsi="Arial"/>
          <w:sz w:val="19"/>
          <w:szCs w:val="19"/>
          <w:color w:val="auto"/>
        </w:rPr>
        <w:t>.”</w:t>
      </w:r>
    </w:p>
    <w:p>
      <w:pPr>
        <w:spacing w:after="0" w:line="205" w:lineRule="exact"/>
        <w:rPr>
          <w:sz w:val="20"/>
          <w:szCs w:val="20"/>
          <w:color w:val="auto"/>
        </w:rPr>
      </w:pPr>
    </w:p>
    <w:p>
      <w:pPr>
        <w:jc w:val="both"/>
        <w:ind w:left="640" w:hanging="635"/>
        <w:spacing w:after="0" w:line="288" w:lineRule="auto"/>
        <w:tabs>
          <w:tab w:leader="none" w:pos="620" w:val="left"/>
        </w:tabs>
        <w:rPr>
          <w:sz w:val="20"/>
          <w:szCs w:val="20"/>
          <w:color w:val="auto"/>
        </w:rPr>
      </w:pPr>
      <w:r>
        <w:rPr>
          <w:rFonts w:ascii="Arial" w:cs="Arial" w:eastAsia="Arial" w:hAnsi="Arial"/>
          <w:sz w:val="19"/>
          <w:szCs w:val="19"/>
          <w:color w:val="auto"/>
        </w:rPr>
        <w:t>2.2.2.</w:t>
        <w:tab/>
        <w:t>The La Regina Sellers hereby further confirm and represent that no Leakage has occurred from the date of the notification referred to in Recital (B) above up to and including the Closing Date.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2.3.</w:t>
        <w:tab/>
        <w:t>INTERIM ACTIONS AND DELIVERIES</w:t>
      </w:r>
    </w:p>
    <w:p>
      <w:pPr>
        <w:spacing w:after="0" w:line="247"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2.3.1.</w:t>
      </w:r>
      <w:r>
        <w:rPr>
          <w:sz w:val="20"/>
          <w:szCs w:val="20"/>
          <w:color w:val="auto"/>
        </w:rPr>
        <w:tab/>
      </w:r>
      <w:r>
        <w:rPr>
          <w:rFonts w:ascii="Arial" w:cs="Arial" w:eastAsia="Arial" w:hAnsi="Arial"/>
          <w:sz w:val="19"/>
          <w:szCs w:val="19"/>
          <w:i w:val="1"/>
          <w:iCs w:val="1"/>
          <w:u w:val="single" w:color="auto"/>
          <w:color w:val="auto"/>
        </w:rPr>
        <w:t>CARVE-OUT</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With respect to the de-merger by way of which the Company shall spin-off certain non-operational real estate assets comprised in the Carve Out, La Regina Sellers hereby represent and warrant to the La Regina Purchaser that the relevant de-merger plan has been approved on 20 February 2026 and enrolled with the competent Companies’ Register on 24 March 2026. As a consequence, the de-merger deed can be executed starting from next 23 May 2026.</w:t>
      </w:r>
    </w:p>
    <w:p>
      <w:pPr>
        <w:sectPr>
          <w:pgSz w:w="11900" w:h="16838" w:orient="portrait"/>
          <w:cols w:equalWidth="0" w:num="1">
            <w:col w:w="11240"/>
          </w:cols>
          <w:pgMar w:left="320" w:top="1398" w:right="339" w:bottom="1440" w:gutter="0" w:footer="0" w:header="0"/>
        </w:sectPr>
      </w:pPr>
    </w:p>
    <w:bookmarkStart w:id="50" w:name="page51"/>
    <w:bookmarkEnd w:id="50"/>
    <w:p>
      <w:pPr>
        <w:jc w:val="both"/>
        <w:spacing w:after="0" w:line="294" w:lineRule="auto"/>
        <w:rPr>
          <w:sz w:val="20"/>
          <w:szCs w:val="20"/>
          <w:color w:val="auto"/>
        </w:rPr>
      </w:pPr>
      <w:r>
        <w:rPr>
          <w:rFonts w:ascii="Arial" w:cs="Arial" w:eastAsia="Arial" w:hAnsi="Arial"/>
          <w:sz w:val="19"/>
          <w:szCs w:val="19"/>
          <w:color w:val="auto"/>
        </w:rPr>
        <w:t>Without prejudice to the special indemnity set forth in Section 13.1(i) which remains in full force and effect, the La Regina Purchaser accepts and acknowledge that: (i) the Purchase Price has been determined assuming that the Carve Out was implemented and, therefore, without considering the concerned non-operational real estate assets, and (ii) as a result of the de-merger, the shares of the beneficiary of the de-merger will be assigned proportionally to the shareholders of La Regina as at the date of the approval of the de-merger plan and, thus, none of such shares will be assigned to the La Regina Purchaser.</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La Regina Sellers undertake to procure that La Regina carries out all the activities necessary and appropriate to implement the de-merger as soon as possible and, in any case, within 30 June 2026.</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La Regina Sellers hereby represent and warrant to the La Regina Purchaser that the Company has </w:t>
      </w:r>
      <w:r>
        <w:rPr>
          <w:rFonts w:ascii="Arial" w:cs="Arial" w:eastAsia="Arial" w:hAnsi="Arial"/>
          <w:sz w:val="21"/>
          <w:szCs w:val="21"/>
          <w:color w:val="auto"/>
        </w:rPr>
        <w:t>transferred</w:t>
      </w:r>
      <w:r>
        <w:rPr>
          <w:rFonts w:ascii="Arial" w:cs="Arial" w:eastAsia="Arial" w:hAnsi="Arial"/>
          <w:sz w:val="19"/>
          <w:szCs w:val="19"/>
          <w:color w:val="auto"/>
        </w:rPr>
        <w:t>(i) the premium</w:t>
      </w:r>
    </w:p>
    <w:p>
      <w:pPr>
        <w:spacing w:after="0" w:line="4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car vehicles owned by the Company to FR, AR, LR and NR and (ii) the leasing contracts entered into by the Company related to other premium cars to Evolve.</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2.3.2.</w:t>
      </w:r>
      <w:r>
        <w:rPr>
          <w:sz w:val="20"/>
          <w:szCs w:val="20"/>
          <w:color w:val="auto"/>
        </w:rPr>
        <w:tab/>
      </w:r>
      <w:r>
        <w:rPr>
          <w:rFonts w:ascii="Arial" w:cs="Arial" w:eastAsia="Arial" w:hAnsi="Arial"/>
          <w:sz w:val="19"/>
          <w:szCs w:val="19"/>
          <w:i w:val="1"/>
          <w:iCs w:val="1"/>
          <w:u w:val="single" w:color="auto"/>
          <w:color w:val="auto"/>
        </w:rPr>
        <w:t>FINANCIAL INDEBTEDNESS</w:t>
      </w: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La Regina Sellers hereby represent and warrant to the La Regina Purchaser that, during the Interim Period, La Regina has not entered into any new financing agreement or incurred any other financial indebtedness, other than those entered into before the Signing Date, of which the relevant underlying documentation has been uploaded in the VDR.</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2.3.3.</w:t>
      </w:r>
      <w:r>
        <w:rPr>
          <w:sz w:val="20"/>
          <w:szCs w:val="20"/>
          <w:color w:val="auto"/>
        </w:rPr>
        <w:tab/>
      </w:r>
      <w:r>
        <w:rPr>
          <w:rFonts w:ascii="Arial" w:cs="Arial" w:eastAsia="Arial" w:hAnsi="Arial"/>
          <w:sz w:val="19"/>
          <w:szCs w:val="19"/>
          <w:i w:val="1"/>
          <w:iCs w:val="1"/>
          <w:u w:val="single" w:color="auto"/>
          <w:color w:val="auto"/>
        </w:rPr>
        <w:t>FINANCIAL AGREEMENTS NOTICES</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and acknowledge that the La Regina Sellers have duly complied with the obligations set forth in Clause</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8.5 of the La Regina SPA by causing La Regina to send written notices to the counterparties of the Financial Arrangements listed in Schedule 8.5 to the La Regina SPA, and the La Regina Sellers have provided evidence thereof to the La Regina Purchaser.</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2.3.4.</w:t>
      </w:r>
      <w:r>
        <w:rPr>
          <w:sz w:val="20"/>
          <w:szCs w:val="20"/>
          <w:color w:val="auto"/>
        </w:rPr>
        <w:tab/>
      </w:r>
      <w:r>
        <w:rPr>
          <w:rFonts w:ascii="Arial" w:cs="Arial" w:eastAsia="Arial" w:hAnsi="Arial"/>
          <w:sz w:val="19"/>
          <w:szCs w:val="19"/>
          <w:i w:val="1"/>
          <w:iCs w:val="1"/>
          <w:u w:val="single" w:color="auto"/>
          <w:color w:val="auto"/>
        </w:rPr>
        <w:t>DATA PROTECTION ACTIONS AND REQUIREMENTS</w:t>
      </w:r>
    </w:p>
    <w:p>
      <w:pPr>
        <w:spacing w:after="0" w:line="27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The Parties hereby agree and acknowledge that the La Regina Sellers have duly complied with the obligations set forth in Clause 8.6 of the La Regina SPA by causing La Regina to carry out all the appropriate actions and fulfilments required to comply with the Data Protection Laws, pursuant to the guidelines set forth in Schedule8.6 to the La Regina SPA. Such actions and fulfilments were completed on 23 April </w:t>
      </w:r>
      <w:r>
        <w:rPr>
          <w:rFonts w:ascii="Arial" w:cs="Arial" w:eastAsia="Arial" w:hAnsi="Arial"/>
          <w:sz w:val="21"/>
          <w:szCs w:val="21"/>
          <w:color w:val="auto"/>
        </w:rPr>
        <w:t>2026.</w:t>
      </w:r>
    </w:p>
    <w:p>
      <w:pPr>
        <w:spacing w:after="0" w:line="171"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2.3.5.</w:t>
      </w:r>
      <w:r>
        <w:rPr>
          <w:sz w:val="20"/>
          <w:szCs w:val="20"/>
          <w:color w:val="auto"/>
        </w:rPr>
        <w:tab/>
      </w:r>
      <w:r>
        <w:rPr>
          <w:rFonts w:ascii="Arial" w:cs="Arial" w:eastAsia="Arial" w:hAnsi="Arial"/>
          <w:sz w:val="19"/>
          <w:szCs w:val="19"/>
          <w:i w:val="1"/>
          <w:iCs w:val="1"/>
          <w:u w:val="single" w:color="auto"/>
          <w:color w:val="auto"/>
        </w:rPr>
        <w:t>INVITALIA NOTICE</w:t>
      </w:r>
    </w:p>
    <w:p>
      <w:pPr>
        <w:spacing w:after="0" w:line="27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The Parties hereby agree and acknowledge that the La Regina Sellers have duly complied with the obligations set forth in Clause 8.7 of the La Regina SPA by causing La Regina to send a written notice to Invitalia informing it in advance of the implementation of the Transaction and confirming the fulfilment of all the requirements necessary for the disbursement of the Invitalia Grants.</w:t>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2.3.6.</w:t>
      </w:r>
      <w:r>
        <w:rPr>
          <w:sz w:val="20"/>
          <w:szCs w:val="20"/>
          <w:color w:val="auto"/>
        </w:rPr>
        <w:tab/>
      </w:r>
      <w:r>
        <w:rPr>
          <w:rFonts w:ascii="Arial" w:cs="Arial" w:eastAsia="Arial" w:hAnsi="Arial"/>
          <w:sz w:val="19"/>
          <w:szCs w:val="19"/>
          <w:i w:val="1"/>
          <w:iCs w:val="1"/>
          <w:u w:val="single" w:color="auto"/>
          <w:color w:val="auto"/>
        </w:rPr>
        <w:t>REGULARIZATION PROCEEDING</w:t>
      </w:r>
    </w:p>
    <w:p>
      <w:pPr>
        <w:sectPr>
          <w:pgSz w:w="11900" w:h="16838" w:orient="portrait"/>
          <w:cols w:equalWidth="0" w:num="1">
            <w:col w:w="11240"/>
          </w:cols>
          <w:pgMar w:left="320" w:top="1416" w:right="339" w:bottom="1440" w:gutter="0" w:footer="0" w:header="0"/>
        </w:sectPr>
      </w:pPr>
    </w:p>
    <w:bookmarkStart w:id="51" w:name="page52"/>
    <w:bookmarkEnd w:id="51"/>
    <w:p>
      <w:pPr>
        <w:jc w:val="both"/>
        <w:ind w:left="320" w:hanging="314"/>
        <w:spacing w:after="0" w:line="264" w:lineRule="auto"/>
        <w:tabs>
          <w:tab w:leader="none" w:pos="301"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 reference to Clause 8.8 of the La Regina SPA, the La Regina Sellers hereby represent and warrant that the real property located in the Municipality of Poggiomarino, via Longola, identified at the Building Cadastral Register at sheet 9, parcel 305 will be demolished and reconstructed, and accordingly the building and cadastral discrepancies previously detected in respect of such property (including, without limitation, the lack of updated cadastral maps and the construction of portions of the site in non-compliance with the relevant building permits and/or without valid building permits) shall be deemed to no longer exist. The La Regina Purchaser has acknowledged and relies upon the above representation and warranty.</w:t>
      </w:r>
    </w:p>
    <w:p>
      <w:pPr>
        <w:spacing w:after="0" w:line="227" w:lineRule="exact"/>
        <w:rPr>
          <w:rFonts w:ascii="Arial" w:cs="Arial" w:eastAsia="Arial" w:hAnsi="Arial"/>
          <w:sz w:val="19"/>
          <w:szCs w:val="19"/>
          <w:color w:val="auto"/>
        </w:rPr>
      </w:pPr>
    </w:p>
    <w:p>
      <w:pPr>
        <w:jc w:val="both"/>
        <w:ind w:left="320" w:hanging="314"/>
        <w:spacing w:after="0" w:line="258" w:lineRule="auto"/>
        <w:tabs>
          <w:tab w:leader="none" w:pos="320" w:val="left"/>
        </w:tabs>
        <w:numPr>
          <w:ilvl w:val="0"/>
          <w:numId w:val="39"/>
        </w:numPr>
        <w:rPr>
          <w:rFonts w:ascii="Arial" w:cs="Arial" w:eastAsia="Arial" w:hAnsi="Arial"/>
          <w:sz w:val="21"/>
          <w:szCs w:val="21"/>
          <w:color w:val="auto"/>
        </w:rPr>
      </w:pPr>
      <w:r>
        <w:rPr>
          <w:rFonts w:ascii="Arial" w:cs="Arial" w:eastAsia="Arial" w:hAnsi="Arial"/>
          <w:sz w:val="19"/>
          <w:szCs w:val="19"/>
          <w:color w:val="auto"/>
        </w:rPr>
        <w:t>The Parties further agree and acknowledge that the Regularization Proceeding with respect to the real property located in the Municipality of Scafati, via Nuova San Marzano, identified at the Building Cadastral Register at sheet 2, parcel 78, sub. no. 6 linked to parcel 1260 sub. no. 1 (the "</w:t>
      </w:r>
      <w:r>
        <w:rPr>
          <w:rFonts w:ascii="Arial" w:cs="Arial" w:eastAsia="Arial" w:hAnsi="Arial"/>
          <w:sz w:val="19"/>
          <w:szCs w:val="19"/>
          <w:b w:val="1"/>
          <w:bCs w:val="1"/>
          <w:color w:val="auto"/>
        </w:rPr>
        <w:t>Scafati Property</w:t>
      </w:r>
      <w:r>
        <w:rPr>
          <w:rFonts w:ascii="Arial" w:cs="Arial" w:eastAsia="Arial" w:hAnsi="Arial"/>
          <w:sz w:val="19"/>
          <w:szCs w:val="19"/>
          <w:color w:val="auto"/>
        </w:rPr>
        <w:t>") is expected to be carried out as soon as La Regina regains possession of the Scafati Property. The La Regina Sellers undertake to procure that La Regina carries out the Regularization Proceeding with respect to the Scafati Property promptly upon regaining possession thereof and, in any case, not later than the Third Anniversary Date.</w:t>
      </w:r>
    </w:p>
    <w:p>
      <w:pPr>
        <w:spacing w:after="0" w:line="204" w:lineRule="exact"/>
        <w:rPr>
          <w:rFonts w:ascii="Arial" w:cs="Arial" w:eastAsia="Arial" w:hAnsi="Arial"/>
          <w:sz w:val="21"/>
          <w:szCs w:val="21"/>
          <w:color w:val="auto"/>
        </w:rPr>
      </w:pPr>
    </w:p>
    <w:p>
      <w:pPr>
        <w:ind w:left="320" w:hanging="314"/>
        <w:spacing w:after="0" w:line="269" w:lineRule="auto"/>
        <w:tabs>
          <w:tab w:leader="none" w:pos="310"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In light of the understandings referred to in the preceding Clauses 2.3.6 (a) </w:t>
      </w:r>
      <w:r>
        <w:rPr>
          <w:rFonts w:ascii="Arial" w:cs="Arial" w:eastAsia="Arial" w:hAnsi="Arial"/>
          <w:sz w:val="19"/>
          <w:szCs w:val="19"/>
          <w:color w:val="auto"/>
        </w:rPr>
        <w:t>and</w:t>
      </w:r>
      <w:r>
        <w:rPr>
          <w:rFonts w:ascii="Arial" w:cs="Arial" w:eastAsia="Arial" w:hAnsi="Arial"/>
          <w:sz w:val="21"/>
          <w:szCs w:val="21"/>
          <w:color w:val="auto"/>
        </w:rPr>
        <w:t xml:space="preserve"> (b) </w:t>
      </w:r>
      <w:r>
        <w:rPr>
          <w:rFonts w:ascii="Arial" w:cs="Arial" w:eastAsia="Arial" w:hAnsi="Arial"/>
          <w:sz w:val="19"/>
          <w:szCs w:val="19"/>
          <w:color w:val="auto"/>
        </w:rPr>
        <w:t>above, the Parties hereby agree and</w:t>
      </w:r>
      <w:r>
        <w:rPr>
          <w:rFonts w:ascii="Arial" w:cs="Arial" w:eastAsia="Arial" w:hAnsi="Arial"/>
          <w:sz w:val="21"/>
          <w:szCs w:val="21"/>
          <w:color w:val="auto"/>
        </w:rPr>
        <w:t xml:space="preserve"> </w:t>
      </w:r>
      <w:r>
        <w:rPr>
          <w:rFonts w:ascii="Arial" w:cs="Arial" w:eastAsia="Arial" w:hAnsi="Arial"/>
          <w:sz w:val="19"/>
          <w:szCs w:val="19"/>
          <w:color w:val="auto"/>
        </w:rPr>
        <w:t>acknowledge that:</w:t>
      </w:r>
    </w:p>
    <w:p>
      <w:pPr>
        <w:spacing w:after="0" w:line="187" w:lineRule="exact"/>
        <w:rPr>
          <w:rFonts w:ascii="Arial" w:cs="Arial" w:eastAsia="Arial" w:hAnsi="Arial"/>
          <w:sz w:val="21"/>
          <w:szCs w:val="21"/>
          <w:color w:val="auto"/>
        </w:rPr>
      </w:pPr>
    </w:p>
    <w:p>
      <w:pPr>
        <w:ind w:left="1260" w:hanging="618"/>
        <w:spacing w:after="0"/>
        <w:tabs>
          <w:tab w:leader="none" w:pos="12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Clause 8.8 of the La Regina SPA shall be deemed deleted in its </w:t>
      </w:r>
      <w:r>
        <w:rPr>
          <w:rFonts w:ascii="Arial" w:cs="Arial" w:eastAsia="Arial" w:hAnsi="Arial"/>
          <w:sz w:val="21"/>
          <w:szCs w:val="21"/>
          <w:color w:val="auto"/>
        </w:rPr>
        <w:t>entirety;</w:t>
      </w:r>
    </w:p>
    <w:p>
      <w:pPr>
        <w:spacing w:after="0" w:line="253" w:lineRule="exact"/>
        <w:rPr>
          <w:rFonts w:ascii="Arial" w:cs="Arial" w:eastAsia="Arial" w:hAnsi="Arial"/>
          <w:sz w:val="19"/>
          <w:szCs w:val="19"/>
          <w:color w:val="auto"/>
        </w:rPr>
      </w:pPr>
    </w:p>
    <w:p>
      <w:pPr>
        <w:ind w:left="1280" w:hanging="638"/>
        <w:spacing w:after="0" w:line="302" w:lineRule="auto"/>
        <w:tabs>
          <w:tab w:leader="none" w:pos="1274" w:val="left"/>
        </w:tabs>
        <w:numPr>
          <w:ilvl w:val="1"/>
          <w:numId w:val="39"/>
        </w:numPr>
        <w:rPr>
          <w:rFonts w:ascii="Arial" w:cs="Arial" w:eastAsia="Arial" w:hAnsi="Arial"/>
          <w:sz w:val="19"/>
          <w:szCs w:val="19"/>
          <w:color w:val="auto"/>
        </w:rPr>
      </w:pPr>
      <w:r>
        <w:rPr>
          <w:rFonts w:ascii="Arial" w:cs="Arial" w:eastAsia="Arial" w:hAnsi="Arial"/>
          <w:sz w:val="19"/>
          <w:szCs w:val="19"/>
          <w:color w:val="auto"/>
        </w:rPr>
        <w:t>Clause 13.1(v) of the La Regina SPA shall be deemed amended and replaced as follows: “</w:t>
      </w:r>
      <w:r>
        <w:rPr>
          <w:rFonts w:ascii="Arial" w:cs="Arial" w:eastAsia="Arial" w:hAnsi="Arial"/>
          <w:sz w:val="19"/>
          <w:szCs w:val="19"/>
          <w:i w:val="1"/>
          <w:iCs w:val="1"/>
          <w:color w:val="auto"/>
        </w:rPr>
        <w:t>without prejudice to</w:t>
      </w:r>
      <w:r>
        <w:rPr>
          <w:rFonts w:ascii="Arial" w:cs="Arial" w:eastAsia="Arial" w:hAnsi="Arial"/>
          <w:sz w:val="19"/>
          <w:szCs w:val="19"/>
          <w:color w:val="auto"/>
        </w:rPr>
        <w:t xml:space="preserve"> </w:t>
      </w:r>
      <w:r>
        <w:rPr>
          <w:rFonts w:ascii="Arial" w:cs="Arial" w:eastAsia="Arial" w:hAnsi="Arial"/>
          <w:sz w:val="19"/>
          <w:szCs w:val="19"/>
          <w:i w:val="1"/>
          <w:iCs w:val="1"/>
          <w:color w:val="auto"/>
        </w:rPr>
        <w:t>Clause 14.2 below, the Regularization Proceeding”</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ind w:left="1280" w:right="100" w:hanging="638"/>
        <w:spacing w:after="0" w:line="263" w:lineRule="auto"/>
        <w:tabs>
          <w:tab w:leader="none" w:pos="1278"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following Clause 14.2 (</w:t>
      </w:r>
      <w:r>
        <w:rPr>
          <w:rFonts w:ascii="Arial" w:cs="Arial" w:eastAsia="Arial" w:hAnsi="Arial"/>
          <w:sz w:val="19"/>
          <w:szCs w:val="19"/>
          <w:i w:val="1"/>
          <w:iCs w:val="1"/>
          <w:color w:val="auto"/>
        </w:rPr>
        <w:t>Regularization Proceeding</w:t>
      </w:r>
      <w:r>
        <w:rPr>
          <w:rFonts w:ascii="Arial" w:cs="Arial" w:eastAsia="Arial" w:hAnsi="Arial"/>
          <w:sz w:val="19"/>
          <w:szCs w:val="19"/>
          <w:color w:val="auto"/>
        </w:rPr>
        <w:t>) shall be deemed added to the La Regina SPA: “</w:t>
      </w:r>
      <w:r>
        <w:rPr>
          <w:rFonts w:ascii="Arial" w:cs="Arial" w:eastAsia="Arial" w:hAnsi="Arial"/>
          <w:sz w:val="19"/>
          <w:szCs w:val="19"/>
          <w:i w:val="1"/>
          <w:iCs w:val="1"/>
          <w:color w:val="auto"/>
        </w:rPr>
        <w:t>Without</w:t>
      </w:r>
      <w:r>
        <w:rPr>
          <w:rFonts w:ascii="Arial" w:cs="Arial" w:eastAsia="Arial" w:hAnsi="Arial"/>
          <w:sz w:val="19"/>
          <w:szCs w:val="19"/>
          <w:color w:val="auto"/>
        </w:rPr>
        <w:t xml:space="preserve"> </w:t>
      </w:r>
      <w:r>
        <w:rPr>
          <w:rFonts w:ascii="Arial" w:cs="Arial" w:eastAsia="Arial" w:hAnsi="Arial"/>
          <w:sz w:val="19"/>
          <w:szCs w:val="19"/>
          <w:i w:val="1"/>
          <w:iCs w:val="1"/>
          <w:color w:val="auto"/>
        </w:rPr>
        <w:t>prejudice to Clause 13.1(v), following the Closing, as soon as La Regina regains possession of the real property located in the Municipality of Scafati, via Nuova San Marzano, identified at the Building Cadastral Register at sheet 2, parcel 78, sub. no. 6 linked to parcel 1260 sub. no. 1 (the "</w:t>
      </w:r>
      <w:r>
        <w:rPr>
          <w:rFonts w:ascii="Arial" w:cs="Arial" w:eastAsia="Arial" w:hAnsi="Arial"/>
          <w:sz w:val="19"/>
          <w:szCs w:val="19"/>
          <w:b w:val="1"/>
          <w:bCs w:val="1"/>
          <w:i w:val="1"/>
          <w:iCs w:val="1"/>
          <w:color w:val="auto"/>
        </w:rPr>
        <w:t>Scafati Property</w:t>
      </w:r>
      <w:r>
        <w:rPr>
          <w:rFonts w:ascii="Arial" w:cs="Arial" w:eastAsia="Arial" w:hAnsi="Arial"/>
          <w:sz w:val="19"/>
          <w:szCs w:val="19"/>
          <w:i w:val="1"/>
          <w:iCs w:val="1"/>
          <w:color w:val="auto"/>
        </w:rPr>
        <w:t>") and, in any case, within the Third Anniversary Date the Sellers shall procure that the Company carries out the following activities with respect to the Scafati Property: (i) to cure any cadastral irregularities of the Scafati Property, without any local Tax risk exposures; (ii) to regularize the curable (sanabili) building irregularities of the Scafati Property; and (iii) to demolish the non-curable (non sanabili) building abuses existing in the Scafati Property and, consequently, to restore the relevant areas (the “</w:t>
      </w:r>
      <w:r>
        <w:rPr>
          <w:rFonts w:ascii="Arial" w:cs="Arial" w:eastAsia="Arial" w:hAnsi="Arial"/>
          <w:sz w:val="19"/>
          <w:szCs w:val="19"/>
          <w:b w:val="1"/>
          <w:bCs w:val="1"/>
          <w:i w:val="1"/>
          <w:iCs w:val="1"/>
          <w:color w:val="auto"/>
        </w:rPr>
        <w:t>Regularization Proceeding</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2.3.7.</w:t>
      </w:r>
      <w:r>
        <w:rPr>
          <w:sz w:val="20"/>
          <w:szCs w:val="20"/>
          <w:color w:val="auto"/>
        </w:rPr>
        <w:tab/>
      </w:r>
      <w:r>
        <w:rPr>
          <w:rFonts w:ascii="Arial" w:cs="Arial" w:eastAsia="Arial" w:hAnsi="Arial"/>
          <w:sz w:val="19"/>
          <w:szCs w:val="19"/>
          <w:i w:val="1"/>
          <w:iCs w:val="1"/>
          <w:u w:val="single" w:color="auto"/>
          <w:color w:val="auto"/>
        </w:rPr>
        <w:t>AR AND LR SETTLEMENTS</w:t>
      </w:r>
    </w:p>
    <w:p>
      <w:pPr>
        <w:spacing w:after="0" w:line="285"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 xml:space="preserve">The Parties hereby agree and acknowledge that the La Regina Sellers have duly complied with the obligations set forth in Clause 8.9 of the La Regina SPA. The AR and LR Settlements have been duly executed on April 29, </w:t>
      </w:r>
      <w:r>
        <w:rPr>
          <w:rFonts w:ascii="Arial" w:cs="Arial" w:eastAsia="Arial" w:hAnsi="Arial"/>
          <w:sz w:val="21"/>
          <w:szCs w:val="21"/>
          <w:color w:val="auto"/>
        </w:rPr>
        <w:t>2026.</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2.3.8.</w:t>
      </w:r>
      <w:r>
        <w:rPr>
          <w:sz w:val="20"/>
          <w:szCs w:val="20"/>
          <w:color w:val="auto"/>
        </w:rPr>
        <w:tab/>
      </w:r>
      <w:r>
        <w:rPr>
          <w:rFonts w:ascii="Arial" w:cs="Arial" w:eastAsia="Arial" w:hAnsi="Arial"/>
          <w:sz w:val="19"/>
          <w:szCs w:val="19"/>
          <w:i w:val="1"/>
          <w:iCs w:val="1"/>
          <w:u w:val="single" w:color="auto"/>
          <w:color w:val="auto"/>
        </w:rPr>
        <w:t>SEASONAL EMPLOYEES</w:t>
      </w:r>
    </w:p>
    <w:p>
      <w:pPr>
        <w:spacing w:after="0" w:line="285" w:lineRule="exact"/>
        <w:rPr>
          <w:sz w:val="20"/>
          <w:szCs w:val="20"/>
          <w:color w:val="auto"/>
        </w:rPr>
      </w:pPr>
    </w:p>
    <w:p>
      <w:pPr>
        <w:spacing w:after="0" w:line="317" w:lineRule="auto"/>
        <w:rPr>
          <w:sz w:val="20"/>
          <w:szCs w:val="20"/>
          <w:color w:val="auto"/>
        </w:rPr>
      </w:pPr>
      <w:r>
        <w:rPr>
          <w:rFonts w:ascii="Arial" w:cs="Arial" w:eastAsia="Arial" w:hAnsi="Arial"/>
          <w:sz w:val="19"/>
          <w:szCs w:val="19"/>
          <w:color w:val="auto"/>
        </w:rPr>
        <w:t>Without prejudice to Clause 13.1(vi) of the La Regina SPA, the Parties hereby agree and acknowledge that the Seasonal Employees Settlements to be executed between La Regina and each of the Seasonal</w:t>
      </w:r>
    </w:p>
    <w:p>
      <w:pPr>
        <w:sectPr>
          <w:pgSz w:w="11900" w:h="16838" w:orient="portrait"/>
          <w:cols w:equalWidth="0" w:num="1">
            <w:col w:w="11240"/>
          </w:cols>
          <w:pgMar w:left="320" w:top="1390"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color w:val="auto"/>
        </w:rPr>
        <w:t>Employees pursuant to Clause 8.10 of the La Regina SPA have not been executed prior to the Closing Date.</w:t>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2.3.9.</w:t>
      </w:r>
      <w:r>
        <w:rPr>
          <w:sz w:val="20"/>
          <w:szCs w:val="20"/>
          <w:color w:val="auto"/>
        </w:rPr>
        <w:tab/>
      </w:r>
      <w:r>
        <w:rPr>
          <w:rFonts w:ascii="Arial" w:cs="Arial" w:eastAsia="Arial" w:hAnsi="Arial"/>
          <w:sz w:val="19"/>
          <w:szCs w:val="19"/>
          <w:i w:val="1"/>
          <w:iCs w:val="1"/>
          <w:u w:val="single" w:color="auto"/>
          <w:color w:val="auto"/>
        </w:rPr>
        <w:t>MRS ANDREANA ANNUNZIATA DEED OF CONSENT TO THE TRANSFER OF THE SHARES</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The Parties hereby agree and acknowledge that FR has duly complied with the obligations set forth in </w:t>
      </w:r>
      <w:r>
        <w:rPr>
          <w:rFonts w:ascii="Arial" w:cs="Arial" w:eastAsia="Arial" w:hAnsi="Arial"/>
          <w:sz w:val="21"/>
          <w:szCs w:val="21"/>
          <w:color w:val="auto"/>
        </w:rPr>
        <w:t>Clause</w:t>
      </w:r>
      <w:r>
        <w:rPr>
          <w:rFonts w:ascii="Arial" w:cs="Arial" w:eastAsia="Arial" w:hAnsi="Arial"/>
          <w:sz w:val="19"/>
          <w:szCs w:val="19"/>
          <w:color w:val="auto"/>
        </w:rPr>
        <w:t xml:space="preserve"> 8.11 of the La Regina SPA by delivering to the La Regina Purchaser on the date hereof the irrevocable and unconditional deed of consent to the transfer of the Shares owned by FR, duly signed by his wife Mrs. Andreana Annunziata, in a form satisfactory to the La Regina Purchaser and the Notary Public.</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2.3.10. </w:t>
      </w:r>
      <w:r>
        <w:rPr>
          <w:rFonts w:ascii="Arial" w:cs="Arial" w:eastAsia="Arial" w:hAnsi="Arial"/>
          <w:sz w:val="19"/>
          <w:szCs w:val="19"/>
          <w:i w:val="1"/>
          <w:iCs w:val="1"/>
          <w:u w:val="single" w:color="auto"/>
          <w:color w:val="auto"/>
        </w:rPr>
        <w:t>INVENTORY COUNTING</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and acknowledge that the La Regina Sellers have duly complied with the obligations set forth in Clause</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8.12 of the La Regina SPA by causing La Regina to carry out an inventory counting on May 2 and 3, 2026, in accordance with the procedures and methods set forth in Schedule 8.12 to the La Regina SPA. The relevant inventory counting report has been</w:t>
      </w:r>
    </w:p>
    <w:p>
      <w:pPr>
        <w:spacing w:after="0"/>
        <w:rPr>
          <w:sz w:val="20"/>
          <w:szCs w:val="20"/>
          <w:color w:val="auto"/>
        </w:rPr>
      </w:pPr>
      <w:r>
        <w:rPr>
          <w:rFonts w:ascii="Arial" w:cs="Arial" w:eastAsia="Arial" w:hAnsi="Arial"/>
          <w:sz w:val="19"/>
          <w:szCs w:val="19"/>
          <w:color w:val="auto"/>
        </w:rPr>
        <w:t xml:space="preserve">delivered to the La Regina Purchaser and is attached hereto as </w:t>
      </w:r>
      <w:r>
        <w:rPr>
          <w:rFonts w:ascii="Arial" w:cs="Arial" w:eastAsia="Arial" w:hAnsi="Arial"/>
          <w:sz w:val="21"/>
          <w:szCs w:val="21"/>
          <w:u w:val="single" w:color="auto"/>
          <w:color w:val="auto"/>
        </w:rPr>
        <w:t>Annex 2</w:t>
      </w:r>
      <w:r>
        <w:rPr>
          <w:rFonts w:ascii="Arial" w:cs="Arial" w:eastAsia="Arial" w:hAnsi="Arial"/>
          <w:sz w:val="19"/>
          <w:szCs w:val="19"/>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2.3.11. </w:t>
      </w:r>
      <w:r>
        <w:rPr>
          <w:rFonts w:ascii="Arial" w:cs="Arial" w:eastAsia="Arial" w:hAnsi="Arial"/>
          <w:sz w:val="19"/>
          <w:szCs w:val="19"/>
          <w:i w:val="1"/>
          <w:iCs w:val="1"/>
          <w:u w:val="single" w:color="auto"/>
          <w:color w:val="auto"/>
        </w:rPr>
        <w:t>LA RINASCITA SUPPLY AGREEMENT AMENDMENT</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Parties hereby agree and acknowledge that the La Regina Sellers have duly complied with the obligations set forth in Clause 8.13 of the La Regina SPA by causing La Regina to enter into, on October 14, 2025, an amendment agreement to the supply agreement between La Regina and La Rinascita S.r.l. dated October 28, 2024, providing for the non-compete and non-solicitation covenants contemplated therein.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2.3.12. </w:t>
      </w:r>
      <w:r>
        <w:rPr>
          <w:rFonts w:ascii="Arial" w:cs="Arial" w:eastAsia="Arial" w:hAnsi="Arial"/>
          <w:sz w:val="19"/>
          <w:szCs w:val="19"/>
          <w:i w:val="1"/>
          <w:iCs w:val="1"/>
          <w:u w:val="single" w:color="auto"/>
          <w:color w:val="auto"/>
        </w:rPr>
        <w:t>FINANCIAL INFORMATION</w:t>
      </w:r>
    </w:p>
    <w:p>
      <w:pPr>
        <w:spacing w:after="0" w:line="245" w:lineRule="exact"/>
        <w:rPr>
          <w:sz w:val="20"/>
          <w:szCs w:val="20"/>
          <w:color w:val="auto"/>
        </w:rPr>
      </w:pPr>
    </w:p>
    <w:p>
      <w:pPr>
        <w:jc w:val="both"/>
        <w:ind w:left="320" w:hanging="314"/>
        <w:spacing w:after="0" w:line="275" w:lineRule="auto"/>
        <w:tabs>
          <w:tab w:leader="none" w:pos="301"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Parties hereby agree and acknowledge that each of them have cooperated to prepare and agree the Company's financial information referred to under Clause 8.14 of the La Regina SPA. However, the figures and data of the financial information pack as set forth in Annex 3 to this Closing Memorandum have not been delivered on the Closing Date.</w:t>
      </w:r>
    </w:p>
    <w:p>
      <w:pPr>
        <w:spacing w:after="0" w:line="189" w:lineRule="exact"/>
        <w:rPr>
          <w:rFonts w:ascii="Arial" w:cs="Arial" w:eastAsia="Arial" w:hAnsi="Arial"/>
          <w:sz w:val="19"/>
          <w:szCs w:val="19"/>
          <w:color w:val="auto"/>
        </w:rPr>
      </w:pPr>
    </w:p>
    <w:p>
      <w:pPr>
        <w:jc w:val="both"/>
        <w:ind w:left="320" w:hanging="314"/>
        <w:spacing w:after="0" w:line="261" w:lineRule="auto"/>
        <w:tabs>
          <w:tab w:leader="none" w:pos="293"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light of the above, the La Regina Sellers hereby undertake to procure that La Regina delivers to the La Regina Purchaser the above mentioned figures and data of the financial information pack as set forth in Annex 3 to this Closing Memorandum within the timeline set forth therein. Therefore, the Parties hereby agree and acknowledge that the following Clause 14.3 (</w:t>
      </w:r>
      <w:r>
        <w:rPr>
          <w:rFonts w:ascii="Arial" w:cs="Arial" w:eastAsia="Arial" w:hAnsi="Arial"/>
          <w:sz w:val="19"/>
          <w:szCs w:val="19"/>
          <w:i w:val="1"/>
          <w:iCs w:val="1"/>
          <w:color w:val="auto"/>
        </w:rPr>
        <w:t>Outstanding</w:t>
      </w:r>
      <w:r>
        <w:rPr>
          <w:rFonts w:ascii="Arial" w:cs="Arial" w:eastAsia="Arial" w:hAnsi="Arial"/>
          <w:sz w:val="19"/>
          <w:szCs w:val="19"/>
          <w:color w:val="auto"/>
        </w:rPr>
        <w:t xml:space="preserve"> </w:t>
      </w:r>
      <w:r>
        <w:rPr>
          <w:rFonts w:ascii="Arial" w:cs="Arial" w:eastAsia="Arial" w:hAnsi="Arial"/>
          <w:sz w:val="19"/>
          <w:szCs w:val="19"/>
          <w:i w:val="1"/>
          <w:iCs w:val="1"/>
          <w:color w:val="auto"/>
        </w:rPr>
        <w:t>Financial Information</w:t>
      </w:r>
      <w:r>
        <w:rPr>
          <w:rFonts w:ascii="Arial" w:cs="Arial" w:eastAsia="Arial" w:hAnsi="Arial"/>
          <w:sz w:val="19"/>
          <w:szCs w:val="19"/>
          <w:color w:val="auto"/>
        </w:rPr>
        <w:t>) shall be deemed added to the La Regina SPA: “</w:t>
      </w:r>
      <w:r>
        <w:rPr>
          <w:rFonts w:ascii="Arial" w:cs="Arial" w:eastAsia="Arial" w:hAnsi="Arial"/>
          <w:sz w:val="19"/>
          <w:szCs w:val="19"/>
          <w:i w:val="1"/>
          <w:iCs w:val="1"/>
          <w:color w:val="auto"/>
        </w:rPr>
        <w:t>Following the Closing, the Sellers shall procure that the Company delivers to the Purchaser the outstanding financial information referred to and detailed in Annex 3 (Outstanding Financial Information) to the Closing Memorandum, within the timeline set forth therein. Such financial information shall conform to the Campbell's Group reporting standards set forth in Clause 12 of the SHA. The Purchaser, with the support of its advisors, shall have the right to review, make appropriate enquiries and request reasonable integrations and amendments to the Sellers in connection therewith.</w:t>
      </w:r>
      <w:r>
        <w:rPr>
          <w:rFonts w:ascii="Arial" w:cs="Arial" w:eastAsia="Arial" w:hAnsi="Arial"/>
          <w:sz w:val="19"/>
          <w:szCs w:val="19"/>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2.3.13. </w:t>
      </w:r>
      <w:r>
        <w:rPr>
          <w:rFonts w:ascii="Arial" w:cs="Arial" w:eastAsia="Arial" w:hAnsi="Arial"/>
          <w:sz w:val="19"/>
          <w:szCs w:val="19"/>
          <w:i w:val="1"/>
          <w:iCs w:val="1"/>
          <w:u w:val="single" w:color="auto"/>
          <w:color w:val="auto"/>
        </w:rPr>
        <w:t>U.S. TAX RETURNS</w:t>
      </w:r>
    </w:p>
    <w:p>
      <w:pPr>
        <w:sectPr>
          <w:pgSz w:w="11900" w:h="16838" w:orient="portrait"/>
          <w:cols w:equalWidth="0" w:num="1">
            <w:col w:w="11240"/>
          </w:cols>
          <w:pgMar w:left="320" w:top="1390" w:right="3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9"/>
          <w:szCs w:val="19"/>
          <w:color w:val="auto"/>
        </w:rPr>
        <w:t>Without prejudice to Clause 2.5.2</w:t>
      </w:r>
      <w:r>
        <w:rPr>
          <w:rFonts w:ascii="Arial" w:cs="Arial" w:eastAsia="Arial" w:hAnsi="Arial"/>
          <w:sz w:val="19"/>
          <w:szCs w:val="19"/>
          <w:color w:val="0000FF"/>
        </w:rPr>
        <w:t>,</w:t>
      </w:r>
      <w:r>
        <w:rPr>
          <w:rFonts w:ascii="Arial" w:cs="Arial" w:eastAsia="Arial" w:hAnsi="Arial"/>
          <w:sz w:val="19"/>
          <w:szCs w:val="19"/>
          <w:color w:val="auto"/>
        </w:rPr>
        <w:t xml:space="preserve"> the La Regina Sellers hereby represent and warrant that: (i) pursuant to Clause 8.15 of the La Regina SPA, FAL has filed Internal Revenue Service Form 7004 (Application for Automatic Extension of Time to File Certain Business Income Tax, Information, and Other Returns) on April 15, 2026; and (ii) in light of the fact that FAL will not transfer any of its shares in La Regina at Closing (as set forth in Clause </w:t>
      </w:r>
      <w:r>
        <w:rPr>
          <w:rFonts w:ascii="Arial" w:cs="Arial" w:eastAsia="Arial" w:hAnsi="Arial"/>
          <w:sz w:val="21"/>
          <w:szCs w:val="21"/>
          <w:color w:val="auto"/>
        </w:rPr>
        <w:t>2.1.2</w:t>
      </w:r>
      <w:r>
        <w:rPr>
          <w:rFonts w:ascii="Arial" w:cs="Arial" w:eastAsia="Arial" w:hAnsi="Arial"/>
          <w:sz w:val="19"/>
          <w:szCs w:val="19"/>
          <w:color w:val="auto"/>
        </w:rPr>
        <w:t xml:space="preserve"> above), the filing of Internal Revenue Service Form 5471 with respect to La Regina by FAL pursuant to Clause 8.15 of the La Regina SPA is no longer required. The La Regina Purchaser has acknowledged and relies upon the above representation and warranty.</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2.4.</w:t>
      </w:r>
      <w:r>
        <w:rPr>
          <w:rFonts w:ascii="Arial" w:cs="Arial" w:eastAsia="Arial" w:hAnsi="Arial"/>
          <w:sz w:val="19"/>
          <w:szCs w:val="19"/>
          <w:b w:val="1"/>
          <w:bCs w:val="1"/>
          <w:u w:val="single" w:color="auto"/>
          <w:color w:val="auto"/>
        </w:rPr>
        <w:t>CLOSING ACTIONS AND DELIVERIES</w:t>
      </w:r>
    </w:p>
    <w:p>
      <w:pPr>
        <w:spacing w:after="0" w:line="247" w:lineRule="exact"/>
        <w:rPr>
          <w:sz w:val="20"/>
          <w:szCs w:val="20"/>
          <w:color w:val="auto"/>
        </w:rPr>
      </w:pPr>
    </w:p>
    <w:p>
      <w:pPr>
        <w:jc w:val="both"/>
        <w:ind w:left="640" w:hanging="635"/>
        <w:spacing w:after="0" w:line="302" w:lineRule="auto"/>
        <w:tabs>
          <w:tab w:leader="none" w:pos="620" w:val="left"/>
        </w:tabs>
        <w:rPr>
          <w:sz w:val="20"/>
          <w:szCs w:val="20"/>
          <w:color w:val="auto"/>
        </w:rPr>
      </w:pPr>
      <w:r>
        <w:rPr>
          <w:rFonts w:ascii="Arial" w:cs="Arial" w:eastAsia="Arial" w:hAnsi="Arial"/>
          <w:sz w:val="19"/>
          <w:szCs w:val="19"/>
          <w:color w:val="auto"/>
        </w:rPr>
        <w:t>2.4.1.</w:t>
        <w:tab/>
        <w:t>The Parties hereby agree and acknowledge that all the closing actions and deliveries set forth in Clause 9.2 of the La Regina SPA have been duly performed and completed on the Closing Date, as further detailed below:</w:t>
      </w:r>
    </w:p>
    <w:p>
      <w:pPr>
        <w:spacing w:after="0" w:line="179" w:lineRule="exact"/>
        <w:rPr>
          <w:sz w:val="20"/>
          <w:szCs w:val="20"/>
          <w:color w:val="auto"/>
        </w:rPr>
      </w:pPr>
    </w:p>
    <w:p>
      <w:pPr>
        <w:jc w:val="both"/>
        <w:ind w:left="640" w:hanging="316"/>
        <w:spacing w:after="0" w:line="299" w:lineRule="auto"/>
        <w:tabs>
          <w:tab w:leader="none" w:pos="665"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the La Regina Sellers have delivered to the La Regina Purchaser an unconditional and irrevocable declaration attesting that the Conditions Precedent set forth in Clauses 6.1(a), 6.1(b), 6.1(c) and 6.1(d) of the La Regina SPA have been met, in compliance with Clause 9.2(a)(i) of the La Regina </w:t>
      </w:r>
      <w:r>
        <w:rPr>
          <w:rFonts w:ascii="Arial" w:cs="Arial" w:eastAsia="Arial" w:hAnsi="Arial"/>
          <w:sz w:val="21"/>
          <w:szCs w:val="21"/>
          <w:color w:val="auto"/>
        </w:rPr>
        <w:t>SPA;</w:t>
      </w:r>
    </w:p>
    <w:p>
      <w:pPr>
        <w:spacing w:after="0" w:line="158" w:lineRule="exact"/>
        <w:rPr>
          <w:rFonts w:ascii="Arial" w:cs="Arial" w:eastAsia="Arial" w:hAnsi="Arial"/>
          <w:sz w:val="19"/>
          <w:szCs w:val="19"/>
          <w:color w:val="auto"/>
        </w:rPr>
      </w:pPr>
    </w:p>
    <w:p>
      <w:pPr>
        <w:jc w:val="both"/>
        <w:ind w:left="640" w:hanging="316"/>
        <w:spacing w:after="0" w:line="287"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each La Regina Seller has delivered to the La Regina Purchaser the certificates (</w:t>
      </w:r>
      <w:r>
        <w:rPr>
          <w:rFonts w:ascii="Arial" w:cs="Arial" w:eastAsia="Arial" w:hAnsi="Arial"/>
          <w:sz w:val="21"/>
          <w:szCs w:val="21"/>
          <w:i w:val="1"/>
          <w:iCs w:val="1"/>
          <w:color w:val="auto"/>
        </w:rPr>
        <w:t>titoli</w:t>
      </w:r>
      <w:r>
        <w:rPr>
          <w:rFonts w:ascii="Arial" w:cs="Arial" w:eastAsia="Arial" w:hAnsi="Arial"/>
          <w:sz w:val="19"/>
          <w:szCs w:val="19"/>
          <w:color w:val="auto"/>
        </w:rPr>
        <w:t xml:space="preserve">) carrying the Shares, duly endorsed for transfer to the La Regina Purchaser with signatures authenticated by the Notary Public, pursuant to section 2355, paragraph 3, of the Civil Code, and has duly transferred to the La Regina Purchaser the full, good and valid title of the Shares, free and clear of any Encumbrance, in compliance with Clause 9.2(a)(ii) of the La Regina SPA and Clause </w:t>
      </w:r>
      <w:r>
        <w:rPr>
          <w:rFonts w:ascii="Arial" w:cs="Arial" w:eastAsia="Arial" w:hAnsi="Arial"/>
          <w:sz w:val="21"/>
          <w:szCs w:val="21"/>
          <w:color w:val="auto"/>
        </w:rPr>
        <w:t>2.1</w:t>
      </w:r>
      <w:r>
        <w:rPr>
          <w:rFonts w:ascii="Arial" w:cs="Arial" w:eastAsia="Arial" w:hAnsi="Arial"/>
          <w:sz w:val="19"/>
          <w:szCs w:val="19"/>
          <w:color w:val="auto"/>
        </w:rPr>
        <w:t xml:space="preserve"> </w:t>
      </w:r>
      <w:r>
        <w:rPr>
          <w:rFonts w:ascii="Arial" w:cs="Arial" w:eastAsia="Arial" w:hAnsi="Arial"/>
          <w:sz w:val="21"/>
          <w:szCs w:val="21"/>
          <w:color w:val="auto"/>
        </w:rPr>
        <w:t>above;</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640" w:hanging="316"/>
        <w:spacing w:after="0" w:line="280" w:lineRule="auto"/>
        <w:tabs>
          <w:tab w:leader="none" w:pos="654"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transfer of the Shares has been duly recorded in the share ledger (</w:t>
      </w:r>
      <w:r>
        <w:rPr>
          <w:rFonts w:ascii="Arial" w:cs="Arial" w:eastAsia="Arial" w:hAnsi="Arial"/>
          <w:sz w:val="21"/>
          <w:szCs w:val="21"/>
          <w:i w:val="1"/>
          <w:iCs w:val="1"/>
          <w:color w:val="auto"/>
        </w:rPr>
        <w:t>libro dei soci</w:t>
      </w:r>
      <w:r>
        <w:rPr>
          <w:rFonts w:ascii="Arial" w:cs="Arial" w:eastAsia="Arial" w:hAnsi="Arial"/>
          <w:sz w:val="19"/>
          <w:szCs w:val="19"/>
          <w:color w:val="auto"/>
        </w:rPr>
        <w:t>) of La Regina, in compliance with Clause 9.2(a)(iii) of the La Regina SPA;</w:t>
      </w:r>
    </w:p>
    <w:p>
      <w:pPr>
        <w:spacing w:after="0" w:line="208" w:lineRule="exact"/>
        <w:rPr>
          <w:rFonts w:ascii="Arial" w:cs="Arial" w:eastAsia="Arial" w:hAnsi="Arial"/>
          <w:sz w:val="19"/>
          <w:szCs w:val="19"/>
          <w:color w:val="auto"/>
        </w:rPr>
      </w:pPr>
    </w:p>
    <w:p>
      <w:pPr>
        <w:jc w:val="both"/>
        <w:ind w:left="640" w:hanging="316"/>
        <w:spacing w:after="0" w:line="272"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La Regina Sellers have delivered to the La Regina Purchaser the written unconditional resignations of all the Resigning Directors, in the form enclosed under Schedule 9.2(a)(iv) to the La Regina SPA, effective as of the Closing Date, confirming that they have no claims against La Regina for compensation, termination, loss of office or unpaid remuneration, other than the remuneration for their office as directors accrued up to the Closing Date and not yet paid, in compliance with Clause 9.2(a)(iv) of the La Regina SPA;</w:t>
      </w:r>
    </w:p>
    <w:p>
      <w:pPr>
        <w:spacing w:after="0" w:line="192" w:lineRule="exact"/>
        <w:rPr>
          <w:rFonts w:ascii="Arial" w:cs="Arial" w:eastAsia="Arial" w:hAnsi="Arial"/>
          <w:sz w:val="19"/>
          <w:szCs w:val="19"/>
          <w:color w:val="auto"/>
        </w:rPr>
      </w:pPr>
    </w:p>
    <w:p>
      <w:pPr>
        <w:ind w:left="640" w:hanging="316"/>
        <w:spacing w:after="0" w:line="288"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La Regina Sellers have delivered to the La Regina Purchaser the written unconditional resignations of the Resigning Auditors from their respective office, in compliance with Clause 9.2(a)(v) of the La Regina SPA;</w:t>
      </w:r>
    </w:p>
    <w:p>
      <w:pPr>
        <w:spacing w:after="0" w:line="177" w:lineRule="exact"/>
        <w:rPr>
          <w:rFonts w:ascii="Arial" w:cs="Arial" w:eastAsia="Arial" w:hAnsi="Arial"/>
          <w:sz w:val="19"/>
          <w:szCs w:val="19"/>
          <w:color w:val="auto"/>
        </w:rPr>
      </w:pPr>
    </w:p>
    <w:p>
      <w:pPr>
        <w:jc w:val="both"/>
        <w:ind w:left="640" w:hanging="316"/>
        <w:spacing w:after="0" w:line="275" w:lineRule="auto"/>
        <w:tabs>
          <w:tab w:leader="none" w:pos="638"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La Regina Sellers have delivered to the La Regina Purchaser the updated forecast and projections for the financial year ending on June 30, 2026, which shall constitute, pursuant to the SHA, the Annual Operating Plan for the fiscal year ending on June 30, 2026, in compliance with Clause 9.2(a)(vi) of the La Regina SPA;</w:t>
      </w:r>
    </w:p>
    <w:p>
      <w:pPr>
        <w:spacing w:after="0" w:line="216" w:lineRule="exact"/>
        <w:rPr>
          <w:rFonts w:ascii="Arial" w:cs="Arial" w:eastAsia="Arial" w:hAnsi="Arial"/>
          <w:sz w:val="19"/>
          <w:szCs w:val="19"/>
          <w:color w:val="auto"/>
        </w:rPr>
      </w:pPr>
    </w:p>
    <w:p>
      <w:pPr>
        <w:ind w:left="640" w:hanging="316"/>
        <w:spacing w:after="0" w:line="288" w:lineRule="auto"/>
        <w:tabs>
          <w:tab w:leader="none" w:pos="665" w:val="left"/>
        </w:tabs>
        <w:numPr>
          <w:ilvl w:val="0"/>
          <w:numId w:val="41"/>
        </w:numPr>
        <w:rPr>
          <w:rFonts w:ascii="Arial" w:cs="Arial" w:eastAsia="Arial" w:hAnsi="Arial"/>
          <w:sz w:val="19"/>
          <w:szCs w:val="19"/>
          <w:color w:val="auto"/>
        </w:rPr>
      </w:pPr>
      <w:r>
        <w:rPr>
          <w:rFonts w:ascii="Arial" w:cs="Arial" w:eastAsia="Arial" w:hAnsi="Arial"/>
          <w:sz w:val="19"/>
          <w:szCs w:val="19"/>
          <w:color w:val="auto"/>
        </w:rPr>
        <w:t>(i) The Campbell’s Company, in the name and on behalf of the La Regina Purchaser by virtue of the delegation of payment executed on the date hereof, has paid the First Tranche Purchase</w:t>
      </w:r>
    </w:p>
    <w:p>
      <w:pPr>
        <w:sectPr>
          <w:pgSz w:w="11900" w:h="16838" w:orient="portrait"/>
          <w:cols w:equalWidth="0" w:num="1">
            <w:col w:w="11240"/>
          </w:cols>
          <w:pgMar w:left="320" w:top="1390" w:right="339" w:bottom="1440" w:gutter="0" w:footer="0" w:header="0"/>
        </w:sectPr>
      </w:pPr>
    </w:p>
    <w:bookmarkStart w:id="54" w:name="page55"/>
    <w:bookmarkEnd w:id="54"/>
    <w:p>
      <w:pPr>
        <w:jc w:val="both"/>
        <w:ind w:left="316"/>
        <w:spacing w:after="0" w:line="274" w:lineRule="auto"/>
        <w:rPr>
          <w:sz w:val="20"/>
          <w:szCs w:val="20"/>
          <w:color w:val="auto"/>
        </w:rPr>
      </w:pPr>
      <w:r>
        <w:rPr>
          <w:rFonts w:ascii="Arial" w:cs="Arial" w:eastAsia="Arial" w:hAnsi="Arial"/>
          <w:sz w:val="19"/>
          <w:szCs w:val="19"/>
          <w:color w:val="auto"/>
        </w:rPr>
        <w:t xml:space="preserve">Price in accordance with Clause 5.1 of the La Regina SPA (as amended by this Closing Memorandum) and the Price Allocation, in compliance with Clause 9.2(b) of the La Regina SPA and (ii) the La Regina Purchaser has delivered to the La Regina Sellers copy of the irrevocable orders of payment of the relevant portion of the First Tranche Purchase Price to the concerned La Regina Sellers. La Regina Purchaser will make its best commercial efforts to procure that </w:t>
      </w:r>
      <w:r>
        <w:rPr>
          <w:rFonts w:ascii="Arial" w:cs="Arial" w:eastAsia="Arial" w:hAnsi="Arial"/>
          <w:sz w:val="21"/>
          <w:szCs w:val="21"/>
          <w:color w:val="auto"/>
        </w:rPr>
        <w:t>the</w:t>
      </w:r>
      <w:r>
        <w:rPr>
          <w:rFonts w:ascii="Arial" w:cs="Arial" w:eastAsia="Arial" w:hAnsi="Arial"/>
          <w:sz w:val="19"/>
          <w:szCs w:val="19"/>
          <w:color w:val="auto"/>
        </w:rPr>
        <w:t xml:space="preserve"> funds will be credited in the relevant Sellers’ Bank Accounts as soon as </w:t>
      </w:r>
      <w:r>
        <w:rPr>
          <w:rFonts w:ascii="Arial" w:cs="Arial" w:eastAsia="Arial" w:hAnsi="Arial"/>
          <w:sz w:val="21"/>
          <w:szCs w:val="21"/>
          <w:color w:val="auto"/>
        </w:rPr>
        <w:t>possible;</w:t>
      </w:r>
    </w:p>
    <w:p>
      <w:pPr>
        <w:spacing w:after="0" w:line="184" w:lineRule="exact"/>
        <w:rPr>
          <w:sz w:val="20"/>
          <w:szCs w:val="20"/>
          <w:color w:val="auto"/>
        </w:rPr>
      </w:pPr>
    </w:p>
    <w:p>
      <w:pPr>
        <w:ind w:left="316" w:hanging="316"/>
        <w:spacing w:after="0" w:line="302" w:lineRule="auto"/>
        <w:tabs>
          <w:tab w:leader="none" w:pos="3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Parties have duly executed the SHA and the Options Agreement, effective from the Closing Date, in compliance with Clauses 9.2(c)(i) and 9.2(c)(ii) of the La Regina SPA;</w:t>
      </w:r>
    </w:p>
    <w:p>
      <w:pPr>
        <w:spacing w:after="0" w:line="162" w:lineRule="exact"/>
        <w:rPr>
          <w:rFonts w:ascii="Arial" w:cs="Arial" w:eastAsia="Arial" w:hAnsi="Arial"/>
          <w:sz w:val="19"/>
          <w:szCs w:val="19"/>
          <w:color w:val="auto"/>
        </w:rPr>
      </w:pPr>
    </w:p>
    <w:p>
      <w:pPr>
        <w:jc w:val="both"/>
        <w:ind w:left="316" w:hanging="316"/>
        <w:spacing w:after="0" w:line="268" w:lineRule="auto"/>
        <w:tabs>
          <w:tab w:leader="none" w:pos="3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Parties have caused the shareholders’ meeting of La Regina to be validly held in plenary session (</w:t>
      </w:r>
      <w:r>
        <w:rPr>
          <w:rFonts w:ascii="Arial" w:cs="Arial" w:eastAsia="Arial" w:hAnsi="Arial"/>
          <w:sz w:val="21"/>
          <w:szCs w:val="21"/>
          <w:i w:val="1"/>
          <w:iCs w:val="1"/>
          <w:color w:val="auto"/>
        </w:rPr>
        <w:t>in forma totalitaria</w:t>
      </w:r>
      <w:r>
        <w:rPr>
          <w:rFonts w:ascii="Arial" w:cs="Arial" w:eastAsia="Arial" w:hAnsi="Arial"/>
          <w:sz w:val="19"/>
          <w:szCs w:val="19"/>
          <w:color w:val="auto"/>
        </w:rPr>
        <w:t>) and to resolve upon: (i) the adoption of the new by-laws of La Regina, in the form attached under Schedule D of the SHA; (ii) the acknowledgement and acceptance of the resignations of the Resigning Directors and the Resigning Auditors from their respective office; (iii) the approval and ratification of all actions and/or omissions taken by such Resigning Directors and Resigning Auditors since the date of their first appointment until the Closing Date, and the irrevocable and unconditional waiver and relinquishment of any type of claim, suit, litigation and action against such Resigning Directors and Resigning Auditors (other than those actions or omissions carried out with fraud, wilful misconduct (</w:t>
      </w:r>
      <w:r>
        <w:rPr>
          <w:rFonts w:ascii="Arial" w:cs="Arial" w:eastAsia="Arial" w:hAnsi="Arial"/>
          <w:sz w:val="21"/>
          <w:szCs w:val="21"/>
          <w:i w:val="1"/>
          <w:iCs w:val="1"/>
          <w:color w:val="auto"/>
        </w:rPr>
        <w:t>dolo</w:t>
      </w:r>
      <w:r>
        <w:rPr>
          <w:rFonts w:ascii="Arial" w:cs="Arial" w:eastAsia="Arial" w:hAnsi="Arial"/>
          <w:sz w:val="19"/>
          <w:szCs w:val="19"/>
          <w:color w:val="auto"/>
        </w:rPr>
        <w:t>) or gross negligence (</w:t>
      </w:r>
      <w:r>
        <w:rPr>
          <w:rFonts w:ascii="Arial" w:cs="Arial" w:eastAsia="Arial" w:hAnsi="Arial"/>
          <w:sz w:val="21"/>
          <w:szCs w:val="21"/>
          <w:i w:val="1"/>
          <w:iCs w:val="1"/>
          <w:color w:val="auto"/>
        </w:rPr>
        <w:t>colpa grave</w:t>
      </w:r>
      <w:r>
        <w:rPr>
          <w:rFonts w:ascii="Arial" w:cs="Arial" w:eastAsia="Arial" w:hAnsi="Arial"/>
          <w:sz w:val="19"/>
          <w:szCs w:val="19"/>
          <w:color w:val="auto"/>
        </w:rPr>
        <w:t>)); (iv) the appointment of a new board of directors and a new board of statutory auditors of La Regina effective as of the Closing Date, in accordance with the provisions of the SHA; and (vii) the determination of the overall remuneration of the directors and of the statutory auditors and adoption of a monetary incentive plan for the executive directors, all in compliance with Clause 9.2(c)(iii) of the La Regina SPA;</w:t>
      </w:r>
    </w:p>
    <w:p>
      <w:pPr>
        <w:spacing w:after="0" w:line="223" w:lineRule="exact"/>
        <w:rPr>
          <w:rFonts w:ascii="Arial" w:cs="Arial" w:eastAsia="Arial" w:hAnsi="Arial"/>
          <w:sz w:val="19"/>
          <w:szCs w:val="19"/>
          <w:color w:val="auto"/>
        </w:rPr>
      </w:pPr>
    </w:p>
    <w:p>
      <w:pPr>
        <w:jc w:val="both"/>
        <w:ind w:left="316" w:hanging="316"/>
        <w:spacing w:after="0" w:line="273" w:lineRule="auto"/>
        <w:tabs>
          <w:tab w:leader="none" w:pos="3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following the appointment of the new board of directors of La Regina, a meeting of the newly appointed board of directors of La Regina has been held on the Closing Date to resolve upon: (i) the appointment of the Chairman, the CEO, the SOD and the BDD (all as defined in the SHA), in accordance with the provisions of the SHA; (ii) the granting to the CEO, the SOD and the BDD of the powers provided for under the relevant Management Agreement, in accordance with the provisions of the SHA; (iii) the adoption of the Strategic Plan; (iv) the approval of the remuneration and of the participation of the Chairman and CEO, the BDD and the SOD to the monetary incentive plan for the executive directors ; (v) the appointment of the CFO, the granting of the relevant powers and the determination of the relevant remuneration; (vi) the adoption of the Company Guidelines; and (v) the granting of the powers to the CEO or to another member director to carry out the actions and execute the transactions set forth in Clauses 9.2(c)(v) and 9.2(c)(vi) of the La Regina SPA, all in compliance with Clause 9.2(c)(iv) of the La Regina SPA;</w:t>
      </w:r>
    </w:p>
    <w:p>
      <w:pPr>
        <w:spacing w:after="0" w:line="217" w:lineRule="exact"/>
        <w:rPr>
          <w:rFonts w:ascii="Arial" w:cs="Arial" w:eastAsia="Arial" w:hAnsi="Arial"/>
          <w:sz w:val="19"/>
          <w:szCs w:val="19"/>
          <w:color w:val="auto"/>
        </w:rPr>
      </w:pPr>
    </w:p>
    <w:p>
      <w:pPr>
        <w:ind w:left="316" w:right="20" w:hanging="316"/>
        <w:spacing w:after="0" w:line="288" w:lineRule="auto"/>
        <w:tabs>
          <w:tab w:leader="none" w:pos="330" w:val="left"/>
        </w:tabs>
        <w:numPr>
          <w:ilvl w:val="0"/>
          <w:numId w:val="42"/>
        </w:numPr>
        <w:rPr>
          <w:rFonts w:ascii="Arial" w:cs="Arial" w:eastAsia="Arial" w:hAnsi="Arial"/>
          <w:sz w:val="19"/>
          <w:szCs w:val="19"/>
          <w:color w:val="auto"/>
        </w:rPr>
      </w:pPr>
      <w:r>
        <w:rPr>
          <w:rFonts w:ascii="Arial" w:cs="Arial" w:eastAsia="Arial" w:hAnsi="Arial"/>
          <w:sz w:val="19"/>
          <w:szCs w:val="19"/>
          <w:color w:val="auto"/>
        </w:rPr>
        <w:t>La Regina has duly entered into the Management Agreements with FR, LR and AR, respectively, in compliance with Clause 9.2(c)(v) of the La Regina SPA;</w:t>
      </w:r>
    </w:p>
    <w:p>
      <w:pPr>
        <w:spacing w:after="0" w:line="177" w:lineRule="exact"/>
        <w:rPr>
          <w:rFonts w:ascii="Arial" w:cs="Arial" w:eastAsia="Arial" w:hAnsi="Arial"/>
          <w:sz w:val="19"/>
          <w:szCs w:val="19"/>
          <w:color w:val="auto"/>
        </w:rPr>
      </w:pPr>
    </w:p>
    <w:p>
      <w:pPr>
        <w:ind w:left="316" w:hanging="316"/>
        <w:spacing w:after="0" w:line="288" w:lineRule="auto"/>
        <w:tabs>
          <w:tab w:leader="none" w:pos="3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La Regina, La Regina Inc and CSSC, as successor-in-interest of Rao's Specialty Foods Inc., have duly entered into the Amended and Restated Supply Agreement, in compliance with Clause 9.2(c)(vi) of the La Regina SPA;</w:t>
      </w:r>
    </w:p>
    <w:p>
      <w:pPr>
        <w:sectPr>
          <w:pgSz w:w="11900" w:h="16838" w:orient="portrait"/>
          <w:cols w:equalWidth="0" w:num="1">
            <w:col w:w="10916"/>
          </w:cols>
          <w:pgMar w:left="644" w:top="1390" w:right="339" w:bottom="1440" w:gutter="0" w:footer="0" w:header="0"/>
        </w:sectPr>
      </w:pPr>
    </w:p>
    <w:bookmarkStart w:id="55" w:name="page56"/>
    <w:bookmarkEnd w:id="55"/>
    <w:p>
      <w:pPr>
        <w:ind w:left="640" w:hanging="316"/>
        <w:spacing w:after="0" w:line="332" w:lineRule="auto"/>
        <w:tabs>
          <w:tab w:leader="none" w:pos="653" w:val="left"/>
        </w:tabs>
        <w:numPr>
          <w:ilvl w:val="0"/>
          <w:numId w:val="43"/>
        </w:numPr>
        <w:rPr>
          <w:rFonts w:ascii="Arial" w:cs="Arial" w:eastAsia="Arial" w:hAnsi="Arial"/>
          <w:sz w:val="19"/>
          <w:szCs w:val="19"/>
          <w:color w:val="auto"/>
        </w:rPr>
      </w:pPr>
      <w:r>
        <w:rPr>
          <w:rFonts w:ascii="Arial" w:cs="Arial" w:eastAsia="Arial" w:hAnsi="Arial"/>
          <w:sz w:val="19"/>
          <w:szCs w:val="19"/>
          <w:color w:val="auto"/>
        </w:rPr>
        <w:t>FR has caused Felix to complete the La Regina Atlantica Transaction concurrently with the Closing, pursuant to the La Regina Atlantica SPA, as further detailed in Article 3 below, in compliance with Clause 9.2(d) of the La Regina SPA.</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2.5.SPECIAL INDEMNITIES</w:t>
      </w:r>
    </w:p>
    <w:p>
      <w:pPr>
        <w:spacing w:after="0" w:line="261" w:lineRule="exact"/>
        <w:rPr>
          <w:sz w:val="20"/>
          <w:szCs w:val="20"/>
          <w:color w:val="auto"/>
        </w:rPr>
      </w:pPr>
    </w:p>
    <w:p>
      <w:pPr>
        <w:jc w:val="both"/>
        <w:ind w:left="640" w:hanging="635"/>
        <w:spacing w:after="0" w:line="268" w:lineRule="auto"/>
        <w:tabs>
          <w:tab w:leader="none" w:pos="620" w:val="left"/>
        </w:tabs>
        <w:rPr>
          <w:sz w:val="20"/>
          <w:szCs w:val="20"/>
          <w:color w:val="auto"/>
        </w:rPr>
      </w:pPr>
      <w:r>
        <w:rPr>
          <w:rFonts w:ascii="Arial" w:cs="Arial" w:eastAsia="Arial" w:hAnsi="Arial"/>
          <w:sz w:val="19"/>
          <w:szCs w:val="19"/>
          <w:color w:val="auto"/>
        </w:rPr>
        <w:t>2.5.1.</w:t>
        <w:tab/>
        <w:t>Considering the above Clauses 2.1 and 2.2, the Parties agree and acknowledge that Clause 13.1 of the La Regina SPA shall be deemed to include the following additional special indemnity under limb (xi): “</w:t>
      </w:r>
      <w:r>
        <w:rPr>
          <w:rFonts w:ascii="Arial" w:cs="Arial" w:eastAsia="Arial" w:hAnsi="Arial"/>
          <w:sz w:val="19"/>
          <w:szCs w:val="19"/>
          <w:i w:val="1"/>
          <w:iCs w:val="1"/>
          <w:color w:val="auto"/>
        </w:rPr>
        <w:t>the allocation of the Shares to be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transferred in the context of the Transaction and/or the payment </w:t>
      </w:r>
      <w:r>
        <w:rPr>
          <w:rFonts w:ascii="Arial" w:cs="Arial" w:eastAsia="Arial" w:hAnsi="Arial"/>
          <w:sz w:val="21"/>
          <w:szCs w:val="21"/>
          <w:i w:val="1"/>
          <w:iCs w:val="1"/>
          <w:color w:val="auto"/>
        </w:rPr>
        <w:t>terms of the Purchase Price among the Sellers,</w:t>
      </w:r>
      <w:r>
        <w:rPr>
          <w:rFonts w:ascii="Arial" w:cs="Arial" w:eastAsia="Arial" w:hAnsi="Arial"/>
          <w:sz w:val="19"/>
          <w:szCs w:val="19"/>
          <w:i w:val="1"/>
          <w:iCs w:val="1"/>
          <w:color w:val="auto"/>
        </w:rPr>
        <w:t xml:space="preserve"> </w:t>
      </w:r>
      <w:r>
        <w:rPr>
          <w:rFonts w:ascii="Arial" w:cs="Arial" w:eastAsia="Arial" w:hAnsi="Arial"/>
          <w:sz w:val="21"/>
          <w:szCs w:val="21"/>
          <w:i w:val="1"/>
          <w:iCs w:val="1"/>
          <w:color w:val="auto"/>
        </w:rPr>
        <w:t>including any claim or liability made by any Person arising out of or related to such allocation and payment terms, including for Tax purposes</w:t>
      </w:r>
      <w:r>
        <w:rPr>
          <w:rFonts w:ascii="Arial" w:cs="Arial" w:eastAsia="Arial" w:hAnsi="Arial"/>
          <w:sz w:val="19"/>
          <w:szCs w:val="19"/>
          <w:color w:val="auto"/>
        </w:rPr>
        <w:t>”.</w:t>
      </w:r>
    </w:p>
    <w:p>
      <w:pPr>
        <w:spacing w:after="0" w:line="174" w:lineRule="exact"/>
        <w:rPr>
          <w:sz w:val="20"/>
          <w:szCs w:val="20"/>
          <w:color w:val="auto"/>
        </w:rPr>
      </w:pPr>
    </w:p>
    <w:p>
      <w:pPr>
        <w:jc w:val="both"/>
        <w:ind w:left="640" w:hanging="635"/>
        <w:spacing w:after="0" w:line="264" w:lineRule="auto"/>
        <w:tabs>
          <w:tab w:leader="none" w:pos="620" w:val="left"/>
        </w:tabs>
        <w:rPr>
          <w:sz w:val="20"/>
          <w:szCs w:val="20"/>
          <w:color w:val="auto"/>
        </w:rPr>
      </w:pPr>
      <w:r>
        <w:rPr>
          <w:rFonts w:ascii="Arial" w:cs="Arial" w:eastAsia="Arial" w:hAnsi="Arial"/>
          <w:sz w:val="19"/>
          <w:szCs w:val="19"/>
          <w:color w:val="auto"/>
        </w:rPr>
        <w:t>2.5.2.</w:t>
      </w:r>
      <w:r>
        <w:rPr>
          <w:sz w:val="20"/>
          <w:szCs w:val="20"/>
          <w:color w:val="auto"/>
        </w:rPr>
        <w:tab/>
      </w:r>
      <w:r>
        <w:rPr>
          <w:rFonts w:ascii="Arial" w:cs="Arial" w:eastAsia="Arial" w:hAnsi="Arial"/>
          <w:sz w:val="19"/>
          <w:szCs w:val="19"/>
          <w:i w:val="1"/>
          <w:iCs w:val="1"/>
          <w:color w:val="auto"/>
        </w:rPr>
        <w:t>Considering the above Clause 2.3.13, the Parties agree and acknowledge that Clause 13.1 of the La Regina SPA shall be deemed to include the following additional special indemnity under limb (xii): “(a) the failure by FAL and/or any other Seller (or Affiliate of a Seller) to timely and correctly amend and/or file all relevant U.S. federal Tax returns (including Internal Revenue Service Form 5471) required to be filed with respect to the Company pursuant to Clause 8.15 of the SPA, (b) any Taxes, penalties, fines, interest, surcharges or other Losses arising from or in connection with such failure, and (c) any claim, assessment, audit or investigation by any Tax Authority in connection therewith”.</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2.6.JOINT AND SEVERAL LIABILITY</w:t>
      </w:r>
    </w:p>
    <w:p>
      <w:pPr>
        <w:spacing w:after="0" w:line="2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Parties hereby confirm that the joint and several liability of all the La Regina Sellers (including, for the avoidance of doubt, FAL) as set forth in Clause 15.14 of the La Regina SPA shall continue to apply in full to all the covenants, obligations, undertakings and representations and warranties provided under the La Regina SPA, the SHA and the Options Agreement, as amended by this Closing Memorandum.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2.7.TRANSACTION DOCUMENTS</w:t>
      </w:r>
    </w:p>
    <w:p>
      <w:pPr>
        <w:spacing w:after="0" w:line="2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Parties hereby agree and acknowledge that the SHA, the Options Agreement and the other Transaction’s documents executed and exchanged at the Closing have been changed and amended to reflect the amendments and deviations from the La Regina SPA as set forth in this Closing Memorandum.</w:t>
      </w:r>
    </w:p>
    <w:p>
      <w:pPr>
        <w:spacing w:after="0" w:line="169"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 REGINA EPA</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3.1.INTERIM ACTIONS AND DELIVERIES</w:t>
      </w:r>
    </w:p>
    <w:p>
      <w:pPr>
        <w:spacing w:after="0" w:line="247"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9"/>
          <w:szCs w:val="19"/>
          <w:i w:val="1"/>
          <w:iCs w:val="1"/>
          <w:u w:val="single" w:color="auto"/>
          <w:color w:val="auto"/>
        </w:rPr>
        <w:t>INVENTORY COUNTING</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and acknowledge that the Atlantic Seller has duly complied with the obligations set forth in Clause 8.7</w:t>
      </w:r>
    </w:p>
    <w:p>
      <w:pPr>
        <w:spacing w:after="0" w:line="4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of the La Regina EPA, respectively, by causing Atlantica to carry out an inventory counting on May 2 and 3, 2026, in accordance with the procedures and methods set forth in Schedule 8.7 to the La Regina EPA. The relevant inventory counting reports have</w:t>
      </w:r>
    </w:p>
    <w:p>
      <w:pPr>
        <w:spacing w:after="0"/>
        <w:rPr>
          <w:sz w:val="20"/>
          <w:szCs w:val="20"/>
          <w:color w:val="auto"/>
        </w:rPr>
      </w:pPr>
      <w:r>
        <w:rPr>
          <w:rFonts w:ascii="Arial" w:cs="Arial" w:eastAsia="Arial" w:hAnsi="Arial"/>
          <w:sz w:val="19"/>
          <w:szCs w:val="19"/>
          <w:color w:val="auto"/>
        </w:rPr>
        <w:t xml:space="preserve">been delivered to the Atlantica Purchaser and is attached hereto as </w:t>
      </w:r>
      <w:r>
        <w:rPr>
          <w:rFonts w:ascii="Arial" w:cs="Arial" w:eastAsia="Arial" w:hAnsi="Arial"/>
          <w:sz w:val="21"/>
          <w:szCs w:val="21"/>
          <w:u w:val="single" w:color="auto"/>
          <w:color w:val="auto"/>
        </w:rPr>
        <w:t>Annex 4</w:t>
      </w:r>
      <w:r>
        <w:rPr>
          <w:rFonts w:ascii="Arial" w:cs="Arial" w:eastAsia="Arial" w:hAnsi="Arial"/>
          <w:sz w:val="19"/>
          <w:szCs w:val="19"/>
          <w:color w:val="auto"/>
        </w:rPr>
        <w:t>.</w:t>
      </w:r>
    </w:p>
    <w:p>
      <w:pPr>
        <w:sectPr>
          <w:pgSz w:w="11900" w:h="16838" w:orient="portrait"/>
          <w:cols w:equalWidth="0" w:num="1">
            <w:col w:w="11240"/>
          </w:cols>
          <w:pgMar w:left="320" w:top="1390" w:right="339" w:bottom="1440" w:gutter="0" w:footer="0" w:header="0"/>
        </w:sectPr>
      </w:pPr>
    </w:p>
    <w:bookmarkStart w:id="56" w:name="page57"/>
    <w:bookmarkEnd w:id="56"/>
    <w:p>
      <w:pPr>
        <w:spacing w:after="0"/>
        <w:tabs>
          <w:tab w:leader="none" w:pos="66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9"/>
          <w:szCs w:val="19"/>
          <w:i w:val="1"/>
          <w:iCs w:val="1"/>
          <w:u w:val="single" w:color="auto"/>
          <w:color w:val="auto"/>
        </w:rPr>
        <w:t>FINANCIAL INFORMATION</w:t>
      </w:r>
    </w:p>
    <w:p>
      <w:pPr>
        <w:spacing w:after="0" w:line="259" w:lineRule="exact"/>
        <w:rPr>
          <w:sz w:val="20"/>
          <w:szCs w:val="20"/>
          <w:color w:val="auto"/>
        </w:rPr>
      </w:pPr>
    </w:p>
    <w:p>
      <w:pPr>
        <w:jc w:val="both"/>
        <w:ind w:left="640" w:hanging="316"/>
        <w:spacing w:after="0" w:line="275" w:lineRule="auto"/>
        <w:tabs>
          <w:tab w:leader="none" w:pos="642"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The Parties hereby agree and acknowledge that each of them has cooperated to prepare and agree the Company's financial information referred to under Clause 8.8 of the La Regina EPA. However, the figures and data of the financial information pack as set forth in </w:t>
      </w:r>
      <w:r>
        <w:rPr>
          <w:rFonts w:ascii="Arial" w:cs="Arial" w:eastAsia="Arial" w:hAnsi="Arial"/>
          <w:sz w:val="19"/>
          <w:szCs w:val="19"/>
          <w:u w:val="single" w:color="auto"/>
          <w:color w:val="auto"/>
        </w:rPr>
        <w:t>Annex 3</w:t>
      </w:r>
      <w:r>
        <w:rPr>
          <w:rFonts w:ascii="Arial" w:cs="Arial" w:eastAsia="Arial" w:hAnsi="Arial"/>
          <w:sz w:val="19"/>
          <w:szCs w:val="19"/>
          <w:color w:val="auto"/>
        </w:rPr>
        <w:t xml:space="preserve"> to this Closing Memorandum have not been delivered on the Closing Date.</w:t>
      </w:r>
    </w:p>
    <w:p>
      <w:pPr>
        <w:spacing w:after="0" w:line="176" w:lineRule="exact"/>
        <w:rPr>
          <w:rFonts w:ascii="Arial" w:cs="Arial" w:eastAsia="Arial" w:hAnsi="Arial"/>
          <w:sz w:val="19"/>
          <w:szCs w:val="19"/>
          <w:color w:val="auto"/>
        </w:rPr>
      </w:pPr>
    </w:p>
    <w:p>
      <w:pPr>
        <w:jc w:val="both"/>
        <w:ind w:left="640" w:hanging="316"/>
        <w:spacing w:after="0" w:line="261" w:lineRule="auto"/>
        <w:tabs>
          <w:tab w:leader="none" w:pos="619"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In light of the above, the Atlantica Seller hereby undertakes to procure that Atlantica delivers to the Atlantica Purchaser the above mentioned figures and data of the financial information pack as set forth in </w:t>
      </w:r>
      <w:r>
        <w:rPr>
          <w:rFonts w:ascii="Arial" w:cs="Arial" w:eastAsia="Arial" w:hAnsi="Arial"/>
          <w:sz w:val="19"/>
          <w:szCs w:val="19"/>
          <w:u w:val="single" w:color="auto"/>
          <w:color w:val="auto"/>
        </w:rPr>
        <w:t>Annex 3</w:t>
      </w:r>
      <w:r>
        <w:rPr>
          <w:rFonts w:ascii="Arial" w:cs="Arial" w:eastAsia="Arial" w:hAnsi="Arial"/>
          <w:sz w:val="19"/>
          <w:szCs w:val="19"/>
          <w:color w:val="auto"/>
        </w:rPr>
        <w:t xml:space="preserve"> to this Closing Memorandum within the timeline set forth therein. Therefore, the Parties hereby agree and acknowledge that the following Clause 8.8 (</w:t>
      </w:r>
      <w:r>
        <w:rPr>
          <w:rFonts w:ascii="Arial" w:cs="Arial" w:eastAsia="Arial" w:hAnsi="Arial"/>
          <w:sz w:val="19"/>
          <w:szCs w:val="19"/>
          <w:i w:val="1"/>
          <w:iCs w:val="1"/>
          <w:color w:val="auto"/>
        </w:rPr>
        <w:t>Outstanding Financial Information</w:t>
      </w:r>
      <w:r>
        <w:rPr>
          <w:rFonts w:ascii="Arial" w:cs="Arial" w:eastAsia="Arial" w:hAnsi="Arial"/>
          <w:sz w:val="19"/>
          <w:szCs w:val="19"/>
          <w:color w:val="auto"/>
        </w:rPr>
        <w:t>) shall be deemed added to the La Regina EPA: “</w:t>
      </w:r>
      <w:r>
        <w:rPr>
          <w:rFonts w:ascii="Arial" w:cs="Arial" w:eastAsia="Arial" w:hAnsi="Arial"/>
          <w:sz w:val="19"/>
          <w:szCs w:val="19"/>
          <w:i w:val="1"/>
          <w:iCs w:val="1"/>
          <w:color w:val="auto"/>
        </w:rPr>
        <w:t>Following the Closing, the Seller shall</w:t>
      </w:r>
      <w:r>
        <w:rPr>
          <w:rFonts w:ascii="Arial" w:cs="Arial" w:eastAsia="Arial" w:hAnsi="Arial"/>
          <w:sz w:val="19"/>
          <w:szCs w:val="19"/>
          <w:color w:val="auto"/>
        </w:rPr>
        <w:t xml:space="preserve"> </w:t>
      </w:r>
      <w:r>
        <w:rPr>
          <w:rFonts w:ascii="Arial" w:cs="Arial" w:eastAsia="Arial" w:hAnsi="Arial"/>
          <w:sz w:val="19"/>
          <w:szCs w:val="19"/>
          <w:i w:val="1"/>
          <w:iCs w:val="1"/>
          <w:color w:val="auto"/>
        </w:rPr>
        <w:t>procure that the Company delivers to the Purchaser the outstanding financial information referred to and detailed in Annex 3 (Outstanding Financial Information) to the Closing Memorandum, within the timeline set forth therein. Such financial information shall conform to the Campbell's Group reporting standards set forth in Clause 20 of the A&amp;R Operating Agreement. The Purchaser, with the support of its advisors, shall have the right to review, make appropriate enquiries and request reasonable integrations and amendments to the Seller in connection therewith.</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320" w:hanging="314"/>
        <w:spacing w:after="0"/>
        <w:tabs>
          <w:tab w:leader="none" w:pos="32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MISCELLANEA</w:t>
      </w:r>
    </w:p>
    <w:p>
      <w:pPr>
        <w:spacing w:after="0" w:line="272" w:lineRule="exact"/>
        <w:rPr>
          <w:sz w:val="20"/>
          <w:szCs w:val="20"/>
          <w:color w:val="auto"/>
        </w:rPr>
      </w:pPr>
    </w:p>
    <w:p>
      <w:pPr>
        <w:jc w:val="both"/>
        <w:ind w:left="320" w:hanging="317"/>
        <w:spacing w:after="0" w:line="288" w:lineRule="auto"/>
        <w:rPr>
          <w:sz w:val="20"/>
          <w:szCs w:val="20"/>
          <w:color w:val="auto"/>
        </w:rPr>
      </w:pPr>
      <w:r>
        <w:rPr>
          <w:rFonts w:ascii="Arial" w:cs="Arial" w:eastAsia="Arial" w:hAnsi="Arial"/>
          <w:sz w:val="19"/>
          <w:szCs w:val="19"/>
          <w:b w:val="1"/>
          <w:bCs w:val="1"/>
          <w:color w:val="auto"/>
        </w:rPr>
        <w:t>4.1.</w:t>
      </w:r>
      <w:r>
        <w:rPr>
          <w:rFonts w:ascii="Arial" w:cs="Arial" w:eastAsia="Arial" w:hAnsi="Arial"/>
          <w:sz w:val="19"/>
          <w:szCs w:val="19"/>
          <w:color w:val="auto"/>
        </w:rPr>
        <w:t>This Closing Memorandum shall constitute, where applicable, an amendment of (i) the La Regina SPA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Clause 15.8 (</w:t>
      </w:r>
      <w:r>
        <w:rPr>
          <w:rFonts w:ascii="Arial" w:cs="Arial" w:eastAsia="Arial" w:hAnsi="Arial"/>
          <w:sz w:val="21"/>
          <w:szCs w:val="21"/>
          <w:i w:val="1"/>
          <w:iCs w:val="1"/>
          <w:color w:val="auto"/>
        </w:rPr>
        <w:t>Amendments and Waiver</w:t>
      </w:r>
      <w:r>
        <w:rPr>
          <w:rFonts w:ascii="Arial" w:cs="Arial" w:eastAsia="Arial" w:hAnsi="Arial"/>
          <w:sz w:val="19"/>
          <w:szCs w:val="19"/>
          <w:color w:val="auto"/>
        </w:rPr>
        <w:t xml:space="preserve">) of the La Regina SPA, and of (ii) the Atlantica </w:t>
      </w:r>
      <w:r>
        <w:rPr>
          <w:rFonts w:ascii="Arial" w:cs="Arial" w:eastAsia="Arial" w:hAnsi="Arial"/>
          <w:sz w:val="21"/>
          <w:szCs w:val="21"/>
          <w:color w:val="auto"/>
        </w:rPr>
        <w:t>EPA in accordance with Clause</w:t>
      </w:r>
      <w:r>
        <w:rPr>
          <w:rFonts w:ascii="Arial" w:cs="Arial" w:eastAsia="Arial" w:hAnsi="Arial"/>
          <w:sz w:val="19"/>
          <w:szCs w:val="19"/>
          <w:color w:val="auto"/>
        </w:rPr>
        <w:t xml:space="preserve"> </w:t>
      </w:r>
      <w:r>
        <w:rPr>
          <w:rFonts w:ascii="Arial" w:cs="Arial" w:eastAsia="Arial" w:hAnsi="Arial"/>
          <w:sz w:val="21"/>
          <w:szCs w:val="21"/>
          <w:color w:val="auto"/>
        </w:rPr>
        <w:t>15.8 (</w:t>
      </w:r>
      <w:r>
        <w:rPr>
          <w:rFonts w:ascii="Arial" w:cs="Arial" w:eastAsia="Arial" w:hAnsi="Arial"/>
          <w:sz w:val="21"/>
          <w:szCs w:val="21"/>
          <w:i w:val="1"/>
          <w:iCs w:val="1"/>
          <w:color w:val="auto"/>
        </w:rPr>
        <w:t>Amendments and Waiver</w:t>
      </w:r>
      <w:r>
        <w:rPr>
          <w:rFonts w:ascii="Arial" w:cs="Arial" w:eastAsia="Arial" w:hAnsi="Arial"/>
          <w:sz w:val="21"/>
          <w:szCs w:val="21"/>
          <w:color w:val="auto"/>
        </w:rPr>
        <w:t xml:space="preserve">) of the Atlantica SPA, and shall constitute </w:t>
      </w:r>
      <w:r>
        <w:rPr>
          <w:rFonts w:ascii="Arial" w:cs="Arial" w:eastAsia="Arial" w:hAnsi="Arial"/>
          <w:sz w:val="19"/>
          <w:szCs w:val="19"/>
          <w:color w:val="auto"/>
        </w:rPr>
        <w:t>an integral part thereof.</w:t>
      </w:r>
    </w:p>
    <w:p>
      <w:pPr>
        <w:spacing w:after="0" w:line="179" w:lineRule="exact"/>
        <w:rPr>
          <w:sz w:val="20"/>
          <w:szCs w:val="20"/>
          <w:color w:val="auto"/>
        </w:rPr>
      </w:pPr>
    </w:p>
    <w:p>
      <w:pPr>
        <w:jc w:val="both"/>
        <w:ind w:left="320" w:hanging="317"/>
        <w:spacing w:after="0" w:line="276" w:lineRule="auto"/>
        <w:rPr>
          <w:sz w:val="20"/>
          <w:szCs w:val="20"/>
          <w:color w:val="auto"/>
        </w:rPr>
      </w:pPr>
      <w:r>
        <w:rPr>
          <w:rFonts w:ascii="Arial" w:cs="Arial" w:eastAsia="Arial" w:hAnsi="Arial"/>
          <w:sz w:val="19"/>
          <w:szCs w:val="19"/>
          <w:b w:val="1"/>
          <w:bCs w:val="1"/>
          <w:color w:val="auto"/>
        </w:rPr>
        <w:t>4.2.</w:t>
      </w:r>
      <w:r>
        <w:rPr>
          <w:rFonts w:ascii="Arial" w:cs="Arial" w:eastAsia="Arial" w:hAnsi="Arial"/>
          <w:sz w:val="19"/>
          <w:szCs w:val="19"/>
          <w:color w:val="auto"/>
        </w:rPr>
        <w:t>The entering into and the performance of this Closing Memorandum shall not constitute or imply the waiver to any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Parties arising from the La Regina SPA and the Atlantica EPA. Save as expressly set forth hereunder, the Parties mutually acknowledge that the entering into and the performance of this Closing Memorandum do not constitute a novation of their respective rights and obligations as set forth in the La Regina SPA and in the Atlantica EPA. As a consequence, all the provisions of the La Regina SPA and of the Atlantica EPA that are not amended or reinstated by this Closing Memorandum shall remain in full force and effect among the Parties according to the terms and conditions thereof.</w:t>
      </w:r>
    </w:p>
    <w:p>
      <w:pPr>
        <w:spacing w:after="0" w:line="188" w:lineRule="exact"/>
        <w:rPr>
          <w:sz w:val="20"/>
          <w:szCs w:val="20"/>
          <w:color w:val="auto"/>
        </w:rPr>
      </w:pPr>
    </w:p>
    <w:p>
      <w:pPr>
        <w:jc w:val="both"/>
        <w:ind w:left="320" w:hanging="317"/>
        <w:spacing w:after="0" w:line="276" w:lineRule="auto"/>
        <w:rPr>
          <w:sz w:val="20"/>
          <w:szCs w:val="20"/>
          <w:color w:val="auto"/>
        </w:rPr>
      </w:pPr>
      <w:r>
        <w:rPr>
          <w:rFonts w:ascii="Arial" w:cs="Arial" w:eastAsia="Arial" w:hAnsi="Arial"/>
          <w:sz w:val="19"/>
          <w:szCs w:val="19"/>
          <w:b w:val="1"/>
          <w:bCs w:val="1"/>
          <w:color w:val="auto"/>
        </w:rPr>
        <w:t>4.3.</w:t>
      </w:r>
      <w:r>
        <w:rPr>
          <w:rFonts w:ascii="Arial" w:cs="Arial" w:eastAsia="Arial" w:hAnsi="Arial"/>
          <w:sz w:val="19"/>
          <w:szCs w:val="19"/>
          <w:color w:val="auto"/>
        </w:rPr>
        <w:t>This Closing Memorandum, together with any other documents and actions referred to hereunder, constitutes the whole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the Parties and supersedes any previous arrangements or agreements between them relating to the subject matter thereof.</w:t>
      </w:r>
    </w:p>
    <w:p>
      <w:pPr>
        <w:spacing w:after="0" w:line="186" w:lineRule="exact"/>
        <w:rPr>
          <w:sz w:val="20"/>
          <w:szCs w:val="20"/>
          <w:color w:val="auto"/>
        </w:rPr>
      </w:pPr>
    </w:p>
    <w:p>
      <w:pPr>
        <w:jc w:val="both"/>
        <w:ind w:left="320" w:hanging="317"/>
        <w:spacing w:after="0" w:line="295" w:lineRule="auto"/>
        <w:rPr>
          <w:sz w:val="20"/>
          <w:szCs w:val="20"/>
          <w:color w:val="auto"/>
        </w:rPr>
      </w:pPr>
      <w:r>
        <w:rPr>
          <w:rFonts w:ascii="Arial" w:cs="Arial" w:eastAsia="Arial" w:hAnsi="Arial"/>
          <w:sz w:val="19"/>
          <w:szCs w:val="19"/>
          <w:b w:val="1"/>
          <w:bCs w:val="1"/>
          <w:color w:val="auto"/>
        </w:rPr>
        <w:t>4.4.</w:t>
      </w:r>
      <w:r>
        <w:rPr>
          <w:rFonts w:ascii="Arial" w:cs="Arial" w:eastAsia="Arial" w:hAnsi="Arial"/>
          <w:sz w:val="19"/>
          <w:szCs w:val="19"/>
          <w:color w:val="auto"/>
        </w:rPr>
        <w:t>Article 19 of the La Regina SPA shall apply to this Closing Memorandum</w:t>
      </w:r>
      <w:r>
        <w:rPr>
          <w:rFonts w:ascii="Arial" w:cs="Arial" w:eastAsia="Arial" w:hAnsi="Arial"/>
          <w:sz w:val="19"/>
          <w:szCs w:val="19"/>
          <w:b w:val="1"/>
          <w:bCs w:val="1"/>
          <w:color w:val="auto"/>
        </w:rPr>
        <w:t xml:space="preserve"> </w:t>
      </w:r>
      <w:r>
        <w:rPr>
          <w:rFonts w:ascii="Arial" w:cs="Arial" w:eastAsia="Arial" w:hAnsi="Arial"/>
          <w:sz w:val="21"/>
          <w:szCs w:val="21"/>
          <w:i w:val="1"/>
          <w:iCs w:val="1"/>
          <w:color w:val="auto"/>
        </w:rPr>
        <w:t>mutatis mutandis</w:t>
      </w:r>
      <w:r>
        <w:rPr>
          <w:rFonts w:ascii="Arial" w:cs="Arial" w:eastAsia="Arial" w:hAnsi="Arial"/>
          <w:sz w:val="19"/>
          <w:szCs w:val="19"/>
          <w:b w:val="1"/>
          <w:bCs w:val="1"/>
          <w:color w:val="auto"/>
        </w:rPr>
        <w:t xml:space="preserve"> </w:t>
      </w:r>
      <w:r>
        <w:rPr>
          <w:rFonts w:ascii="Arial" w:cs="Arial" w:eastAsia="Arial" w:hAnsi="Arial"/>
          <w:sz w:val="19"/>
          <w:szCs w:val="19"/>
          <w:color w:val="auto"/>
        </w:rPr>
        <w:t>as if they were expressly set out</w:t>
      </w:r>
      <w:r>
        <w:rPr>
          <w:rFonts w:ascii="Arial" w:cs="Arial" w:eastAsia="Arial" w:hAnsi="Arial"/>
          <w:sz w:val="19"/>
          <w:szCs w:val="19"/>
          <w:b w:val="1"/>
          <w:bCs w:val="1"/>
          <w:color w:val="auto"/>
        </w:rPr>
        <w:t xml:space="preserve"> </w:t>
      </w:r>
      <w:r>
        <w:rPr>
          <w:rFonts w:ascii="Arial" w:cs="Arial" w:eastAsia="Arial" w:hAnsi="Arial"/>
          <w:sz w:val="19"/>
          <w:szCs w:val="19"/>
          <w:color w:val="auto"/>
        </w:rPr>
        <w:t>herein.</w:t>
      </w:r>
    </w:p>
    <w:p>
      <w:pPr>
        <w:spacing w:after="0" w:line="191" w:lineRule="exact"/>
        <w:rPr>
          <w:sz w:val="20"/>
          <w:szCs w:val="20"/>
          <w:color w:val="auto"/>
        </w:rPr>
      </w:pPr>
    </w:p>
    <w:p>
      <w:pPr>
        <w:ind w:left="320" w:right="200" w:hanging="317"/>
        <w:spacing w:after="0" w:line="290" w:lineRule="auto"/>
        <w:rPr>
          <w:sz w:val="20"/>
          <w:szCs w:val="20"/>
          <w:color w:val="auto"/>
        </w:rPr>
      </w:pPr>
      <w:r>
        <w:rPr>
          <w:rFonts w:ascii="Arial" w:cs="Arial" w:eastAsia="Arial" w:hAnsi="Arial"/>
          <w:sz w:val="19"/>
          <w:szCs w:val="19"/>
          <w:b w:val="1"/>
          <w:bCs w:val="1"/>
          <w:color w:val="auto"/>
        </w:rPr>
        <w:t>4.5.</w:t>
      </w:r>
      <w:r>
        <w:rPr>
          <w:rFonts w:ascii="Arial" w:cs="Arial" w:eastAsia="Arial" w:hAnsi="Arial"/>
          <w:sz w:val="19"/>
          <w:szCs w:val="19"/>
          <w:color w:val="auto"/>
        </w:rPr>
        <w:t>The following Annexes are an integral part of this Closing Memorandum and constitute an integral and essential part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and of the La Regina SPA and of the Atlantica EPA:</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Annex 1 – First Tranche Purchase Price calculation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Annex 2 – La Regina Inventory Counting Report</w:t>
      </w:r>
    </w:p>
    <w:p>
      <w:pPr>
        <w:sectPr>
          <w:pgSz w:w="11900" w:h="16838" w:orient="portrait"/>
          <w:cols w:equalWidth="0" w:num="1">
            <w:col w:w="11240"/>
          </w:cols>
          <w:pgMar w:left="320" w:top="1390"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Annex 3 – Outstanding Financial Information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Annex 4 – Atlantica Inventory Counting Report</w:t>
      </w:r>
    </w:p>
    <w:p>
      <w:pPr>
        <w:spacing w:after="0" w:line="236" w:lineRule="exact"/>
        <w:rPr>
          <w:sz w:val="20"/>
          <w:szCs w:val="20"/>
          <w:color w:val="auto"/>
        </w:rPr>
      </w:pPr>
    </w:p>
    <w:p>
      <w:pPr>
        <w:jc w:val="right"/>
        <w:ind w:right="4099"/>
        <w:spacing w:after="0"/>
        <w:rPr>
          <w:sz w:val="20"/>
          <w:szCs w:val="20"/>
          <w:color w:val="auto"/>
        </w:rPr>
      </w:pPr>
      <w:r>
        <w:rPr>
          <w:rFonts w:ascii="Arial" w:cs="Arial" w:eastAsia="Arial" w:hAnsi="Arial"/>
          <w:sz w:val="19"/>
          <w:szCs w:val="19"/>
          <w:color w:val="auto"/>
        </w:rPr>
        <w:t xml:space="preserve">*** *** </w:t>
      </w:r>
      <w:r>
        <w:rPr>
          <w:rFonts w:ascii="Arial" w:cs="Arial" w:eastAsia="Arial" w:hAnsi="Arial"/>
          <w:sz w:val="21"/>
          <w:szCs w:val="21"/>
          <w:color w:val="auto"/>
        </w:rPr>
        <w:t>***</w:t>
      </w:r>
    </w:p>
    <w:p>
      <w:pPr>
        <w:sectPr>
          <w:pgSz w:w="11900" w:h="16838" w:orient="portrait"/>
          <w:cols w:equalWidth="0" w:num="1">
            <w:col w:w="10139"/>
          </w:cols>
          <w:pgMar w:left="320" w:top="1390" w:right="1440" w:bottom="1440" w:gutter="0" w:footer="0" w:header="0"/>
        </w:sectPr>
      </w:pPr>
    </w:p>
    <w:bookmarkStart w:id="58" w:name="page59"/>
    <w:bookmarkEnd w:id="58"/>
    <w:p>
      <w:pPr>
        <w:ind w:left="5500"/>
        <w:spacing w:after="0"/>
        <w:rPr>
          <w:sz w:val="20"/>
          <w:szCs w:val="20"/>
          <w:color w:val="auto"/>
        </w:rPr>
      </w:pPr>
      <w:r>
        <w:rPr>
          <w:rFonts w:ascii="Arial" w:cs="Arial" w:eastAsia="Arial" w:hAnsi="Arial"/>
          <w:sz w:val="21"/>
          <w:szCs w:val="21"/>
          <w:color w:val="auto"/>
        </w:rPr>
        <w:t>***</w:t>
      </w:r>
    </w:p>
    <w:p>
      <w:pPr>
        <w:spacing w:after="0" w:line="38"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Should you agree on the content of the above proposal of closing memorandum, please send us a copy of it, along with its schedules and annexes, duly signed for acceptance.</w:t>
      </w:r>
    </w:p>
    <w:p>
      <w:pPr>
        <w:sectPr>
          <w:pgSz w:w="11900" w:h="16838" w:orient="portrait"/>
          <w:cols w:equalWidth="0" w:num="1">
            <w:col w:w="10580"/>
          </w:cols>
          <w:pgMar w:left="320" w:top="1398" w:right="99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Yours </w:t>
      </w:r>
      <w:r>
        <w:rPr>
          <w:rFonts w:ascii="Arial" w:cs="Arial" w:eastAsia="Arial" w:hAnsi="Arial"/>
          <w:sz w:val="21"/>
          <w:szCs w:val="21"/>
          <w:color w:val="auto"/>
        </w:rPr>
        <w:t>sincerely,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Felice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59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Felice Romano</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Natalina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59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Natalina Romano</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Antonio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59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Evolve S.r.l.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Antonio Romano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Title: Sole Director</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Luigi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59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Felix Global Holdings, Corporation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Luigi Romano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Title: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Antonio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259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Antonio Romano</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/s/ Luigi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259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Luigi Romano</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/s/ Felice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26670</wp:posOffset>
            </wp:positionV>
            <wp:extent cx="259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F.A.L. Holdings LLC</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Name: Felice Romano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Title: Attorney-in-Fact</w:t>
      </w:r>
    </w:p>
    <w:p>
      <w:pPr>
        <w:sectPr>
          <w:pgSz w:w="11900" w:h="16838" w:orient="portrait"/>
          <w:cols w:equalWidth="0" w:num="2">
            <w:col w:w="4340" w:space="720"/>
            <w:col w:w="5520"/>
          </w:cols>
          <w:pgMar w:left="320" w:top="1398" w:right="999" w:bottom="1440" w:gutter="0" w:footer="0" w:header="0"/>
          <w:type w:val="continuous"/>
        </w:sectPr>
      </w:pPr>
    </w:p>
    <w:bookmarkStart w:id="59" w:name="page60"/>
    <w:bookmarkEnd w:id="59"/>
    <w:p>
      <w:pPr>
        <w:spacing w:after="0" w:line="197"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full, irrevocable and unconditional acceptance of your proposal.</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Miles Jason Hinderliter</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Campbell Investment Company</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By: Miles Jason Hinderliter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Title: Attorney-in-Fact</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Miles Jason Hinderliter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Campbell Soup Supply Company L.L.C.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By: Miles Jason Hinderliter</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Title: Legal representative</w:t>
      </w:r>
    </w:p>
    <w:p>
      <w:pPr>
        <w:sectPr>
          <w:pgSz w:w="11900" w:h="16838" w:orient="portrait"/>
          <w:cols w:equalWidth="0" w:num="1">
            <w:col w:w="10139"/>
          </w:cols>
          <w:pgMar w:left="320" w:top="1440"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AMENDMENT TO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CAMPBELL SOUP COMPANY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SUPPLEMENTAL EMPLOYEES’ RETIREMENT PLAN</w:t>
      </w:r>
    </w:p>
    <w:p>
      <w:pPr>
        <w:spacing w:after="0" w:line="242" w:lineRule="exact"/>
        <w:rPr>
          <w:sz w:val="20"/>
          <w:szCs w:val="20"/>
          <w:color w:val="auto"/>
        </w:rPr>
      </w:pPr>
    </w:p>
    <w:p>
      <w:pPr>
        <w:ind w:right="80"/>
        <w:spacing w:after="0" w:line="288" w:lineRule="auto"/>
        <w:rPr>
          <w:sz w:val="20"/>
          <w:szCs w:val="20"/>
          <w:color w:val="auto"/>
        </w:rPr>
      </w:pPr>
      <w:r>
        <w:rPr>
          <w:rFonts w:ascii="Arial" w:cs="Arial" w:eastAsia="Arial" w:hAnsi="Arial"/>
          <w:sz w:val="21"/>
          <w:szCs w:val="21"/>
          <w:color w:val="auto"/>
        </w:rPr>
        <w:t>THIS SECOND AMENDMENT to the Campbell Soup Company Supplemental Employees’ Retirement Plan (the “Plan”) is effective as of March 10, 2026.</w:t>
      </w:r>
    </w:p>
    <w:p>
      <w:pPr>
        <w:spacing w:after="0" w:line="162" w:lineRule="exact"/>
        <w:rPr>
          <w:sz w:val="20"/>
          <w:szCs w:val="20"/>
          <w:color w:val="auto"/>
        </w:rPr>
      </w:pPr>
    </w:p>
    <w:p>
      <w:pPr>
        <w:ind w:right="540"/>
        <w:spacing w:after="0" w:line="288" w:lineRule="auto"/>
        <w:rPr>
          <w:sz w:val="20"/>
          <w:szCs w:val="20"/>
          <w:color w:val="auto"/>
        </w:rPr>
      </w:pPr>
      <w:r>
        <w:rPr>
          <w:rFonts w:ascii="Arial" w:cs="Arial" w:eastAsia="Arial" w:hAnsi="Arial"/>
          <w:sz w:val="21"/>
          <w:szCs w:val="21"/>
          <w:color w:val="auto"/>
        </w:rPr>
        <w:t>WHEREAS, the Plan was amended and restated effective January 1, 2009, and subsequently amended thereafter effective as of December 31, 2010;</w:t>
      </w:r>
    </w:p>
    <w:p>
      <w:pPr>
        <w:spacing w:after="0" w:line="162" w:lineRule="exact"/>
        <w:rPr>
          <w:sz w:val="20"/>
          <w:szCs w:val="20"/>
          <w:color w:val="auto"/>
        </w:rPr>
      </w:pPr>
    </w:p>
    <w:p>
      <w:pPr>
        <w:spacing w:after="0" w:line="301" w:lineRule="auto"/>
        <w:rPr>
          <w:sz w:val="20"/>
          <w:szCs w:val="20"/>
          <w:color w:val="auto"/>
        </w:rPr>
      </w:pPr>
      <w:r>
        <w:rPr>
          <w:rFonts w:ascii="Arial" w:cs="Arial" w:eastAsia="Arial" w:hAnsi="Arial"/>
          <w:sz w:val="21"/>
          <w:szCs w:val="21"/>
          <w:color w:val="auto"/>
        </w:rPr>
        <w:t>WHEREAS, Section 8 gives the Company (now known as The Campbell’s Company) the authority to amend the Plan at any time.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NOW, THEREFORE, the Plan is amended, effective as of March 10, 2026, as follows:</w:t>
      </w:r>
    </w:p>
    <w:p>
      <w:pPr>
        <w:spacing w:after="0" w:line="249"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Section 2 is hereby amended to add new Sections 2(c) and (d) at the end to read as follows:</w:t>
      </w:r>
    </w:p>
    <w:p>
      <w:pPr>
        <w:spacing w:after="0" w:line="248" w:lineRule="exact"/>
        <w:rPr>
          <w:rFonts w:ascii="Arial" w:cs="Arial" w:eastAsia="Arial" w:hAnsi="Arial"/>
          <w:sz w:val="21"/>
          <w:szCs w:val="21"/>
          <w:color w:val="auto"/>
        </w:rPr>
      </w:pPr>
    </w:p>
    <w:p>
      <w:pPr>
        <w:ind w:left="960" w:right="100"/>
        <w:spacing w:after="0" w:line="258" w:lineRule="auto"/>
        <w:tabs>
          <w:tab w:leader="none" w:pos="1266"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VERP Benefits</w:t>
      </w:r>
      <w:r>
        <w:rPr>
          <w:rFonts w:ascii="Arial" w:cs="Arial" w:eastAsia="Arial" w:hAnsi="Arial"/>
          <w:sz w:val="21"/>
          <w:szCs w:val="21"/>
          <w:color w:val="auto"/>
        </w:rPr>
        <w:t>. Participants who are eligible to retire and elect to terminate employment on a separation date designated by the Company under the Campbell’s Company 2026 Voluntary Early Retirement Program (the “VERP”) are eligible to receive additional VERP benefits under the Pension Plan and if applicable, the Plan, notwithstanding any provision in the Pension Plan or the Plan to the contrary. Benefits under the VERP are in addition to any other benefits to which the Participant is entitled under the Plan and will be paid at the same time and in the same form as otherwise determined in accordance with the applicable provisions of the Plan.</w:t>
      </w:r>
    </w:p>
    <w:p>
      <w:pPr>
        <w:spacing w:after="0" w:line="196" w:lineRule="exact"/>
        <w:rPr>
          <w:rFonts w:ascii="Arial" w:cs="Arial" w:eastAsia="Arial" w:hAnsi="Arial"/>
          <w:sz w:val="21"/>
          <w:szCs w:val="21"/>
          <w:color w:val="auto"/>
        </w:rPr>
      </w:pPr>
    </w:p>
    <w:p>
      <w:pPr>
        <w:ind w:left="960"/>
        <w:spacing w:after="0" w:line="258" w:lineRule="auto"/>
        <w:tabs>
          <w:tab w:leader="none" w:pos="1278"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Termination of Service Credit and SERP Benefits</w:t>
      </w:r>
      <w:r>
        <w:rPr>
          <w:rFonts w:ascii="Arial" w:cs="Arial" w:eastAsia="Arial" w:hAnsi="Arial"/>
          <w:sz w:val="21"/>
          <w:szCs w:val="21"/>
          <w:color w:val="auto"/>
        </w:rPr>
        <w:t>. All Service Credit under Section 4(b) of the Plan and accrual of any future SERP Benefits as determined under Section 5 of the Plan shall cease as of July 31, 2028 for any service performed thereafter for those Participants who (i) participate in the Pension Plan and (ii) also cease Pay Credit (as defined under the Pension Plan) accruals in the Pension Plan as of July 31, 2028. Notwithstanding any provision in this Plan to the contrary, all Participants who terminate employment prior to August 1, 2028 shall have their SERP Benefits determined in accordance with Section 5 of the Plan and those Participants employed on or after August 1, 2028 shall have any 2028 SERP Benefits determined in accordance with Section 5 of the Plan based on such Participant’s compensation received for the period of January 1, 2028 through July 31, 2028, as reasonably determined by the Committee.</w:t>
      </w:r>
    </w:p>
    <w:p>
      <w:pPr>
        <w:sectPr>
          <w:pgSz w:w="11900" w:h="16838" w:orient="portrait"/>
          <w:cols w:equalWidth="0" w:num="1">
            <w:col w:w="11240"/>
          </w:cols>
          <w:pgMar w:left="320" w:top="119" w:right="339" w:bottom="1440" w:gutter="0" w:footer="0" w:header="0"/>
        </w:sectPr>
      </w:pPr>
    </w:p>
    <w:bookmarkStart w:id="61" w:name="page62"/>
    <w:bookmarkEnd w:id="61"/>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this instrument has been executed on 29 of April, 2026.</w:t>
      </w:r>
    </w:p>
    <w:p>
      <w:pPr>
        <w:spacing w:after="0" w:line="249"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The Campbell’s Company</w:t>
      </w:r>
    </w:p>
    <w:p>
      <w:pPr>
        <w:spacing w:after="0" w:line="249"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By: /s/ Diane Johnson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-9525</wp:posOffset>
            </wp:positionV>
            <wp:extent cx="18180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18"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Diane Johnson May</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Executive Vice President and Chief People</w:t>
      </w:r>
    </w:p>
    <w:p>
      <w:pPr>
        <w:spacing w:after="0" w:line="10"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and Culture Officer</w:t>
      </w:r>
    </w:p>
    <w:p>
      <w:pPr>
        <w:sectPr>
          <w:pgSz w:w="11900" w:h="16838" w:orient="portrait"/>
          <w:cols w:equalWidth="0" w:num="1">
            <w:col w:w="10139"/>
          </w:cols>
          <w:pgMar w:left="320" w:top="144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14605</wp:posOffset>
            </wp:positionV>
            <wp:extent cx="3180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40" w:space="360"/>
            <w:col w:w="5740"/>
          </w:cols>
          <w:pgMar w:left="320" w:top="874" w:right="33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164" w:lineRule="exact"/>
        <w:rPr>
          <w:sz w:val="20"/>
          <w:szCs w:val="20"/>
          <w:color w:val="auto"/>
        </w:rPr>
      </w:pPr>
    </w:p>
    <w:p>
      <w:pPr>
        <w:ind w:left="380" w:hanging="175"/>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Todd E. Cunfer</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Todd E. Cunfer</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46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May 3, 2026 (the “Report”), I, Mick J. Beekhuizen,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14605</wp:posOffset>
            </wp:positionV>
            <wp:extent cx="3155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5060" w:space="36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30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May 3, 2026 (the “Report”), I, Todd E. Cunfer,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E. Cunfer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2"/>
    </w:lvl>
  </w:abstractNum>
  <w:abstractNum w:abstractNumId="8">
    <w:nsid w:val="8138641"/>
    <w:multiLevelType w:val="hybridMultilevel"/>
    <w:lvl w:ilvl="0">
      <w:lvlJc w:val="left"/>
      <w:lvlText w:val="%1."/>
      <w:numFmt w:val="decimal"/>
      <w:start w:val="8"/>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7"/>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5"/>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lvl w:ilvl="1">
      <w:lvlJc w:val="left"/>
      <w:lvlText w:val="%2"/>
      <w:numFmt w:val="decimal"/>
      <w:start w:val="104"/>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lvl w:ilvl="1">
      <w:lvlJc w:val="left"/>
      <w:lvlText w:val="%2."/>
      <w:numFmt w:val="lowerRoman"/>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8"/>
    </w:lvl>
  </w:abstractNum>
  <w:abstractNum w:abstractNumId="42">
    <w:nsid w:val="6DE91B18"/>
    <w:multiLevelType w:val="hybridMultilevel"/>
    <w:lvl w:ilvl="0">
      <w:lvlJc w:val="left"/>
      <w:lvlText w:val="(%1)"/>
      <w:numFmt w:val="lowerLetter"/>
      <w:start w:val="13"/>
    </w:lvl>
  </w:abstractNum>
  <w:abstractNum w:abstractNumId="43">
    <w:nsid w:val="38437FDB"/>
    <w:multiLevelType w:val="hybridMultilevel"/>
    <w:lvl w:ilvl="0">
      <w:lvlJc w:val="left"/>
      <w:lvlText w:val="%1."/>
      <w:numFmt w:val="decimal"/>
      <w:start w:val="3"/>
    </w:lvl>
  </w:abstractNum>
  <w:abstractNum w:abstractNumId="44">
    <w:nsid w:val="7644A45C"/>
    <w:multiLevelType w:val="hybridMultilevel"/>
    <w:lvl w:ilvl="0">
      <w:lvlJc w:val="left"/>
      <w:lvlText w:val="%1"/>
      <w:numFmt w:val="decimal"/>
      <w:start w:val="1"/>
    </w:lvl>
    <w:lvl w:ilvl="1">
      <w:lvlJc w:val="left"/>
      <w:lvlText w:val="(%2)"/>
      <w:numFmt w:val="lowerLetter"/>
      <w:start w:val="3"/>
    </w:lvl>
  </w:abstractNum>
  <w:abstractNum w:abstractNumId="45">
    <w:nsid w:val="32FFF902"/>
    <w:multiLevelType w:val="hybridMultilevel"/>
    <w:lvl w:ilvl="0">
      <w:lvlJc w:val="left"/>
      <w:lvlText w:val="%1."/>
      <w:numFmt w:val="decimal"/>
      <w:start w:val="4"/>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2026-06-08T06:29:58Z</dcterms:created>
  <dcterms:modified xsi:type="dcterms:W3CDTF">2026-06-08T06:29:58Z</dcterms:modified>
</cp:coreProperties>
</file>