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1035" w:right="239" w:bottom="1440" w:gutter="0" w:footer="0" w:header="0"/>
        </w:sectPr>
      </w:pPr>
    </w:p>
    <w:p>
      <w:pPr>
        <w:spacing w:after="0" w:line="272" w:lineRule="exact"/>
        <w:rPr>
          <w:sz w:val="24"/>
          <w:szCs w:val="24"/>
          <w:color w:val="auto"/>
        </w:rPr>
      </w:pPr>
    </w:p>
    <w:p>
      <w:pPr>
        <w:jc w:val="center"/>
        <w:ind w:right="466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4660"/>
        <w:spacing w:after="0"/>
        <w:rPr>
          <w:sz w:val="20"/>
          <w:szCs w:val="20"/>
          <w:color w:val="auto"/>
        </w:rPr>
      </w:pPr>
      <w:r>
        <w:rPr>
          <w:rFonts w:ascii="Arial" w:cs="Arial" w:eastAsia="Arial" w:hAnsi="Arial"/>
          <w:sz w:val="18"/>
          <w:szCs w:val="18"/>
          <w:b w:val="1"/>
          <w:bCs w:val="1"/>
          <w:color w:val="auto"/>
        </w:rPr>
        <w:t>October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7510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8040" w:space="720"/>
            <w:col w:w="2660"/>
          </w:cols>
          <w:pgMar w:left="240" w:top="103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1035" w:right="239" w:bottom="1440" w:gutter="0" w:footer="0" w:header="0"/>
          <w:type w:val="continuous"/>
        </w:sectPr>
      </w:pPr>
    </w:p>
    <w:p>
      <w:pPr>
        <w:spacing w:after="0" w:line="91"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1035"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163" w:lineRule="exact"/>
        <w:rPr>
          <w:sz w:val="24"/>
          <w:szCs w:val="24"/>
          <w:color w:val="auto"/>
        </w:rPr>
      </w:pPr>
    </w:p>
    <w:p>
      <w:pPr>
        <w:sectPr>
          <w:pgSz w:w="11900" w:h="16838" w:orient="portrait"/>
          <w:cols w:equalWidth="0" w:num="2">
            <w:col w:w="6560" w:space="720"/>
            <w:col w:w="4140"/>
          </w:cols>
          <w:pgMar w:left="240" w:top="10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1035" w:right="239"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3" w:lineRule="exact"/>
        <w:rPr>
          <w:sz w:val="24"/>
          <w:szCs w:val="24"/>
          <w:color w:val="auto"/>
        </w:rPr>
      </w:pPr>
    </w:p>
    <w:p>
      <w:pPr>
        <w:ind w:left="1580"/>
        <w:spacing w:after="0"/>
        <w:tabs>
          <w:tab w:leader="none" w:pos="3840" w:val="left"/>
        </w:tabs>
        <w:rPr>
          <w:sz w:val="20"/>
          <w:szCs w:val="20"/>
          <w:color w:val="auto"/>
        </w:rPr>
      </w:pP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67" w:lineRule="exact"/>
        <w:rPr>
          <w:sz w:val="24"/>
          <w:szCs w:val="24"/>
          <w:color w:val="auto"/>
        </w:rPr>
      </w:pPr>
    </w:p>
    <w:p>
      <w:pPr>
        <w:sectPr>
          <w:pgSz w:w="11900" w:h="16838" w:orient="portrait"/>
          <w:cols w:equalWidth="0" w:num="2">
            <w:col w:w="3020" w:space="480"/>
            <w:col w:w="7920"/>
          </w:cols>
          <w:pgMar w:left="240" w:top="103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6"/>
          <w:szCs w:val="16"/>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3" w:lineRule="exact"/>
        <w:rPr>
          <w:sz w:val="24"/>
          <w:szCs w:val="24"/>
          <w:color w:val="auto"/>
        </w:rPr>
      </w:pPr>
    </w:p>
    <w:p>
      <w:pPr>
        <w:sectPr>
          <w:pgSz w:w="11900" w:h="16838" w:orient="portrait"/>
          <w:cols w:equalWidth="0" w:num="3">
            <w:col w:w="4820" w:space="720"/>
            <w:col w:w="1880" w:space="720"/>
            <w:col w:w="3280"/>
          </w:cols>
          <w:pgMar w:left="240" w:top="10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1480" w:type="dxa"/>
        <w:tblCellMar>
          <w:top w:w="0" w:type="dxa"/>
          <w:left w:w="0" w:type="dxa"/>
          <w:bottom w:w="0" w:type="dxa"/>
          <w:right w:w="0" w:type="dxa"/>
        </w:tblCellMar>
      </w:tblPr>
      <w:tr>
        <w:trPr>
          <w:trHeight w:val="324"/>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13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44"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There were 301,655,347 shares of capital stock outstanding as of November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60" w:type="dxa"/>
            <w:vAlign w:val="bottom"/>
            <w:gridSpan w:val="3"/>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7"/>
                <w:szCs w:val="17"/>
                <w:color w:val="auto"/>
              </w:rPr>
            </w:pPr>
          </w:p>
        </w:tc>
      </w:tr>
      <w:tr>
        <w:trPr>
          <w:trHeight w:val="519"/>
        </w:trPr>
        <w:tc>
          <w:tcPr>
            <w:tcW w:w="47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9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8780" w:type="dxa"/>
            <w:vAlign w:val="bottom"/>
            <w:gridSpan w:val="4"/>
          </w:tcPr>
          <w:p>
            <w:pPr>
              <w:ind w:left="70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1260" w:type="dxa"/>
            <w:vAlign w:val="bottom"/>
          </w:tcPr>
          <w:p>
            <w:pPr>
              <w:ind w:left="108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30"/>
        </w:trPr>
        <w:tc>
          <w:tcPr>
            <w:tcW w:w="8780" w:type="dxa"/>
            <w:vAlign w:val="bottom"/>
            <w:gridSpan w:val="4"/>
          </w:tcPr>
          <w:p>
            <w:pPr>
              <w:ind w:left="700"/>
              <w:spacing w:after="0"/>
              <w:rPr>
                <w:rFonts w:ascii="Arial" w:cs="Arial" w:eastAsia="Arial" w:hAnsi="Arial"/>
                <w:sz w:val="18"/>
                <w:szCs w:val="18"/>
                <w:color w:val="0000FF"/>
              </w:rPr>
            </w:pPr>
            <w:hyperlink w:anchor="page28">
              <w:r>
                <w:rPr>
                  <w:rFonts w:ascii="Arial" w:cs="Arial" w:eastAsia="Arial" w:hAnsi="Arial"/>
                  <w:sz w:val="18"/>
                  <w:szCs w:val="18"/>
                  <w:color w:val="0000FF"/>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r>
      <w:tr>
        <w:trPr>
          <w:trHeight w:val="230"/>
        </w:trPr>
        <w:tc>
          <w:tcPr>
            <w:tcW w:w="8780" w:type="dxa"/>
            <w:vAlign w:val="bottom"/>
            <w:gridSpan w:val="4"/>
          </w:tcPr>
          <w:p>
            <w:pPr>
              <w:ind w:left="700"/>
              <w:spacing w:after="0"/>
              <w:rPr>
                <w:rFonts w:ascii="Arial" w:cs="Arial" w:eastAsia="Arial" w:hAnsi="Arial"/>
                <w:sz w:val="18"/>
                <w:szCs w:val="18"/>
                <w:color w:val="0000FF"/>
              </w:rPr>
            </w:pPr>
            <w:hyperlink w:anchor="page37">
              <w:r>
                <w:rPr>
                  <w:rFonts w:ascii="Arial" w:cs="Arial" w:eastAsia="Arial" w:hAnsi="Arial"/>
                  <w:sz w:val="18"/>
                  <w:szCs w:val="18"/>
                  <w:color w:val="0000FF"/>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30"/>
        </w:trPr>
        <w:tc>
          <w:tcPr>
            <w:tcW w:w="8780" w:type="dxa"/>
            <w:vAlign w:val="bottom"/>
            <w:gridSpan w:val="4"/>
          </w:tcPr>
          <w:p>
            <w:pPr>
              <w:ind w:left="700"/>
              <w:spacing w:after="0"/>
              <w:rPr>
                <w:rFonts w:ascii="Arial" w:cs="Arial" w:eastAsia="Arial" w:hAnsi="Arial"/>
                <w:sz w:val="18"/>
                <w:szCs w:val="18"/>
                <w:color w:val="0000FF"/>
              </w:rPr>
            </w:pPr>
            <w:hyperlink w:anchor="page37">
              <w:r>
                <w:rPr>
                  <w:rFonts w:ascii="Arial" w:cs="Arial" w:eastAsia="Arial" w:hAnsi="Arial"/>
                  <w:sz w:val="18"/>
                  <w:szCs w:val="18"/>
                  <w:color w:val="0000FF"/>
                </w:rPr>
                <w:t>Item 4. Controls and Procedures</w:t>
              </w:r>
            </w:hyperlink>
          </w:p>
        </w:tc>
        <w:tc>
          <w:tcPr>
            <w:tcW w:w="1260" w:type="dxa"/>
            <w:vAlign w:val="bottom"/>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30"/>
        </w:trPr>
        <w:tc>
          <w:tcPr>
            <w:tcW w:w="878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 - OTHER INFORMATION</w:t>
              </w:r>
            </w:hyperlink>
          </w:p>
        </w:tc>
        <w:tc>
          <w:tcPr>
            <w:tcW w:w="1260" w:type="dxa"/>
            <w:vAlign w:val="bottom"/>
          </w:tcPr>
          <w:p>
            <w:pPr>
              <w:spacing w:after="0"/>
              <w:rPr>
                <w:sz w:val="19"/>
                <w:szCs w:val="19"/>
                <w:color w:val="auto"/>
              </w:rPr>
            </w:pPr>
          </w:p>
        </w:tc>
      </w:tr>
      <w:tr>
        <w:trPr>
          <w:trHeight w:val="230"/>
        </w:trPr>
        <w:tc>
          <w:tcPr>
            <w:tcW w:w="1220" w:type="dxa"/>
            <w:vAlign w:val="bottom"/>
          </w:tcPr>
          <w:p>
            <w:pPr>
              <w:ind w:left="700"/>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1.</w:t>
              </w:r>
            </w:hyperlink>
          </w:p>
        </w:tc>
        <w:tc>
          <w:tcPr>
            <w:tcW w:w="7560" w:type="dxa"/>
            <w:vAlign w:val="bottom"/>
            <w:gridSpan w:val="3"/>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260" w:type="dxa"/>
            <w:vAlign w:val="bottom"/>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30"/>
        </w:trPr>
        <w:tc>
          <w:tcPr>
            <w:tcW w:w="1220" w:type="dxa"/>
            <w:vAlign w:val="bottom"/>
          </w:tcPr>
          <w:p>
            <w:pPr>
              <w:ind w:left="700"/>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2.</w:t>
              </w:r>
            </w:hyperlink>
          </w:p>
        </w:tc>
        <w:tc>
          <w:tcPr>
            <w:tcW w:w="7560" w:type="dxa"/>
            <w:vAlign w:val="bottom"/>
            <w:gridSpan w:val="3"/>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30"/>
        </w:trPr>
        <w:tc>
          <w:tcPr>
            <w:tcW w:w="1220" w:type="dxa"/>
            <w:vAlign w:val="bottom"/>
          </w:tcPr>
          <w:p>
            <w:pPr>
              <w:ind w:left="700"/>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6.</w:t>
              </w:r>
            </w:hyperlink>
          </w:p>
        </w:tc>
        <w:tc>
          <w:tcPr>
            <w:tcW w:w="7560" w:type="dxa"/>
            <w:vAlign w:val="bottom"/>
            <w:gridSpan w:val="3"/>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1260" w:type="dxa"/>
            <w:vAlign w:val="bottom"/>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30"/>
        </w:trPr>
        <w:tc>
          <w:tcPr>
            <w:tcW w:w="878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INDEX TO EXHIBITS</w:t>
              </w:r>
            </w:hyperlink>
          </w:p>
        </w:tc>
        <w:tc>
          <w:tcPr>
            <w:tcW w:w="1260" w:type="dxa"/>
            <w:vAlign w:val="bottom"/>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r>
      <w:tr>
        <w:trPr>
          <w:trHeight w:val="230"/>
        </w:trPr>
        <w:tc>
          <w:tcPr>
            <w:tcW w:w="1220" w:type="dxa"/>
            <w:vAlign w:val="bottom"/>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SIGNATURES</w:t>
              </w:r>
            </w:hyperlink>
          </w:p>
        </w:tc>
        <w:tc>
          <w:tcPr>
            <w:tcW w:w="3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60" w:type="dxa"/>
            <w:vAlign w:val="bottom"/>
          </w:tcPr>
          <w:p>
            <w:pPr>
              <w:ind w:left="108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79"/>
          </w:cols>
          <w:pgMar w:left="280" w:top="878"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06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27, 2019</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October 28, 2018</w:t>
            </w:r>
          </w:p>
        </w:tc>
      </w:tr>
      <w:tr>
        <w:trPr>
          <w:trHeight w:val="275"/>
        </w:trPr>
        <w:tc>
          <w:tcPr>
            <w:tcW w:w="9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2,202</w:t>
            </w:r>
          </w:p>
        </w:tc>
      </w:tr>
      <w:tr>
        <w:trPr>
          <w:trHeight w:val="237"/>
        </w:trPr>
        <w:tc>
          <w:tcPr>
            <w:tcW w:w="9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products sold</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1,476</w:t>
            </w: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Marketing and selling expenses</w:t>
            </w:r>
          </w:p>
        </w:tc>
        <w:tc>
          <w:tcPr>
            <w:tcW w:w="3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211</w:t>
            </w: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23</w:t>
            </w: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expenses / (income)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1,876</w:t>
            </w:r>
          </w:p>
        </w:tc>
      </w:tr>
      <w:tr>
        <w:trPr>
          <w:trHeight w:val="237"/>
        </w:trPr>
        <w:tc>
          <w:tcPr>
            <w:tcW w:w="9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326</w:t>
            </w: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Taxes on earnings</w:t>
            </w:r>
          </w:p>
        </w:tc>
        <w:tc>
          <w:tcPr>
            <w:tcW w:w="3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Less: Net earnings (loss) attributable to noncontrolling interests</w:t>
            </w:r>
          </w:p>
        </w:tc>
        <w:tc>
          <w:tcPr>
            <w:tcW w:w="3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9"/>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r>
      <w:tr>
        <w:trPr>
          <w:trHeight w:val="20"/>
        </w:trPr>
        <w:tc>
          <w:tcPr>
            <w:tcW w:w="9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Per Share — Basic</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.05</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2"/>
        </w:trPr>
        <w:tc>
          <w:tcPr>
            <w:tcW w:w="9060" w:type="dxa"/>
            <w:vAlign w:val="bottom"/>
            <w:tcBorders>
              <w:bottom w:val="single" w:sz="8" w:color="auto"/>
            </w:tcBorders>
            <w:shd w:val="clear" w:color="auto" w:fill="CCEEFF"/>
          </w:tcPr>
          <w:p>
            <w:pPr>
              <w:ind w:left="20"/>
              <w:spacing w:after="0" w:line="236" w:lineRule="exact"/>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3"/>
                <w:szCs w:val="23"/>
                <w:b w:val="1"/>
                <w:bCs w:val="1"/>
                <w:color w:val="auto"/>
                <w:vertAlign w:val="superscript"/>
              </w:rPr>
              <w:t>(1)</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r>
      <w:tr>
        <w:trPr>
          <w:trHeight w:val="20"/>
        </w:trPr>
        <w:tc>
          <w:tcPr>
            <w:tcW w:w="9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6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301</w:t>
            </w:r>
          </w:p>
        </w:tc>
      </w:tr>
      <w:tr>
        <w:trPr>
          <w:trHeight w:val="27"/>
        </w:trPr>
        <w:tc>
          <w:tcPr>
            <w:tcW w:w="9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9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7"/>
        </w:trPr>
        <w:tc>
          <w:tcPr>
            <w:tcW w:w="9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r>
      <w:tr>
        <w:trPr>
          <w:trHeight w:val="264"/>
        </w:trPr>
        <w:tc>
          <w:tcPr>
            <w:tcW w:w="9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3"/>
                <w:szCs w:val="23"/>
                <w:b w:val="1"/>
                <w:bCs w:val="1"/>
                <w:color w:val="auto"/>
                <w:vertAlign w:val="superscript"/>
              </w:rPr>
              <w:t>(1)</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r>
      <w:tr>
        <w:trPr>
          <w:trHeight w:val="20"/>
        </w:trPr>
        <w:tc>
          <w:tcPr>
            <w:tcW w:w="9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9"/>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302</w:t>
            </w:r>
          </w:p>
        </w:tc>
      </w:tr>
      <w:tr>
        <w:trPr>
          <w:trHeight w:val="20"/>
        </w:trPr>
        <w:tc>
          <w:tcPr>
            <w:tcW w:w="9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8"/>
          <w:szCs w:val="18"/>
          <w:color w:val="auto"/>
        </w:rPr>
        <w:t xml:space="preserve"> Sum of the individual amounts may not add due to rounding</w:t>
      </w:r>
      <w:r>
        <w:rPr>
          <w:rFonts w:ascii="Arial" w:cs="Arial" w:eastAsia="Arial" w:hAnsi="Arial"/>
          <w:sz w:val="14"/>
          <w:szCs w:val="14"/>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20"/>
          </w:cols>
          <w:pgMar w:left="24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85"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October 27, 2019</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October 28, 2018</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Tax</w:t>
            </w:r>
          </w:p>
        </w:tc>
        <w:tc>
          <w:tcPr>
            <w:tcW w:w="7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(expense)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166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b w:val="1"/>
                <w:bCs w:val="1"/>
                <w:color w:val="auto"/>
              </w:rPr>
              <w:t>(4)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(43)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of currency translation adjustments realized upon disposal of</w:t>
            </w:r>
          </w:p>
        </w:tc>
        <w:tc>
          <w:tcPr>
            <w:tcW w:w="16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780" w:type="dxa"/>
            <w:vAlign w:val="bottom"/>
          </w:tcPr>
          <w:p>
            <w:pPr>
              <w:ind w:left="12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5780" w:type="dxa"/>
            <w:vAlign w:val="bottom"/>
          </w:tcPr>
          <w:p>
            <w:pPr>
              <w:ind w:left="12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73</w:t>
            </w:r>
          </w:p>
        </w:tc>
        <w:tc>
          <w:tcPr>
            <w:tcW w:w="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73</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5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239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7"/>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238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5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October 27, 2019</w:t>
            </w:r>
          </w:p>
        </w:tc>
        <w:tc>
          <w:tcPr>
            <w:tcW w:w="380" w:type="dxa"/>
            <w:vAlign w:val="bottom"/>
          </w:tcPr>
          <w:p>
            <w:pPr>
              <w:spacing w:after="0"/>
              <w:rPr>
                <w:sz w:val="14"/>
                <w:szCs w:val="14"/>
                <w:color w:val="auto"/>
              </w:rPr>
            </w:pPr>
          </w:p>
        </w:tc>
        <w:tc>
          <w:tcPr>
            <w:tcW w:w="1060" w:type="dxa"/>
            <w:vAlign w:val="bottom"/>
          </w:tcPr>
          <w:p>
            <w:pPr>
              <w:jc w:val="right"/>
              <w:ind w:right="331"/>
              <w:spacing w:after="0"/>
              <w:rPr>
                <w:sz w:val="20"/>
                <w:szCs w:val="20"/>
                <w:color w:val="auto"/>
              </w:rPr>
            </w:pPr>
            <w:r>
              <w:rPr>
                <w:rFonts w:ascii="Arial" w:cs="Arial" w:eastAsia="Arial" w:hAnsi="Arial"/>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61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729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887</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Current assets of discontinued operations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315</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2,053</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Plant assets, net of depreciation</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2,352</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3,988</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Other intangible assets, net of amortization</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3,383</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($72 as of 2020 and $76 as of 2019 attributable to variable interest entity)</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390</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944</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13,110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borrowings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1,631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Payable to suppliers and others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890</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567</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Dividends payable</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108</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Current liabilities of discontinued operations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183</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3,435</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Long-term debt</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6,706</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942</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737</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11,861</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b w:val="1"/>
                <w:bCs w:val="1"/>
                <w:color w:val="auto"/>
              </w:rPr>
              <w:t>Campbell Soup Company shareholders' equity</w:t>
            </w: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Preferred stock; authorized 40 shares; none issued</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356</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Earnings retained in the business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2,050</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 stock in treasury, at cost</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(126)</w:t>
            </w:r>
          </w:p>
        </w:tc>
        <w:tc>
          <w:tcPr>
            <w:tcW w:w="3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1,239</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1,249</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13,110</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10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27, 2019</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October 28, 2018</w:t>
            </w:r>
          </w:p>
        </w:tc>
      </w:tr>
      <w:tr>
        <w:trPr>
          <w:trHeight w:val="236"/>
        </w:trPr>
        <w:tc>
          <w:tcPr>
            <w:tcW w:w="9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194</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earnings to operating cash flow</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3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43"/>
        </w:trPr>
        <w:tc>
          <w:tcPr>
            <w:tcW w:w="91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Pension and postretirement benefit income</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9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122</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9100" w:type="dxa"/>
            <w:vAlign w:val="bottom"/>
          </w:tcPr>
          <w:p>
            <w:pPr>
              <w:ind w:left="320"/>
              <w:spacing w:after="0"/>
              <w:rPr>
                <w:sz w:val="20"/>
                <w:szCs w:val="20"/>
                <w:color w:val="auto"/>
              </w:rPr>
            </w:pPr>
            <w:r>
              <w:rPr>
                <w:rFonts w:ascii="Arial" w:cs="Arial" w:eastAsia="Arial" w:hAnsi="Arial"/>
                <w:sz w:val="18"/>
                <w:szCs w:val="18"/>
                <w:color w:val="auto"/>
              </w:rPr>
              <w:t>Losses on sales of businesses</w:t>
            </w: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Changes in working capital, net of divestitures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43"/>
        </w:trPr>
        <w:tc>
          <w:tcPr>
            <w:tcW w:w="91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assets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130</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37"/>
        </w:trPr>
        <w:tc>
          <w:tcPr>
            <w:tcW w:w="910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231</w:t>
            </w:r>
          </w:p>
        </w:tc>
      </w:tr>
      <w:tr>
        <w:trPr>
          <w:trHeight w:val="27"/>
        </w:trPr>
        <w:tc>
          <w:tcPr>
            <w:tcW w:w="9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Purchases of plant assets</w:t>
            </w: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route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Sales of route businesses</w:t>
            </w: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 of businesses, net of cash divested</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9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9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37"/>
        </w:trPr>
        <w:tc>
          <w:tcPr>
            <w:tcW w:w="91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1,710</w:t>
            </w: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Short-term repayments</w:t>
            </w: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(2,447)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(1,745)</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repayments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Treasury stock issuances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100" w:type="dxa"/>
            <w:vAlign w:val="bottom"/>
          </w:tcPr>
          <w:p>
            <w:pPr>
              <w:ind w:left="120"/>
              <w:spacing w:after="0"/>
              <w:rPr>
                <w:sz w:val="20"/>
                <w:szCs w:val="20"/>
                <w:color w:val="auto"/>
              </w:rPr>
            </w:pPr>
            <w:r>
              <w:rPr>
                <w:rFonts w:ascii="Arial" w:cs="Arial" w:eastAsia="Arial" w:hAnsi="Arial"/>
                <w:sz w:val="18"/>
                <w:szCs w:val="18"/>
                <w:color w:val="auto"/>
              </w:rPr>
              <w:t>Payments related to tax withholding for stock-based compensation</w:t>
            </w: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9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910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(453)</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7"/>
        </w:trPr>
        <w:tc>
          <w:tcPr>
            <w:tcW w:w="9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91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discontinued operations — beginning of period</w:t>
            </w:r>
          </w:p>
        </w:tc>
        <w:tc>
          <w:tcPr>
            <w:tcW w:w="2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177</w:t>
            </w:r>
          </w:p>
        </w:tc>
      </w:tr>
      <w:tr>
        <w:trPr>
          <w:trHeight w:val="27"/>
        </w:trPr>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discontinued operations — end of period</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37"/>
        </w:trPr>
        <w:tc>
          <w:tcPr>
            <w:tcW w:w="91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85</w:t>
            </w:r>
          </w:p>
        </w:tc>
      </w:tr>
      <w:tr>
        <w:trPr>
          <w:trHeight w:val="27"/>
        </w:trPr>
        <w:tc>
          <w:tcPr>
            <w:tcW w:w="9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9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8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right"/>
              <w:ind w:right="429"/>
              <w:spacing w:after="0"/>
              <w:rPr>
                <w:sz w:val="20"/>
                <w:szCs w:val="20"/>
                <w:color w:val="auto"/>
              </w:rPr>
            </w:pPr>
            <w:r>
              <w:rPr>
                <w:rFonts w:ascii="Arial" w:cs="Arial" w:eastAsia="Arial" w:hAnsi="Arial"/>
                <w:sz w:val="14"/>
                <w:szCs w:val="14"/>
                <w:b w:val="1"/>
                <w:bCs w:val="1"/>
                <w:color w:val="auto"/>
              </w:rPr>
              <w:t>Campbell Soup Company Shareholders’ Equity</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3"/>
          </w:tcPr>
          <w:p>
            <w:pPr>
              <w:jc w:val="right"/>
              <w:ind w:right="308"/>
              <w:spacing w:after="0" w:line="153" w:lineRule="exact"/>
              <w:rPr>
                <w:sz w:val="20"/>
                <w:szCs w:val="20"/>
                <w:color w:val="auto"/>
              </w:rPr>
            </w:pPr>
            <w:r>
              <w:rPr>
                <w:rFonts w:ascii="Arial" w:cs="Arial" w:eastAsia="Arial" w:hAnsi="Arial"/>
                <w:sz w:val="14"/>
                <w:szCs w:val="14"/>
                <w:b w:val="1"/>
                <w:bCs w:val="1"/>
                <w:color w:val="auto"/>
              </w:rPr>
              <w:t>Capital Stock</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49"/>
              <w:spacing w:after="0" w:line="153"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1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4"/>
                <w:szCs w:val="4"/>
                <w:color w:val="auto"/>
              </w:rPr>
            </w:pPr>
          </w:p>
        </w:tc>
        <w:tc>
          <w:tcPr>
            <w:tcW w:w="840" w:type="dxa"/>
            <w:vAlign w:val="bottom"/>
            <w:vMerge w:val="restart"/>
          </w:tcPr>
          <w:p>
            <w:pPr>
              <w:jc w:val="center"/>
              <w:ind w:right="29"/>
              <w:spacing w:after="0" w:line="149" w:lineRule="exact"/>
              <w:rPr>
                <w:sz w:val="20"/>
                <w:szCs w:val="20"/>
                <w:color w:val="auto"/>
              </w:rPr>
            </w:pPr>
            <w:r>
              <w:rPr>
                <w:rFonts w:ascii="Arial" w:cs="Arial" w:eastAsia="Arial" w:hAnsi="Arial"/>
                <w:sz w:val="14"/>
                <w:szCs w:val="14"/>
                <w:b w:val="1"/>
                <w:bCs w:val="1"/>
                <w:color w:val="auto"/>
                <w:w w:val="92"/>
              </w:rPr>
              <w:t>Retained in</w:t>
            </w:r>
          </w:p>
        </w:tc>
        <w:tc>
          <w:tcPr>
            <w:tcW w:w="1400" w:type="dxa"/>
            <w:vAlign w:val="bottom"/>
            <w:gridSpan w:val="2"/>
            <w:vMerge w:val="restart"/>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gridSpan w:val="2"/>
            <w:vMerge w:val="restart"/>
          </w:tcPr>
          <w:p>
            <w:pPr>
              <w:jc w:val="right"/>
              <w:ind w:right="528"/>
              <w:spacing w:after="0"/>
              <w:rPr>
                <w:sz w:val="20"/>
                <w:szCs w:val="20"/>
                <w:color w:val="auto"/>
              </w:rPr>
            </w:pPr>
            <w:r>
              <w:rPr>
                <w:rFonts w:ascii="Arial" w:cs="Arial" w:eastAsia="Arial" w:hAnsi="Arial"/>
                <w:sz w:val="14"/>
                <w:szCs w:val="14"/>
                <w:b w:val="1"/>
                <w:bCs w:val="1"/>
                <w:color w:val="auto"/>
                <w:w w:val="81"/>
              </w:rPr>
              <w:t>Issued</w:t>
            </w:r>
          </w:p>
        </w:tc>
        <w:tc>
          <w:tcPr>
            <w:tcW w:w="100" w:type="dxa"/>
            <w:vAlign w:val="bottom"/>
            <w:vMerge w:val="restart"/>
          </w:tcPr>
          <w:p>
            <w:pPr>
              <w:spacing w:after="0"/>
              <w:rPr>
                <w:sz w:val="6"/>
                <w:szCs w:val="6"/>
                <w:color w:val="auto"/>
              </w:rPr>
            </w:pPr>
          </w:p>
        </w:tc>
        <w:tc>
          <w:tcPr>
            <w:tcW w:w="158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ind w:left="120"/>
              <w:spacing w:after="0" w:line="111" w:lineRule="exact"/>
              <w:rPr>
                <w:sz w:val="20"/>
                <w:szCs w:val="20"/>
                <w:color w:val="auto"/>
              </w:rPr>
            </w:pPr>
            <w:r>
              <w:rPr>
                <w:rFonts w:ascii="Arial" w:cs="Arial" w:eastAsia="Arial" w:hAnsi="Arial"/>
                <w:sz w:val="12"/>
                <w:szCs w:val="12"/>
                <w:b w:val="1"/>
                <w:bCs w:val="1"/>
                <w:color w:val="auto"/>
              </w:rPr>
              <w:t>Paid-in</w:t>
            </w:r>
          </w:p>
        </w:tc>
        <w:tc>
          <w:tcPr>
            <w:tcW w:w="200" w:type="dxa"/>
            <w:vAlign w:val="bottom"/>
          </w:tcPr>
          <w:p>
            <w:pPr>
              <w:spacing w:after="0"/>
              <w:rPr>
                <w:sz w:val="9"/>
                <w:szCs w:val="9"/>
                <w:color w:val="auto"/>
              </w:rPr>
            </w:pPr>
          </w:p>
        </w:tc>
        <w:tc>
          <w:tcPr>
            <w:tcW w:w="840" w:type="dxa"/>
            <w:vAlign w:val="bottom"/>
          </w:tcPr>
          <w:p>
            <w:pPr>
              <w:jc w:val="center"/>
              <w:ind w:right="49"/>
              <w:spacing w:after="0" w:line="111" w:lineRule="exact"/>
              <w:rPr>
                <w:sz w:val="20"/>
                <w:szCs w:val="20"/>
                <w:color w:val="auto"/>
              </w:rPr>
            </w:pPr>
            <w:r>
              <w:rPr>
                <w:rFonts w:ascii="Arial" w:cs="Arial" w:eastAsia="Arial" w:hAnsi="Arial"/>
                <w:sz w:val="12"/>
                <w:szCs w:val="12"/>
                <w:b w:val="1"/>
                <w:bCs w:val="1"/>
                <w:color w:val="auto"/>
              </w:rPr>
              <w:t>the</w:t>
            </w:r>
          </w:p>
        </w:tc>
        <w:tc>
          <w:tcPr>
            <w:tcW w:w="220" w:type="dxa"/>
            <w:vAlign w:val="bottom"/>
          </w:tcPr>
          <w:p>
            <w:pPr>
              <w:spacing w:after="0"/>
              <w:rPr>
                <w:sz w:val="9"/>
                <w:szCs w:val="9"/>
                <w:color w:val="auto"/>
              </w:rPr>
            </w:pPr>
          </w:p>
        </w:tc>
        <w:tc>
          <w:tcPr>
            <w:tcW w:w="1180" w:type="dxa"/>
            <w:vAlign w:val="bottom"/>
          </w:tcPr>
          <w:p>
            <w:pPr>
              <w:jc w:val="center"/>
              <w:ind w:right="69"/>
              <w:spacing w:after="0" w:line="111" w:lineRule="exact"/>
              <w:rPr>
                <w:sz w:val="20"/>
                <w:szCs w:val="20"/>
                <w:color w:val="auto"/>
              </w:rPr>
            </w:pPr>
            <w:r>
              <w:rPr>
                <w:rFonts w:ascii="Arial" w:cs="Arial" w:eastAsia="Arial" w:hAnsi="Arial"/>
                <w:sz w:val="12"/>
                <w:szCs w:val="12"/>
                <w:b w:val="1"/>
                <w:bCs w:val="1"/>
                <w:color w:val="auto"/>
              </w:rPr>
              <w:t>Comprehensive</w:t>
            </w:r>
          </w:p>
        </w:tc>
        <w:tc>
          <w:tcPr>
            <w:tcW w:w="220" w:type="dxa"/>
            <w:vAlign w:val="bottom"/>
          </w:tcPr>
          <w:p>
            <w:pPr>
              <w:spacing w:after="0"/>
              <w:rPr>
                <w:sz w:val="9"/>
                <w:szCs w:val="9"/>
                <w:color w:val="auto"/>
              </w:rPr>
            </w:pPr>
          </w:p>
        </w:tc>
        <w:tc>
          <w:tcPr>
            <w:tcW w:w="1100" w:type="dxa"/>
            <w:vAlign w:val="bottom"/>
          </w:tcPr>
          <w:p>
            <w:pPr>
              <w:jc w:val="right"/>
              <w:ind w:right="69"/>
              <w:spacing w:after="0" w:line="111" w:lineRule="exact"/>
              <w:rPr>
                <w:sz w:val="20"/>
                <w:szCs w:val="20"/>
                <w:color w:val="auto"/>
              </w:rPr>
            </w:pPr>
            <w:r>
              <w:rPr>
                <w:rFonts w:ascii="Arial" w:cs="Arial" w:eastAsia="Arial" w:hAnsi="Arial"/>
                <w:sz w:val="12"/>
                <w:szCs w:val="12"/>
                <w:b w:val="1"/>
                <w:bCs w:val="1"/>
                <w:color w:val="auto"/>
              </w:rPr>
              <w:t>Noncontrolling</w:t>
            </w:r>
          </w:p>
        </w:tc>
        <w:tc>
          <w:tcPr>
            <w:tcW w:w="320" w:type="dxa"/>
            <w:vAlign w:val="bottom"/>
          </w:tcPr>
          <w:p>
            <w:pPr>
              <w:spacing w:after="0"/>
              <w:rPr>
                <w:sz w:val="9"/>
                <w:szCs w:val="9"/>
                <w:color w:val="auto"/>
              </w:rPr>
            </w:pPr>
          </w:p>
        </w:tc>
        <w:tc>
          <w:tcPr>
            <w:tcW w:w="860" w:type="dxa"/>
            <w:vAlign w:val="bottom"/>
          </w:tcPr>
          <w:p>
            <w:pPr>
              <w:jc w:val="right"/>
              <w:ind w:right="309"/>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Interests</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29,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160" w:type="dxa"/>
            <w:vAlign w:val="bottom"/>
          </w:tcPr>
          <w:p>
            <w:pPr>
              <w:ind w:left="20"/>
              <w:spacing w:after="0" w:line="137" w:lineRule="exact"/>
              <w:rPr>
                <w:sz w:val="20"/>
                <w:szCs w:val="20"/>
                <w:color w:val="auto"/>
              </w:rPr>
            </w:pPr>
            <w:r>
              <w:rPr>
                <w:rFonts w:ascii="Arial" w:cs="Arial" w:eastAsia="Arial" w:hAnsi="Arial"/>
                <w:sz w:val="14"/>
                <w:szCs w:val="14"/>
                <w:color w:val="auto"/>
              </w:rPr>
              <w:t>Cumulative effect of changes in</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accounting principle:</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2160" w:type="dxa"/>
            <w:vAlign w:val="bottom"/>
          </w:tcPr>
          <w:p>
            <w:pPr>
              <w:ind w:left="180"/>
              <w:spacing w:after="0"/>
              <w:rPr>
                <w:sz w:val="20"/>
                <w:szCs w:val="20"/>
                <w:color w:val="auto"/>
              </w:rPr>
            </w:pPr>
            <w:r>
              <w:rPr>
                <w:rFonts w:ascii="Arial" w:cs="Arial" w:eastAsia="Arial" w:hAnsi="Arial"/>
                <w:sz w:val="14"/>
                <w:szCs w:val="14"/>
                <w:color w:val="auto"/>
              </w:rPr>
              <w:t>Stranded tax effects</w:t>
            </w:r>
            <w:r>
              <w:rPr>
                <w:rFonts w:ascii="Arial" w:cs="Arial" w:eastAsia="Arial" w:hAnsi="Arial"/>
                <w:sz w:val="9"/>
                <w:szCs w:val="9"/>
                <w:color w:val="auto"/>
              </w:rPr>
              <w:t>(1)</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color w:val="auto"/>
                <w:w w:val="95"/>
              </w:rPr>
              <w:t>Other comprehensive income (loss)</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($.35 per share)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color w:val="auto"/>
              </w:rPr>
              <w:t>Treasury stock purchased</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issued under</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management incentive and stock</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 plans</w:t>
            </w:r>
          </w:p>
        </w:tc>
        <w:tc>
          <w:tcPr>
            <w:tcW w:w="6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October 28, 2018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2,295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28,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372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1,993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b w:val="1"/>
                <w:bCs w:val="1"/>
                <w:color w:val="auto"/>
              </w:rPr>
              <w:t>166</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comprehensive income</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72</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w:t>
            </w: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Dividends ($.35 per share)</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(108)</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6"/>
              </w:rPr>
              <w:t>management incentive and stock</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2"/>
                <w:szCs w:val="1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23</w:t>
            </w:r>
          </w:p>
        </w:tc>
        <w:tc>
          <w:tcPr>
            <w:tcW w:w="220" w:type="dxa"/>
            <w:vAlign w:val="bottom"/>
          </w:tcPr>
          <w:p>
            <w:pPr>
              <w:spacing w:after="0"/>
              <w:rPr>
                <w:sz w:val="12"/>
                <w:szCs w:val="12"/>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2"/>
                <w:szCs w:val="12"/>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October 27,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356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1,249</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60" w:hanging="152"/>
        <w:spacing w:after="0"/>
        <w:tabs>
          <w:tab w:leader="none" w:pos="160" w:val="left"/>
        </w:tabs>
        <w:numPr>
          <w:ilvl w:val="0"/>
          <w:numId w:val="1"/>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See Note 3 for a discussion of Discontinued Operations.</w:t>
      </w:r>
    </w:p>
    <w:p>
      <w:pPr>
        <w:spacing w:after="0" w:line="6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28, 2019, except as described below and in Note 2.</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August 2, 2020. There will be 53 weeks in 2020. There were 52 weeks in 2019.</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At the beginning of the first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we adopted new guidance on accounting for leases. We determine if an agreement is or contains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at inception by evaluating if an identified asset exists that we control for a period of time. When a lease exists, we record a right-of-use (ROU) asset and a corresponding lease liability on our Consolidated Balance Sheet. ROU assets represent our right to use an underlying asset for the lease term and the corresponding liabilities represent an obligation to make lease payments during the term. We have elected not to record leases with a term of 12 months or less on our Consolidated Balance Sheet.</w:t>
      </w:r>
    </w:p>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on our Consolidated Balance Sheet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over the lease term and is recorded in Interest expense (based on a front-loaded interest expense pattern).</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2 and 11 for additional information.</w:t>
      </w:r>
    </w:p>
    <w:p>
      <w:pPr>
        <w:spacing w:after="0" w:line="86" w:lineRule="exact"/>
        <w:rPr>
          <w:sz w:val="20"/>
          <w:szCs w:val="20"/>
          <w:color w:val="auto"/>
        </w:rPr>
      </w:pPr>
    </w:p>
    <w:p>
      <w:pPr>
        <w:ind w:left="340" w:right="8440" w:hanging="332"/>
        <w:spacing w:after="0" w:line="407" w:lineRule="auto"/>
        <w:tabs>
          <w:tab w:leader="none" w:pos="19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u w:val="single" w:color="auto"/>
          <w:color w:val="auto"/>
        </w:rPr>
        <w:t>Recently Adopted</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2014, the Financial Accounting Standards Board (FASB) issued revised guidance on the recognition of revenue from contracts with customers. We adopted the guidance in the first quarter of 2019, effective on July 30, 2018,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jc w:val="both"/>
        <w:ind w:firstLine="324"/>
        <w:spacing w:after="0" w:line="289"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most leases on the balance sheet but will recognize expenses similar to current lease accounting. The guidance is effective for fiscal years, and interim periods within those years, beginning after December 15, 2018. In July 2018, the FASB issued an adoption approach that allows entities to apply the new guidance and recognize a cumulative-effect adjustment to the opening balance of retained earnings in the period of adoption without restating prior periods. We adopted the new guidance at the beginning of 2020 using this transition method. We elected to apply a package of practical expedients, which allowed us to not reassess prior conclusions related to contracts containing leases, lease classification, and initial direct costs. Adoption of the new guidance resulted in the recognition of operating lease ROU assets of $259 and operating lease liabilities of $254, with the difference between the assets and liabilities primarily due to below market assets, deferred rent and prepaid rent. In addition, we derecognized $20 of an asset and liability associated with a build-to-suit lease arrangement. The adoption did not have a material impact on consolidated net earnings or cash flows. See Note 11 for additional information.</w:t>
      </w:r>
    </w:p>
    <w:p>
      <w:pPr>
        <w:spacing w:after="0" w:line="3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4 for additional information.</w:t>
      </w:r>
    </w:p>
    <w:p>
      <w:pPr>
        <w:spacing w:after="0" w:line="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We adopted the new guidance at the beginning of the first quarter of 2020. The adoption did not have a material impact on our consolidated financial statements.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6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9" w:name="page10"/>
    <w:bookmarkEnd w:id="9"/>
    <w:p>
      <w:pPr>
        <w:ind w:right="9600" w:firstLine="8"/>
        <w:spacing w:after="0" w:line="398"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w:t>
      </w:r>
      <w:r>
        <w:rPr>
          <w:rFonts w:ascii="Arial" w:cs="Arial" w:eastAsia="Arial" w:hAnsi="Arial"/>
          <w:sz w:val="16"/>
          <w:szCs w:val="16"/>
          <w:i w:val="1"/>
          <w:iCs w:val="1"/>
          <w:color w:val="auto"/>
        </w:rPr>
        <w:t>Discontinued Operations</w:t>
      </w:r>
    </w:p>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approximately $55, subject to customary purchase price adjustments. On June 16, 2019, we sold our Bolthouse Farms business. Proceeds were approximately $500, subject to customary purchase price adjustments.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completed the sale of our Kelsen business on September 23, 2019, for $322, subject to customary purchase price adjustments. We also signed a definitive agreement on August 1, 2019, for the sale of our Arnott’s business and certain other international operations, including the simple meals and shelf-stable beverages businesses in Australia and Asia Pacific (the Arnott's and other international operations), for $2,200, subject to customary purchase price adjustments. We expect to complete the sale in the second quarter of 2020.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Campbell International</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7"/>
              </w:rPr>
              <w:t>Campbell Fresh</w:t>
            </w:r>
          </w:p>
        </w:tc>
      </w:tr>
      <w:tr>
        <w:trPr>
          <w:trHeight w:val="196"/>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27, 2019</w:t>
            </w:r>
          </w:p>
        </w:tc>
        <w:tc>
          <w:tcPr>
            <w:tcW w:w="12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28, 2018</w:t>
            </w:r>
          </w:p>
        </w:tc>
        <w:tc>
          <w:tcPr>
            <w:tcW w:w="12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October 28, 2018</w:t>
            </w:r>
          </w:p>
        </w:tc>
      </w:tr>
      <w:tr>
        <w:trPr>
          <w:trHeight w:val="27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223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226</w:t>
            </w:r>
          </w:p>
        </w:tc>
      </w:tr>
      <w:tr>
        <w:trPr>
          <w:trHeight w:val="250"/>
        </w:trPr>
        <w:tc>
          <w:tcPr>
            <w:tcW w:w="67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r>
      <w:tr>
        <w:trPr>
          <w:trHeight w:val="270"/>
        </w:trPr>
        <w:tc>
          <w:tcPr>
            <w:tcW w:w="6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12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 / costs associated with selling the businesses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Tax benefit on loss of sale / costs associated with selling the businesses</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2019, we recorded an impairment charge of $14 on the U.S. refrigerated soup plant assets in Campbell Fresh.</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certain transition services to support the divested businesses.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assets and liabilities of the Arnott's and other international operations have been reflected as assets and liabilities of discontinued operations in the Consolidated Balance Sheet as of October 27, 2019. The assets and liabilities of Campbell International have been reflected as assets and liabilities of discontinued operations in the Consolidated Balance Sheet as of July 28, 2019. The assets and liabilities were as follows:</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October 27, 2019</w:t>
            </w:r>
          </w:p>
        </w:tc>
        <w:tc>
          <w:tcPr>
            <w:tcW w:w="20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rPr>
              <w:t>July 28, 2019</w:t>
            </w:r>
          </w:p>
        </w:tc>
      </w:tr>
      <w:tr>
        <w:trPr>
          <w:trHeight w:val="250"/>
        </w:trPr>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135</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w:t>
            </w:r>
          </w:p>
        </w:tc>
      </w:tr>
      <w:tr>
        <w:trPr>
          <w:trHeight w:val="237"/>
        </w:trPr>
        <w:tc>
          <w:tcPr>
            <w:tcW w:w="8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Plant assets, net of depreciation</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585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661</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 of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1,259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0" w:name="page11"/>
    <w:bookmarkEnd w:id="10"/>
    <w:tbl>
      <w:tblPr>
        <w:tblLayout w:type="fixed"/>
        <w:tblInd w:w="2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October 27, 2019</w:t>
            </w:r>
          </w:p>
        </w:tc>
        <w:tc>
          <w:tcPr>
            <w:tcW w:w="20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rPr>
              <w:t>July 28, 2019</w:t>
            </w:r>
          </w:p>
        </w:tc>
      </w:tr>
      <w:tr>
        <w:trPr>
          <w:trHeight w:val="256"/>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Payable to suppliers and others</w:t>
            </w: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109</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469</w:t>
            </w:r>
          </w:p>
        </w:tc>
      </w:tr>
      <w:tr>
        <w:trPr>
          <w:trHeight w:val="237"/>
        </w:trPr>
        <w:tc>
          <w:tcPr>
            <w:tcW w:w="8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r>
      <w:tr>
        <w:trPr>
          <w:trHeight w:val="237"/>
        </w:trPr>
        <w:tc>
          <w:tcPr>
            <w:tcW w:w="834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534</w:t>
            </w:r>
          </w:p>
        </w:tc>
      </w:tr>
      <w:tr>
        <w:trPr>
          <w:trHeight w:val="27"/>
        </w:trPr>
        <w:tc>
          <w:tcPr>
            <w:tcW w:w="8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depreciation and amortization, capital expenditures, sale proceeds and significant noncash operating items of Campbell Fresh and Campbell International were as follows:</w:t>
      </w:r>
    </w:p>
    <w:tbl>
      <w:tblPr>
        <w:tblLayout w:type="fixed"/>
        <w:tblInd w:w="32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96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October 27, 2019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4"/>
                <w:szCs w:val="14"/>
                <w:b w:val="1"/>
                <w:bCs w:val="1"/>
                <w:color w:val="auto"/>
                <w:w w:val="92"/>
              </w:rPr>
              <w:t>October 28, 2018</w:t>
            </w:r>
          </w:p>
        </w:tc>
      </w:tr>
      <w:tr>
        <w:trPr>
          <w:trHeight w:val="236"/>
        </w:trPr>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discontinued operating activities: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14</w:t>
            </w:r>
          </w:p>
        </w:tc>
      </w:tr>
      <w:tr>
        <w:trPr>
          <w:trHeight w:val="27"/>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r>
      <w:tr>
        <w:trPr>
          <w:trHeight w:val="243"/>
        </w:trPr>
        <w:tc>
          <w:tcPr>
            <w:tcW w:w="7960" w:type="dxa"/>
            <w:vAlign w:val="bottom"/>
          </w:tcPr>
          <w:p>
            <w:pPr>
              <w:ind w:left="120"/>
              <w:spacing w:after="0"/>
              <w:rPr>
                <w:sz w:val="20"/>
                <w:szCs w:val="20"/>
                <w:color w:val="auto"/>
              </w:rPr>
            </w:pPr>
            <w:r>
              <w:rPr>
                <w:rFonts w:ascii="Arial" w:cs="Arial" w:eastAsia="Arial" w:hAnsi="Arial"/>
                <w:sz w:val="18"/>
                <w:szCs w:val="18"/>
                <w:color w:val="auto"/>
              </w:rPr>
              <w:t>Loss on sale of discontinued operations business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97"/>
        </w:trPr>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discontinued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22</w:t>
            </w:r>
          </w:p>
        </w:tc>
      </w:tr>
      <w:tr>
        <w:trPr>
          <w:trHeight w:val="27"/>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of discontinued operations business, net of cash divested</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w:t>
      </w:r>
    </w:p>
    <w:p>
      <w:pPr>
        <w:spacing w:after="0" w:line="5" w:lineRule="exact"/>
        <w:rPr>
          <w:sz w:val="20"/>
          <w:szCs w:val="20"/>
          <w:color w:val="auto"/>
        </w:rPr>
      </w:pPr>
    </w:p>
    <w:p>
      <w:pPr>
        <w:ind w:right="1960" w:firstLine="8"/>
        <w:spacing w:after="0" w:line="286" w:lineRule="auto"/>
        <w:tabs>
          <w:tab w:leader="none" w:pos="312"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xml:space="preserve">Depreciation and amortization are no longer recognized once businesses are classified as held for sale/discontinued operations. </w:t>
      </w:r>
      <w:r>
        <w:rPr>
          <w:rFonts w:ascii="Arial" w:cs="Arial" w:eastAsia="Arial" w:hAnsi="Arial"/>
          <w:sz w:val="18"/>
          <w:szCs w:val="18"/>
          <w:i w:val="1"/>
          <w:iCs w:val="1"/>
          <w:color w:val="auto"/>
        </w:rPr>
        <w:t>Other Divestitures</w:t>
      </w:r>
    </w:p>
    <w:p>
      <w:pPr>
        <w:spacing w:after="0" w:line="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11, 2019, we completed the sale of our European chips business for £63, or $77, subject to customary purchase price adjustments. The European chips business had net sales of $25 and $28 in the three-month periods ended October 27, 2019, and October 28, 2018, respectively. Earnings were not material in either period. The results of the European chips business through the date of sale were reflected in continuing operations within the Snacks reportable segment. The pre-tax loss recognized in the quarter on the sale was $64, which included the impact of allocated goodwill and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0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 (Losses) on</w:t>
            </w:r>
          </w:p>
        </w:tc>
        <w:tc>
          <w:tcPr>
            <w:tcW w:w="12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Pension and</w:t>
            </w:r>
          </w:p>
        </w:tc>
        <w:tc>
          <w:tcPr>
            <w:tcW w:w="140" w:type="dxa"/>
            <w:vAlign w:val="bottom"/>
          </w:tcPr>
          <w:p>
            <w:pPr>
              <w:spacing w:after="0"/>
              <w:rPr>
                <w:sz w:val="14"/>
                <w:szCs w:val="14"/>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Postretirement Benefit</w:t>
            </w:r>
          </w:p>
        </w:tc>
        <w:tc>
          <w:tcPr>
            <w:tcW w:w="1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r>
              <w:rPr>
                <w:rFonts w:ascii="Arial" w:cs="Arial" w:eastAsia="Arial" w:hAnsi="Arial"/>
                <w:sz w:val="9"/>
                <w:szCs w:val="9"/>
                <w:b w:val="1"/>
                <w:bCs w:val="1"/>
                <w:color w:val="auto"/>
                <w:w w:val="91"/>
              </w:rPr>
              <w:t>(1)</w:t>
            </w:r>
          </w:p>
        </w:tc>
        <w:tc>
          <w:tcPr>
            <w:tcW w:w="10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Cash Flow Hedges</w:t>
            </w:r>
            <w:r>
              <w:rPr>
                <w:rFonts w:ascii="Arial" w:cs="Arial" w:eastAsia="Arial" w:hAnsi="Arial"/>
                <w:sz w:val="9"/>
                <w:szCs w:val="9"/>
                <w:b w:val="1"/>
                <w:bCs w:val="1"/>
                <w:color w:val="auto"/>
                <w:w w:val="90"/>
              </w:rPr>
              <w:t>(2)</w:t>
            </w: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Plan Adjustments</w:t>
            </w:r>
            <w:r>
              <w:rPr>
                <w:rFonts w:ascii="Arial" w:cs="Arial" w:eastAsia="Arial" w:hAnsi="Arial"/>
                <w:sz w:val="9"/>
                <w:szCs w:val="9"/>
                <w:b w:val="1"/>
                <w:bCs w:val="1"/>
                <w:color w:val="auto"/>
              </w:rPr>
              <w:t>(3)</w:t>
            </w:r>
          </w:p>
        </w:tc>
        <w:tc>
          <w:tcPr>
            <w:tcW w:w="140" w:type="dxa"/>
            <w:vAlign w:val="bottom"/>
          </w:tcPr>
          <w:p>
            <w:pPr>
              <w:spacing w:after="0"/>
              <w:rPr>
                <w:sz w:val="16"/>
                <w:szCs w:val="16"/>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6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29,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4"/>
        </w:trPr>
        <w:tc>
          <w:tcPr>
            <w:tcW w:w="5200" w:type="dxa"/>
            <w:vAlign w:val="bottom"/>
          </w:tcPr>
          <w:p>
            <w:pPr>
              <w:ind w:left="120"/>
              <w:spacing w:after="0"/>
              <w:rPr>
                <w:sz w:val="20"/>
                <w:szCs w:val="20"/>
                <w:color w:val="auto"/>
              </w:rPr>
            </w:pPr>
            <w:r>
              <w:rPr>
                <w:rFonts w:ascii="Arial" w:cs="Arial" w:eastAsia="Arial" w:hAnsi="Arial"/>
                <w:sz w:val="18"/>
                <w:szCs w:val="18"/>
                <w:color w:val="auto"/>
              </w:rPr>
              <w:t>Cumulative effect of a change in accounting principle</w:t>
            </w:r>
            <w:r>
              <w:rPr>
                <w:rFonts w:ascii="Arial" w:cs="Arial" w:eastAsia="Arial" w:hAnsi="Arial"/>
                <w:sz w:val="23"/>
                <w:szCs w:val="23"/>
                <w:color w:val="auto"/>
                <w:vertAlign w:val="superscript"/>
              </w:rPr>
              <w:t>(4)</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Amounts reclassified from accumulated other comprehensive</w:t>
            </w:r>
          </w:p>
        </w:tc>
        <w:tc>
          <w:tcPr>
            <w:tcW w:w="16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Arial" w:cs="Arial" w:eastAsia="Arial" w:hAnsi="Arial"/>
                <w:sz w:val="18"/>
                <w:szCs w:val="18"/>
                <w:color w:val="auto"/>
              </w:rPr>
              <w:t>Balance at October 28,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Balance at July 28,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Pr>
          <w:p>
            <w:pPr>
              <w:ind w:left="10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6"/>
        </w:trPr>
        <w:tc>
          <w:tcPr>
            <w:tcW w:w="5200" w:type="dxa"/>
            <w:vAlign w:val="bottom"/>
          </w:tcPr>
          <w:p>
            <w:pPr>
              <w:ind w:left="220"/>
              <w:spacing w:after="0" w:line="176" w:lineRule="exact"/>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60" w:type="dxa"/>
            <w:vAlign w:val="bottom"/>
          </w:tcPr>
          <w:p>
            <w:pPr>
              <w:spacing w:after="0"/>
              <w:rPr>
                <w:sz w:val="15"/>
                <w:szCs w:val="15"/>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b w:val="1"/>
                <w:bCs w:val="1"/>
                <w:color w:val="auto"/>
              </w:rPr>
              <w:t>income (loss)</w:t>
            </w:r>
            <w:r>
              <w:rPr>
                <w:rFonts w:ascii="Arial" w:cs="Arial" w:eastAsia="Arial" w:hAnsi="Arial"/>
                <w:sz w:val="23"/>
                <w:szCs w:val="23"/>
                <w:b w:val="1"/>
                <w:bCs w:val="1"/>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Balance at October 27,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ind w:left="320" w:hanging="312"/>
        <w:spacing w:after="0" w:line="218"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Included a tax expense of $4 as of October 27, 2019, July 28, 2019, October 28, 2018, and $6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a tax benefit of $1 as of October 27, 2019, $2 as of July 28, 2019, $1 as of October 28, 2018, and $4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a tax expense of $7 as of October 27, 2019, $8 as of July 28, 2019, $13 as of October 28, 2018, and $25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Reflects the adoption of the FASB guidance on stranded tax effects. See Note 2 for additional information.</w:t>
      </w:r>
    </w:p>
    <w:p>
      <w:pPr>
        <w:ind w:left="340" w:right="4380" w:hanging="332"/>
        <w:spacing w:after="0" w:line="270"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Reflects amounts reclassified from sale of businesses. See Note 3 for additional information. Amounts related to noncontrolling interests were not material.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85" w:right="29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2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00" w:type="dxa"/>
            <w:vAlign w:val="bottom"/>
            <w:vMerge w:val="restart"/>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October 27, 2019</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3"/>
              </w:rPr>
              <w:t>October 28,</w:t>
            </w:r>
          </w:p>
        </w:tc>
        <w:tc>
          <w:tcPr>
            <w:tcW w:w="80" w:type="dxa"/>
            <w:vAlign w:val="bottom"/>
          </w:tcPr>
          <w:p>
            <w:pPr>
              <w:spacing w:after="0"/>
              <w:rPr>
                <w:sz w:val="13"/>
                <w:szCs w:val="13"/>
                <w:color w:val="auto"/>
              </w:rPr>
            </w:pPr>
          </w:p>
        </w:tc>
        <w:tc>
          <w:tcPr>
            <w:tcW w:w="27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w w:val="97"/>
              </w:rPr>
              <w:t>Location of (Gain) Loss Recognized in</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20"/>
              <w:spacing w:after="0"/>
              <w:rPr>
                <w:sz w:val="20"/>
                <w:szCs w:val="20"/>
                <w:color w:val="auto"/>
              </w:rPr>
            </w:pPr>
            <w:r>
              <w:rPr>
                <w:rFonts w:ascii="Arial" w:cs="Arial" w:eastAsia="Arial" w:hAnsi="Arial"/>
                <w:sz w:val="18"/>
                <w:szCs w:val="18"/>
                <w:color w:val="auto"/>
              </w:rPr>
              <w:t>Currency translation (gains) losses realized upon disposal of businesses</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Currency translation (gains) losses realized upon disposal of businesses</w:t>
            </w:r>
          </w:p>
        </w:tc>
        <w:tc>
          <w:tcPr>
            <w:tcW w:w="2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Earnings (loss) from discontinued</w:t>
            </w: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7"/>
        </w:trPr>
        <w:tc>
          <w:tcPr>
            <w:tcW w:w="638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8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Earnings (loss) from discontinued</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43"/>
        </w:trPr>
        <w:tc>
          <w:tcPr>
            <w:tcW w:w="6380" w:type="dxa"/>
            <w:vAlign w:val="bottom"/>
            <w:gridSpan w:val="2"/>
          </w:tcPr>
          <w:p>
            <w:pPr>
              <w:ind w:left="12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(Gain) loss, net of tax</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20"/>
              <w:spacing w:after="0"/>
              <w:rPr>
                <w:sz w:val="20"/>
                <w:szCs w:val="20"/>
                <w:color w:val="auto"/>
              </w:rPr>
            </w:pPr>
            <w:r>
              <w:rPr>
                <w:rFonts w:ascii="Arial" w:cs="Arial" w:eastAsia="Arial" w:hAnsi="Arial"/>
                <w:sz w:val="18"/>
                <w:szCs w:val="18"/>
                <w:color w:val="auto"/>
              </w:rPr>
              <w:t>Prior service credit</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80" w:type="dxa"/>
            <w:vAlign w:val="bottom"/>
            <w:gridSpan w:val="3"/>
          </w:tcPr>
          <w:p>
            <w:pPr>
              <w:ind w:left="580"/>
              <w:spacing w:after="0"/>
              <w:rPr>
                <w:sz w:val="20"/>
                <w:szCs w:val="20"/>
                <w:color w:val="auto"/>
              </w:rPr>
            </w:pPr>
            <w:r>
              <w:rPr>
                <w:rFonts w:ascii="Arial" w:cs="Arial" w:eastAsia="Arial" w:hAnsi="Arial"/>
                <w:sz w:val="18"/>
                <w:szCs w:val="18"/>
                <w:color w:val="auto"/>
              </w:rPr>
              <w:t>(7)   Other expenses / (income)</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8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820" w:firstLine="8"/>
        <w:spacing w:after="0" w:line="362"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 of goodwill by business segment:</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50"/>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at July 28, 2019</w:t>
            </w:r>
          </w:p>
        </w:tc>
        <w:tc>
          <w:tcPr>
            <w:tcW w:w="50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4,017</w:t>
            </w:r>
          </w:p>
        </w:tc>
      </w:tr>
      <w:tr>
        <w:trPr>
          <w:trHeight w:val="270"/>
        </w:trPr>
        <w:tc>
          <w:tcPr>
            <w:tcW w:w="7180" w:type="dxa"/>
            <w:vAlign w:val="bottom"/>
          </w:tcPr>
          <w:p>
            <w:pPr>
              <w:spacing w:after="0"/>
              <w:rPr>
                <w:sz w:val="20"/>
                <w:szCs w:val="20"/>
                <w:color w:val="auto"/>
              </w:rPr>
            </w:pPr>
            <w:r>
              <w:rPr>
                <w:rFonts w:ascii="Arial" w:cs="Arial" w:eastAsia="Arial" w:hAnsi="Arial"/>
                <w:sz w:val="18"/>
                <w:szCs w:val="18"/>
                <w:b w:val="1"/>
                <w:bCs w:val="1"/>
                <w:color w:val="auto"/>
              </w:rPr>
              <w:t>Divestiture</w:t>
            </w:r>
            <w:r>
              <w:rPr>
                <w:rFonts w:ascii="Arial" w:cs="Arial" w:eastAsia="Arial" w:hAnsi="Arial"/>
                <w:sz w:val="23"/>
                <w:szCs w:val="23"/>
                <w:b w:val="1"/>
                <w:bCs w:val="1"/>
                <w:color w:val="auto"/>
                <w:vertAlign w:val="superscript"/>
              </w:rPr>
              <w:t>(1)</w:t>
            </w:r>
          </w:p>
        </w:tc>
        <w:tc>
          <w:tcPr>
            <w:tcW w:w="50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(34)</w:t>
            </w:r>
          </w:p>
        </w:tc>
      </w:tr>
      <w:tr>
        <w:trPr>
          <w:trHeight w:val="270"/>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w:t>
            </w:r>
          </w:p>
        </w:tc>
      </w:tr>
      <w:tr>
        <w:trPr>
          <w:trHeight w:val="237"/>
        </w:trPr>
        <w:tc>
          <w:tcPr>
            <w:tcW w:w="7180" w:type="dxa"/>
            <w:vAlign w:val="bottom"/>
          </w:tcPr>
          <w:p>
            <w:pPr>
              <w:spacing w:after="0"/>
              <w:rPr>
                <w:sz w:val="20"/>
                <w:szCs w:val="20"/>
                <w:color w:val="auto"/>
              </w:rPr>
            </w:pPr>
            <w:r>
              <w:rPr>
                <w:rFonts w:ascii="Arial" w:cs="Arial" w:eastAsia="Arial" w:hAnsi="Arial"/>
                <w:sz w:val="18"/>
                <w:szCs w:val="18"/>
                <w:b w:val="1"/>
                <w:bCs w:val="1"/>
                <w:color w:val="auto"/>
              </w:rPr>
              <w:t>Net balance at October 27, 2019</w:t>
            </w: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3,010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17145</wp:posOffset>
            </wp:positionV>
            <wp:extent cx="265874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342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w:t>
      </w:r>
    </w:p>
    <w:p>
      <w:pPr>
        <w:spacing w:after="0" w:line="70" w:lineRule="exact"/>
        <w:rPr>
          <w:sz w:val="20"/>
          <w:szCs w:val="20"/>
          <w:color w:val="auto"/>
        </w:rPr>
      </w:pPr>
    </w:p>
    <w:p>
      <w:pPr>
        <w:ind w:left="5620" w:right="2740" w:hanging="5612"/>
        <w:spacing w:after="0" w:line="962" w:lineRule="auto"/>
        <w:tabs>
          <w:tab w:leader="none" w:pos="31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On October 11, 2019, we completed the sale of our European chips business. See Note 3 for additional information.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27, 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July 28, 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vMerge w:val="restart"/>
          </w:tcPr>
          <w:p>
            <w:pPr>
              <w:spacing w:after="0"/>
              <w:rPr>
                <w:sz w:val="13"/>
                <w:szCs w:val="13"/>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w w:val="99"/>
              </w:rPr>
              <w:t>Estimated Useful Lives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0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02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to</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b w:val="1"/>
                <w:bCs w:val="1"/>
                <w:color w:val="auto"/>
              </w:rPr>
              <w:t>851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53"/>
              <w:spacing w:after="0"/>
              <w:rPr>
                <w:sz w:val="20"/>
                <w:szCs w:val="20"/>
                <w:color w:val="auto"/>
              </w:rPr>
            </w:pPr>
            <w:r>
              <w:rPr>
                <w:rFonts w:ascii="Arial" w:cs="Arial" w:eastAsia="Arial" w:hAnsi="Arial"/>
                <w:sz w:val="18"/>
                <w:szCs w:val="18"/>
                <w:b w:val="1"/>
                <w:bCs w:val="1"/>
                <w:color w:val="auto"/>
              </w:rPr>
              <w:t>772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 to</w:t>
            </w:r>
          </w:p>
        </w:tc>
        <w:tc>
          <w:tcPr>
            <w:tcW w:w="7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680" w:type="dxa"/>
            <w:vAlign w:val="bottom"/>
            <w:gridSpan w:val="2"/>
          </w:tcPr>
          <w:p>
            <w:pPr>
              <w:ind w:left="120"/>
              <w:spacing w:after="0"/>
              <w:rPr>
                <w:sz w:val="20"/>
                <w:szCs w:val="20"/>
                <w:color w:val="auto"/>
              </w:rPr>
            </w:pPr>
            <w:r>
              <w:rPr>
                <w:rFonts w:ascii="Arial" w:cs="Arial" w:eastAsia="Arial" w:hAnsi="Arial"/>
                <w:sz w:val="18"/>
                <w:szCs w:val="18"/>
                <w:color w:val="auto"/>
              </w:rPr>
              <w:t>Total amortizable intangible assets</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20"/>
              <w:spacing w:after="0"/>
              <w:rPr>
                <w:sz w:val="20"/>
                <w:szCs w:val="20"/>
                <w:color w:val="auto"/>
              </w:rPr>
            </w:pPr>
            <w:r>
              <w:rPr>
                <w:rFonts w:ascii="Arial" w:cs="Arial" w:eastAsia="Arial" w:hAnsi="Arial"/>
                <w:sz w:val="18"/>
                <w:szCs w:val="18"/>
                <w:color w:val="auto"/>
              </w:rPr>
              <w:t>Trademarks</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b w:val="1"/>
                <w:bCs w:val="1"/>
                <w:color w:val="auto"/>
              </w:rPr>
              <w:t>2,611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4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3,383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As of October 27, 2019, trademarks primarily included $1,978 associated with Snyder's-Lance, $280 associated with Pacific Foods and $292 related to </w:t>
      </w:r>
      <w:r>
        <w:rPr>
          <w:rFonts w:ascii="Arial" w:cs="Arial" w:eastAsia="Arial" w:hAnsi="Arial"/>
          <w:sz w:val="18"/>
          <w:szCs w:val="18"/>
          <w:i w:val="1"/>
          <w:iCs w:val="1"/>
          <w:color w:val="auto"/>
        </w:rPr>
        <w:t>Pace</w:t>
      </w:r>
      <w:r>
        <w:rPr>
          <w:rFonts w:ascii="Arial" w:cs="Arial" w:eastAsia="Arial" w:hAnsi="Arial"/>
          <w:sz w:val="18"/>
          <w:szCs w:val="18"/>
          <w:color w:val="auto"/>
        </w:rPr>
        <w:t>. Other amortizable intangible assets consist of recipes, non-compete agreements, trademarks, and patents.</w:t>
      </w:r>
    </w:p>
    <w:p>
      <w:pPr>
        <w:spacing w:after="0" w:line="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in Earnings from continuing operations was $11 for the three-month periods ended October 27, 2019, and October 28, 2018, respectively. Amortization expense for the next 5 years is estimated to be $45 in 2020 and $44 in 2021 through 2024.</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Amortization of intangible assets in Earnings (loss) from discontinued operations was $4 for the three-month period ended October 28, 2018. See Note 3 for additional information on discontinued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Information</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the second quarter of 2019, we had four operating segments based primarily on product type, and three reportable segments. The operating segments were Meals &amp; Beverages; U.S. snacking; international biscuits and snacks; and Campbell Fresh. The U.S. snacking operating segment was aggregated with the international biscuits and snacks operating segment to form the Global Biscuits and Snacks reportable segment. The operating segments were aggregated based on similar economic characteristics, products, production processes, types or classes of customers, distribution methods, and regulatory environment.</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segment.</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 3, we sold our businesses in Campbell Fresh during 2019. Beginning in the third quarter of 2019, we have reflected the results of these businesses as discontinued operations in the Consolidated Statements of Earnings for all periods presented. Prior periods have been adjusted to conform to the current presentation. A portion of the U.S. refrigerated soup business historically included in Campbell Fresh was retained, and is reported as part of foodservice in Meals &amp; Beverages.</w:t>
      </w:r>
    </w:p>
    <w:p>
      <w:pPr>
        <w:spacing w:after="0" w:line="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Within our international biscuits and snacks operating segment, we signed a definitive agreement for the sale of our Kelsen business on July 12, 2019, and completed the sale on September 23, 2019. We also signed a definitive agreement on August 1, 2019 for the sale of the Arnott’s and other international operations.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reportable segments are as follows: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non-dairy beverages and other simple meals;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 sauces;</w:t>
      </w:r>
      <w:r>
        <w:rPr>
          <w:rFonts w:ascii="Arial" w:cs="Arial" w:eastAsia="Arial" w:hAnsi="Arial"/>
          <w:sz w:val="18"/>
          <w:szCs w:val="18"/>
          <w:i w:val="1"/>
          <w:iCs w:val="1"/>
          <w:color w:val="auto"/>
        </w:rPr>
        <w:t xml:space="preserve"> Pace </w:t>
      </w:r>
      <w:r>
        <w:rPr>
          <w:rFonts w:ascii="Arial" w:cs="Arial" w:eastAsia="Arial" w:hAnsi="Arial"/>
          <w:sz w:val="18"/>
          <w:szCs w:val="18"/>
          <w:color w:val="auto"/>
        </w:rPr>
        <w:t>Mexican sauces;</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gravies, pasta, beans and dinner sauces;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canned poultry;</w:t>
      </w:r>
      <w:r>
        <w:rPr>
          <w:rFonts w:ascii="Arial" w:cs="Arial" w:eastAsia="Arial" w:hAnsi="Arial"/>
          <w:sz w:val="18"/>
          <w:szCs w:val="18"/>
          <w:i w:val="1"/>
          <w:iCs w:val="1"/>
          <w:color w:val="auto"/>
        </w:rPr>
        <w:t xml:space="preserve"> Plum </w:t>
      </w:r>
      <w:r>
        <w:rPr>
          <w:rFonts w:ascii="Arial" w:cs="Arial" w:eastAsia="Arial" w:hAnsi="Arial"/>
          <w:sz w:val="18"/>
          <w:szCs w:val="18"/>
          <w:color w:val="auto"/>
        </w:rPr>
        <w:t>baby food and snacks;</w:t>
      </w:r>
      <w:r>
        <w:rPr>
          <w:rFonts w:ascii="Arial" w:cs="Arial" w:eastAsia="Arial" w:hAnsi="Arial"/>
          <w:sz w:val="18"/>
          <w:szCs w:val="18"/>
          <w:i w:val="1"/>
          <w:iCs w:val="1"/>
          <w:color w:val="auto"/>
        </w:rPr>
        <w:t xml:space="preserve"> V8 </w:t>
      </w:r>
      <w:r>
        <w:rPr>
          <w:rFonts w:ascii="Arial" w:cs="Arial" w:eastAsia="Arial" w:hAnsi="Arial"/>
          <w:sz w:val="18"/>
          <w:szCs w:val="18"/>
          <w:color w:val="auto"/>
        </w:rPr>
        <w:t>juices and beverages; and</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tomato juice; and</w:t>
      </w:r>
    </w:p>
    <w:p>
      <w:pPr>
        <w:spacing w:after="0" w:line="65" w:lineRule="exact"/>
        <w:rPr>
          <w:rFonts w:ascii="Arial" w:cs="Arial" w:eastAsia="Arial" w:hAnsi="Arial"/>
          <w:sz w:val="18"/>
          <w:szCs w:val="18"/>
          <w:color w:val="auto"/>
        </w:rPr>
      </w:pPr>
    </w:p>
    <w:p>
      <w:pPr>
        <w:jc w:val="both"/>
        <w:ind w:left="660" w:hanging="328"/>
        <w:spacing w:after="0" w:line="30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 U.S. retail, including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cookies and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w:t>
      </w:r>
      <w:r>
        <w:rPr>
          <w:rFonts w:ascii="Arial" w:cs="Arial" w:eastAsia="Arial" w:hAnsi="Arial"/>
          <w:sz w:val="16"/>
          <w:szCs w:val="16"/>
          <w:i w:val="1"/>
          <w:iCs w:val="1"/>
          <w:color w:val="auto"/>
        </w:rPr>
        <w:t>Snyder’s of Hanover</w:t>
      </w:r>
      <w:r>
        <w:rPr>
          <w:rFonts w:ascii="Arial" w:cs="Arial" w:eastAsia="Arial" w:hAnsi="Arial"/>
          <w:sz w:val="16"/>
          <w:szCs w:val="16"/>
          <w:color w:val="auto"/>
        </w:rPr>
        <w:t xml:space="preserve"> pretzels, </w:t>
      </w:r>
      <w:r>
        <w:rPr>
          <w:rFonts w:ascii="Arial" w:cs="Arial" w:eastAsia="Arial" w:hAnsi="Arial"/>
          <w:sz w:val="16"/>
          <w:szCs w:val="16"/>
          <w:i w:val="1"/>
          <w:iCs w:val="1"/>
          <w:color w:val="auto"/>
        </w:rPr>
        <w:t>Lance</w:t>
      </w:r>
      <w:r>
        <w:rPr>
          <w:rFonts w:ascii="Arial" w:cs="Arial" w:eastAsia="Arial" w:hAnsi="Arial"/>
          <w:sz w:val="16"/>
          <w:szCs w:val="16"/>
          <w:color w:val="auto"/>
        </w:rPr>
        <w:t xml:space="preserve"> sandwich crackers,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and </w:t>
      </w:r>
      <w:r>
        <w:rPr>
          <w:rFonts w:ascii="Arial" w:cs="Arial" w:eastAsia="Arial" w:hAnsi="Arial"/>
          <w:sz w:val="16"/>
          <w:szCs w:val="16"/>
          <w:i w:val="1"/>
          <w:iCs w:val="1"/>
          <w:color w:val="auto"/>
        </w:rPr>
        <w:t>Kettle Brand</w:t>
      </w:r>
      <w:r>
        <w:rPr>
          <w:rFonts w:ascii="Arial" w:cs="Arial" w:eastAsia="Arial" w:hAnsi="Arial"/>
          <w:sz w:val="16"/>
          <w:szCs w:val="16"/>
          <w:color w:val="auto"/>
        </w:rPr>
        <w:t xml:space="preserve"> potato chips, </w:t>
      </w:r>
      <w:r>
        <w:rPr>
          <w:rFonts w:ascii="Arial" w:cs="Arial" w:eastAsia="Arial" w:hAnsi="Arial"/>
          <w:sz w:val="16"/>
          <w:szCs w:val="16"/>
          <w:i w:val="1"/>
          <w:iCs w:val="1"/>
          <w:color w:val="auto"/>
        </w:rPr>
        <w:t>Late July</w:t>
      </w:r>
      <w:r>
        <w:rPr>
          <w:rFonts w:ascii="Arial" w:cs="Arial" w:eastAsia="Arial" w:hAnsi="Arial"/>
          <w:sz w:val="16"/>
          <w:szCs w:val="16"/>
          <w:color w:val="auto"/>
        </w:rPr>
        <w:t xml:space="preserve"> snacks, </w:t>
      </w:r>
      <w:r>
        <w:rPr>
          <w:rFonts w:ascii="Arial" w:cs="Arial" w:eastAsia="Arial" w:hAnsi="Arial"/>
          <w:sz w:val="16"/>
          <w:szCs w:val="16"/>
          <w:i w:val="1"/>
          <w:iCs w:val="1"/>
          <w:color w:val="auto"/>
        </w:rPr>
        <w:t>Snack Factory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Pretzel Crisps, Pop Secret </w:t>
      </w:r>
      <w:r>
        <w:rPr>
          <w:rFonts w:ascii="Arial" w:cs="Arial" w:eastAsia="Arial" w:hAnsi="Arial"/>
          <w:sz w:val="16"/>
          <w:szCs w:val="16"/>
          <w:color w:val="auto"/>
        </w:rPr>
        <w:t>popcorn,</w:t>
      </w:r>
      <w:r>
        <w:rPr>
          <w:rFonts w:ascii="Arial" w:cs="Arial" w:eastAsia="Arial" w:hAnsi="Arial"/>
          <w:sz w:val="16"/>
          <w:szCs w:val="16"/>
          <w:i w:val="1"/>
          <w:iCs w:val="1"/>
          <w:color w:val="auto"/>
        </w:rPr>
        <w:t xml:space="preserve"> Emerald </w:t>
      </w:r>
      <w:r>
        <w:rPr>
          <w:rFonts w:ascii="Arial" w:cs="Arial" w:eastAsia="Arial" w:hAnsi="Arial"/>
          <w:sz w:val="16"/>
          <w:szCs w:val="16"/>
          <w:color w:val="auto"/>
        </w:rPr>
        <w:t>nuts, and other snacking products in the U.S. and Canada. The segment includes the retail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Latin America. The segment also includes the results of our European chips business, which was sold on October 11, 2019.</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4" w:name="page15"/>
    <w:bookmarkEnd w:id="14"/>
    <w:p>
      <w:pPr>
        <w:jc w:val="both"/>
        <w:ind w:right="20" w:firstLine="324"/>
        <w:spacing w:after="0" w:line="277" w:lineRule="auto"/>
        <w:rPr>
          <w:sz w:val="20"/>
          <w:szCs w:val="20"/>
          <w:color w:val="auto"/>
        </w:rPr>
      </w:pPr>
      <w:r>
        <w:rPr>
          <w:rFonts w:ascii="Arial" w:cs="Arial" w:eastAsia="Arial" w:hAnsi="Arial"/>
          <w:sz w:val="18"/>
          <w:szCs w:val="18"/>
          <w:color w:val="auto"/>
        </w:rPr>
        <w:t>Through the fourth quarter of 2019, our retail business in Latin America was managed as part of the Meals &amp; Beverages segment, Beginning in 2020, it is managed as part of the Snacks segment. Segment results have been adjusted retrospectively to reflect this change.</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27, 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October 28,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2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20" w:type="dxa"/>
            <w:vAlign w:val="bottom"/>
            <w:tcBorders>
              <w:top w:val="single" w:sz="8" w:color="auto"/>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180" w:type="dxa"/>
            <w:vAlign w:val="bottom"/>
            <w:tcBorders>
              <w:top w:val="single" w:sz="8" w:color="auto"/>
              <w:bottom w:val="single" w:sz="8" w:color="BFE4FF"/>
            </w:tcBorders>
            <w:shd w:val="clear" w:color="auto" w:fill="BFE4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tcPr>
          <w:p>
            <w:pPr>
              <w:ind w:left="100"/>
              <w:spacing w:after="0"/>
              <w:rPr>
                <w:sz w:val="20"/>
                <w:szCs w:val="20"/>
                <w:color w:val="auto"/>
              </w:rPr>
            </w:pPr>
            <w:r>
              <w:rPr>
                <w:rFonts w:ascii="Arial" w:cs="Arial" w:eastAsia="Arial" w:hAnsi="Arial"/>
                <w:sz w:val="18"/>
                <w:szCs w:val="18"/>
                <w:color w:val="auto"/>
              </w:rPr>
              <w:t>Meals &amp; Beverages</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1,194</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852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989</w:t>
            </w:r>
          </w:p>
        </w:tc>
        <w:tc>
          <w:tcPr>
            <w:tcW w:w="10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54"/>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2,183</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27, 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October 28,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520" w:type="dxa"/>
            <w:vAlign w:val="bottom"/>
          </w:tcPr>
          <w:p>
            <w:pPr>
              <w:ind w:left="140"/>
              <w:spacing w:after="0"/>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67"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unallocated items, including the loss on the sale of our European chips business of $64 in the three-month period ended October 27, 2019, and costs related to the cost savings initiatives of $8 and $27 in the three-month periods ended October 27, 2019, and October 28, 2018, respectively.</w:t>
      </w: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Note 7 for additional information.</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sales based on product categories are as follows: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27, 2019</w:t>
            </w:r>
          </w:p>
        </w:tc>
        <w:tc>
          <w:tcPr>
            <w:tcW w:w="120" w:type="dxa"/>
            <w:vAlign w:val="bottom"/>
          </w:tcPr>
          <w:p>
            <w:pPr>
              <w:spacing w:after="0"/>
              <w:rPr>
                <w:sz w:val="17"/>
                <w:szCs w:val="17"/>
                <w:color w:val="auto"/>
              </w:rPr>
            </w:pP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October 28, 2018</w:t>
            </w:r>
          </w:p>
        </w:tc>
      </w:tr>
      <w:tr>
        <w:trPr>
          <w:trHeight w:val="236"/>
        </w:trPr>
        <w:tc>
          <w:tcPr>
            <w:tcW w:w="844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16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20" w:type="dxa"/>
            <w:vAlign w:val="bottom"/>
            <w:tcBorders>
              <w:top w:val="single" w:sz="8" w:color="auto"/>
              <w:bottom w:val="single" w:sz="8" w:color="BFE4FF"/>
            </w:tcBorders>
            <w:shd w:val="clear" w:color="auto" w:fill="BFE4FF"/>
          </w:tcPr>
          <w:p>
            <w:pPr>
              <w:spacing w:after="0"/>
              <w:rPr>
                <w:sz w:val="20"/>
                <w:szCs w:val="20"/>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Soup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735</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Snacks</w:t>
            </w: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color w:val="auto"/>
              </w:rPr>
              <w:t>1,010</w:t>
            </w:r>
          </w:p>
        </w:tc>
        <w:tc>
          <w:tcPr>
            <w:tcW w:w="1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992</w:t>
            </w: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Other simple meals</w:t>
            </w:r>
          </w:p>
        </w:tc>
        <w:tc>
          <w:tcPr>
            <w:tcW w:w="140" w:type="dxa"/>
            <w:vAlign w:val="bottom"/>
          </w:tcPr>
          <w:p>
            <w:pPr>
              <w:spacing w:after="0"/>
              <w:rPr>
                <w:sz w:val="21"/>
                <w:szCs w:val="21"/>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287</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Beverages</w:t>
            </w:r>
          </w:p>
        </w:tc>
        <w:tc>
          <w:tcPr>
            <w:tcW w:w="14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188</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2,183</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2,202</w:t>
            </w:r>
          </w:p>
        </w:tc>
      </w:tr>
      <w:tr>
        <w:trPr>
          <w:trHeight w:val="27"/>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203"/>
        <w:spacing w:after="0" w:line="277" w:lineRule="auto"/>
        <w:rPr>
          <w:sz w:val="20"/>
          <w:szCs w:val="20"/>
          <w:color w:val="auto"/>
        </w:rPr>
      </w:pPr>
      <w:r>
        <w:rPr>
          <w:rFonts w:ascii="Arial" w:cs="Arial" w:eastAsia="Arial" w:hAnsi="Arial"/>
          <w:sz w:val="18"/>
          <w:szCs w:val="18"/>
          <w:color w:val="auto"/>
        </w:rPr>
        <w:t>Soup includes various soup, broths and stock products. Snacks include cookies, pretzels, crackers, popcorn, nuts, potato chips, tortilla chips and other salty snacks and baked products. Other simple meals include sauces and Plum products.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 and Cost Savings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5" w:name="page16"/>
    <w:bookmarkEnd w:id="15"/>
    <w:p>
      <w:pPr>
        <w:jc w:val="both"/>
        <w:ind w:firstLine="324"/>
        <w:spacing w:after="0" w:line="264"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 We will continue to streamline our organization and expand our zero-based budgeting efforts.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62"/>
        </w:trPr>
        <w:tc>
          <w:tcPr>
            <w:tcW w:w="6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October 27,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October 28,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74"/>
              <w:spacing w:after="0"/>
              <w:rPr>
                <w:sz w:val="20"/>
                <w:szCs w:val="20"/>
                <w:color w:val="auto"/>
              </w:rPr>
            </w:pPr>
            <w:r>
              <w:rPr>
                <w:rFonts w:ascii="Arial" w:cs="Arial" w:eastAsia="Arial" w:hAnsi="Arial"/>
                <w:sz w:val="14"/>
                <w:szCs w:val="14"/>
                <w:b w:val="1"/>
                <w:bCs w:val="1"/>
                <w:color w:val="auto"/>
                <w:w w:val="93"/>
              </w:rPr>
              <w:t>Recognized as of</w:t>
            </w:r>
          </w:p>
        </w:tc>
      </w:tr>
      <w:tr>
        <w:trPr>
          <w:trHeight w:val="188"/>
        </w:trPr>
        <w:tc>
          <w:tcPr>
            <w:tcW w:w="65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October 27, 2019</w:t>
            </w: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160" w:type="dxa"/>
            <w:vAlign w:val="bottom"/>
            <w:tcBorders>
              <w:bottom w:val="single" w:sz="8" w:color="CCEEFF"/>
            </w:tcBorders>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232</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16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271</w:t>
            </w:r>
          </w:p>
        </w:tc>
      </w:tr>
      <w:tr>
        <w:trPr>
          <w:trHeight w:val="27"/>
        </w:trPr>
        <w:tc>
          <w:tcPr>
            <w:tcW w:w="6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16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10</w:t>
            </w:r>
          </w:p>
        </w:tc>
      </w:tr>
      <w:tr>
        <w:trPr>
          <w:trHeight w:val="27"/>
        </w:trPr>
        <w:tc>
          <w:tcPr>
            <w:tcW w:w="6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160" w:type="dxa"/>
            <w:vAlign w:val="bottom"/>
            <w:tcBorders>
              <w:top w:val="single" w:sz="8" w:color="auto"/>
            </w:tcBorders>
          </w:tcPr>
          <w:p>
            <w:pPr>
              <w:jc w:val="right"/>
              <w:ind w:right="981"/>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11</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583</w:t>
            </w:r>
          </w:p>
        </w:tc>
      </w:tr>
      <w:tr>
        <w:trPr>
          <w:trHeight w:val="27"/>
        </w:trPr>
        <w:tc>
          <w:tcPr>
            <w:tcW w:w="6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6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(loss) from discontinued operations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2"/>
        </w:trPr>
        <w:tc>
          <w:tcPr>
            <w:tcW w:w="6580" w:type="dxa"/>
            <w:vAlign w:val="bottom"/>
          </w:tcPr>
          <w:p>
            <w:pPr>
              <w:spacing w:after="0"/>
              <w:rPr>
                <w:sz w:val="14"/>
                <w:szCs w:val="14"/>
                <w:color w:val="auto"/>
              </w:rPr>
            </w:pPr>
          </w:p>
        </w:tc>
        <w:tc>
          <w:tcPr>
            <w:tcW w:w="1160" w:type="dxa"/>
            <w:vAlign w:val="bottom"/>
          </w:tcPr>
          <w:p>
            <w:pPr>
              <w:jc w:val="center"/>
              <w:ind w:left="284"/>
              <w:spacing w:after="0"/>
              <w:rPr>
                <w:sz w:val="20"/>
                <w:szCs w:val="20"/>
                <w:color w:val="auto"/>
              </w:rPr>
            </w:pPr>
            <w:r>
              <w:rPr>
                <w:rFonts w:ascii="Arial" w:cs="Arial" w:eastAsia="Arial" w:hAnsi="Arial"/>
                <w:sz w:val="14"/>
                <w:szCs w:val="14"/>
                <w:b w:val="1"/>
                <w:bCs w:val="1"/>
                <w:color w:val="auto"/>
                <w:w w:val="93"/>
              </w:rPr>
              <w:t>October 27,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222"/>
              <w:spacing w:after="0"/>
              <w:rPr>
                <w:sz w:val="20"/>
                <w:szCs w:val="20"/>
                <w:color w:val="auto"/>
              </w:rPr>
            </w:pPr>
            <w:r>
              <w:rPr>
                <w:rFonts w:ascii="Arial" w:cs="Arial" w:eastAsia="Arial" w:hAnsi="Arial"/>
                <w:sz w:val="14"/>
                <w:szCs w:val="14"/>
                <w:b w:val="1"/>
                <w:bCs w:val="1"/>
                <w:color w:val="auto"/>
                <w:w w:val="93"/>
              </w:rPr>
              <w:t>October 28,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Recognized as of</w:t>
            </w:r>
          </w:p>
        </w:tc>
      </w:tr>
      <w:tr>
        <w:trPr>
          <w:trHeight w:val="188"/>
        </w:trPr>
        <w:tc>
          <w:tcPr>
            <w:tcW w:w="65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October 27, 2019</w:t>
            </w:r>
            <w:r>
              <w:rPr>
                <w:rFonts w:ascii="Arial" w:cs="Arial" w:eastAsia="Arial" w:hAnsi="Arial"/>
                <w:sz w:val="9"/>
                <w:szCs w:val="9"/>
                <w:b w:val="1"/>
                <w:bCs w:val="1"/>
                <w:color w:val="auto"/>
                <w:w w:val="94"/>
              </w:rPr>
              <w:t>(1)</w:t>
            </w:r>
          </w:p>
        </w:tc>
      </w:tr>
      <w:tr>
        <w:trPr>
          <w:trHeight w:val="23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charges</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23</w:t>
            </w:r>
          </w:p>
        </w:tc>
      </w:tr>
      <w:tr>
        <w:trPr>
          <w:trHeight w:val="27"/>
        </w:trPr>
        <w:tc>
          <w:tcPr>
            <w:tcW w:w="6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$19 of severance pay and benefits and $4 of implementation costs and other related costs.</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Recognized as of</w:t>
            </w:r>
          </w:p>
        </w:tc>
      </w:tr>
      <w:tr>
        <w:trPr>
          <w:trHeight w:val="192"/>
        </w:trPr>
        <w:tc>
          <w:tcPr>
            <w:tcW w:w="9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October 27, 2019</w:t>
            </w:r>
          </w:p>
        </w:tc>
      </w:tr>
      <w:tr>
        <w:trPr>
          <w:trHeight w:val="270"/>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208</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63</w:t>
            </w:r>
          </w:p>
        </w:tc>
      </w:tr>
      <w:tr>
        <w:trPr>
          <w:trHeight w:val="27"/>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312</w:t>
            </w:r>
          </w:p>
        </w:tc>
      </w:tr>
      <w:tr>
        <w:trPr>
          <w:trHeight w:val="264"/>
        </w:trPr>
        <w:tc>
          <w:tcPr>
            <w:tcW w:w="9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583</w:t>
            </w:r>
          </w:p>
        </w:tc>
      </w:tr>
      <w:tr>
        <w:trPr>
          <w:trHeight w:val="21"/>
        </w:trPr>
        <w:tc>
          <w:tcPr>
            <w:tcW w:w="9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$635 to $670 and we expect to incur the costs through 2021. This estimate will be updated as costs for the expanded initiatives are developed.</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$210 to $215 in severance pay and benefits; approximately $65 in asset impairment and accelerated depreciation; and approximately $360 to $390 in implementation costs and other related costs. We expect these pre-tax costs to be associated with our segments as follows: Meals &amp; Beverages - approximately 34%; Snacks - approximately 41%; and Corporate - approximately 25%.</w:t>
      </w:r>
    </w:p>
    <w:p>
      <w:pPr>
        <w:spacing w:after="0" w:line="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Of the aggregate $635 to $670 of pre-tax costs associated with continuing operations identified to date, we expect approximately $560 to $595 will be cash expenditures. In addition, we expect to invest approximately $390 in capital expenditures through 2021, of which we invested approximately $265 as of October 27, 2019. The capital expenditures primarily relate to the U.S. warehouse optimization project, implementation of an SAP enterprise-resource planning system for Snyder's-Lance, improvement of quality, safety and cost structure across the Snyder’s-Lance manufacturing network,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October 27, 2019, is as follows: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7"/>
              </w:rPr>
              <w:t>Severance Pay</w:t>
            </w:r>
          </w:p>
        </w:tc>
        <w:tc>
          <w:tcPr>
            <w:tcW w:w="10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Costs and Other</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w w:val="90"/>
              </w:rPr>
              <w:t>and Benefits</w:t>
            </w:r>
          </w:p>
        </w:tc>
        <w:tc>
          <w:tcPr>
            <w:tcW w:w="1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9"/>
                <w:szCs w:val="9"/>
                <w:b w:val="1"/>
                <w:bCs w:val="1"/>
                <w:color w:val="auto"/>
              </w:rPr>
              <w:t>(3)</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July 28, 2019</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0"/>
              <w:spacing w:after="0"/>
              <w:rPr>
                <w:sz w:val="20"/>
                <w:szCs w:val="20"/>
                <w:color w:val="auto"/>
              </w:rPr>
            </w:pPr>
            <w:r>
              <w:rPr>
                <w:rFonts w:ascii="Arial" w:cs="Arial" w:eastAsia="Arial" w:hAnsi="Arial"/>
                <w:sz w:val="18"/>
                <w:szCs w:val="18"/>
                <w:b w:val="1"/>
                <w:bCs w:val="1"/>
                <w:color w:val="auto"/>
              </w:rPr>
              <w:t>2020 charges</w:t>
            </w:r>
          </w:p>
        </w:tc>
        <w:tc>
          <w:tcPr>
            <w:tcW w:w="12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b w:val="1"/>
                <w:bCs w:val="1"/>
                <w:color w:val="auto"/>
              </w:rPr>
              <w:t>3</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2020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Accrued balance at October 27, 2019</w:t>
            </w:r>
            <w:r>
              <w:rPr>
                <w:rFonts w:ascii="Arial" w:cs="Arial" w:eastAsia="Arial" w:hAnsi="Arial"/>
                <w:sz w:val="23"/>
                <w:szCs w:val="23"/>
                <w:b w:val="1"/>
                <w:bCs w:val="1"/>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$8 of severance pay and benefits recorded in Other liabilities in the Consolidated Balance Sheet.</w:t>
      </w:r>
    </w:p>
    <w:p>
      <w:pPr>
        <w:spacing w:after="0" w:line="1" w:lineRule="exact"/>
        <w:rPr>
          <w:rFonts w:ascii="Arial" w:cs="Arial" w:eastAsia="Arial" w:hAnsi="Arial"/>
          <w:sz w:val="23"/>
          <w:szCs w:val="23"/>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$6 of severance pay and benefits recorded in Other liabilities in the Consolidated Balance Sheet.</w:t>
      </w:r>
    </w:p>
    <w:p>
      <w:pPr>
        <w:spacing w:after="0" w:line="1" w:lineRule="exact"/>
        <w:rPr>
          <w:rFonts w:ascii="Arial" w:cs="Arial" w:eastAsia="Arial" w:hAnsi="Arial"/>
          <w:sz w:val="21"/>
          <w:szCs w:val="21"/>
          <w:color w:val="auto"/>
          <w:vertAlign w:val="superscript"/>
        </w:rPr>
      </w:pPr>
    </w:p>
    <w:p>
      <w:pPr>
        <w:ind w:left="660" w:hanging="652"/>
        <w:spacing w:after="0" w:line="261" w:lineRule="auto"/>
        <w:tabs>
          <w:tab w:leader="none" w:pos="177"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reserves included in Current liabilities of discontinued operations were $1 at October 27, 2019 and July 28, 2019.</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October 27, 2019</w:t>
            </w:r>
          </w:p>
        </w:tc>
        <w:tc>
          <w:tcPr>
            <w:tcW w:w="760" w:type="dxa"/>
            <w:vAlign w:val="bottom"/>
            <w:tcBorders>
              <w:bottom w:val="single" w:sz="8" w:color="auto"/>
            </w:tcBorders>
          </w:tcPr>
          <w:p>
            <w:pPr>
              <w:spacing w:after="0"/>
              <w:rPr>
                <w:sz w:val="16"/>
                <w:szCs w:val="16"/>
                <w:color w:val="auto"/>
              </w:rPr>
            </w:pPr>
          </w:p>
        </w:tc>
      </w:tr>
      <w:tr>
        <w:trPr>
          <w:trHeight w:val="19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Pr>
          <w:p>
            <w:pPr>
              <w:spacing w:after="0"/>
              <w:rPr>
                <w:sz w:val="21"/>
                <w:szCs w:val="21"/>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210</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583</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October 27, 2019, excludes approximately 1 million stock options that would have been antidilutive. The earnings per share calculation for the three-month period ended October 28, 2018, excludes approximately 2 million stock options that would have been antidilutive.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13 for additional information.</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Pension</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Postretirement</w:t>
            </w:r>
          </w:p>
        </w:tc>
        <w:tc>
          <w:tcPr>
            <w:tcW w:w="520" w:type="dxa"/>
            <w:vAlign w:val="bottom"/>
            <w:tcBorders>
              <w:bottom w:val="single" w:sz="8" w:color="auto"/>
            </w:tcBorders>
          </w:tcPr>
          <w:p>
            <w:pPr>
              <w:spacing w:after="0"/>
              <w:rPr>
                <w:sz w:val="17"/>
                <w:szCs w:val="17"/>
                <w:color w:val="auto"/>
              </w:rPr>
            </w:pPr>
          </w:p>
        </w:tc>
      </w:tr>
      <w:tr>
        <w:trPr>
          <w:trHeight w:val="196"/>
        </w:trPr>
        <w:tc>
          <w:tcPr>
            <w:tcW w:w="66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October 27, 2019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October 28, 2018</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October 27, 2019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October 28, 2018</w:t>
            </w: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7"/>
        </w:trPr>
        <w:tc>
          <w:tcPr>
            <w:tcW w:w="6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4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gain</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Net periodic benefit expense (income)</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settlement gain of $1 resulted from the level of lump sum distributions associated with a Canadian pension plan.</w:t>
      </w:r>
    </w:p>
    <w:p>
      <w:pPr>
        <w:spacing w:after="0" w:line="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Net periodic pension benefit expense (income) associated with discontinued operations was not material for the three-month periods ended October 27, 2019, and October 28, 2018.</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lease warehouse and distribution facilities, office space, manufacturing facilities, equipment and vehicles, primarily through operating leases.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Leases recorded on our Consolidated Balance Sheet have remaining terms primarily from 1 to 16 years.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fleet leases generally include residual value guarantees that are assessed at lease inception in determining ROU assets and corresponding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other significant restrictions or covenants are included in our leases.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Three Months Ended</w:t>
            </w:r>
          </w:p>
        </w:tc>
      </w:tr>
      <w:tr>
        <w:trPr>
          <w:trHeight w:val="196"/>
        </w:trPr>
        <w:tc>
          <w:tcPr>
            <w:tcW w:w="9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October 27, 2019</w:t>
            </w: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19</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18"/>
                <w:szCs w:val="18"/>
                <w:b w:val="1"/>
                <w:bCs w:val="1"/>
                <w:color w:val="auto"/>
              </w:rPr>
              <w:t>10</w:t>
            </w:r>
          </w:p>
        </w:tc>
      </w:tr>
      <w:tr>
        <w:trPr>
          <w:trHeight w:val="27"/>
        </w:trPr>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43</w:t>
            </w:r>
          </w:p>
        </w:tc>
      </w:tr>
      <w:tr>
        <w:trPr>
          <w:trHeight w:val="264"/>
        </w:trPr>
        <w:tc>
          <w:tcPr>
            <w:tcW w:w="98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72</w:t>
            </w:r>
          </w:p>
        </w:tc>
      </w:tr>
      <w:tr>
        <w:trPr>
          <w:trHeight w:val="21"/>
        </w:trPr>
        <w:tc>
          <w:tcPr>
            <w:tcW w:w="9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55" w:lineRule="exact"/>
        <w:rPr>
          <w:sz w:val="20"/>
          <w:szCs w:val="20"/>
          <w:color w:val="auto"/>
        </w:rPr>
      </w:pPr>
    </w:p>
    <w:p>
      <w:pPr>
        <w:ind w:left="340" w:right="4600" w:hanging="332"/>
        <w:spacing w:after="0" w:line="337" w:lineRule="auto"/>
        <w:tabs>
          <w:tab w:leader="none" w:pos="32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Includes labor and other overhead included in our service contracts with embedded leases. Total lease cost includes $2 related to discontinued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The following table summarizes the lease amounts recorded in the Consolidated Balance Sheet:</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October 27, 2019</w:t>
            </w:r>
          </w:p>
        </w:tc>
      </w:tr>
      <w:tr>
        <w:trPr>
          <w:trHeight w:val="196"/>
        </w:trPr>
        <w:tc>
          <w:tcPr>
            <w:tcW w:w="8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7"/>
                <w:szCs w:val="17"/>
                <w:color w:val="auto"/>
              </w:rPr>
            </w:pPr>
          </w:p>
        </w:tc>
        <w:tc>
          <w:tcPr>
            <w:tcW w:w="980" w:type="dxa"/>
            <w:vAlign w:val="bottom"/>
          </w:tcPr>
          <w:p>
            <w:pPr>
              <w:jc w:val="right"/>
              <w:ind w:right="291"/>
              <w:spacing w:after="0"/>
              <w:rPr>
                <w:sz w:val="20"/>
                <w:szCs w:val="20"/>
                <w:color w:val="auto"/>
              </w:rPr>
            </w:pPr>
            <w:r>
              <w:rPr>
                <w:rFonts w:ascii="Arial" w:cs="Arial" w:eastAsia="Arial" w:hAnsi="Arial"/>
                <w:sz w:val="14"/>
                <w:szCs w:val="14"/>
                <w:b w:val="1"/>
                <w:bCs w:val="1"/>
                <w:color w:val="auto"/>
              </w:rPr>
              <w:t>Finance</w:t>
            </w:r>
          </w:p>
        </w:tc>
      </w:tr>
      <w:tr>
        <w:trPr>
          <w:trHeight w:val="236"/>
        </w:trPr>
        <w:tc>
          <w:tcPr>
            <w:tcW w:w="8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840" w:type="dxa"/>
            <w:vAlign w:val="bottom"/>
          </w:tcPr>
          <w:p>
            <w:pPr>
              <w:ind w:left="120"/>
              <w:spacing w:after="0"/>
              <w:rPr>
                <w:sz w:val="20"/>
                <w:szCs w:val="20"/>
                <w:color w:val="auto"/>
              </w:rPr>
            </w:pPr>
            <w:r>
              <w:rPr>
                <w:rFonts w:ascii="Arial" w:cs="Arial" w:eastAsia="Arial" w:hAnsi="Arial"/>
                <w:sz w:val="18"/>
                <w:szCs w:val="18"/>
                <w:color w:val="auto"/>
              </w:rPr>
              <w:t>Plant assets, net of depreciation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w:t>
            </w:r>
          </w:p>
        </w:tc>
      </w:tr>
      <w:tr>
        <w:trPr>
          <w:trHeight w:val="27"/>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43"/>
        </w:trPr>
        <w:tc>
          <w:tcPr>
            <w:tcW w:w="8840" w:type="dxa"/>
            <w:vAlign w:val="bottom"/>
          </w:tcPr>
          <w:p>
            <w:pPr>
              <w:ind w:left="120"/>
              <w:spacing w:after="0"/>
              <w:rPr>
                <w:sz w:val="20"/>
                <w:szCs w:val="20"/>
                <w:color w:val="auto"/>
              </w:rPr>
            </w:pPr>
            <w:r>
              <w:rPr>
                <w:rFonts w:ascii="Arial" w:cs="Arial" w:eastAsia="Arial" w:hAnsi="Arial"/>
                <w:sz w:val="18"/>
                <w:szCs w:val="18"/>
                <w:color w:val="auto"/>
              </w:rPr>
              <w:t>Noncurrent assets of discontinued operations</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w:t>
            </w:r>
          </w:p>
        </w:tc>
      </w:tr>
      <w:tr>
        <w:trPr>
          <w:trHeight w:val="27"/>
        </w:trPr>
        <w:tc>
          <w:tcPr>
            <w:tcW w:w="8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283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w:t>
            </w:r>
          </w:p>
        </w:tc>
      </w:tr>
      <w:tr>
        <w:trPr>
          <w:trHeight w:val="27"/>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43"/>
        </w:trPr>
        <w:tc>
          <w:tcPr>
            <w:tcW w:w="8840" w:type="dxa"/>
            <w:vAlign w:val="bottom"/>
          </w:tcPr>
          <w:p>
            <w:pPr>
              <w:ind w:left="120"/>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7"/>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w:t>
            </w:r>
          </w:p>
        </w:tc>
      </w:tr>
      <w:tr>
        <w:trPr>
          <w:trHeight w:val="243"/>
        </w:trPr>
        <w:tc>
          <w:tcPr>
            <w:tcW w:w="88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7"/>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liabilities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w:t>
            </w:r>
          </w:p>
        </w:tc>
      </w:tr>
      <w:tr>
        <w:trPr>
          <w:trHeight w:val="237"/>
        </w:trPr>
        <w:tc>
          <w:tcPr>
            <w:tcW w:w="88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w:t>
            </w:r>
          </w:p>
        </w:tc>
      </w:tr>
      <w:tr>
        <w:trPr>
          <w:trHeight w:val="27"/>
        </w:trPr>
        <w:tc>
          <w:tcPr>
            <w:tcW w:w="8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lease terms and discount rates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October 27,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Operating</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term in years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w w:val="90"/>
              </w:rPr>
              <w:t>Future minimum lease payments were as follows: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October 27, 2019</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774"/>
              <w:spacing w:after="0"/>
              <w:rPr>
                <w:sz w:val="20"/>
                <w:szCs w:val="20"/>
                <w:color w:val="auto"/>
              </w:rPr>
            </w:pPr>
            <w:r>
              <w:rPr>
                <w:rFonts w:ascii="Arial" w:cs="Arial" w:eastAsia="Arial" w:hAnsi="Arial"/>
                <w:sz w:val="14"/>
                <w:szCs w:val="14"/>
                <w:b w:val="1"/>
                <w:bCs w:val="1"/>
                <w:color w:val="auto"/>
              </w:rPr>
              <w:t>July 28,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3"/>
              </w:rPr>
              <w:t>New Guidance</w:t>
            </w: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Previous Guidance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Continuing</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Discontinued</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Continuing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Discontinued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4"/>
              </w:rPr>
              <w:t>Finance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Operating</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Operating</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future undiscounted lease payments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53"/>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reported lease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263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2020, we expect to record an operating lease liability of $12 for a 7-year lease that has not yet commenced and is not included in the future minimum lease payments table.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Supplemental cash flow and other information related to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1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9"/>
              </w:rPr>
              <w:t>Three Months Ended</w:t>
            </w:r>
          </w:p>
        </w:tc>
      </w:tr>
      <w:tr>
        <w:trPr>
          <w:trHeight w:val="196"/>
        </w:trPr>
        <w:tc>
          <w:tcPr>
            <w:tcW w:w="9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October 27, 2019</w:t>
            </w:r>
          </w:p>
        </w:tc>
      </w:tr>
      <w:tr>
        <w:trPr>
          <w:trHeight w:val="21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99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r>
      <w:tr>
        <w:trPr>
          <w:trHeight w:val="270"/>
        </w:trPr>
        <w:tc>
          <w:tcPr>
            <w:tcW w:w="99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divested with businesses sold: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derecognized upon adoption: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Build-to-suit lease commitment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October 27, 2019, or July 28, 2019.</w:t>
      </w:r>
    </w:p>
    <w:p>
      <w:pPr>
        <w:spacing w:after="0" w:line="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also exposed to credit risk from our customers. During 2019, our largest customer accounted for approximately 20% of consolidated net sales from continuing operations. Our five largest customers accounted for approximately 43% of our consolidated net sales from continuing operations in 2019.</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w:t>
      </w:r>
    </w:p>
    <w:p>
      <w:pPr>
        <w:spacing w:after="0" w:line="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$98 at October 27, 2019, and $146 at July 28, 2019. Of these amounts, $33 at October 27, 2019, and $80 at July 28, 2019 relate to discontinued operations.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$200 and $177 at October 27, 2019, and July 28, 2019, respectively. Of these amounts, $4 at October 27, 2019, and $3 at July 28, 2019, relate to discontinued operations. There were no cross-currency swap contracts outstanding as of October 27, 2019, or July 28,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There were no forward starting interest rate swaps or treasury rate lock contracts outstanding as of October 27, 2019, or July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aluminum, cocoa, corn, soybean meal,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October 27, 2019, or July 28, 2019. The notional amount of commodity contracts not designated as accounting hedges was $181 at October 27, 2019, and $183 at July 28, 2019. Of these amounts, $6 at October 27, 2019, and $3 at July 28, 2019, relate to discontinued operations.</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$10 as of October 27, 2019, and $27 as of July 28, 2019. The fair value was not material as of October 27, 2019, and July 28, 2019. Unrealized gains (losses) and settlements are included in Cost of products sold in our Consolidated Statements of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were $31 as of October 27, 2019, and July 28, 2019.</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October 27, 2019, and July 28,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4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Balance Sheet Classification</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27, 2019</w:t>
            </w:r>
          </w:p>
        </w:tc>
        <w:tc>
          <w:tcPr>
            <w:tcW w:w="26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4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Derivatives designated as hedges:</w:t>
            </w:r>
          </w:p>
        </w:tc>
        <w:tc>
          <w:tcPr>
            <w:tcW w:w="4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Total derivatives designated as hedges</w:t>
            </w: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4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Commodity derivative contracts</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compensation derivative contracts</w:t>
            </w: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Foreign exchange forward contracts</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Commodity derivative contracts</w:t>
            </w: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hedges</w:t>
            </w: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4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40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Balance Sheet Classification</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27, 2019</w:t>
            </w:r>
          </w:p>
        </w:tc>
        <w:tc>
          <w:tcPr>
            <w:tcW w:w="280" w:type="dxa"/>
            <w:vAlign w:val="bottom"/>
          </w:tcPr>
          <w:p>
            <w:pPr>
              <w:spacing w:after="0"/>
              <w:rPr>
                <w:sz w:val="14"/>
                <w:szCs w:val="14"/>
                <w:color w:val="auto"/>
              </w:rPr>
            </w:pPr>
          </w:p>
        </w:tc>
        <w:tc>
          <w:tcPr>
            <w:tcW w:w="1060" w:type="dxa"/>
            <w:vAlign w:val="bottom"/>
          </w:tcPr>
          <w:p>
            <w:pPr>
              <w:jc w:val="right"/>
              <w:ind w:right="334"/>
              <w:spacing w:after="0"/>
              <w:rPr>
                <w:sz w:val="20"/>
                <w:szCs w:val="20"/>
                <w:color w:val="auto"/>
              </w:rPr>
            </w:pPr>
            <w:r>
              <w:rPr>
                <w:rFonts w:ascii="Arial" w:cs="Arial" w:eastAsia="Arial" w:hAnsi="Arial"/>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4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100"/>
              <w:spacing w:after="0"/>
              <w:rPr>
                <w:sz w:val="20"/>
                <w:szCs w:val="20"/>
                <w:color w:val="auto"/>
              </w:rPr>
            </w:pPr>
            <w:r>
              <w:rPr>
                <w:rFonts w:ascii="Arial" w:cs="Arial" w:eastAsia="Arial" w:hAnsi="Arial"/>
                <w:sz w:val="18"/>
                <w:szCs w:val="18"/>
                <w:color w:val="auto"/>
              </w:rPr>
              <w:t>Foreign exchange forward contracts</w:t>
            </w:r>
          </w:p>
        </w:tc>
        <w:tc>
          <w:tcPr>
            <w:tcW w:w="4400" w:type="dxa"/>
            <w:vAlign w:val="bottom"/>
            <w:gridSpan w:val="2"/>
          </w:tcPr>
          <w:p>
            <w:pPr>
              <w:spacing w:after="0"/>
              <w:rPr>
                <w:sz w:val="20"/>
                <w:szCs w:val="20"/>
                <w:color w:val="auto"/>
              </w:rPr>
            </w:pPr>
            <w:r>
              <w:rPr>
                <w:rFonts w:ascii="Arial" w:cs="Arial" w:eastAsia="Arial" w:hAnsi="Arial"/>
                <w:sz w:val="18"/>
                <w:szCs w:val="18"/>
                <w:color w:val="auto"/>
              </w:rPr>
              <w:t>Current liabilities of discontinued operations</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designated as hedges</w:t>
            </w:r>
          </w:p>
        </w:tc>
        <w:tc>
          <w:tcPr>
            <w:tcW w:w="4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00" w:type="dxa"/>
            <w:vAlign w:val="bottom"/>
          </w:tcPr>
          <w:p>
            <w:pPr>
              <w:ind w:left="100"/>
              <w:spacing w:after="0"/>
              <w:rPr>
                <w:sz w:val="20"/>
                <w:szCs w:val="20"/>
                <w:color w:val="auto"/>
              </w:rPr>
            </w:pPr>
            <w:r>
              <w:rPr>
                <w:rFonts w:ascii="Arial" w:cs="Arial" w:eastAsia="Arial" w:hAnsi="Arial"/>
                <w:sz w:val="18"/>
                <w:szCs w:val="18"/>
                <w:color w:val="auto"/>
              </w:rPr>
              <w:t>Foreign exchange forward contracts</w:t>
            </w:r>
          </w:p>
        </w:tc>
        <w:tc>
          <w:tcPr>
            <w:tcW w:w="44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4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27, 2019, and July 28, 2019, would be adjusted as detailed in the following table: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27, 2019</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28,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Balance Sheet</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Subject to Netting</w:t>
            </w:r>
          </w:p>
        </w:tc>
        <w:tc>
          <w:tcPr>
            <w:tcW w:w="20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8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76"/>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6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At October 27, 2019, and July 28, 2019, a cash margin account balance of $3 and $7, respectively, was included in Other current assets in the Consolidated Balance Sheets.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three-month periods ended October 27, 2019, and October 28, 2018, in other comprehensive income (loss) (OCI) and the Consolidated Statements of Earnings:</w:t>
      </w:r>
    </w:p>
    <w:p>
      <w:pPr>
        <w:spacing w:after="0" w:line="95"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13335</wp:posOffset>
            </wp:positionV>
            <wp:extent cx="2006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ind w:left="348"/>
              <w:spacing w:after="0"/>
              <w:rPr>
                <w:sz w:val="20"/>
                <w:szCs w:val="20"/>
                <w:color w:val="auto"/>
              </w:rPr>
            </w:pPr>
            <w:r>
              <w:rPr>
                <w:rFonts w:ascii="Arial" w:cs="Arial" w:eastAsia="Arial" w:hAnsi="Arial"/>
                <w:sz w:val="14"/>
                <w:szCs w:val="14"/>
                <w:b w:val="1"/>
                <w:bCs w:val="1"/>
                <w:color w:val="auto"/>
                <w:w w:val="93"/>
              </w:rPr>
              <w:t>October 27,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October 28,</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CCEEFF"/>
            </w:tcBorders>
            <w:gridSpan w:val="3"/>
          </w:tcPr>
          <w:p>
            <w:pPr>
              <w:spacing w:after="0"/>
              <w:rPr>
                <w:sz w:val="16"/>
                <w:szCs w:val="16"/>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OCI derivative gain (loss) at beginning of year</w:t>
            </w:r>
          </w:p>
        </w:tc>
        <w:tc>
          <w:tcPr>
            <w:tcW w:w="3740" w:type="dxa"/>
            <w:vAlign w:val="bottom"/>
            <w:tcBorders>
              <w:bottom w:val="single" w:sz="8" w:color="CCEEFF"/>
            </w:tcBorders>
            <w:gridSpan w:val="4"/>
            <w:shd w:val="clear" w:color="auto" w:fill="CCEEFF"/>
          </w:tcPr>
          <w:p>
            <w:pPr>
              <w:ind w:left="26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374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Location in Earnings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3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w:t>
            </w:r>
          </w:p>
        </w:tc>
        <w:tc>
          <w:tcPr>
            <w:tcW w:w="4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4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Forward starting interest rate swaps</w:t>
            </w:r>
          </w:p>
        </w:tc>
        <w:tc>
          <w:tcPr>
            <w:tcW w:w="3740" w:type="dxa"/>
            <w:vAlign w:val="bottom"/>
            <w:gridSpan w:val="4"/>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OCI derivative gain (loss) at end of quarter</w:t>
            </w:r>
          </w:p>
        </w:tc>
        <w:tc>
          <w:tcPr>
            <w:tcW w:w="3740" w:type="dxa"/>
            <w:vAlign w:val="bottom"/>
            <w:tcBorders>
              <w:bottom w:val="single" w:sz="8" w:color="CCEEFF"/>
            </w:tcBorders>
            <w:gridSpan w:val="4"/>
            <w:shd w:val="clear" w:color="auto" w:fill="CCEEFF"/>
          </w:tcPr>
          <w:p>
            <w:pPr>
              <w:ind w:left="26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$2. The ineffective portion was not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23" w:right="239" w:bottom="1440" w:gutter="0" w:footer="0" w:header="0"/>
        </w:sectPr>
      </w:pPr>
    </w:p>
    <w:bookmarkStart w:id="22" w:name="page23"/>
    <w:bookmarkEnd w:id="22"/>
    <w:p>
      <w:pPr>
        <w:jc w:val="both"/>
        <w:ind w:firstLine="324"/>
        <w:spacing w:after="0" w:line="277" w:lineRule="auto"/>
        <w:rPr>
          <w:sz w:val="20"/>
          <w:szCs w:val="20"/>
          <w:color w:val="auto"/>
        </w:rPr>
      </w:pPr>
      <w:r>
        <w:rPr>
          <w:rFonts w:ascii="Arial" w:cs="Arial" w:eastAsia="Arial" w:hAnsi="Arial"/>
          <w:sz w:val="18"/>
          <w:szCs w:val="18"/>
          <w:color w:val="auto"/>
        </w:rPr>
        <w:t>The following table shows the effect of our derivative instruments designated as cash-flow hedges for the three-month periods ended October 27, 2019, and October 28, 2018, in the Consolidated Statements of Earnings: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ind w:left="1120"/>
              <w:spacing w:after="0"/>
              <w:rPr>
                <w:sz w:val="20"/>
                <w:szCs w:val="20"/>
                <w:color w:val="auto"/>
              </w:rPr>
            </w:pPr>
            <w:r>
              <w:rPr>
                <w:rFonts w:ascii="Arial" w:cs="Arial" w:eastAsia="Arial" w:hAnsi="Arial"/>
                <w:sz w:val="14"/>
                <w:szCs w:val="14"/>
                <w:b w:val="1"/>
                <w:bCs w:val="1"/>
                <w:color w:val="auto"/>
              </w:rPr>
              <w:t>October 27,</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October 28,</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 (Loss) from</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3"/>
                <w:szCs w:val="13"/>
                <w:color w:val="auto"/>
              </w:rPr>
            </w:pPr>
          </w:p>
        </w:tc>
        <w:tc>
          <w:tcPr>
            <w:tcW w:w="126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Discontinued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w w:val="81"/>
              </w:rPr>
              <w:t>(3)</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Amount of (gain) loss reclassified from OCI to earnings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 excluded from effectiveness testing recognized in earnings using an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approach</w:t>
            </w:r>
          </w:p>
        </w:tc>
        <w:tc>
          <w:tcPr>
            <w:tcW w:w="10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620" w:type="dxa"/>
            <w:vAlign w:val="bottom"/>
            <w:gridSpan w:val="3"/>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effects of our derivative instruments not designated as hedges for the three-month periods ended October 27,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2018, in the Consolidated Statements of Earnings: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Amount of (Gain) Loss Recognized in Earnings on</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Derivatives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4520" w:type="dxa"/>
            <w:vAlign w:val="bottom"/>
          </w:tcPr>
          <w:p>
            <w:pPr>
              <w:ind w:left="174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260" w:type="dxa"/>
            <w:vAlign w:val="bottom"/>
          </w:tcPr>
          <w:p>
            <w:pPr>
              <w:spacing w:after="0"/>
              <w:rPr>
                <w:sz w:val="13"/>
                <w:szCs w:val="13"/>
                <w:color w:val="auto"/>
              </w:rPr>
            </w:pPr>
          </w:p>
        </w:tc>
        <w:tc>
          <w:tcPr>
            <w:tcW w:w="14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October 27,</w:t>
            </w:r>
          </w:p>
        </w:tc>
        <w:tc>
          <w:tcPr>
            <w:tcW w:w="360" w:type="dxa"/>
            <w:vAlign w:val="bottom"/>
          </w:tcPr>
          <w:p>
            <w:pPr>
              <w:spacing w:after="0"/>
              <w:rPr>
                <w:sz w:val="13"/>
                <w:szCs w:val="13"/>
                <w:color w:val="auto"/>
              </w:rPr>
            </w:pPr>
          </w:p>
        </w:tc>
        <w:tc>
          <w:tcPr>
            <w:tcW w:w="118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w w:val="98"/>
              </w:rPr>
              <w:t>October 28,</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vMerge w:val="continue"/>
          </w:tcPr>
          <w:p>
            <w:pPr>
              <w:spacing w:after="0"/>
              <w:rPr>
                <w:sz w:val="16"/>
                <w:szCs w:val="16"/>
                <w:color w:val="auto"/>
              </w:rPr>
            </w:pPr>
          </w:p>
        </w:tc>
        <w:tc>
          <w:tcPr>
            <w:tcW w:w="4520" w:type="dxa"/>
            <w:vAlign w:val="bottom"/>
            <w:tcBorders>
              <w:bottom w:val="single" w:sz="8" w:color="CCEEFF"/>
            </w:tcBorders>
          </w:tcPr>
          <w:p>
            <w:pPr>
              <w:ind w:left="1740"/>
              <w:spacing w:after="0"/>
              <w:rPr>
                <w:sz w:val="20"/>
                <w:szCs w:val="20"/>
                <w:color w:val="auto"/>
              </w:rPr>
            </w:pPr>
            <w:r>
              <w:rPr>
                <w:rFonts w:ascii="Arial" w:cs="Arial" w:eastAsia="Arial" w:hAnsi="Arial"/>
                <w:sz w:val="14"/>
                <w:szCs w:val="14"/>
                <w:b w:val="1"/>
                <w:bCs w:val="1"/>
                <w:color w:val="auto"/>
              </w:rPr>
              <w:t>Recognized in Earnings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expenses / (income)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center"/>
              <w:ind w:left="818"/>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Commodity derivative contracts</w:t>
            </w:r>
          </w:p>
        </w:tc>
        <w:tc>
          <w:tcPr>
            <w:tcW w:w="4520" w:type="dxa"/>
            <w:vAlign w:val="bottom"/>
          </w:tcPr>
          <w:p>
            <w:pPr>
              <w:ind w:left="520"/>
              <w:spacing w:after="0"/>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21"/>
                <w:szCs w:val="21"/>
                <w:color w:val="auto"/>
              </w:rPr>
            </w:pPr>
          </w:p>
        </w:tc>
        <w:tc>
          <w:tcPr>
            <w:tcW w:w="1280" w:type="dxa"/>
            <w:vAlign w:val="bottom"/>
          </w:tcPr>
          <w:p>
            <w:pPr>
              <w:jc w:val="center"/>
              <w:ind w:left="778"/>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4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center"/>
              <w:ind w:left="778"/>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Total (gain) loss at end of quarter</w:t>
            </w:r>
          </w:p>
        </w:tc>
        <w:tc>
          <w:tcPr>
            <w:tcW w:w="452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center"/>
              <w:ind w:left="778"/>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Entity</w:t>
      </w:r>
    </w:p>
    <w:p>
      <w:pPr>
        <w:spacing w:after="0" w:line="1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October 27, 2019, we funded $84 of the capital commitment. On August 29, 2018, 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$72 and $76 as of October 27, 2019, and July 28, 2019,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October 27, 2019, or July 28,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1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23" w:name="page24"/>
    <w:bookmarkEnd w:id="23"/>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October 27, 2019, and July 28, 2019, consistent with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2460" w:type="dxa"/>
            <w:vAlign w:val="bottom"/>
            <w:gridSpan w:val="10"/>
          </w:tcPr>
          <w:p>
            <w:pPr>
              <w:jc w:val="center"/>
              <w:ind w:left="515"/>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2480" w:type="dxa"/>
            <w:vAlign w:val="bottom"/>
            <w:gridSpan w:val="9"/>
          </w:tcPr>
          <w:p>
            <w:pPr>
              <w:jc w:val="center"/>
              <w:ind w:left="535"/>
              <w:spacing w:after="0"/>
              <w:rPr>
                <w:sz w:val="20"/>
                <w:szCs w:val="20"/>
                <w:color w:val="auto"/>
              </w:rPr>
            </w:pPr>
            <w:r>
              <w:rPr>
                <w:rFonts w:ascii="Arial" w:cs="Arial" w:eastAsia="Arial" w:hAnsi="Arial"/>
                <w:sz w:val="14"/>
                <w:szCs w:val="14"/>
                <w:b w:val="1"/>
                <w:bCs w:val="1"/>
                <w:color w:val="auto"/>
                <w:w w:val="93"/>
              </w:rPr>
              <w:t>Fair Value Measurements at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80" w:type="dxa"/>
            <w:vAlign w:val="bottom"/>
            <w:gridSpan w:val="9"/>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October 27, 2019 Using</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July 28, 2019 Using</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80" w:type="dxa"/>
            <w:vAlign w:val="bottom"/>
            <w:gridSpan w:val="9"/>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October 27,</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July 28,</w:t>
            </w: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1"/>
              </w:rPr>
              <w:t>Assets</w:t>
            </w:r>
          </w:p>
        </w:tc>
        <w:tc>
          <w:tcPr>
            <w:tcW w:w="13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Foreign exchange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4"/>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20" w:type="dxa"/>
            <w:vAlign w:val="bottom"/>
            <w:gridSpan w:val="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8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Commodity derivative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80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5"/>
                <w:szCs w:val="15"/>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9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gridSpan w:val="3"/>
          </w:tcPr>
          <w:p>
            <w:pPr>
              <w:ind w:left="100"/>
              <w:spacing w:after="0" w:line="230" w:lineRule="exact"/>
              <w:rPr>
                <w:sz w:val="20"/>
                <w:szCs w:val="20"/>
                <w:color w:val="auto"/>
              </w:rPr>
            </w:pPr>
            <w:r>
              <w:rPr>
                <w:rFonts w:ascii="Arial" w:cs="Arial" w:eastAsia="Arial" w:hAnsi="Arial"/>
                <w:sz w:val="18"/>
                <w:szCs w:val="18"/>
                <w:color w:val="auto"/>
                <w:w w:val="96"/>
              </w:rPr>
              <w:t>derivative contracts</w:t>
            </w:r>
            <w:r>
              <w:rPr>
                <w:rFonts w:ascii="Arial" w:cs="Arial" w:eastAsia="Arial" w:hAnsi="Arial"/>
                <w:sz w:val="23"/>
                <w:szCs w:val="23"/>
                <w:color w:val="auto"/>
                <w:w w:val="96"/>
                <w:vertAlign w:val="superscript"/>
              </w:rPr>
              <w:t>(3)</w:t>
            </w:r>
          </w:p>
        </w:tc>
        <w:tc>
          <w:tcPr>
            <w:tcW w:w="14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8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8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80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Fair value option</w:t>
            </w:r>
          </w:p>
        </w:tc>
        <w:tc>
          <w:tcPr>
            <w:tcW w:w="140" w:type="dxa"/>
            <w:vAlign w:val="bottom"/>
          </w:tcPr>
          <w:p>
            <w:pPr>
              <w:spacing w:after="0"/>
              <w:rPr>
                <w:sz w:val="15"/>
                <w:szCs w:val="15"/>
                <w:color w:val="auto"/>
              </w:rPr>
            </w:pP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ind w:left="5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3"/>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1"/>
              </w:rPr>
              <w:t>Total assets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82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24"/>
                <w:szCs w:val="24"/>
                <w:color w:val="auto"/>
              </w:rPr>
            </w:pPr>
          </w:p>
        </w:tc>
        <w:tc>
          <w:tcPr>
            <w:tcW w:w="2460" w:type="dxa"/>
            <w:vAlign w:val="bottom"/>
            <w:gridSpan w:val="10"/>
          </w:tcPr>
          <w:p>
            <w:pPr>
              <w:jc w:val="center"/>
              <w:ind w:left="515"/>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24"/>
                <w:szCs w:val="24"/>
                <w:color w:val="auto"/>
              </w:rPr>
            </w:pPr>
          </w:p>
        </w:tc>
        <w:tc>
          <w:tcPr>
            <w:tcW w:w="2480" w:type="dxa"/>
            <w:vAlign w:val="bottom"/>
            <w:gridSpan w:val="9"/>
          </w:tcPr>
          <w:p>
            <w:pPr>
              <w:jc w:val="center"/>
              <w:ind w:left="555"/>
              <w:spacing w:after="0"/>
              <w:rPr>
                <w:sz w:val="20"/>
                <w:szCs w:val="20"/>
                <w:color w:val="auto"/>
              </w:rPr>
            </w:pPr>
            <w:r>
              <w:rPr>
                <w:rFonts w:ascii="Arial" w:cs="Arial" w:eastAsia="Arial" w:hAnsi="Arial"/>
                <w:sz w:val="14"/>
                <w:szCs w:val="14"/>
                <w:b w:val="1"/>
                <w:bCs w:val="1"/>
                <w:color w:val="auto"/>
                <w:w w:val="92"/>
              </w:rPr>
              <w:t>Fair Value Measurements at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80" w:type="dxa"/>
            <w:vAlign w:val="bottom"/>
            <w:gridSpan w:val="9"/>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October 27, 2019 Using</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July 28, 2019 Using</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80" w:type="dxa"/>
            <w:vAlign w:val="bottom"/>
            <w:gridSpan w:val="9"/>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October 27,</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July 28,</w:t>
            </w: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8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20" w:type="dxa"/>
            <w:vAlign w:val="bottom"/>
            <w:gridSpan w:val="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18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Commodity derivative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180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5"/>
                <w:szCs w:val="15"/>
                <w:color w:val="auto"/>
              </w:rPr>
            </w:pP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(4)</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at fair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42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98</w:t>
            </w:r>
          </w:p>
        </w:tc>
        <w:tc>
          <w:tcPr>
            <w:tcW w:w="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w:t>
            </w:r>
          </w:p>
        </w:tc>
        <w:tc>
          <w:tcPr>
            <w:tcW w:w="1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420" w:type="dxa"/>
            <w:vAlign w:val="bottom"/>
            <w:gridSpan w:val="4"/>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340" w:type="dxa"/>
            <w:vAlign w:val="bottom"/>
            <w:gridSpan w:val="3"/>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ind w:left="320" w:hanging="312"/>
        <w:spacing w:after="0" w:line="221"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quoted futures exchanges and on observable prices of futures and options transactions in the marketplace.</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 w:lineRule="exact"/>
        <w:rPr>
          <w:rFonts w:ascii="Arial" w:cs="Arial" w:eastAsia="Arial" w:hAnsi="Arial"/>
          <w:sz w:val="23"/>
          <w:szCs w:val="23"/>
          <w:color w:val="auto"/>
          <w:vertAlign w:val="superscript"/>
        </w:rPr>
      </w:pPr>
    </w:p>
    <w:p>
      <w:pPr>
        <w:jc w:val="both"/>
        <w:ind w:left="340" w:hanging="332"/>
        <w:spacing w:after="0" w:line="233"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13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in fair value of Level 3 investments for the three-month periods ended October 27, 2019, and October 28, 2018:</w:t>
      </w: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October 27, 2019</w:t>
            </w:r>
          </w:p>
        </w:tc>
        <w:tc>
          <w:tcPr>
            <w:tcW w:w="1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October 28, 2018</w:t>
            </w:r>
          </w:p>
        </w:tc>
      </w:tr>
      <w:tr>
        <w:trPr>
          <w:trHeight w:val="250"/>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77</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12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(9)</w:t>
            </w: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quarter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68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discontinued operations of $19 at October 27, 2019, and July 28, 2019, represent fair value as these highly liquid investments have an original maturity of three months or less. Fair value of cash equivalents is based on Level 2 inputs.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short- and long-term debt of continuing operations was $8,641 at October 27, 2019, and $8,642 at July 28, 2019. The carrying value was $8,337 at October 27, 2019, and $8,474 at July 28, 2019. The fair value and carrying value of short- and long-term debt of discontinued operations was $7 at October 27, 2019, and $238 at July 28, 2019. The fair value of long-term debt is principally estimated using Level 2 inputs based on quoted market prices or pricing models using current market rates.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October 27, 2019.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2020, we issued time-lapse restricted stock units and TSR performance restricted stock units. We have not issued stock options, FCF performance restricted stock units, or EPS performance restricted stock units in 2020.</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October 27, 2019</w:t>
            </w:r>
          </w:p>
        </w:tc>
        <w:tc>
          <w:tcPr>
            <w:tcW w:w="120" w:type="dxa"/>
            <w:vAlign w:val="bottom"/>
          </w:tcPr>
          <w:p>
            <w:pPr>
              <w:spacing w:after="0"/>
              <w:rPr>
                <w:sz w:val="17"/>
                <w:szCs w:val="17"/>
                <w:color w:val="auto"/>
              </w:rPr>
            </w:pPr>
          </w:p>
        </w:tc>
        <w:tc>
          <w:tcPr>
            <w:tcW w:w="116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October 28, 2018</w:t>
            </w:r>
          </w:p>
        </w:tc>
      </w:tr>
      <w:tr>
        <w:trPr>
          <w:trHeight w:val="25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59"/>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pre-tax stock-based compensation expense and tax-related benefits recognized in Earnings (loss) from discontinued operations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2"/>
              </w:rPr>
              <w:t>October 27, 2019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October 28, 2018</w:t>
            </w: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4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1</w:t>
            </w:r>
          </w:p>
        </w:tc>
      </w:tr>
      <w:tr>
        <w:trPr>
          <w:trHeight w:val="90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180" w:type="dxa"/>
            <w:vAlign w:val="bottom"/>
          </w:tcPr>
          <w:p>
            <w:pPr>
              <w:jc w:val="right"/>
              <w:ind w:right="28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following table summarizes stock option activity as of October 27, 2019:</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(Options in</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28, 2019</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46.17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39.71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27, 2019</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45.98</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October 27, 2019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8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total intrinsic value of options exercised during the three-month period ended October 27, 2019 was not material. No options were exercised during the three-month period ended October 28, 2018.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 for grants in 2019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0"/>
              </w:rPr>
              <w:t>2.79%</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ind w:right="33"/>
              <w:spacing w:after="0"/>
              <w:rPr>
                <w:sz w:val="20"/>
                <w:szCs w:val="20"/>
                <w:color w:val="auto"/>
              </w:rPr>
            </w:pPr>
            <w:r>
              <w:rPr>
                <w:rFonts w:ascii="Arial" w:cs="Arial" w:eastAsia="Arial" w:hAnsi="Arial"/>
                <w:sz w:val="18"/>
                <w:szCs w:val="18"/>
                <w:color w:val="auto"/>
                <w:w w:val="90"/>
              </w:rPr>
              <w:t>3.84%</w:t>
            </w:r>
          </w:p>
        </w:tc>
      </w:tr>
      <w:tr>
        <w:trPr>
          <w:trHeight w:val="27"/>
        </w:trPr>
        <w:tc>
          <w:tcPr>
            <w:tcW w:w="10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1"/>
              </w:rPr>
              <w:t>25.28%</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 years</w:t>
            </w:r>
          </w:p>
        </w:tc>
      </w:tr>
      <w:tr>
        <w:trPr>
          <w:trHeight w:val="27"/>
        </w:trPr>
        <w:tc>
          <w:tcPr>
            <w:tcW w:w="10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2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8"/>
              </w:rPr>
              <w:t>$6.27</w:t>
            </w:r>
          </w:p>
        </w:tc>
      </w:tr>
      <w:tr>
        <w:trPr>
          <w:trHeight w:val="27"/>
        </w:trPr>
        <w:tc>
          <w:tcPr>
            <w:tcW w:w="10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October 27, 2019, total remaining unearned compensation related to nonvested stock options was $2, which will be amortized over the weighted-average remaining service period of 2.1 years.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October 27,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4"/>
                <w:szCs w:val="14"/>
                <w:color w:val="auto"/>
              </w:rPr>
            </w:pPr>
          </w:p>
        </w:tc>
        <w:tc>
          <w:tcPr>
            <w:tcW w:w="18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9"/>
              </w:rPr>
              <w:t>Weighted-Average Grant-</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52"/>
        </w:trPr>
        <w:tc>
          <w:tcPr>
            <w:tcW w:w="7720" w:type="dxa"/>
            <w:vAlign w:val="bottom"/>
          </w:tcPr>
          <w:p>
            <w:pPr>
              <w:spacing w:after="0"/>
              <w:rPr>
                <w:sz w:val="13"/>
                <w:szCs w:val="13"/>
                <w:color w:val="auto"/>
              </w:rPr>
            </w:pPr>
          </w:p>
        </w:tc>
        <w:tc>
          <w:tcPr>
            <w:tcW w:w="1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 in thousands)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28, 2019</w:t>
            </w:r>
          </w:p>
        </w:tc>
        <w:tc>
          <w:tcPr>
            <w:tcW w:w="1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ind w:right="57"/>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October 27, 2019</w:t>
            </w:r>
          </w:p>
        </w:tc>
        <w:tc>
          <w:tcPr>
            <w:tcW w:w="1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2,244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23 thousand EPS performance target grants outstanding at October 27, 2019, with a grant-date fair value of $46.82. The actual number of EPS performance restricted stock units issued at the vesting date could be either 0% or 100% of the initial grant, depending on actual performance achieved. We estimate expense based on the number of awards expected to vest.</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we issued approximately 388 thousand FCF performance restricted stock units for which vesting is contingent upon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w:t>
      </w: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will be based upon the quoted price of our stock at the date of grant. We will expense FCF performance restricted stock units over the requisite service period of each objective. As of October 27, 2019, we have granted 258 thousand of the issued FCF performance restricted stock units, which are included in the table above. There were 199 thousand FCF performance target grants outstanding at October 27, 2019, with a weighted-average grant-date fair value of $42.16.</w:t>
      </w:r>
    </w:p>
    <w:p>
      <w:pPr>
        <w:spacing w:after="0" w:line="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October 27, 2019, total remaining unearned compensation related to nonvested time-lapse restricted stock units, EPS performance restricted stock units and FCF performance restricted units was $65, which will be amortized over the weighted-average remaining service period of 2.0 years. The fair value of restricted stock units vested during the three-month periods ended October 27, 2019, and October 28, 2018, was $30, and $19, respectively. The weighted-average grant-date fair value of the restricted stock units granted during the three-month period ended October 28, 2018 was $36.38.</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October 27,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92"/>
        </w:trPr>
        <w:tc>
          <w:tcPr>
            <w:tcW w:w="79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52"/>
        </w:trPr>
        <w:tc>
          <w:tcPr>
            <w:tcW w:w="7940" w:type="dxa"/>
            <w:vAlign w:val="bottom"/>
          </w:tcPr>
          <w:p>
            <w:pPr>
              <w:spacing w:after="0"/>
              <w:rPr>
                <w:sz w:val="13"/>
                <w:szCs w:val="13"/>
                <w:color w:val="auto"/>
              </w:rPr>
            </w:pPr>
          </w:p>
        </w:tc>
        <w:tc>
          <w:tcPr>
            <w:tcW w:w="17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4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 in thousands)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28, 2019</w:t>
            </w:r>
          </w:p>
        </w:tc>
        <w:tc>
          <w:tcPr>
            <w:tcW w:w="1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7"/>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October 27, 2019</w:t>
            </w:r>
          </w:p>
        </w:tc>
        <w:tc>
          <w:tcPr>
            <w:tcW w:w="1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assumptions used in the Monte Carlo simulation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b w:val="1"/>
                <w:bCs w:val="1"/>
                <w:color w:val="auto"/>
                <w:w w:val="97"/>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0"/>
              </w:rPr>
              <w:t>2.80%</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80" w:type="dxa"/>
            <w:vAlign w:val="bottom"/>
          </w:tcPr>
          <w:p>
            <w:pPr>
              <w:jc w:val="center"/>
              <w:ind w:right="54"/>
              <w:spacing w:after="0"/>
              <w:rPr>
                <w:sz w:val="20"/>
                <w:szCs w:val="20"/>
                <w:color w:val="auto"/>
              </w:rPr>
            </w:pPr>
            <w:r>
              <w:rPr>
                <w:rFonts w:ascii="Arial" w:cs="Arial" w:eastAsia="Arial" w:hAnsi="Arial"/>
                <w:sz w:val="18"/>
                <w:szCs w:val="18"/>
                <w:b w:val="1"/>
                <w:bCs w:val="1"/>
                <w:color w:val="auto"/>
                <w:w w:val="97"/>
              </w:rPr>
              <w:t>2.95%</w:t>
            </w:r>
          </w:p>
        </w:tc>
        <w:tc>
          <w:tcPr>
            <w:tcW w:w="100" w:type="dxa"/>
            <w:vAlign w:val="bottom"/>
          </w:tcPr>
          <w:p>
            <w:pPr>
              <w:spacing w:after="0"/>
              <w:rPr>
                <w:sz w:val="21"/>
                <w:szCs w:val="21"/>
                <w:color w:val="auto"/>
              </w:rPr>
            </w:pPr>
          </w:p>
        </w:tc>
        <w:tc>
          <w:tcPr>
            <w:tcW w:w="1280" w:type="dxa"/>
            <w:vAlign w:val="bottom"/>
          </w:tcPr>
          <w:p>
            <w:pPr>
              <w:jc w:val="center"/>
              <w:ind w:right="54"/>
              <w:spacing w:after="0"/>
              <w:rPr>
                <w:sz w:val="20"/>
                <w:szCs w:val="20"/>
                <w:color w:val="auto"/>
              </w:rPr>
            </w:pPr>
            <w:r>
              <w:rPr>
                <w:rFonts w:ascii="Arial" w:cs="Arial" w:eastAsia="Arial" w:hAnsi="Arial"/>
                <w:sz w:val="18"/>
                <w:szCs w:val="18"/>
                <w:color w:val="auto"/>
                <w:w w:val="90"/>
              </w:rPr>
              <w:t>3.79%</w:t>
            </w:r>
          </w:p>
        </w:tc>
      </w:tr>
      <w:tr>
        <w:trPr>
          <w:trHeight w:val="27"/>
        </w:trPr>
        <w:tc>
          <w:tcPr>
            <w:tcW w:w="8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8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b w:val="1"/>
                <w:bCs w:val="1"/>
                <w:color w:val="auto"/>
                <w:w w:val="94"/>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88"/>
              </w:rPr>
              <w:t>24.50%</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3 years</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3 years</w:t>
            </w:r>
          </w:p>
        </w:tc>
      </w:tr>
    </w:tbl>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compensation expense on a straight-line basis over the service period, except for awards issued to retirement eligible participants, which we expense on an accelerated basis. As of October 27, 2019, total remaining unearned compensation related to TSR performance restricted stock units was $41, which will be amortized over the weighted-average remaining service period of 2.3 years. In the first quarter of 2020, recipients of TSR performance restricted stock units earned 0% of the initial grants based upon our TSR ranking in a performance peer group during a three-year period ended July 26, 2019. In the first quarter of 2019, recipients of TSR performance restricted stock units earned 0% of the initial grants based upon our TSR ranking in a performance peer group during a three-year period ended July 27, 2018. The grant-date fair value of the TSR performance restricted stock units granted during 2019 was $31.29.</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tax benefits of $1 in the three-month period ended October 27, 2019, and the excess tax deficiencies of $2 in the three-month period ended October 28, 2018, respectively, on the exercise of stock options and vested restricted stock were presented as cash flows from operating activities. Cash received from the exercise of stock options was $1 for the three-month period ended October 27, 2019, and is reflected in cash flows from financing activities in the Consolidated Statements of Cash Flows.</w:t>
      </w:r>
    </w:p>
    <w:p>
      <w:pPr>
        <w:spacing w:after="0" w:line="61" w:lineRule="exact"/>
        <w:rPr>
          <w:sz w:val="20"/>
          <w:szCs w:val="20"/>
          <w:color w:val="auto"/>
        </w:rPr>
      </w:pPr>
    </w:p>
    <w:p>
      <w:pPr>
        <w:ind w:right="8600" w:firstLine="8"/>
        <w:spacing w:after="0" w:line="398" w:lineRule="auto"/>
        <w:tabs>
          <w:tab w:leader="none" w:pos="27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Regulatory and Litigation Matters</w:t>
      </w:r>
    </w:p>
    <w:p>
      <w:pPr>
        <w:spacing w:after="0" w:line="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to us that the monetary relief which may be specified in a lawsuit or claim bears little relevance to its merits or disposition value.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January 7, 2019, three purported shareholder class action lawsuits pending in the United States District Court for the District of New Jersey were consolidated under the caption, </w:t>
      </w:r>
      <w:r>
        <w:rPr>
          <w:rFonts w:ascii="Arial" w:cs="Arial" w:eastAsia="Arial" w:hAnsi="Arial"/>
          <w:sz w:val="16"/>
          <w:szCs w:val="16"/>
          <w:i w:val="1"/>
          <w:iCs w:val="1"/>
          <w:color w:val="auto"/>
        </w:rPr>
        <w:t>In re Campbell Soup Company Securities Litigation</w:t>
      </w:r>
      <w:r>
        <w:rPr>
          <w:rFonts w:ascii="Arial" w:cs="Arial" w:eastAsia="Arial" w:hAnsi="Arial"/>
          <w:sz w:val="16"/>
          <w:szCs w:val="16"/>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We are vigorously defending against the Action.</w:t>
      </w:r>
    </w:p>
    <w:p>
      <w:pPr>
        <w:spacing w:after="0" w:line="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27, 2019.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ectPr>
          <w:pgSz w:w="11900" w:h="16838" w:orient="portrait"/>
          <w:cols w:equalWidth="0" w:num="1">
            <w:col w:w="11420"/>
          </w:cols>
          <w:pgMar w:left="240" w:top="989"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Financial Statement Data</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377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Raw materials, containers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Finished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expenses / (income)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periodic benefit income other than the service cost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Loss on sale of business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October 27, 2019</w:t>
            </w:r>
          </w:p>
        </w:tc>
        <w:tc>
          <w:tcPr>
            <w:tcW w:w="12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July 28,</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328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271</w:t>
            </w: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559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592</w:t>
            </w:r>
          </w:p>
        </w:tc>
      </w:tr>
      <w:tr>
        <w:trPr>
          <w:trHeight w:val="27"/>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3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887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863</w:t>
            </w:r>
          </w:p>
        </w:tc>
      </w:tr>
      <w:tr>
        <w:trPr>
          <w:trHeight w:val="27"/>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October 27, 2019</w:t>
            </w:r>
          </w:p>
        </w:tc>
        <w:tc>
          <w:tcPr>
            <w:tcW w:w="100" w:type="dxa"/>
            <w:vAlign w:val="bottom"/>
          </w:tcPr>
          <w:p>
            <w:pPr>
              <w:spacing w:after="0"/>
              <w:rPr>
                <w:sz w:val="21"/>
                <w:szCs w:val="21"/>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October 28, 2018</w:t>
            </w:r>
          </w:p>
        </w:tc>
      </w:tr>
      <w:tr>
        <w:trPr>
          <w:trHeight w:val="499"/>
        </w:trPr>
        <w:tc>
          <w:tcPr>
            <w:tcW w:w="3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3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4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1646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8080" w:space="720"/>
            <w:col w:w="2620"/>
          </w:cols>
          <w:pgMar w:left="240" w:top="989" w:right="239" w:bottom="1440" w:gutter="0" w:footer="0" w:header="0"/>
          <w:type w:val="continuous"/>
        </w:sectPr>
      </w:pPr>
    </w:p>
    <w:p>
      <w:pPr>
        <w:spacing w:after="0"/>
        <w:rPr>
          <w:sz w:val="20"/>
          <w:szCs w:val="20"/>
          <w:color w:val="auto"/>
        </w:rPr>
      </w:pPr>
      <w:r>
        <w:rPr>
          <w:rFonts w:ascii="Arial" w:cs="Arial" w:eastAsia="Arial" w:hAnsi="Arial"/>
          <w:sz w:val="20"/>
          <w:szCs w:val="20"/>
          <w:b w:val="1"/>
          <w:bCs w:val="1"/>
          <w:i w:val="1"/>
          <w:iCs w:val="1"/>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-143510</wp:posOffset>
            </wp:positionV>
            <wp:extent cx="1646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Note 3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28" w:name="page29"/>
    <w:bookmarkEnd w:id="28"/>
    <w:p>
      <w:pPr>
        <w:ind w:right="4140"/>
        <w:spacing w:after="0" w:line="354"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28, 2019, including but not limited to "Part I - Item 1A. Risk Factors" and "Part II - Item 7. Management's Discussion and Analysis of Financial Condition and Results of Operations."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we sold our U.S. refrigerated soup business, our Garden Fresh Gourmet business and our Bolthouse Farms business. We have reflected the results of operations of these businesses as discontinued operations in the Consolidated Statements of Earnings. These businesses were historically included in the Campbell Fresh reportable segment. A portion of the U.S. refrigerated soup business historically included in Campbell Fresh was retained, and is reported in Meals &amp; Beverages.</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completed the sale of our Kelsen business on September 23, 2019, for $322 million, subject to customary purchase price adjustments. We also signed a definitive agreement on August 1, 2019, for the sale of our Arnott’s business and certain other international operations, including the simple meals and shelf-stable beverages businesses in Australia and Asia Pacific (the Arnott's and other international operations), for $2.2 billion, subject to customary purchase price adjustments. We expect to complete the sale in the second quarter of 2020. We have reflected the results of operations of the Kelsen business and the Arnott’s and other international operations (collectively referred to as Campbell International) as discontinued operations in the Consolidated Statements of Earnings. These businesses were historically included in the Snacks reportable segment.</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on October 11, 2019, we completed the sale of our European chips business for £63 million, or $77 million. The results of the business through the date of sale were reflected in continuing operations within the Snacks reportable segment. See Notes 3 and 6 to the Consolidated Financial Statements for additional information on these recently completed and pending divestitures and reportable segments.</w:t>
      </w:r>
    </w:p>
    <w:p>
      <w:pPr>
        <w:spacing w:after="0" w:line="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the net proceeds from the businesses we sold to reduce our debt and expect to use the net proceeds from the sale of the Arnott's and other international operations to further reduce debt.</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2019, our simple meals and shelf-stable beverages business in Latin America was managed as part of the Meals &amp; Beverages segment. Beginning in 2020, our business in Latin America is managed as part of the Snacks segment. Segment results have been adjusted to conform to the current presentation.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noted above, in 2019, we reflected the results of operations of Campbell Fresh and Campbell International as discontinued operations in the Consolidated Statements of Earnings for all periods presented.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decreased 1% in 2020 to $2.183 billion, primarily due to declines in Meals &amp; Beverages partially offset by gains in Snacks.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 decreased to $80 million in 2020 from $91 million, primarily due to lower levels of debt as we used the net proceeds from the divestitures to reduce debt.</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from continuing operations per share were $.56 in 2020, compared to $.60 a year ago. The current and prior year included expenses of $.22 and $.11 per share, respectively, from items impacting comparability as discussed below.</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from discontinued operations per share was $.01 in the 2020, compared to Earnings per share of $.05 a year ago. The current and prior year included expenses of $.09 and $.04 per share, respectively, from items impacting comparability as discussed below.</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flows from operations were $182 million in 2020, compared to $231 million in 2019. The decline was primarily due to changes in working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04" w:lineRule="exact"/>
        <w:rPr>
          <w:sz w:val="20"/>
          <w:szCs w:val="20"/>
          <w:color w:val="auto"/>
        </w:rPr>
      </w:pPr>
    </w:p>
    <w:p>
      <w:pPr>
        <w:jc w:val="both"/>
        <w:ind w:left="66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implemented several cost savings initiatives in recent years. In the first quarter of 2020, we recorded a pre-tax restructuring charge of $3 million and implementation costs and other related costs of $8 million in Administrative expenses (aggregate impact of $8 million after tax, or $.03 per share) related to these initiatives. In the first quarter of 2019, we recorded a pre-tax restructuring charge of $18 million and implementation costs and other related costs of $13 million in Administrative expenses, $12 million in Cost of products sold, and $2 million in Marketing and selling expenses (aggregate impact of $34 million after tax, or $.11 per share) related to these initiatives. See Note 7 to the Consolidated Financial Statements and "Restructuring Charges and Cost Savings Initiatives" for additional information; and</w:t>
      </w:r>
    </w:p>
    <w:p>
      <w:pPr>
        <w:spacing w:after="0" w:line="4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quarter of 2020, we recorded a loss in Other expenses / (income) of $64 million ($60 million after tax, or $.20 per share) on the sale of our European chips business.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04"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first quarter of 2020, we incurred pre-tax charges of $51 million ($27 million after tax, or $.09 per share) associated with the the sale of the Kelsen business and the planned divestiture of the Arnott's and other international operations;</w:t>
      </w:r>
    </w:p>
    <w:p>
      <w:pPr>
        <w:spacing w:after="0" w:line="8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first quarter of 2019, we recorded a pre-tax and after-tax restructuring charge of $1 million related to the cost savings initiatives. See Note 7 to the Consolidated Financial Statements and "Restructuring Charges and Cost Savings Initiatives" for additional information; and</w:t>
      </w:r>
    </w:p>
    <w:p>
      <w:pPr>
        <w:spacing w:after="0" w:line="2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first quarter of 2019, we recorded a non-cash impairment charge of $14 million ($11 million after tax, or $.04 per share) on our U.S. refrigerated soup plant assets.</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6"/>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October 27,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October 28, 2018</w:t>
            </w:r>
          </w:p>
        </w:tc>
      </w:tr>
      <w:tr>
        <w:trPr>
          <w:trHeight w:val="166"/>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EPS</w:t>
            </w:r>
          </w:p>
        </w:tc>
      </w:tr>
      <w:tr>
        <w:trPr>
          <w:trHeight w:val="206"/>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Impact</w:t>
            </w:r>
          </w:p>
        </w:tc>
      </w:tr>
      <w:tr>
        <w:trPr>
          <w:trHeight w:val="295"/>
        </w:trPr>
        <w:tc>
          <w:tcPr>
            <w:tcW w:w="7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.60</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000" w:type="dxa"/>
            <w:vAlign w:val="bottom"/>
            <w:gridSpan w:val="3"/>
          </w:tcPr>
          <w:p>
            <w:pPr>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.05</w:t>
            </w: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9"/>
        </w:trPr>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.64</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16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700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Charges associated with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4"/>
        </w:trPr>
        <w:tc>
          <w:tcPr>
            <w:tcW w:w="7000" w:type="dxa"/>
            <w:vAlign w:val="bottom"/>
            <w:gridSpan w:val="3"/>
          </w:tcPr>
          <w:p>
            <w:pPr>
              <w:spacing w:after="0"/>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3"/>
        </w:trPr>
        <w:tc>
          <w:tcPr>
            <w:tcW w:w="7000" w:type="dxa"/>
            <w:vAlign w:val="bottom"/>
            <w:gridSpan w:val="3"/>
          </w:tcPr>
          <w:p>
            <w:pPr>
              <w:spacing w:after="0" w:line="202" w:lineRule="exact"/>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16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Charges associated with divestitures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64"/>
        </w:trPr>
        <w:tc>
          <w:tcPr>
            <w:tcW w:w="7000" w:type="dxa"/>
            <w:vAlign w:val="bottom"/>
            <w:gridSpan w:val="3"/>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r>
      <w:tr>
        <w:trPr>
          <w:trHeight w:val="21"/>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Earnings from continuing operations were $169 million ($.56 per share) in 2020, compared to $180 million ($.60 per share) in 2019. After adjusting for items impacting comparability, earnings from continuing operations increased reflecting lower interest expense, lower administrative expenses, higher other income and an improved gross profit performance, partially offset by lower sales.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October 27, 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October 28, 2018</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Meals &amp; Beverages</w:t>
            </w:r>
          </w:p>
        </w:tc>
        <w:tc>
          <w:tcPr>
            <w:tcW w:w="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Snacks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63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2,183</w:t>
            </w: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gridSpan w:val="2"/>
            <w:vMerge w:val="restart"/>
          </w:tcPr>
          <w:p>
            <w:pPr>
              <w:ind w:left="32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2020 versus 2019</w:t>
            </w:r>
          </w:p>
        </w:tc>
        <w:tc>
          <w:tcPr>
            <w:tcW w:w="5240" w:type="dxa"/>
            <w:vAlign w:val="bottom"/>
          </w:tcPr>
          <w:p>
            <w:pPr>
              <w:spacing w:after="0"/>
              <w:rPr>
                <w:sz w:val="19"/>
                <w:szCs w:val="19"/>
                <w:color w:val="auto"/>
              </w:rPr>
            </w:pPr>
          </w:p>
        </w:tc>
        <w:tc>
          <w:tcPr>
            <w:tcW w:w="1880" w:type="dxa"/>
            <w:vAlign w:val="bottom"/>
            <w:gridSpan w:val="6"/>
          </w:tcPr>
          <w:p>
            <w:pPr>
              <w:ind w:left="160"/>
              <w:spacing w:after="0"/>
              <w:rPr>
                <w:sz w:val="20"/>
                <w:szCs w:val="20"/>
                <w:color w:val="auto"/>
              </w:rPr>
            </w:pPr>
            <w:r>
              <w:rPr>
                <w:rFonts w:ascii="Arial" w:cs="Arial" w:eastAsia="Arial" w:hAnsi="Arial"/>
                <w:sz w:val="14"/>
                <w:szCs w:val="14"/>
                <w:b w:val="1"/>
                <w:bCs w:val="1"/>
                <w:color w:val="auto"/>
              </w:rPr>
              <w:t>Meals &amp; Beverages</w:t>
            </w:r>
          </w:p>
        </w:tc>
        <w:tc>
          <w:tcPr>
            <w:tcW w:w="200" w:type="dxa"/>
            <w:vAlign w:val="bottom"/>
          </w:tcPr>
          <w:p>
            <w:pPr>
              <w:spacing w:after="0"/>
              <w:rPr>
                <w:sz w:val="19"/>
                <w:szCs w:val="19"/>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Snacks</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Volume and Mix</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center"/>
              <w:ind w:right="470"/>
              <w:spacing w:after="0"/>
              <w:rPr>
                <w:sz w:val="20"/>
                <w:szCs w:val="20"/>
                <w:color w:val="auto"/>
              </w:rPr>
            </w:pPr>
            <w:r>
              <w:rPr>
                <w:rFonts w:ascii="Arial" w:cs="Arial" w:eastAsia="Arial" w:hAnsi="Arial"/>
                <w:sz w:val="18"/>
                <w:szCs w:val="18"/>
                <w:color w:val="auto"/>
                <w:w w:val="94"/>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ind w:right="512"/>
              <w:spacing w:after="0"/>
              <w:rPr>
                <w:sz w:val="20"/>
                <w:szCs w:val="20"/>
                <w:color w:val="auto"/>
              </w:rPr>
            </w:pPr>
            <w:r>
              <w:rPr>
                <w:rFonts w:ascii="Arial" w:cs="Arial" w:eastAsia="Arial" w:hAnsi="Arial"/>
                <w:sz w:val="18"/>
                <w:szCs w:val="18"/>
                <w:color w:val="auto"/>
                <w:w w:val="92"/>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Price and Sales Allowances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4"/>
          </w:tcPr>
          <w:p>
            <w:pPr>
              <w:jc w:val="center"/>
              <w:ind w:right="84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1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Increased Promotional Spending</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ind w:right="47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470"/>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512"/>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5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Meals &amp; Beverages, sales decreased 3% primarily due to declines in U.S. soup as well as foodservice driven by the loss of a refrigerated soup contract, partially offset by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Sales of U.S. soup decreased 3% due to declines in broth and condensed soups, which were negatively impacted by movements in retailer inventory levels related to the timing of the Thanksgiving holiday. Sales of ready-to-serve soups were comparable to the prior year.</w:t>
      </w:r>
    </w:p>
    <w:p>
      <w:pPr>
        <w:spacing w:after="0" w:line="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Snacks, sales increased 2% reflecting gains in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fresh bakery products and Pepperidge Farm cookies, as well as gains in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and </w:t>
      </w:r>
      <w:r>
        <w:rPr>
          <w:rFonts w:ascii="Arial" w:cs="Arial" w:eastAsia="Arial" w:hAnsi="Arial"/>
          <w:sz w:val="16"/>
          <w:szCs w:val="16"/>
          <w:i w:val="1"/>
          <w:iCs w:val="1"/>
          <w:color w:val="auto"/>
        </w:rPr>
        <w:t>Kettle Brand</w:t>
      </w:r>
      <w:r>
        <w:rPr>
          <w:rFonts w:ascii="Arial" w:cs="Arial" w:eastAsia="Arial" w:hAnsi="Arial"/>
          <w:sz w:val="16"/>
          <w:szCs w:val="16"/>
          <w:color w:val="auto"/>
        </w:rPr>
        <w:t xml:space="preserve"> potato chips, partially offset by declines in partner brands within the Snyder's-Lance portfolio. Partner brands, which consist of third-party branded products that we sell, declined as we continued our planned prioritization of select partners to reduce complexity and improve execution.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$12 million in 2020 from 2019. As a percent of sales, gross profit was 33.8% in 2020, 33.0% in 2019.</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0.8 percentage-point increase in gross profit percentage was due to the following factors: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Margin Impact</w:t>
            </w: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7"/>
              </w:rPr>
              <w:t>1.3</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0.5</w:t>
            </w:r>
          </w:p>
        </w:tc>
      </w:tr>
      <w:tr>
        <w:trPr>
          <w:trHeight w:val="27"/>
        </w:trPr>
        <w:tc>
          <w:tcPr>
            <w:tcW w:w="10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restructuring-related costs</w:t>
            </w:r>
          </w:p>
        </w:tc>
        <w:tc>
          <w:tcPr>
            <w:tcW w:w="126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7"/>
              </w:rPr>
              <w:t>0.5</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0.1</w:t>
            </w:r>
          </w:p>
        </w:tc>
      </w:tr>
      <w:tr>
        <w:trPr>
          <w:trHeight w:val="27"/>
        </w:trPr>
        <w:tc>
          <w:tcPr>
            <w:tcW w:w="10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(0.8)</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Pr>
          <w:p>
            <w:pPr>
              <w:jc w:val="right"/>
              <w:ind w:right="432"/>
              <w:spacing w:after="0"/>
              <w:rPr>
                <w:sz w:val="20"/>
                <w:szCs w:val="20"/>
                <w:color w:val="auto"/>
              </w:rPr>
            </w:pPr>
            <w:r>
              <w:rPr>
                <w:rFonts w:ascii="Arial" w:cs="Arial" w:eastAsia="Arial" w:hAnsi="Arial"/>
                <w:sz w:val="18"/>
                <w:szCs w:val="18"/>
                <w:b w:val="1"/>
                <w:bCs w:val="1"/>
                <w:color w:val="auto"/>
              </w:rPr>
              <w:t>(0.8)</w:t>
            </w:r>
          </w:p>
        </w:tc>
      </w:tr>
      <w:tr>
        <w:trPr>
          <w:trHeight w:val="27"/>
        </w:trPr>
        <w:tc>
          <w:tcPr>
            <w:tcW w:w="10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10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b w:val="1"/>
                <w:bCs w:val="1"/>
                <w:color w:val="auto"/>
              </w:rPr>
              <w:t>0.8%</w:t>
            </w:r>
          </w:p>
        </w:tc>
      </w:tr>
      <w:tr>
        <w:trPr>
          <w:trHeight w:val="20"/>
        </w:trPr>
        <w:tc>
          <w:tcPr>
            <w:tcW w:w="10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a positive margin impact of 0.9 from cost savings initiatives, which was more than offset by cost inflation and other factors.</w:t>
      </w:r>
    </w:p>
    <w:p>
      <w:pPr>
        <w:spacing w:after="0" w:line="8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Marketing and Selling Expenses</w:t>
      </w:r>
    </w:p>
    <w:p>
      <w:pPr>
        <w:spacing w:after="0" w:line="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Marketing and selling expenses as a percent of sales were 9.4% in 2020 compared to 9.6% in 2019. Marketing and selling expenses decreased 2% in 2020 from 2019. The decrease was primarily due to increased benefits from cost savings initiatives (approximately 7 percentage points), partially offset by higher advertising and consumer promotion expenses (approximately 4 percentage points) and higher costs related to marketing overhead (approximately 1 percentage point). The increase in advertising and consumer promotion expenses was primarily in Snacks, due to increased support of Snyder's-Lance brands.</w:t>
      </w:r>
    </w:p>
    <w:p>
      <w:pPr>
        <w:sectPr>
          <w:pgSz w:w="11900" w:h="16838" w:orient="portrait"/>
          <w:cols w:equalWidth="0" w:num="1">
            <w:col w:w="11420"/>
          </w:cols>
          <w:pgMar w:left="240" w:top="985"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6.1% in 2020 compared to 6.7% in 2019. Administrative expenses decreased 9% in 2020 from 2019. The decrease was primarily due to increased benefits from cost savings initiatives (approximately 7 percentage points); lower costs associated with cost savings initiatives (approximately 3 percentage points); and costs associated with the proxy contest in the prior year (approximately 3 percentage points), partially offset by higher general administrative costs and inflation (approximately 4 percentage points).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expenses increased $56 million in 2020 compared to 2019. The increase was primarily due to a loss of $64 million on the sale of the European chips business, partially offset by lower investment losses of $5 million and higher net periodic benefit income of $3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2% in 2020 from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27, 2019</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28, 2018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290</w:t>
            </w:r>
          </w:p>
        </w:tc>
        <w:tc>
          <w:tcPr>
            <w:tcW w:w="10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(3)</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Snacks</w:t>
            </w:r>
          </w:p>
        </w:tc>
        <w:tc>
          <w:tcPr>
            <w:tcW w:w="54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ind w:left="4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415</w:t>
            </w:r>
          </w:p>
        </w:tc>
        <w:tc>
          <w:tcPr>
            <w:tcW w:w="10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(2)</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ind w:left="44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Meals &amp; Beverages decreased 3%. The decrease was primarily due to cost inflation and sales declines, partly offset by the benefits of cost savings initiatives and supply chain productivity programs.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earnings from Snacks were comparable with prior year as the benefits of cost savings initiatives and supply chain productivity programs, were offset by cost inflation and increased marketing support.</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in 2020 included a loss of $64 million from the sale of the European chips business and costs of $8 million related to costs savings initiatives. Corporate in 2019 included costs of $27 million related to cost savings initiatives. Excluding these amounts, the remaining decrease in expenses primarily reflects gains on open commodity contracts, lower losses on investments, lapping costs in the prior year related to the 2019 proxy contest, and higher pension and postretirement benefit income.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decreased to $80 million in 2020 from $91 million in 2019. The decrease in interest expense was due to lower levels of debt as we used the net proceeds from the businesses sold to reduce debt.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effective tax rate was 28.7% in 2020 and 23.7% in 2019. The effective tax rate increased in 2020 as we recognized a $4 million tax benefit on the $64 million loss on the sale of the European chips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 We will continue to streamline our organization and expand our zero-based budgeting efforts.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32" w:name="page33"/>
    <w:bookmarkEnd w:id="32"/>
    <w:p>
      <w:pPr>
        <w:ind w:left="340"/>
        <w:spacing w:after="0"/>
        <w:rPr>
          <w:sz w:val="20"/>
          <w:szCs w:val="20"/>
          <w:color w:val="auto"/>
        </w:rPr>
      </w:pPr>
      <w:r>
        <w:rPr>
          <w:rFonts w:ascii="Arial" w:cs="Arial" w:eastAsia="Arial" w:hAnsi="Arial"/>
          <w:sz w:val="18"/>
          <w:szCs w:val="18"/>
          <w:color w:val="auto"/>
        </w:rPr>
        <w:t>A summary of pre-tax charges recorded in Earnings from continuing operations related to these initiatives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0"/>
                <w:szCs w:val="10"/>
                <w:color w:val="auto"/>
              </w:rPr>
            </w:pPr>
          </w:p>
        </w:tc>
        <w:tc>
          <w:tcPr>
            <w:tcW w:w="13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October 27, 2019</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October 28, 2018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77"/>
              <w:spacing w:after="0" w:line="122" w:lineRule="exact"/>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6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October 27, 2019</w:t>
            </w:r>
          </w:p>
        </w:tc>
        <w:tc>
          <w:tcPr>
            <w:tcW w:w="0" w:type="dxa"/>
            <w:vAlign w:val="bottom"/>
          </w:tcPr>
          <w:p>
            <w:pPr>
              <w:spacing w:after="0"/>
              <w:rPr>
                <w:sz w:val="1"/>
                <w:szCs w:val="1"/>
                <w:color w:val="auto"/>
              </w:rPr>
            </w:pP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Aggregate after-tax impact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56"/>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impact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220" w:type="dxa"/>
            <w:vAlign w:val="bottom"/>
            <w:gridSpan w:val="4"/>
          </w:tcPr>
          <w:p>
            <w:pPr>
              <w:ind w:left="340"/>
              <w:spacing w:after="0"/>
              <w:rPr>
                <w:sz w:val="20"/>
                <w:szCs w:val="20"/>
                <w:color w:val="auto"/>
              </w:rPr>
            </w:pPr>
            <w:r>
              <w:rPr>
                <w:rFonts w:ascii="Arial" w:cs="Arial" w:eastAsia="Arial" w:hAnsi="Arial"/>
                <w:sz w:val="18"/>
                <w:szCs w:val="18"/>
                <w:color w:val="auto"/>
                <w:w w:val="94"/>
              </w:rPr>
              <w:t>A summary of the pre-tax charges recorded in Earnings (loss) from discontinued operations is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0"/>
                <w:szCs w:val="10"/>
                <w:color w:val="auto"/>
              </w:rPr>
            </w:pPr>
          </w:p>
        </w:tc>
        <w:tc>
          <w:tcPr>
            <w:tcW w:w="13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October 27, 2019</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October 28, 2018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77"/>
              <w:spacing w:after="0" w:line="122" w:lineRule="exact"/>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6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October 27, 2019</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3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5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$19 million of severance pay and benefits and $4 million of implementation costs and other related costs.</w:t>
      </w:r>
    </w:p>
    <w:p>
      <w:pPr>
        <w:spacing w:after="0" w:line="82"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ectPr>
          <w:pgSz w:w="11900" w:h="16838" w:orient="portrait"/>
          <w:cols w:equalWidth="0" w:num="1">
            <w:col w:w="11420"/>
          </w:cols>
          <w:pgMar w:left="240" w:top="989" w:right="239" w:bottom="1440" w:gutter="0" w:footer="0" w:header="0"/>
        </w:sectPr>
      </w:pP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pre-tax costs in Earnings from continuing operations associated with these initiatives is as follows: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1233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Severance pay and benefits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Implementation costs and other related 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249"/>
        <w:spacing w:after="0"/>
        <w:rPr>
          <w:sz w:val="20"/>
          <w:szCs w:val="20"/>
          <w:color w:val="auto"/>
        </w:rPr>
      </w:pPr>
      <w:r>
        <w:rPr>
          <w:rFonts w:ascii="Arial" w:cs="Arial" w:eastAsia="Arial" w:hAnsi="Arial"/>
          <w:sz w:val="13"/>
          <w:szCs w:val="13"/>
          <w:b w:val="1"/>
          <w:bCs w:val="1"/>
          <w:color w:val="auto"/>
        </w:rPr>
        <w:t>Recognized as of</w:t>
      </w:r>
    </w:p>
    <w:p>
      <w:pPr>
        <w:spacing w:after="0" w:line="15" w:lineRule="exact"/>
        <w:rPr>
          <w:sz w:val="20"/>
          <w:szCs w:val="20"/>
          <w:color w:val="auto"/>
        </w:rPr>
      </w:pPr>
    </w:p>
    <w:p>
      <w:pPr>
        <w:ind w:left="229"/>
        <w:spacing w:after="0"/>
        <w:rPr>
          <w:sz w:val="20"/>
          <w:szCs w:val="20"/>
          <w:color w:val="auto"/>
        </w:rPr>
      </w:pPr>
      <w:r>
        <w:rPr>
          <w:rFonts w:ascii="Arial" w:cs="Arial" w:eastAsia="Arial" w:hAnsi="Arial"/>
          <w:sz w:val="14"/>
          <w:szCs w:val="14"/>
          <w:b w:val="1"/>
          <w:bCs w:val="1"/>
          <w:color w:val="auto"/>
        </w:rPr>
        <w:t>October 27, 2019</w:t>
      </w:r>
    </w:p>
    <w:p>
      <w:pPr>
        <w:spacing w:after="0" w:line="47" w:lineRule="exact"/>
        <w:rPr>
          <w:sz w:val="20"/>
          <w:szCs w:val="20"/>
          <w:color w:val="auto"/>
        </w:rPr>
      </w:pPr>
    </w:p>
    <w:p>
      <w:pPr>
        <w:ind w:left="1109" w:hanging="1109"/>
        <w:spacing w:after="0"/>
        <w:tabs>
          <w:tab w:leader="none" w:pos="11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208</w:t>
      </w:r>
    </w:p>
    <w:p>
      <w:pPr>
        <w:spacing w:after="0" w:line="86" w:lineRule="exact"/>
        <w:rPr>
          <w:rFonts w:ascii="Arial" w:cs="Arial" w:eastAsia="Arial" w:hAnsi="Arial"/>
          <w:sz w:val="16"/>
          <w:szCs w:val="16"/>
          <w:color w:val="auto"/>
        </w:rPr>
      </w:pPr>
    </w:p>
    <w:p>
      <w:pPr>
        <w:ind w:left="1209"/>
        <w:spacing w:after="0"/>
        <w:rPr>
          <w:rFonts w:ascii="Arial" w:cs="Arial" w:eastAsia="Arial" w:hAnsi="Arial"/>
          <w:sz w:val="16"/>
          <w:szCs w:val="16"/>
          <w:color w:val="auto"/>
        </w:rPr>
      </w:pPr>
      <w:r>
        <w:rPr>
          <w:rFonts w:ascii="Arial" w:cs="Arial" w:eastAsia="Arial" w:hAnsi="Arial"/>
          <w:sz w:val="16"/>
          <w:szCs w:val="16"/>
          <w:color w:val="auto"/>
        </w:rPr>
        <w:t>63</w:t>
      </w:r>
    </w:p>
    <w:p>
      <w:pPr>
        <w:spacing w:after="0" w:line="86"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861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7" w:lineRule="exact"/>
        <w:rPr>
          <w:sz w:val="20"/>
          <w:szCs w:val="20"/>
          <w:color w:val="auto"/>
        </w:rPr>
      </w:pPr>
    </w:p>
    <w:p>
      <w:pPr>
        <w:ind w:left="1109" w:hanging="1109"/>
        <w:spacing w:after="0"/>
        <w:tabs>
          <w:tab w:leader="none" w:pos="11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86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986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111" w:space="720"/>
            <w:col w:w="1589"/>
          </w:cols>
          <w:pgMar w:left="240" w:top="989" w:right="239" w:bottom="1440" w:gutter="0" w:footer="0" w:header="0"/>
          <w:type w:val="continuous"/>
        </w:sectPr>
      </w:pPr>
    </w:p>
    <w:p>
      <w:pPr>
        <w:ind w:right="46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$635 million to $670 million. This estimate will be updated as costs for the expanded initiatives are developed.</w:t>
      </w:r>
    </w:p>
    <w:p>
      <w:pPr>
        <w:spacing w:after="0" w:line="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associated with continuing operations that have been identified to date to consist of the following: approximately $210 million to $215 million in severance pay and benefits; approximately $65 million in asset impairment and accelerated depreciation; and approximately $360 million to $390 million in implementation costs and other related costs. We expect these pre-tax costs to be associated with our segments as follows: Meals &amp; Beverages - approximately 34%; Snacks - approximately 41%; and Corporate - approximately 25%.</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$635 million to $670 million of pre-tax costs associated with continuing operations identified to date, we expect approximately $560 million to $595 million will be cash expenditures. In addition, we expect to invest approximately $390 million in capital expenditures through 2021, of which we invested approximately $265 million as of October 27, 2019. The capital expenditures primarily relate to the U.S. warehouse optimization project, implementation of an SAP enterprise-resource planning system for Snyder's-Lance, improvement of quality, safety and cost structure across the Snyder’s-Lance manufacturing network,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incur the costs for the actions associated with continuing operations that have been identified to date through 2021 and to fund the costs through cash flows from operations and short-term borrowings.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33" w:name="page34"/>
    <w:bookmarkEnd w:id="33"/>
    <w:p>
      <w:pPr>
        <w:jc w:val="both"/>
        <w:ind w:firstLine="324"/>
        <w:spacing w:after="0" w:line="259" w:lineRule="auto"/>
        <w:rPr>
          <w:sz w:val="20"/>
          <w:szCs w:val="20"/>
          <w:color w:val="auto"/>
        </w:rPr>
      </w:pPr>
      <w:r>
        <w:rPr>
          <w:rFonts w:ascii="Arial" w:cs="Arial" w:eastAsia="Arial" w:hAnsi="Arial"/>
          <w:sz w:val="18"/>
          <w:szCs w:val="18"/>
          <w:color w:val="auto"/>
        </w:rPr>
        <w:t>We expect the initiatives for actions associated with continuing operations that have been identified to date to generate pre-tax savings of $700 million to $710 million in 2020, and once all phases are implemented, to generate annual ongoing savings of approximately $850 million by the end of 2022. In the first quarter of 2020, we generated an additional $45 million of pre-tax savings. The annual pre-tax savings associated with continuing operations generated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28, 2019</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30, 2017</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August 2, 2015</w:t>
            </w:r>
          </w:p>
        </w:tc>
      </w:tr>
      <w:tr>
        <w:trPr>
          <w:trHeight w:val="24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560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85</w:t>
            </w:r>
          </w:p>
        </w:tc>
      </w:tr>
      <w:tr>
        <w:trPr>
          <w:trHeight w:val="27"/>
        </w:trPr>
        <w:tc>
          <w:tcPr>
            <w:tcW w:w="4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initiatives for actions associated with discontinued operations generated pre-tax savings of over $90 million in 2019 and $60 million in 2018.</w:t>
      </w:r>
    </w:p>
    <w:p>
      <w:pPr>
        <w:spacing w:after="0" w:line="1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October 27, 2019</w:t>
            </w:r>
          </w:p>
        </w:tc>
        <w:tc>
          <w:tcPr>
            <w:tcW w:w="760" w:type="dxa"/>
            <w:vAlign w:val="bottom"/>
            <w:tcBorders>
              <w:bottom w:val="single" w:sz="8" w:color="auto"/>
            </w:tcBorders>
          </w:tcPr>
          <w:p>
            <w:pPr>
              <w:spacing w:after="0"/>
              <w:rPr>
                <w:sz w:val="16"/>
                <w:szCs w:val="16"/>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r>
      <w:tr>
        <w:trPr>
          <w:trHeight w:val="264"/>
        </w:trPr>
        <w:tc>
          <w:tcPr>
            <w:tcW w:w="82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583</w:t>
            </w:r>
          </w:p>
        </w:tc>
      </w:tr>
      <w:tr>
        <w:trPr>
          <w:trHeight w:val="21"/>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approximately $55 million, subject to customary purchase price adjustments. On June 16, 2019, we sold our Bolthouse Farms business. Proceeds were approximately $500 million, subject to customary purchase price adjustments.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completed the sale of our Kelsen business on September 23, 2019, for $322 million, subject to customary purchase price adjustments. We also signed a definitive agreement on August 1, 2019, for the sale of the Arnott’s and other international operations for $2.2 billion, subject to customary purchase price adjustments. We expect to complete the sale in the second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Campbell International</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Campbell Fresh</w:t>
            </w: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27, 2019</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28, 2018</w:t>
            </w: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28, 2018</w:t>
            </w:r>
          </w:p>
        </w:tc>
      </w:tr>
      <w:tr>
        <w:trPr>
          <w:trHeight w:val="295"/>
        </w:trPr>
        <w:tc>
          <w:tcPr>
            <w:tcW w:w="694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440" w:type="dxa"/>
            <w:vAlign w:val="bottom"/>
            <w:tcBorders>
              <w:top w:val="single" w:sz="8" w:color="auto"/>
              <w:bottom w:val="single" w:sz="8" w:color="auto"/>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BFE4FF"/>
          </w:tcPr>
          <w:p>
            <w:pPr>
              <w:jc w:val="right"/>
              <w:ind w:right="52"/>
              <w:spacing w:after="0"/>
              <w:rPr>
                <w:sz w:val="20"/>
                <w:szCs w:val="20"/>
                <w:color w:val="auto"/>
              </w:rPr>
            </w:pPr>
            <w:r>
              <w:rPr>
                <w:rFonts w:ascii="Arial" w:cs="Arial" w:eastAsia="Arial" w:hAnsi="Arial"/>
                <w:sz w:val="18"/>
                <w:szCs w:val="18"/>
                <w:b w:val="1"/>
                <w:bCs w:val="1"/>
                <w:color w:val="auto"/>
              </w:rPr>
              <w:t>223</w:t>
            </w:r>
          </w:p>
        </w:tc>
        <w:tc>
          <w:tcPr>
            <w:tcW w:w="120" w:type="dxa"/>
            <w:vAlign w:val="bottom"/>
            <w:tcBorders>
              <w:top w:val="single" w:sz="8" w:color="BFE4FF"/>
              <w:bottom w:val="single" w:sz="8" w:color="BFE4FF"/>
            </w:tcBorders>
            <w:shd w:val="clear" w:color="auto" w:fill="BFE4FF"/>
          </w:tcPr>
          <w:p>
            <w:pPr>
              <w:spacing w:after="0"/>
              <w:rPr>
                <w:sz w:val="24"/>
                <w:szCs w:val="24"/>
                <w:color w:val="auto"/>
              </w:rPr>
            </w:pPr>
          </w:p>
        </w:tc>
        <w:tc>
          <w:tcPr>
            <w:tcW w:w="820" w:type="dxa"/>
            <w:vAlign w:val="bottom"/>
            <w:tcBorders>
              <w:top w:val="single" w:sz="8" w:color="auto"/>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266</w:t>
            </w:r>
          </w:p>
        </w:tc>
        <w:tc>
          <w:tcPr>
            <w:tcW w:w="80" w:type="dxa"/>
            <w:vAlign w:val="bottom"/>
            <w:tcBorders>
              <w:top w:val="single" w:sz="8" w:color="BFE4FF"/>
              <w:bottom w:val="single" w:sz="8" w:color="BFE4FF"/>
            </w:tcBorders>
            <w:shd w:val="clear" w:color="auto" w:fill="BFE4FF"/>
          </w:tcPr>
          <w:p>
            <w:pPr>
              <w:spacing w:after="0"/>
              <w:rPr>
                <w:sz w:val="24"/>
                <w:szCs w:val="24"/>
                <w:color w:val="auto"/>
              </w:rPr>
            </w:pPr>
          </w:p>
        </w:tc>
        <w:tc>
          <w:tcPr>
            <w:tcW w:w="180" w:type="dxa"/>
            <w:vAlign w:val="bottom"/>
            <w:tcBorders>
              <w:top w:val="single" w:sz="8" w:color="auto"/>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BFE4FF"/>
          </w:tcPr>
          <w:p>
            <w:pPr>
              <w:jc w:val="right"/>
              <w:ind w:right="52"/>
              <w:spacing w:after="0"/>
              <w:rPr>
                <w:sz w:val="20"/>
                <w:szCs w:val="20"/>
                <w:color w:val="auto"/>
              </w:rPr>
            </w:pPr>
            <w:r>
              <w:rPr>
                <w:rFonts w:ascii="Arial" w:cs="Arial" w:eastAsia="Arial" w:hAnsi="Arial"/>
                <w:sz w:val="18"/>
                <w:szCs w:val="18"/>
                <w:color w:val="auto"/>
              </w:rPr>
              <w:t>226</w:t>
            </w:r>
          </w:p>
        </w:tc>
      </w:tr>
      <w:tr>
        <w:trPr>
          <w:trHeight w:val="20"/>
        </w:trPr>
        <w:tc>
          <w:tcPr>
            <w:tcW w:w="694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60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240" w:type="dxa"/>
            <w:vAlign w:val="bottom"/>
            <w:tcBorders>
              <w:top w:val="single" w:sz="8" w:color="BFE4FF"/>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6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Impairment charges</w:t>
            </w:r>
          </w:p>
        </w:tc>
        <w:tc>
          <w:tcPr>
            <w:tcW w:w="4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14</w:t>
            </w:r>
          </w:p>
        </w:tc>
      </w:tr>
      <w:tr>
        <w:trPr>
          <w:trHeight w:val="270"/>
        </w:trPr>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6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4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4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Loss on sale of business / costs associated with selling the businesses</w:t>
            </w:r>
          </w:p>
        </w:tc>
        <w:tc>
          <w:tcPr>
            <w:tcW w:w="4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Tax benefit on loss of sale / costs associated with selling the businesses</w:t>
            </w:r>
          </w:p>
        </w:tc>
        <w:tc>
          <w:tcPr>
            <w:tcW w:w="4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6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4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BFE4FF"/>
            </w:tcBorders>
            <w:shd w:val="clear" w:color="auto" w:fill="BFE4FF"/>
          </w:tcPr>
          <w:p>
            <w:pPr>
              <w:spacing w:after="0"/>
              <w:rPr>
                <w:sz w:val="24"/>
                <w:szCs w:val="24"/>
                <w:color w:val="auto"/>
              </w:rPr>
            </w:pPr>
          </w:p>
        </w:tc>
        <w:tc>
          <w:tcPr>
            <w:tcW w:w="8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BFE4FF"/>
            </w:tcBorders>
            <w:shd w:val="clear" w:color="auto" w:fill="BFE4FF"/>
          </w:tcPr>
          <w:p>
            <w:pPr>
              <w:spacing w:after="0"/>
              <w:rPr>
                <w:sz w:val="24"/>
                <w:szCs w:val="24"/>
                <w:color w:val="auto"/>
              </w:rPr>
            </w:pPr>
          </w:p>
        </w:tc>
        <w:tc>
          <w:tcPr>
            <w:tcW w:w="18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694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60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240" w:type="dxa"/>
            <w:vAlign w:val="bottom"/>
            <w:tcBorders>
              <w:top w:val="single" w:sz="8" w:color="BFE4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2020, Campbell International sales decreased reflecting the sale of Kelsen on September 23, 2019 as well as declines in Arnott's, primarily due to the negative impact of currency translation.</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Campbell International, the decline in earnings from 2019 to 2020 was due to the loss on sale of Kelsen and costs associated with selling the Arnott’s and other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In the first quarter of 2019, we recorded an impairment charge of $14 million on the U.S. refrigerated soup plant assets in Campbell Fresh.</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2019, we sold our U.S. refrigerated soup business, our Garden Fresh Gourmet business and our Bolthouse Farms business. We completed the sale of our Kelsen business on September 23, 2019, for $322 million, subject to customary purchase price adjustments. We also signed a definitive agreement on August 1, 2019, for the sale of the Arnott’s and other international operations for $2.2 billion, subject to customary purchase price adjustments, and expect to complete the sale in the second quarter of 2020. In addition, on October 11, 2019, we completed the sale of our European chips business for £63 million, or $77 million, subject to customary purchase price adjustments.</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the net proceeds from the businesses we sold to reduce our debt and expect to use the net proceeds from the sale of the Arnott's and other international operations to further reduce debt.</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$182 million in 2020, compared to $231 million in 2019. The decline in 2020 was primarily due to higher working capital requirements, primarily related to incentive compensation.</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while extending payment terms for accounts payables. We had negative working capital of $1.382 billion as of October 27, 2019, and $1.418 billion as of July 28, 2019. Total debt maturing within one year was $1.631 billion as of October 27, 2019, and $1.603 billion as of July 28, 2019.</w:t>
      </w:r>
    </w:p>
    <w:p>
      <w:pPr>
        <w:spacing w:after="0" w:line="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Capital expenditures were $98 million in 2020 and $111 million in 2019. Capital expenditures are expected to total approximately $350 million in 2020. Major capital projects for 2020 include the implementation of an SAP enterprise-resource planning system for Snyder's-Lance, a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 capacity expansion project, a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 capacity expansion project and chip capacity expansion projects.</w:t>
      </w:r>
    </w:p>
    <w:p>
      <w:pPr>
        <w:spacing w:after="0" w:line="60"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 payments were $107 million in 2020 and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suspended our share repurchases as of the second quarter of 2018. See Note 15 to the Consolidated Financial Statements for additional information.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October 27, 2019, we had $1.631 billion of short-term borrowings due within one year, of which $1.134 billion was comprised of commercial paper borrowings. As of October 27, 2019, we issued $54 million of standby letters of credit. We have a committed revolving credit facility totaling $1.85 billion that matures in December 2021. This U.S. facility remained unused at October 27, 2019, except for $1 million of standby letters of credit that we issued under it. The U.S. facility supports our commercial paper programs and other general corporate purposes. We expect to continue to access the commercial paper markets, bank credit lines and utilize cash flows from operations to support our short-term liquidity requirements.</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28, 2019 (2019 Annual Report on Form 10-K). The accounting policies we used in preparing these financial statements are substantially consistent with those we applied in our 2019 Annual Report on Form 10-K, with the exception of the adoption of revised guidance on leases as described in Notes 2 and 11 to the Consolidated Financial Statements. Our significant accounting estimates are described in Management’s Discussion and Analysis included in the 2019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2019 Annual Report on Form 10-K, could affect our actual results and could cause such results to vary materially from those expressed in any forward-looking statements made by, or on behalf of, us:</w:t>
      </w:r>
    </w:p>
    <w:p>
      <w:pPr>
        <w:spacing w:after="0" w:line="60" w:lineRule="exact"/>
        <w:rPr>
          <w:sz w:val="20"/>
          <w:szCs w:val="20"/>
          <w:color w:val="auto"/>
        </w:rPr>
      </w:pPr>
    </w:p>
    <w:p>
      <w:pPr>
        <w:ind w:left="660" w:right="3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maintaining our market share position in soup;</w:t>
      </w:r>
    </w:p>
    <w:p>
      <w:pPr>
        <w:spacing w:after="0" w:line="48"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3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complete and to realize the projected benefits of planned divestitures and other business portfolio changes;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03"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0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4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36" w:name="page37"/>
    <w:bookmarkEnd w:id="36"/>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2019 Annual Report on Form 10-K. There have been no significant changes in our portfolio of financial instruments or market risk exposures from the 2019 year-end.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October 27, 2019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quarter ended October 27, 2019, we began using a new system in substantially all of our Meals &amp; Beverages business and our Pepperidge Farm business to authorize and record trade promotion related activities, as well as authorize payments associated with our trade programs. In connection with this implementation, we changed internal controls relating to the customer promotion spending management process. Except for the foregoing, 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October 27, 2019.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17 to the Consolidated Financial Statements and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10080" w:type="dxa"/>
            <w:vAlign w:val="bottom"/>
            <w:gridSpan w:val="5"/>
          </w:tcPr>
          <w:p>
            <w:pPr>
              <w:ind w:left="3640"/>
              <w:spacing w:after="0"/>
              <w:rPr>
                <w:sz w:val="20"/>
                <w:szCs w:val="20"/>
                <w:color w:val="auto"/>
              </w:rPr>
            </w:pPr>
            <w:r>
              <w:rPr>
                <w:rFonts w:ascii="Arial" w:cs="Arial" w:eastAsia="Arial" w:hAnsi="Arial"/>
                <w:sz w:val="18"/>
                <w:szCs w:val="18"/>
                <w:color w:val="auto"/>
              </w:rPr>
              <w:t>INDEX TO EXHIBITS</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340" w:type="dxa"/>
            <w:vAlign w:val="bottom"/>
            <w:tcBorders>
              <w:bottom w:val="single" w:sz="8" w:color="0000FF"/>
            </w:tcBorders>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Certification of Mark A. Clouse pursuant to Rule 13a-14(a).</w:t>
              </w:r>
            </w:hyperlink>
          </w:p>
        </w:tc>
        <w:tc>
          <w:tcPr>
            <w:tcW w:w="5740" w:type="dxa"/>
            <w:vAlign w:val="bottom"/>
            <w:gridSpan w:val="4"/>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4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Mick Beekhuizen pursuant to Rule 13a-14(a).</w:t>
              </w:r>
            </w:hyperlink>
          </w:p>
        </w:tc>
        <w:tc>
          <w:tcPr>
            <w:tcW w:w="5620" w:type="dxa"/>
            <w:vAlign w:val="bottom"/>
            <w:gridSpan w:val="3"/>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9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Mark A. Clouse pursuant to 18 U.S.C. Section 1350.</w:t>
              </w:r>
            </w:hyperlink>
          </w:p>
        </w:tc>
        <w:tc>
          <w:tcPr>
            <w:tcW w:w="5120" w:type="dxa"/>
            <w:vAlign w:val="bottom"/>
            <w:gridSpan w:val="2"/>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50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Mick Beekhuizen pursuant to 18 U.S.C. Section 1350.</w:t>
              </w:r>
            </w:hyperlink>
          </w:p>
        </w:tc>
        <w:tc>
          <w:tcPr>
            <w:tcW w:w="5000" w:type="dxa"/>
            <w:vAlign w:val="bottom"/>
          </w:tcPr>
          <w:p>
            <w:pPr>
              <w:spacing w:after="0"/>
              <w:rPr>
                <w:sz w:val="24"/>
                <w:szCs w:val="24"/>
                <w:color w:val="auto"/>
              </w:rPr>
            </w:pPr>
          </w:p>
        </w:tc>
      </w:tr>
      <w:tr>
        <w:trPr>
          <w:trHeight w:val="38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on the Interactive Data File because its XBRL tags are embedded</w:t>
            </w:r>
          </w:p>
        </w:tc>
      </w:tr>
      <w:tr>
        <w:trPr>
          <w:trHeight w:val="230"/>
        </w:trPr>
        <w:tc>
          <w:tcPr>
            <w:tcW w:w="112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Extension Schema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134" w:lineRule="exact"/>
        <w:rPr>
          <w:sz w:val="20"/>
          <w:szCs w:val="20"/>
          <w:color w:val="auto"/>
        </w:rPr>
      </w:pPr>
    </w:p>
    <w:p>
      <w:pPr>
        <w:ind w:left="1120" w:hanging="1113"/>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December 4, 2019</w:t>
      </w:r>
    </w:p>
    <w:p>
      <w:pPr>
        <w:spacing w:after="0" w:line="5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CAMPBELL SOUP COMPANY</w:t>
      </w:r>
    </w:p>
    <w:p>
      <w:pPr>
        <w:spacing w:after="0" w:line="28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32156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Mick Beekhuizen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3215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891"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89"/>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11"/>
        <w:spacing w:after="0" w:line="342" w:lineRule="auto"/>
        <w:tabs>
          <w:tab w:leader="none" w:pos="3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20" w:firstLine="211"/>
        <w:spacing w:after="0" w:line="277" w:lineRule="auto"/>
        <w:tabs>
          <w:tab w:leader="none" w:pos="3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11"/>
        <w:spacing w:after="0" w:line="264" w:lineRule="auto"/>
        <w:tabs>
          <w:tab w:leader="none" w:pos="3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54"/>
        <w:spacing w:after="0" w:line="264" w:lineRule="auto"/>
        <w:tabs>
          <w:tab w:leader="none" w:pos="6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54"/>
        <w:spacing w:after="0" w:line="264" w:lineRule="auto"/>
        <w:tabs>
          <w:tab w:leader="none" w:pos="6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54"/>
        <w:spacing w:after="0" w:line="277" w:lineRule="auto"/>
        <w:tabs>
          <w:tab w:leader="none" w:pos="6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54"/>
        <w:spacing w:after="0" w:line="264" w:lineRule="auto"/>
        <w:tabs>
          <w:tab w:leader="none" w:pos="6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60" w:firstLine="211"/>
        <w:spacing w:after="0" w:line="308" w:lineRule="auto"/>
        <w:tabs>
          <w:tab w:leader="none" w:pos="37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60" w:firstLine="454"/>
        <w:spacing w:after="0" w:line="277" w:lineRule="auto"/>
        <w:tabs>
          <w:tab w:leader="none" w:pos="6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454"/>
        <w:spacing w:after="0" w:line="277" w:lineRule="auto"/>
        <w:tabs>
          <w:tab w:leader="none" w:pos="6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2019</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p>
      <w:pPr>
        <w:spacing w:after="0" w:line="7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100" w:space="340"/>
            <w:col w:w="5980"/>
          </w:cols>
          <w:pgMar w:left="240" w:top="891" w:right="239" w:bottom="1440" w:gutter="0" w:footer="0" w:header="0"/>
          <w:type w:val="continuous"/>
        </w:sectPr>
      </w:pPr>
    </w:p>
    <w:p>
      <w:pPr>
        <w:ind w:left="46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000" w:space="440"/>
            <w:col w:w="5980"/>
          </w:cols>
          <w:pgMar w:left="240" w:top="891"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Mick Beekhuizen, certify that:</w:t>
      </w:r>
    </w:p>
    <w:p>
      <w:pPr>
        <w:spacing w:after="0" w:line="171" w:lineRule="exact"/>
        <w:rPr>
          <w:sz w:val="20"/>
          <w:szCs w:val="20"/>
          <w:color w:val="auto"/>
        </w:rPr>
      </w:pPr>
    </w:p>
    <w:p>
      <w:pPr>
        <w:ind w:left="400" w:hanging="189"/>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11"/>
        <w:spacing w:after="0" w:line="342" w:lineRule="auto"/>
        <w:tabs>
          <w:tab w:leader="none" w:pos="3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20" w:firstLine="211"/>
        <w:spacing w:after="0" w:line="277" w:lineRule="auto"/>
        <w:tabs>
          <w:tab w:leader="none" w:pos="3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11"/>
        <w:spacing w:after="0" w:line="264" w:lineRule="auto"/>
        <w:tabs>
          <w:tab w:leader="none" w:pos="3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54"/>
        <w:spacing w:after="0" w:line="264" w:lineRule="auto"/>
        <w:tabs>
          <w:tab w:leader="none" w:pos="63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54"/>
        <w:spacing w:after="0" w:line="264"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54"/>
        <w:spacing w:after="0" w:line="277" w:lineRule="auto"/>
        <w:tabs>
          <w:tab w:leader="none" w:pos="631"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54"/>
        <w:spacing w:after="0" w:line="264"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60" w:firstLine="211"/>
        <w:spacing w:after="0" w:line="308" w:lineRule="auto"/>
        <w:tabs>
          <w:tab w:leader="none" w:pos="37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60" w:firstLine="454"/>
        <w:spacing w:after="0" w:line="277" w:lineRule="auto"/>
        <w:tabs>
          <w:tab w:leader="none" w:pos="63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454"/>
        <w:spacing w:after="0" w:line="277"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2019</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3232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620"/>
        <w:spacing w:after="0"/>
        <w:tabs>
          <w:tab w:leader="none" w:pos="5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Mick Beekhuizen</w:t>
      </w:r>
    </w:p>
    <w:p>
      <w:pPr>
        <w:spacing w:after="0" w:line="63" w:lineRule="exact"/>
        <w:rPr>
          <w:sz w:val="20"/>
          <w:szCs w:val="20"/>
          <w:color w:val="auto"/>
        </w:rPr>
      </w:pPr>
    </w:p>
    <w:p>
      <w:pPr>
        <w:ind w:left="462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89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03"/>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27, 2019 (the “Report”), I, Mark A. Clouse,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2019</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32327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p>
      <w:pPr>
        <w:spacing w:after="0" w:line="7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100" w:space="340"/>
            <w:col w:w="5980"/>
          </w:cols>
          <w:pgMar w:left="240" w:top="891" w:right="239" w:bottom="1440" w:gutter="0" w:footer="0" w:header="0"/>
          <w:type w:val="continuous"/>
        </w:sectPr>
      </w:pPr>
    </w:p>
    <w:p>
      <w:pPr>
        <w:ind w:left="46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000" w:space="440"/>
            <w:col w:w="5980"/>
          </w:cols>
          <w:pgMar w:left="240" w:top="89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891"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firstLine="203"/>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27, 2019 (the “Report”), I, Mick Beekhuizen, Executive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4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6"/>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2019</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32670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620"/>
        <w:spacing w:after="0"/>
        <w:tabs>
          <w:tab w:leader="none" w:pos="5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Mick Beekhuizen</w:t>
      </w:r>
    </w:p>
    <w:p>
      <w:pPr>
        <w:spacing w:after="0" w:line="63" w:lineRule="exact"/>
        <w:rPr>
          <w:sz w:val="20"/>
          <w:szCs w:val="20"/>
          <w:color w:val="auto"/>
        </w:rPr>
      </w:pPr>
    </w:p>
    <w:p>
      <w:pPr>
        <w:ind w:left="462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5"/>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7"/>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2019-12-28T01:16:21Z</dcterms:created>
  <dcterms:modified xsi:type="dcterms:W3CDTF">2019-12-28T01:16:21Z</dcterms:modified>
</cp:coreProperties>
</file>