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792" w:right="239" w:bottom="1440" w:gutter="0" w:footer="0" w:header="0"/>
        </w:sectPr>
      </w:pPr>
    </w:p>
    <w:p>
      <w:pPr>
        <w:spacing w:after="0" w:line="137"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sectPr>
          <w:pgSz w:w="11900" w:h="16838" w:orient="portrait"/>
          <w:cols w:equalWidth="0" w:num="2">
            <w:col w:w="7320" w:space="720"/>
            <w:col w:w="3380"/>
          </w:cols>
          <w:pgMar w:left="240" w:top="792" w:right="239" w:bottom="1440" w:gutter="0" w:footer="0" w:header="0"/>
          <w:type w:val="continuous"/>
        </w:sectPr>
      </w:pPr>
    </w:p>
    <w:p>
      <w:pPr>
        <w:ind w:left="1760"/>
        <w:spacing w:after="0"/>
        <w:rPr>
          <w:sz w:val="20"/>
          <w:szCs w:val="20"/>
          <w:color w:val="auto"/>
        </w:rPr>
      </w:pPr>
      <w:r>
        <w:rPr>
          <w:rFonts w:ascii="Arial" w:cs="Arial" w:eastAsia="Arial" w:hAnsi="Arial"/>
          <w:sz w:val="16"/>
          <w:szCs w:val="16"/>
          <w:b w:val="1"/>
          <w:bCs w:val="1"/>
          <w:color w:val="auto"/>
        </w:rPr>
        <w:t>October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186690</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1-3822</w:t>
      </w:r>
    </w:p>
    <w:p>
      <w:pPr>
        <w:spacing w:after="0" w:line="200" w:lineRule="exact"/>
        <w:rPr>
          <w:sz w:val="24"/>
          <w:szCs w:val="24"/>
          <w:color w:val="auto"/>
        </w:rPr>
      </w:pPr>
    </w:p>
    <w:p>
      <w:pPr>
        <w:sectPr>
          <w:pgSz w:w="11900" w:h="16838" w:orient="portrait"/>
          <w:cols w:equalWidth="0" w:num="2">
            <w:col w:w="8040" w:space="720"/>
            <w:col w:w="2660"/>
          </w:cols>
          <w:pgMar w:left="240" w:top="792"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0"/>
        <w:spacing w:after="0"/>
        <w:rPr>
          <w:sz w:val="20"/>
          <w:szCs w:val="20"/>
          <w:color w:val="auto"/>
        </w:rPr>
      </w:pPr>
      <w:r>
        <w:rPr>
          <w:rFonts w:ascii="Arial" w:cs="Arial" w:eastAsia="Arial" w:hAnsi="Arial"/>
          <w:sz w:val="42"/>
          <w:szCs w:val="42"/>
          <w:b w:val="1"/>
          <w:bCs w:val="1"/>
          <w:color w:val="auto"/>
        </w:rPr>
        <w:t>CAMPBELL SOUP COMPANY</w:t>
      </w:r>
    </w:p>
    <w:p>
      <w:pPr>
        <w:sectPr>
          <w:pgSz w:w="11900" w:h="16838" w:orient="portrait"/>
          <w:cols w:equalWidth="0" w:num="1">
            <w:col w:w="11420"/>
          </w:cols>
          <w:pgMar w:left="240" w:top="792" w:right="239" w:bottom="1440" w:gutter="0" w:footer="0" w:header="0"/>
          <w:type w:val="continuous"/>
        </w:sectPr>
      </w:pPr>
    </w:p>
    <w:p>
      <w:pPr>
        <w:spacing w:after="0" w:line="298"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792"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792"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792"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Date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4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92" w:right="239" w:bottom="1440" w:gutter="0" w:footer="0" w:header="0"/>
          <w:type w:val="continuous"/>
        </w:sectPr>
      </w:pPr>
    </w:p>
    <w:p>
      <w:pPr>
        <w:spacing w:after="0" w:line="84"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1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333333"/>
        </w:rPr>
        <w:t>☐</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30" w:lineRule="exact"/>
        <w:rPr>
          <w:sz w:val="24"/>
          <w:szCs w:val="24"/>
          <w:color w:val="auto"/>
        </w:rPr>
      </w:pPr>
    </w:p>
    <w:p>
      <w:pPr>
        <w:ind w:left="24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333333"/>
        </w:rPr>
        <w:t>☐</w:t>
      </w:r>
    </w:p>
    <w:p>
      <w:pPr>
        <w:spacing w:after="0" w:line="511" w:lineRule="exact"/>
        <w:rPr>
          <w:sz w:val="24"/>
          <w:szCs w:val="24"/>
          <w:color w:val="auto"/>
        </w:rPr>
      </w:pPr>
    </w:p>
    <w:p>
      <w:pPr>
        <w:sectPr>
          <w:pgSz w:w="11900" w:h="16838" w:orient="portrait"/>
          <w:cols w:equalWidth="0" w:num="4">
            <w:col w:w="2780" w:space="720"/>
            <w:col w:w="1820" w:space="720"/>
            <w:col w:w="1940" w:space="720"/>
            <w:col w:w="2720"/>
          </w:cols>
          <w:pgMar w:left="240" w:top="792" w:right="23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333333"/>
        </w:rPr>
        <w:t>☐</w:t>
      </w:r>
      <w:r>
        <w:rPr>
          <w:rFonts w:ascii="Arial" w:cs="Arial" w:eastAsia="Arial" w:hAnsi="Arial"/>
          <w:sz w:val="16"/>
          <w:szCs w:val="16"/>
          <w:color w:val="auto"/>
        </w:rPr>
        <w:t xml:space="preserve"> Yes </w:t>
      </w:r>
      <w:r>
        <w:rPr>
          <w:rFonts w:ascii="MS PGothic" w:cs="MS PGothic" w:eastAsia="MS PGothic" w:hAnsi="MS PGothic"/>
          <w:sz w:val="16"/>
          <w:szCs w:val="16"/>
          <w:color w:val="333333"/>
        </w:rPr>
        <w:t>☑</w:t>
      </w:r>
      <w:r>
        <w:rPr>
          <w:rFonts w:ascii="Arial" w:cs="Arial" w:eastAsia="Arial" w:hAnsi="Arial"/>
          <w:sz w:val="16"/>
          <w:szCs w:val="16"/>
          <w:color w:val="auto"/>
        </w:rPr>
        <w:t xml:space="preserve"> No</w:t>
      </w:r>
    </w:p>
    <w:p>
      <w:pPr>
        <w:spacing w:after="0" w:line="315" w:lineRule="exact"/>
        <w:rPr>
          <w:sz w:val="24"/>
          <w:szCs w:val="24"/>
          <w:color w:val="auto"/>
        </w:rPr>
      </w:pPr>
    </w:p>
    <w:p>
      <w:pPr>
        <w:ind w:left="2840"/>
        <w:spacing w:after="0"/>
        <w:rPr>
          <w:sz w:val="20"/>
          <w:szCs w:val="20"/>
          <w:color w:val="auto"/>
        </w:rPr>
      </w:pPr>
      <w:r>
        <w:rPr>
          <w:rFonts w:ascii="Arial" w:cs="Arial" w:eastAsia="Arial" w:hAnsi="Arial"/>
          <w:sz w:val="17"/>
          <w:szCs w:val="17"/>
          <w:color w:val="auto"/>
        </w:rPr>
        <w:t>There were 307,051,879 shares of capital stock outstanding as of December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386715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2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7"/>
                <w:szCs w:val="17"/>
                <w:color w:val="auto"/>
              </w:rPr>
            </w:pPr>
          </w:p>
        </w:tc>
      </w:tr>
      <w:tr>
        <w:trPr>
          <w:trHeight w:val="615"/>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22</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28">
              <w:r>
                <w:rPr>
                  <w:rFonts w:ascii="Arial" w:cs="Arial" w:eastAsia="Arial" w:hAnsi="Arial"/>
                  <w:sz w:val="18"/>
                  <w:szCs w:val="18"/>
                  <w:color w:val="0000EE"/>
                </w:rPr>
                <w:t>Item 3. Quantitative and Qualitative Disclosures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4.</w:t>
              </w:r>
            </w:hyperlink>
          </w:p>
        </w:tc>
        <w:tc>
          <w:tcPr>
            <w:tcW w:w="7520" w:type="dxa"/>
            <w:vAlign w:val="bottom"/>
            <w:gridSpan w:val="3"/>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PART II - OTHER INFORMATION</w:t>
              </w:r>
            </w:hyperlink>
          </w:p>
        </w:tc>
        <w:tc>
          <w:tcPr>
            <w:tcW w:w="1260" w:type="dxa"/>
            <w:vAlign w:val="bottom"/>
          </w:tcPr>
          <w:p>
            <w:pPr>
              <w:spacing w:after="0"/>
              <w:rPr>
                <w:sz w:val="23"/>
                <w:szCs w:val="23"/>
                <w:color w:val="auto"/>
              </w:rPr>
            </w:pPr>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2.</w:t>
              </w:r>
            </w:hyperlink>
          </w:p>
        </w:tc>
        <w:tc>
          <w:tcPr>
            <w:tcW w:w="7520" w:type="dxa"/>
            <w:vAlign w:val="bottom"/>
            <w:gridSpan w:val="3"/>
          </w:tcPr>
          <w:p>
            <w:pPr>
              <w:ind w:left="20"/>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29</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7520" w:type="dxa"/>
            <w:vAlign w:val="bottom"/>
            <w:gridSpan w:val="3"/>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1260" w:type="dxa"/>
            <w:vAlign w:val="bottom"/>
          </w:tcPr>
          <w:p>
            <w:pPr>
              <w:ind w:left="1080"/>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70"/>
        </w:trPr>
        <w:tc>
          <w:tcPr>
            <w:tcW w:w="1220" w:type="dxa"/>
            <w:vAlign w:val="bottom"/>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3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60" w:type="dxa"/>
            <w:vAlign w:val="bottom"/>
          </w:tcPr>
          <w:p>
            <w:pPr>
              <w:ind w:left="1080"/>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918"/>
        </w:trPr>
        <w:tc>
          <w:tcPr>
            <w:tcW w:w="1220" w:type="dxa"/>
            <w:vAlign w:val="bottom"/>
          </w:tcPr>
          <w:p>
            <w:pPr>
              <w:spacing w:after="0"/>
              <w:rPr>
                <w:sz w:val="24"/>
                <w:szCs w:val="24"/>
                <w:color w:val="auto"/>
              </w:rPr>
            </w:pPr>
          </w:p>
        </w:tc>
        <w:tc>
          <w:tcPr>
            <w:tcW w:w="5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October 30,</w:t>
            </w:r>
          </w:p>
        </w:tc>
        <w:tc>
          <w:tcPr>
            <w:tcW w:w="120" w:type="dxa"/>
            <w:vAlign w:val="bottom"/>
          </w:tcPr>
          <w:p>
            <w:pPr>
              <w:spacing w:after="0"/>
              <w:rPr>
                <w:sz w:val="13"/>
                <w:szCs w:val="13"/>
                <w:color w:val="auto"/>
              </w:rPr>
            </w:pPr>
          </w:p>
        </w:tc>
        <w:tc>
          <w:tcPr>
            <w:tcW w:w="900" w:type="dxa"/>
            <w:vAlign w:val="bottom"/>
          </w:tcPr>
          <w:p>
            <w:pPr>
              <w:jc w:val="right"/>
              <w:ind w:right="72"/>
              <w:spacing w:after="0" w:line="153" w:lineRule="exact"/>
              <w:rPr>
                <w:sz w:val="20"/>
                <w:szCs w:val="20"/>
                <w:color w:val="auto"/>
              </w:rPr>
            </w:pPr>
            <w:r>
              <w:rPr>
                <w:rFonts w:ascii="Arial" w:cs="Arial" w:eastAsia="Arial" w:hAnsi="Arial"/>
                <w:sz w:val="14"/>
                <w:szCs w:val="14"/>
                <w:color w:val="auto"/>
                <w:w w:val="89"/>
              </w:rPr>
              <w:t>November 1,</w:t>
            </w:r>
          </w:p>
        </w:tc>
      </w:tr>
      <w:tr>
        <w:trPr>
          <w:trHeight w:val="192"/>
        </w:trPr>
        <w:tc>
          <w:tcPr>
            <w:tcW w:w="92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2015</w:t>
            </w: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2,203</w:t>
            </w:r>
          </w:p>
        </w:tc>
      </w:tr>
      <w:tr>
        <w:trPr>
          <w:trHeight w:val="237"/>
        </w:trPr>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1,448</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226</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9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r>
      <w:tr>
        <w:trPr>
          <w:trHeight w:val="237"/>
        </w:trPr>
        <w:tc>
          <w:tcPr>
            <w:tcW w:w="92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457</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9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93</w:t>
            </w:r>
          </w:p>
        </w:tc>
      </w:tr>
      <w:tr>
        <w:trPr>
          <w:trHeight w:val="27"/>
        </w:trPr>
        <w:tc>
          <w:tcPr>
            <w:tcW w:w="9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w:t>
            </w:r>
          </w:p>
        </w:tc>
      </w:tr>
      <w:tr>
        <w:trPr>
          <w:trHeight w:val="20"/>
        </w:trPr>
        <w:tc>
          <w:tcPr>
            <w:tcW w:w="9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r>
      <w:tr>
        <w:trPr>
          <w:trHeight w:val="20"/>
        </w:trPr>
        <w:tc>
          <w:tcPr>
            <w:tcW w:w="9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26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.312</w:t>
            </w:r>
          </w:p>
        </w:tc>
      </w:tr>
      <w:tr>
        <w:trPr>
          <w:trHeight w:val="67"/>
        </w:trPr>
        <w:tc>
          <w:tcPr>
            <w:tcW w:w="9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w:t>
            </w:r>
          </w:p>
        </w:tc>
      </w:tr>
      <w:tr>
        <w:trPr>
          <w:trHeight w:val="20"/>
        </w:trPr>
        <w:tc>
          <w:tcPr>
            <w:tcW w:w="9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r>
      <w:tr>
        <w:trPr>
          <w:trHeight w:val="20"/>
        </w:trPr>
        <w:tc>
          <w:tcPr>
            <w:tcW w:w="9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260" w:type="dxa"/>
            <w:vAlign w:val="bottom"/>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1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310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312</w:t>
            </w:r>
          </w:p>
        </w:tc>
      </w:tr>
      <w:tr>
        <w:trPr>
          <w:trHeight w:val="27"/>
        </w:trPr>
        <w:tc>
          <w:tcPr>
            <w:tcW w:w="9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6"/>
              </w:rPr>
              <w:t>October 30, 2016</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4"/>
              </w:rPr>
              <w:t>November 1, 2015</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6"/>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After-tax</w:t>
            </w:r>
          </w:p>
        </w:tc>
        <w:tc>
          <w:tcPr>
            <w:tcW w:w="140" w:type="dxa"/>
            <w:vAlign w:val="bottom"/>
          </w:tcPr>
          <w:p>
            <w:pPr>
              <w:spacing w:after="0"/>
              <w:rPr>
                <w:sz w:val="13"/>
                <w:szCs w:val="13"/>
                <w:color w:val="auto"/>
              </w:rPr>
            </w:pPr>
          </w:p>
        </w:tc>
        <w:tc>
          <w:tcPr>
            <w:tcW w:w="6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6"/>
              </w:rPr>
              <w:t>Pre-tax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0"/>
              </w:rPr>
              <w:t>Tax</w:t>
            </w:r>
          </w:p>
        </w:tc>
        <w:tc>
          <w:tcPr>
            <w:tcW w:w="7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(expense)</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30,</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31,</w:t>
            </w:r>
          </w:p>
        </w:tc>
      </w:tr>
      <w:tr>
        <w:trPr>
          <w:trHeight w:val="192"/>
        </w:trPr>
        <w:tc>
          <w:tcPr>
            <w:tcW w:w="55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290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296</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841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964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940</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51</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2,146</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1,908</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2,380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2,259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2,263</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1,145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assets ($39 and $34 attributable to variable interest entity)</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109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8,039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7,837</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1,290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653</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587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Dividend payable</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111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3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119</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3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2,760</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2,555</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2,298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414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969</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3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6,441</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6,304</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3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w w:val="90"/>
              </w:rPr>
              <w:t>Capital stock, $.0375 par value; authorized 560 shares; issued 323 shares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2,112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1,927</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(107)</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3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1,589</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3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3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1,598</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8,039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7,837</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554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5540" w:type="dxa"/>
            <w:vAlign w:val="bottom"/>
          </w:tcPr>
          <w:p>
            <w:pPr>
              <w:spacing w:after="0"/>
              <w:rPr>
                <w:sz w:val="24"/>
                <w:szCs w:val="24"/>
                <w:color w:val="auto"/>
              </w:rPr>
            </w:pPr>
          </w:p>
        </w:tc>
        <w:tc>
          <w:tcPr>
            <w:tcW w:w="3240" w:type="dxa"/>
            <w:vAlign w:val="bottom"/>
          </w:tcPr>
          <w:p>
            <w:pPr>
              <w:jc w:val="right"/>
              <w:ind w:right="2930"/>
              <w:spacing w:after="0"/>
              <w:rPr>
                <w:sz w:val="20"/>
                <w:szCs w:val="20"/>
                <w:color w:val="auto"/>
              </w:rPr>
            </w:pPr>
            <w:r>
              <w:rPr>
                <w:rFonts w:ascii="Arial" w:cs="Arial" w:eastAsia="Arial" w:hAnsi="Arial"/>
                <w:sz w:val="18"/>
                <w:szCs w:val="18"/>
                <w:color w:val="auto"/>
              </w:rPr>
              <w:t>5</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 w:lineRule="exact"/>
        <w:rPr>
          <w:sz w:val="20"/>
          <w:szCs w:val="20"/>
          <w:color w:val="auto"/>
        </w:rPr>
      </w:pPr>
    </w:p>
    <w:p>
      <w:pPr>
        <w:jc w:val="right"/>
        <w:ind w:right="180"/>
        <w:spacing w:after="0"/>
        <w:tabs>
          <w:tab w:leader="none" w:pos="760" w:val="left"/>
        </w:tabs>
        <w:rPr>
          <w:sz w:val="20"/>
          <w:szCs w:val="20"/>
          <w:color w:val="auto"/>
        </w:rPr>
      </w:pPr>
      <w:r>
        <w:rPr>
          <w:rFonts w:ascii="Arial" w:cs="Arial" w:eastAsia="Arial" w:hAnsi="Arial"/>
          <w:sz w:val="14"/>
          <w:szCs w:val="14"/>
          <w:b w:val="1"/>
          <w:bCs w:val="1"/>
          <w:color w:val="auto"/>
        </w:rPr>
        <w:t>October 30,</w:t>
      </w:r>
      <w:r>
        <w:rPr>
          <w:sz w:val="20"/>
          <w:szCs w:val="20"/>
          <w:color w:val="auto"/>
        </w:rPr>
        <w:tab/>
      </w:r>
      <w:r>
        <w:rPr>
          <w:rFonts w:ascii="Arial" w:cs="Arial" w:eastAsia="Arial" w:hAnsi="Arial"/>
          <w:sz w:val="12"/>
          <w:szCs w:val="12"/>
          <w:b w:val="1"/>
          <w:bCs w:val="1"/>
          <w:color w:val="auto"/>
        </w:rPr>
        <w:t>November 1,</w:t>
      </w:r>
    </w:p>
    <w:p>
      <w:pPr>
        <w:spacing w:after="0" w:line="4" w:lineRule="exact"/>
        <w:rPr>
          <w:sz w:val="20"/>
          <w:szCs w:val="20"/>
          <w:color w:val="auto"/>
        </w:rPr>
      </w:pPr>
    </w:p>
    <w:p>
      <w:pPr>
        <w:jc w:val="both"/>
        <w:ind w:left="9460"/>
        <w:spacing w:after="0"/>
        <w:tabs>
          <w:tab w:leader="none" w:pos="107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420"/>
          </w:cols>
          <w:pgMar w:left="240" w:top="1229" w:right="239" w:bottom="1440" w:gutter="0" w:footer="0" w:header="0"/>
        </w:sectPr>
      </w:pP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earnings to operating cash flow</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Pension and postretirement benefit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 fund contributions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Receipts from (payments of)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740" w:val="left"/>
          <w:tab w:leader="none" w:pos="1240" w:val="left"/>
          <w:tab w:leader="none" w:pos="19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292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194</w:t>
      </w:r>
    </w:p>
    <w:p>
      <w:pPr>
        <w:spacing w:after="0" w:line="360" w:lineRule="exact"/>
        <w:rPr>
          <w:sz w:val="20"/>
          <w:szCs w:val="20"/>
          <w:color w:val="auto"/>
        </w:rPr>
      </w:pPr>
    </w:p>
    <w:p>
      <w:pPr>
        <w:ind w:left="2080" w:hanging="1152"/>
        <w:spacing w:after="0"/>
        <w:tabs>
          <w:tab w:leader="none" w:pos="208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21</w:t>
      </w:r>
    </w:p>
    <w:p>
      <w:pPr>
        <w:spacing w:after="0" w:line="86" w:lineRule="exact"/>
        <w:rPr>
          <w:sz w:val="20"/>
          <w:szCs w:val="20"/>
          <w:color w:val="auto"/>
        </w:rPr>
      </w:pPr>
    </w:p>
    <w:p>
      <w:pPr>
        <w:ind w:left="2080" w:hanging="1233"/>
        <w:spacing w:after="0"/>
        <w:tabs>
          <w:tab w:leader="none" w:pos="208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13</w:t>
      </w:r>
    </w:p>
    <w:p>
      <w:pPr>
        <w:spacing w:after="0" w:line="86" w:lineRule="exact"/>
        <w:rPr>
          <w:sz w:val="20"/>
          <w:szCs w:val="20"/>
          <w:color w:val="auto"/>
        </w:rPr>
      </w:pPr>
    </w:p>
    <w:p>
      <w:pPr>
        <w:ind w:left="2000" w:hanging="1198"/>
        <w:spacing w:after="0"/>
        <w:tabs>
          <w:tab w:leader="none" w:pos="20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133</w:t>
      </w:r>
    </w:p>
    <w:p>
      <w:pPr>
        <w:spacing w:after="0" w:line="86" w:lineRule="exact"/>
        <w:rPr>
          <w:sz w:val="20"/>
          <w:szCs w:val="20"/>
          <w:color w:val="auto"/>
        </w:rPr>
      </w:pPr>
    </w:p>
    <w:p>
      <w:pPr>
        <w:ind w:left="2080" w:hanging="1233"/>
        <w:spacing w:after="0"/>
        <w:tabs>
          <w:tab w:leader="none" w:pos="208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74</w:t>
      </w:r>
    </w:p>
    <w:p>
      <w:pPr>
        <w:spacing w:after="0" w:line="86" w:lineRule="exact"/>
        <w:rPr>
          <w:sz w:val="20"/>
          <w:szCs w:val="20"/>
          <w:color w:val="auto"/>
        </w:rPr>
      </w:pPr>
    </w:p>
    <w:p>
      <w:pPr>
        <w:ind w:left="2040" w:hanging="1193"/>
        <w:spacing w:after="0"/>
        <w:tabs>
          <w:tab w:leader="none" w:pos="204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(35)</w:t>
      </w:r>
    </w:p>
    <w:p>
      <w:pPr>
        <w:spacing w:after="0" w:line="109" w:lineRule="exact"/>
        <w:rPr>
          <w:rFonts w:ascii="Arial" w:cs="Arial" w:eastAsia="Arial" w:hAnsi="Arial"/>
          <w:sz w:val="14"/>
          <w:szCs w:val="14"/>
          <w:b w:val="1"/>
          <w:bCs w:val="1"/>
          <w:color w:val="auto"/>
        </w:rPr>
      </w:pPr>
    </w:p>
    <w:p>
      <w:pPr>
        <w:ind w:left="2120" w:hanging="1245"/>
        <w:spacing w:after="0"/>
        <w:tabs>
          <w:tab w:leader="none" w:pos="2120" w:val="left"/>
        </w:tabs>
        <w:numPr>
          <w:ilvl w:val="1"/>
          <w:numId w:val="5"/>
        </w:numPr>
        <w:rPr>
          <w:rFonts w:ascii="Arial" w:cs="Arial" w:eastAsia="Arial" w:hAnsi="Arial"/>
          <w:sz w:val="14"/>
          <w:szCs w:val="14"/>
          <w:b w:val="1"/>
          <w:bCs w:val="1"/>
          <w:color w:val="auto"/>
        </w:rPr>
      </w:pPr>
      <w:r>
        <w:rPr>
          <w:rFonts w:ascii="Arial" w:cs="Arial" w:eastAsia="Arial" w:hAnsi="Arial"/>
          <w:sz w:val="14"/>
          <w:szCs w:val="14"/>
          <w:color w:val="auto"/>
        </w:rPr>
        <w:t>(1)</w:t>
      </w:r>
    </w:p>
    <w:p>
      <w:pPr>
        <w:spacing w:after="0" w:line="379" w:lineRule="exact"/>
        <w:rPr>
          <w:sz w:val="20"/>
          <w:szCs w:val="20"/>
          <w:color w:val="auto"/>
        </w:rPr>
      </w:pPr>
    </w:p>
    <w:p>
      <w:pPr>
        <w:ind w:left="1960" w:hanging="1247"/>
        <w:spacing w:after="0"/>
        <w:tabs>
          <w:tab w:leader="none" w:pos="196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(184)</w:t>
      </w:r>
    </w:p>
    <w:p>
      <w:pPr>
        <w:spacing w:after="0" w:line="109" w:lineRule="exact"/>
        <w:rPr>
          <w:sz w:val="20"/>
          <w:szCs w:val="20"/>
          <w:color w:val="auto"/>
        </w:rPr>
      </w:pPr>
    </w:p>
    <w:p>
      <w:pPr>
        <w:ind w:left="2040" w:hanging="1246"/>
        <w:spacing w:after="0"/>
        <w:tabs>
          <w:tab w:leader="none" w:pos="204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(56)</w:t>
      </w:r>
    </w:p>
    <w:p>
      <w:pPr>
        <w:spacing w:after="0" w:line="109" w:lineRule="exact"/>
        <w:rPr>
          <w:sz w:val="20"/>
          <w:szCs w:val="20"/>
          <w:color w:val="auto"/>
        </w:rPr>
      </w:pPr>
    </w:p>
    <w:p>
      <w:pPr>
        <w:ind w:left="2120" w:hanging="1245"/>
        <w:spacing w:after="0"/>
        <w:tabs>
          <w:tab w:leader="none" w:pos="212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(6)</w:t>
      </w:r>
    </w:p>
    <w:p>
      <w:pPr>
        <w:spacing w:after="0" w:line="109" w:lineRule="exact"/>
        <w:rPr>
          <w:sz w:val="20"/>
          <w:szCs w:val="20"/>
          <w:color w:val="auto"/>
        </w:rPr>
      </w:pPr>
    </w:p>
    <w:p>
      <w:pPr>
        <w:ind w:left="2080" w:hanging="1233"/>
        <w:spacing w:after="0"/>
        <w:tabs>
          <w:tab w:leader="none" w:pos="20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98</w:t>
      </w:r>
    </w:p>
    <w:p>
      <w:pPr>
        <w:spacing w:after="0" w:line="86" w:lineRule="exact"/>
        <w:rPr>
          <w:rFonts w:ascii="Arial" w:cs="Arial" w:eastAsia="Arial" w:hAnsi="Arial"/>
          <w:sz w:val="16"/>
          <w:szCs w:val="16"/>
          <w:b w:val="1"/>
          <w:bCs w:val="1"/>
          <w:color w:val="auto"/>
        </w:rPr>
      </w:pPr>
    </w:p>
    <w:p>
      <w:pPr>
        <w:ind w:left="2120" w:hanging="1245"/>
        <w:spacing w:after="0"/>
        <w:tabs>
          <w:tab w:leader="none" w:pos="2120" w:val="left"/>
        </w:tabs>
        <w:numPr>
          <w:ilvl w:val="1"/>
          <w:numId w:val="9"/>
        </w:numPr>
        <w:rPr>
          <w:rFonts w:ascii="Arial" w:cs="Arial" w:eastAsia="Arial" w:hAnsi="Arial"/>
          <w:sz w:val="14"/>
          <w:szCs w:val="14"/>
          <w:b w:val="1"/>
          <w:bCs w:val="1"/>
          <w:color w:val="auto"/>
        </w:rPr>
      </w:pPr>
      <w:r>
        <w:rPr>
          <w:rFonts w:ascii="Arial" w:cs="Arial" w:eastAsia="Arial" w:hAnsi="Arial"/>
          <w:sz w:val="14"/>
          <w:szCs w:val="14"/>
          <w:color w:val="auto"/>
        </w:rPr>
        <w:t>(1)</w:t>
      </w:r>
    </w:p>
    <w:p>
      <w:pPr>
        <w:spacing w:after="0" w:line="109" w:lineRule="exact"/>
        <w:rPr>
          <w:rFonts w:ascii="Arial" w:cs="Arial" w:eastAsia="Arial" w:hAnsi="Arial"/>
          <w:sz w:val="14"/>
          <w:szCs w:val="14"/>
          <w:b w:val="1"/>
          <w:bCs w:val="1"/>
          <w:color w:val="auto"/>
        </w:rPr>
      </w:pPr>
    </w:p>
    <w:p>
      <w:pPr>
        <w:ind w:left="2180" w:hanging="1305"/>
        <w:spacing w:after="0"/>
        <w:tabs>
          <w:tab w:leader="none" w:pos="2180" w:val="left"/>
        </w:tabs>
        <w:numPr>
          <w:ilvl w:val="1"/>
          <w:numId w:val="9"/>
        </w:numPr>
        <w:rPr>
          <w:rFonts w:ascii="Arial" w:cs="Arial" w:eastAsia="Arial" w:hAnsi="Arial"/>
          <w:sz w:val="16"/>
          <w:szCs w:val="16"/>
          <w:b w:val="1"/>
          <w:bCs w:val="1"/>
          <w:color w:val="auto"/>
        </w:rPr>
      </w:pPr>
      <w:r>
        <w:rPr>
          <w:rFonts w:ascii="Arial" w:cs="Arial" w:eastAsia="Arial" w:hAnsi="Arial"/>
          <w:sz w:val="16"/>
          <w:szCs w:val="16"/>
          <w:color w:val="auto"/>
        </w:rPr>
        <w:t>3</w:t>
      </w:r>
    </w:p>
    <w:p>
      <w:pPr>
        <w:spacing w:after="0" w:line="86" w:lineRule="exact"/>
        <w:rPr>
          <w:sz w:val="20"/>
          <w:szCs w:val="20"/>
          <w:color w:val="auto"/>
        </w:rPr>
      </w:pPr>
    </w:p>
    <w:p>
      <w:pPr>
        <w:ind w:left="2120" w:hanging="1318"/>
        <w:spacing w:after="0"/>
        <w:tabs>
          <w:tab w:leader="none" w:pos="212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(9)</w:t>
      </w:r>
    </w:p>
    <w:p>
      <w:pPr>
        <w:spacing w:after="0" w:line="118" w:lineRule="exact"/>
        <w:rPr>
          <w:rFonts w:ascii="Arial" w:cs="Arial" w:eastAsia="Arial" w:hAnsi="Arial"/>
          <w:sz w:val="14"/>
          <w:szCs w:val="14"/>
          <w:b w:val="1"/>
          <w:bCs w:val="1"/>
          <w:color w:val="auto"/>
        </w:rPr>
      </w:pPr>
    </w:p>
    <w:p>
      <w:pPr>
        <w:ind w:left="76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221</w:t>
      </w:r>
      <w:r>
        <w:rPr>
          <w:rFonts w:ascii="Arial" w:cs="Arial" w:eastAsia="Arial" w:hAnsi="Arial"/>
          <w:sz w:val="15"/>
          <w:szCs w:val="15"/>
          <w:color w:val="auto"/>
        </w:rPr>
        <w:t>244</w:t>
      </w:r>
    </w:p>
    <w:p>
      <w:pPr>
        <w:spacing w:after="0" w:line="360" w:lineRule="exact"/>
        <w:rPr>
          <w:sz w:val="20"/>
          <w:szCs w:val="20"/>
          <w:color w:val="auto"/>
        </w:rPr>
      </w:pPr>
    </w:p>
    <w:p>
      <w:pPr>
        <w:sectPr>
          <w:pgSz w:w="11900" w:h="16838" w:orient="portrait"/>
          <w:cols w:equalWidth="0" w:num="2">
            <w:col w:w="8340" w:space="720"/>
            <w:col w:w="2360"/>
          </w:cols>
          <w:pgMar w:left="240" w:top="1229"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780" w:type="dxa"/>
            <w:vAlign w:val="bottom"/>
          </w:tcPr>
          <w:p>
            <w:pPr>
              <w:ind w:left="180"/>
              <w:spacing w:after="0"/>
              <w:rPr>
                <w:sz w:val="20"/>
                <w:szCs w:val="20"/>
                <w:color w:val="auto"/>
              </w:rPr>
            </w:pPr>
            <w:r>
              <w:rPr>
                <w:rFonts w:ascii="Arial" w:cs="Arial" w:eastAsia="Arial" w:hAnsi="Arial"/>
                <w:sz w:val="16"/>
                <w:szCs w:val="16"/>
                <w:color w:val="auto"/>
              </w:rPr>
              <w:t>Purchases of plant assets</w:t>
            </w:r>
          </w:p>
        </w:tc>
        <w:tc>
          <w:tcPr>
            <w:tcW w:w="26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(48)</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6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of plant assets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6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47"/>
        </w:trPr>
        <w:tc>
          <w:tcPr>
            <w:tcW w:w="67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short-term borrowings (repayments)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86</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Long-term repayments</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(27)</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Treasury stock purchases</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(112)</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6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issuances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(20)</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financing activities</w:t>
            </w:r>
          </w:p>
        </w:tc>
        <w:tc>
          <w:tcPr>
            <w:tcW w:w="26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(173)</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31"/>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6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w:t>
            </w:r>
          </w:p>
        </w:tc>
        <w:tc>
          <w:tcPr>
            <w:tcW w:w="5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296</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26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290</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r>
      <w:tr>
        <w:trPr>
          <w:trHeight w:val="20"/>
        </w:trPr>
        <w:tc>
          <w:tcPr>
            <w:tcW w:w="678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67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2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August 2, 2015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194</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($.312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November 1, 2015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July 31, 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292</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($.35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(107)</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October 30, 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1,598</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Certain amounts in prior-year financial statements were reclassified to conform to the current-year presentation.</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presentation of the results of operations, financial position, and cash flows for the indicated periods. The accounting policies we used in preparing these financial statements are substantially consistent with those we applied in our Annual Report on Form 10-K for the year ended July 31, 2016, except as described in Note 2.</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w:t>
      </w:r>
    </w:p>
    <w:p>
      <w:pPr>
        <w:spacing w:after="0" w:line="11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evaluating the impact that the new guidance will have on our consolidated financial statements, as well as which transition method we will use.</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2015, the FASB issued guidance to clarify the accounting for fees paid by a customer in a cloud computing arrangement. The guidance is effective for fiscal years beginning on or after December 15, 2015, and interim periods within those years. Early adoption is permitted. The new guidance should be applied either prospectively to all arrangements entered into or materially modified after the effective date or retrospectively. In 2017, we prospectively adopted the guidance. The adoption did not have a material impact on our consolidated financial statements.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2015, the FASB issued guidance that eliminates the requirement to restate prior period financial statements for measurement period adjustments for business combinations. The new guidance requires that the cumulative impact of a measurement period adjustment (including the impact on prior periods) be recognized in the reporting period in which the adjustment is identified. The guidance is effective for fiscal years beginning on or after December 15, 2015, and interim periods within those years and should be applied prospectively to measurement period adjustments that occur after the effective date. We will prospectively apply the guidance to applicable transactions.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on or after December 15, 2017, and interim periods within those years.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The new guidance must be adopted using a modified retrospective transition, and provides for certain practical expedients. We are currently evaluating the impact that the new guidance will have on our consolidated financial statements.</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2016, the FASB issued guidance that amends accounting for share-based payments, including the accounting for income taxes, forfeitures, and statutory withholding requirements, as well as classification in the statement of cash flows. The guidance is effective for fiscal years beginning after December 15, 2016, and interim periods within those years. Early adoption is permitted. We adopted the guidance in 2017. In accordance with the prospective adoption of the recognition of excess tax benefits and deficiencies in the Consolidated Statements of Earnings, we recognized a $6 tax benefit in Taxes on earnings in the three-</w:t>
      </w:r>
    </w:p>
    <w:p>
      <w:pPr>
        <w:sectPr>
          <w:pgSz w:w="11900" w:h="16838" w:orient="portrait"/>
          <w:cols w:equalWidth="0" w:num="1">
            <w:col w:w="11420"/>
          </w:cols>
          <w:pgMar w:left="240" w:top="1229"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29" w:right="239" w:bottom="1440" w:gutter="0" w:footer="0" w:header="0"/>
          <w:type w:val="continuous"/>
        </w:sectPr>
      </w:pPr>
    </w:p>
    <w:bookmarkStart w:id="8" w:name="page9"/>
    <w:bookmarkEnd w:id="8"/>
    <w:p>
      <w:pPr>
        <w:jc w:val="both"/>
        <w:spacing w:after="0" w:line="293" w:lineRule="auto"/>
        <w:rPr>
          <w:sz w:val="20"/>
          <w:szCs w:val="20"/>
          <w:color w:val="auto"/>
        </w:rPr>
      </w:pPr>
      <w:r>
        <w:rPr>
          <w:rFonts w:ascii="Arial" w:cs="Arial" w:eastAsia="Arial" w:hAnsi="Arial"/>
          <w:sz w:val="16"/>
          <w:szCs w:val="16"/>
          <w:color w:val="auto"/>
        </w:rPr>
        <w:t>month period ended October 30, 2016. We elected to continue to estimate forfeitures expected to occur. In addition, we elected to adopt retrospectively the amendment to present excess tax benefits on share-based compensation as an operating activity, which resulted in a reclassification of $6 from Net cash used in financing activities to Net cash provided by operating activities in the Consolidated Statement of Cash Flows for the three-month period ended November 1, 2015. We also adopted retrospectively the amendment to present cash payments to tax authorities in connection with shares withheld to meet statutory tax withholding requirements as a financing activity. As a result, there was a reclassification of $20 from Net cash provided by operating activities to Net cash used in financing activities in the Consolidated Statement of Cash Flows for the three-month period ended November 1, 2015.</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We are currently evaluating the impact that the new guidance will have on our consolidated financial statements.</w:t>
      </w:r>
    </w:p>
    <w:p>
      <w:pPr>
        <w:spacing w:after="0" w:line="10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October 30,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8"/>
          <w:szCs w:val="18"/>
          <w:color w:val="auto"/>
        </w:rPr>
        <w:t>Included a tax expense of $6 as of October 30, 2016, and July 31, 2016.</w:t>
      </w:r>
    </w:p>
    <w:p>
      <w:pPr>
        <w:ind w:left="340" w:hanging="332"/>
        <w:spacing w:after="0" w:line="203"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8"/>
          <w:szCs w:val="18"/>
          <w:color w:val="auto"/>
        </w:rPr>
        <w:t>Included a tax benefit of $18 as of October 30, 2016, and $23 as of July 31, 2016.</w:t>
      </w:r>
    </w:p>
    <w:p>
      <w:pPr>
        <w:ind w:left="340" w:right="5120" w:hanging="332"/>
        <w:spacing w:after="0" w:line="321"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8"/>
          <w:szCs w:val="18"/>
          <w:color w:val="auto"/>
        </w:rPr>
        <w:t>Included a tax expense of $33 as of October 30, 2016, and $35 as of July 31, 2016. Amounts related to noncontrolling interests were not material.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4"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61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Details about Accumulated Other Comprehensive Income (Loss) Components</w:t>
            </w:r>
          </w:p>
        </w:tc>
        <w:tc>
          <w:tcPr>
            <w:tcW w:w="120" w:type="dxa"/>
            <w:vAlign w:val="bottom"/>
            <w:vMerge w:val="restart"/>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4"/>
              </w:rPr>
              <w:t>October 30, 2016</w:t>
            </w:r>
          </w:p>
        </w:tc>
        <w:tc>
          <w:tcPr>
            <w:tcW w:w="120" w:type="dxa"/>
            <w:vAlign w:val="bottom"/>
            <w:vMerge w:val="restart"/>
          </w:tcPr>
          <w:p>
            <w:pPr>
              <w:spacing w:after="0"/>
              <w:rPr>
                <w:sz w:val="13"/>
                <w:szCs w:val="13"/>
                <w:color w:val="auto"/>
              </w:rPr>
            </w:pPr>
          </w:p>
        </w:tc>
        <w:tc>
          <w:tcPr>
            <w:tcW w:w="1120" w:type="dxa"/>
            <w:vAlign w:val="bottom"/>
            <w:gridSpan w:val="2"/>
          </w:tcPr>
          <w:p>
            <w:pPr>
              <w:jc w:val="right"/>
              <w:ind w:right="90"/>
              <w:spacing w:after="0" w:line="153" w:lineRule="exact"/>
              <w:rPr>
                <w:sz w:val="20"/>
                <w:szCs w:val="20"/>
                <w:color w:val="auto"/>
              </w:rPr>
            </w:pPr>
            <w:r>
              <w:rPr>
                <w:rFonts w:ascii="Arial" w:cs="Arial" w:eastAsia="Arial" w:hAnsi="Arial"/>
                <w:sz w:val="14"/>
                <w:szCs w:val="14"/>
                <w:b w:val="1"/>
                <w:bCs w:val="1"/>
                <w:color w:val="auto"/>
              </w:rPr>
              <w:t>November 1,</w:t>
            </w:r>
          </w:p>
        </w:tc>
        <w:tc>
          <w:tcPr>
            <w:tcW w:w="120" w:type="dxa"/>
            <w:vAlign w:val="bottom"/>
          </w:tcPr>
          <w:p>
            <w:pPr>
              <w:spacing w:after="0"/>
              <w:rPr>
                <w:sz w:val="13"/>
                <w:szCs w:val="13"/>
                <w:color w:val="auto"/>
              </w:rPr>
            </w:pPr>
          </w:p>
        </w:tc>
        <w:tc>
          <w:tcPr>
            <w:tcW w:w="2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Location of (Gain) Loss Recognized in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6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3080" w:type="dxa"/>
            <w:vAlign w:val="bottom"/>
            <w:gridSpan w:val="3"/>
          </w:tcPr>
          <w:p>
            <w:pPr>
              <w:ind w:left="100"/>
              <w:spacing w:after="0"/>
              <w:rPr>
                <w:sz w:val="20"/>
                <w:szCs w:val="20"/>
                <w:color w:val="auto"/>
              </w:rPr>
            </w:pPr>
            <w:r>
              <w:rPr>
                <w:rFonts w:ascii="Arial" w:cs="Arial" w:eastAsia="Arial" w:hAnsi="Arial"/>
                <w:sz w:val="18"/>
                <w:szCs w:val="18"/>
                <w:color w:val="auto"/>
              </w:rPr>
              <w:t>(2)  Cost of products sold</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3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gridSpan w:val="2"/>
          </w:tcPr>
          <w:p>
            <w:pPr>
              <w:jc w:val="right"/>
              <w:ind w:right="140"/>
              <w:spacing w:after="0"/>
              <w:rPr>
                <w:sz w:val="20"/>
                <w:szCs w:val="20"/>
                <w:color w:val="auto"/>
              </w:rPr>
            </w:pPr>
            <w:r>
              <w:rPr>
                <w:rFonts w:ascii="Arial" w:cs="Arial" w:eastAsia="Arial" w:hAnsi="Arial"/>
                <w:sz w:val="18"/>
                <w:szCs w:val="18"/>
                <w:color w:val="auto"/>
              </w:rPr>
              <w:t>Tax expense (benefit)</w:t>
            </w:r>
          </w:p>
        </w:tc>
        <w:tc>
          <w:tcPr>
            <w:tcW w:w="3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(Gain) loss, net of tax</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760" w:type="dxa"/>
            <w:vAlign w:val="bottom"/>
          </w:tcPr>
          <w:p>
            <w:pPr>
              <w:jc w:val="right"/>
              <w:ind w:right="576"/>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720" w:type="dxa"/>
            <w:vAlign w:val="bottom"/>
            <w:gridSpan w:val="2"/>
          </w:tcPr>
          <w:p>
            <w:pPr>
              <w:ind w:lef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260" w:type="dxa"/>
            <w:vAlign w:val="bottom"/>
            <w:gridSpan w:val="2"/>
          </w:tcPr>
          <w:p>
            <w:pPr>
              <w:jc w:val="right"/>
              <w:ind w:right="140"/>
              <w:spacing w:after="0"/>
              <w:rPr>
                <w:sz w:val="20"/>
                <w:szCs w:val="20"/>
                <w:color w:val="auto"/>
              </w:rPr>
            </w:pPr>
            <w:r>
              <w:rPr>
                <w:rFonts w:ascii="Arial" w:cs="Arial" w:eastAsia="Arial" w:hAnsi="Arial"/>
                <w:sz w:val="18"/>
                <w:szCs w:val="18"/>
                <w:color w:val="auto"/>
              </w:rPr>
              <w:t>(Gain) loss, net of tax</w:t>
            </w: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00" w:type="dxa"/>
            <w:vAlign w:val="bottom"/>
            <w:gridSpan w:val="2"/>
            <w:vMerge w:val="restart"/>
          </w:tcPr>
          <w:p>
            <w:pPr>
              <w:jc w:val="right"/>
              <w:ind w:right="2771"/>
              <w:spacing w:after="0"/>
              <w:rPr>
                <w:sz w:val="20"/>
                <w:szCs w:val="20"/>
                <w:color w:val="auto"/>
              </w:rPr>
            </w:pPr>
            <w:r>
              <w:rPr>
                <w:rFonts w:ascii="Arial" w:cs="Arial" w:eastAsia="Arial" w:hAnsi="Arial"/>
                <w:sz w:val="18"/>
                <w:szCs w:val="18"/>
                <w:color w:val="auto"/>
                <w:w w:val="89"/>
              </w:rPr>
              <w:t>_____________________________________</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8"/>
          <w:szCs w:val="18"/>
          <w:color w:val="auto"/>
        </w:rPr>
        <w:t>This is included in the components of net periodic benefit costs (see Note 8 for additional details).</w:t>
      </w:r>
    </w:p>
    <w:p>
      <w:pPr>
        <w:spacing w:after="0" w:line="5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Simple</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Campbell Fresh</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Meals and Beverages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Snacks</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balance at July 31, 2016</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Accumulated impairment charges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July 31, 2016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October 30, 2016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755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2,259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30,</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1,145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Plum, Kjeldsens, Garden Fresh Gourmet</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w:t>
      </w:r>
      <w:r>
        <w:rPr>
          <w:rFonts w:ascii="Arial" w:cs="Arial" w:eastAsia="Arial" w:hAnsi="Arial"/>
          <w:sz w:val="18"/>
          <w:szCs w:val="18"/>
          <w:color w:val="auto"/>
        </w:rPr>
        <w:t xml:space="preserve"> </w:t>
      </w:r>
      <w:r>
        <w:rPr>
          <w:rFonts w:ascii="Arial" w:cs="Arial" w:eastAsia="Arial" w:hAnsi="Arial"/>
          <w:sz w:val="18"/>
          <w:szCs w:val="18"/>
          <w:i w:val="1"/>
          <w:iCs w:val="1"/>
          <w:color w:val="auto"/>
        </w:rPr>
        <w:t>Dansk</w:t>
      </w:r>
      <w:r>
        <w:rPr>
          <w:rFonts w:ascii="Arial" w:cs="Arial" w:eastAsia="Arial" w:hAnsi="Arial"/>
          <w:sz w:val="18"/>
          <w:szCs w:val="18"/>
          <w:color w:val="auto"/>
        </w:rPr>
        <w:t>. Other amortizable intangible assets consist of recipes, patents, trademarks and distributor relationships.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14" w:right="239" w:bottom="1440" w:gutter="0" w:footer="0" w:header="0"/>
          <w:type w:val="continuous"/>
        </w:sectPr>
      </w:pPr>
    </w:p>
    <w:bookmarkStart w:id="10" w:name="page11"/>
    <w:bookmarkEnd w:id="10"/>
    <w:p>
      <w:pPr>
        <w:ind w:firstLine="324"/>
        <w:spacing w:after="0" w:line="277" w:lineRule="auto"/>
        <w:rPr>
          <w:sz w:val="20"/>
          <w:szCs w:val="20"/>
          <w:color w:val="auto"/>
        </w:rPr>
      </w:pPr>
      <w:r>
        <w:rPr>
          <w:rFonts w:ascii="Arial" w:cs="Arial" w:eastAsia="Arial" w:hAnsi="Arial"/>
          <w:sz w:val="18"/>
          <w:szCs w:val="18"/>
          <w:color w:val="auto"/>
        </w:rPr>
        <w:t>Amortization of intangible assets was $5 for the three-month periods ended October 30, 2016, and November 1, 2015. Amortization expense for the next 5 years is estimated to be $20 in 2017, and $15 in 2018 through 2021. Asset useful lives range from 5 to 20 years.</w:t>
      </w:r>
    </w:p>
    <w:p>
      <w:pPr>
        <w:spacing w:after="0" w:line="112"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manage our businesses in three segments focused mainly on product categories. The segments are:</w:t>
      </w:r>
    </w:p>
    <w:p>
      <w:pPr>
        <w:spacing w:after="0" w:line="171"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Americas Simple Meals and Beverages segment includes the retail and food service businesses in the U.S., Canada and Latin America.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tomato juice;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Campbell Fresh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30,</w:t>
            </w:r>
          </w:p>
        </w:tc>
        <w:tc>
          <w:tcPr>
            <w:tcW w:w="140" w:type="dxa"/>
            <w:vAlign w:val="bottom"/>
          </w:tcPr>
          <w:p>
            <w:pPr>
              <w:spacing w:after="0"/>
              <w:rPr>
                <w:sz w:val="13"/>
                <w:szCs w:val="13"/>
                <w:color w:val="auto"/>
              </w:rPr>
            </w:pPr>
          </w:p>
        </w:tc>
        <w:tc>
          <w:tcPr>
            <w:tcW w:w="100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2"/>
              </w:rPr>
              <w:t>November 1,</w:t>
            </w:r>
          </w:p>
        </w:tc>
      </w:tr>
      <w:tr>
        <w:trPr>
          <w:trHeight w:val="192"/>
        </w:trPr>
        <w:tc>
          <w:tcPr>
            <w:tcW w:w="9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8"/>
              <w:spacing w:after="0"/>
              <w:rPr>
                <w:sz w:val="20"/>
                <w:szCs w:val="20"/>
                <w:color w:val="auto"/>
              </w:rPr>
            </w:pPr>
            <w:r>
              <w:rPr>
                <w:rFonts w:ascii="Arial" w:cs="Arial" w:eastAsia="Arial" w:hAnsi="Arial"/>
                <w:sz w:val="18"/>
                <w:szCs w:val="18"/>
                <w:b w:val="1"/>
                <w:bCs w:val="1"/>
                <w:color w:val="auto"/>
              </w:rPr>
              <w:t>1,297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1,302</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652</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249</w:t>
            </w:r>
          </w:p>
        </w:tc>
      </w:tr>
      <w:tr>
        <w:trPr>
          <w:trHeight w:val="27"/>
        </w:trPr>
        <w:tc>
          <w:tcPr>
            <w:tcW w:w="9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2,202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2,203</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500" w:type="dxa"/>
            <w:vAlign w:val="bottom"/>
            <w:tcBorders>
              <w:bottom w:val="single" w:sz="8" w:color="auto"/>
            </w:tcBorders>
            <w:gridSpan w:val="6"/>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16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40" w:type="dxa"/>
            <w:vAlign w:val="bottom"/>
            <w:gridSpan w:val="2"/>
          </w:tcPr>
          <w:p>
            <w:pPr>
              <w:jc w:val="right"/>
              <w:ind w:right="50"/>
              <w:spacing w:after="0" w:line="153" w:lineRule="exact"/>
              <w:rPr>
                <w:sz w:val="20"/>
                <w:szCs w:val="20"/>
                <w:color w:val="auto"/>
              </w:rPr>
            </w:pPr>
            <w:r>
              <w:rPr>
                <w:rFonts w:ascii="Arial" w:cs="Arial" w:eastAsia="Arial" w:hAnsi="Arial"/>
                <w:sz w:val="14"/>
                <w:szCs w:val="14"/>
                <w:b w:val="1"/>
                <w:bCs w:val="1"/>
                <w:color w:val="auto"/>
              </w:rPr>
              <w:t>October 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5"/>
              </w:rPr>
              <w:t>November 1,</w:t>
            </w: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7140" w:type="dxa"/>
            <w:vAlign w:val="bottom"/>
          </w:tcPr>
          <w:p>
            <w:pPr>
              <w:spacing w:after="0"/>
              <w:rPr>
                <w:sz w:val="16"/>
                <w:szCs w:val="16"/>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3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6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Americas Simple Meals and Beverages</w:t>
            </w:r>
          </w:p>
        </w:tc>
        <w:tc>
          <w:tcPr>
            <w:tcW w:w="2340" w:type="dxa"/>
            <w:vAlign w:val="bottom"/>
            <w:gridSpan w:val="2"/>
          </w:tcPr>
          <w:p>
            <w:pPr>
              <w:jc w:val="right"/>
              <w:ind w:right="519"/>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3"/>
              </w:rPr>
              <w:t>383</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Borders>
              <w:bottom w:val="single" w:sz="8" w:color="CCEEFF"/>
            </w:tcBorders>
            <w:shd w:val="clear" w:color="auto" w:fill="CCEEFF"/>
          </w:tcPr>
          <w:p>
            <w:pPr>
              <w:spacing w:after="0"/>
              <w:rPr>
                <w:sz w:val="21"/>
                <w:szCs w:val="21"/>
                <w:color w:val="auto"/>
              </w:rPr>
            </w:pPr>
          </w:p>
        </w:tc>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Global Biscuits and Snacks</w:t>
            </w:r>
          </w:p>
        </w:tc>
        <w:tc>
          <w:tcPr>
            <w:tcW w:w="16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7140" w:type="dxa"/>
            <w:vAlign w:val="bottom"/>
          </w:tcPr>
          <w:p>
            <w:pPr>
              <w:ind w:left="20"/>
              <w:spacing w:after="0"/>
              <w:rPr>
                <w:sz w:val="20"/>
                <w:szCs w:val="20"/>
                <w:color w:val="auto"/>
              </w:rPr>
            </w:pPr>
            <w:r>
              <w:rPr>
                <w:rFonts w:ascii="Arial" w:cs="Arial" w:eastAsia="Arial" w:hAnsi="Arial"/>
                <w:sz w:val="18"/>
                <w:szCs w:val="18"/>
                <w:color w:val="auto"/>
              </w:rPr>
              <w:t>Campbell Fresh</w:t>
            </w:r>
          </w:p>
        </w:tc>
        <w:tc>
          <w:tcPr>
            <w:tcW w:w="1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71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16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0"/>
        </w:trPr>
        <w:tc>
          <w:tcPr>
            <w:tcW w:w="160" w:type="dxa"/>
            <w:vAlign w:val="bottom"/>
            <w:tcBorders>
              <w:bottom w:val="single" w:sz="8" w:color="CCEEFF"/>
            </w:tcBorders>
          </w:tcPr>
          <w:p>
            <w:pPr>
              <w:spacing w:after="0"/>
              <w:rPr>
                <w:sz w:val="23"/>
                <w:szCs w:val="23"/>
                <w:color w:val="auto"/>
              </w:rPr>
            </w:pPr>
          </w:p>
        </w:tc>
        <w:tc>
          <w:tcPr>
            <w:tcW w:w="71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16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9"/>
        </w:trPr>
        <w:tc>
          <w:tcPr>
            <w:tcW w:w="7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457</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3"/>
                <w:szCs w:val="13"/>
                <w:color w:val="auto"/>
                <w:w w:val="87"/>
              </w:rPr>
              <w:t>(1)</w:t>
            </w:r>
          </w:p>
        </w:tc>
        <w:tc>
          <w:tcPr>
            <w:tcW w:w="71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Represents  unallocated  items.  Pension  and  postretirement  benefit  mark-to-market</w:t>
            </w:r>
          </w:p>
        </w:tc>
        <w:tc>
          <w:tcPr>
            <w:tcW w:w="16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adjustments  are</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60" w:type="dxa"/>
            <w:vAlign w:val="bottom"/>
            <w:vMerge w:val="continue"/>
          </w:tcPr>
          <w:p>
            <w:pPr>
              <w:spacing w:after="0"/>
              <w:rPr>
                <w:sz w:val="15"/>
                <w:szCs w:val="15"/>
                <w:color w:val="auto"/>
              </w:rPr>
            </w:pPr>
          </w:p>
        </w:tc>
        <w:tc>
          <w:tcPr>
            <w:tcW w:w="714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720" w:type="dxa"/>
            <w:vAlign w:val="bottom"/>
          </w:tcPr>
          <w:p>
            <w:pPr>
              <w:jc w:val="right"/>
              <w:ind w:right="99"/>
              <w:spacing w:after="0" w:line="182" w:lineRule="exact"/>
              <w:rPr>
                <w:sz w:val="20"/>
                <w:szCs w:val="20"/>
                <w:color w:val="auto"/>
              </w:rPr>
            </w:pPr>
            <w:r>
              <w:rPr>
                <w:rFonts w:ascii="Arial" w:cs="Arial" w:eastAsia="Arial" w:hAnsi="Arial"/>
                <w:sz w:val="18"/>
                <w:szCs w:val="18"/>
                <w:color w:val="auto"/>
                <w:w w:val="77"/>
              </w:rPr>
              <w:t>included</w:t>
            </w:r>
          </w:p>
        </w:tc>
        <w:tc>
          <w:tcPr>
            <w:tcW w:w="320" w:type="dxa"/>
            <w:vAlign w:val="bottom"/>
          </w:tcPr>
          <w:p>
            <w:pPr>
              <w:jc w:val="right"/>
              <w:ind w:right="90"/>
              <w:spacing w:after="0" w:line="182" w:lineRule="exact"/>
              <w:rPr>
                <w:sz w:val="20"/>
                <w:szCs w:val="20"/>
                <w:color w:val="auto"/>
              </w:rPr>
            </w:pPr>
            <w:r>
              <w:rPr>
                <w:rFonts w:ascii="Arial" w:cs="Arial" w:eastAsia="Arial" w:hAnsi="Arial"/>
                <w:sz w:val="18"/>
                <w:szCs w:val="18"/>
                <w:color w:val="auto"/>
                <w:w w:val="85"/>
              </w:rPr>
              <w:t>in</w:t>
            </w:r>
          </w:p>
        </w:tc>
        <w:tc>
          <w:tcPr>
            <w:tcW w:w="1460" w:type="dxa"/>
            <w:vAlign w:val="bottom"/>
            <w:gridSpan w:val="4"/>
          </w:tcPr>
          <w:p>
            <w:pPr>
              <w:jc w:val="right"/>
              <w:spacing w:after="0" w:line="182" w:lineRule="exact"/>
              <w:rPr>
                <w:sz w:val="20"/>
                <w:szCs w:val="20"/>
                <w:color w:val="auto"/>
              </w:rPr>
            </w:pPr>
            <w:r>
              <w:rPr>
                <w:rFonts w:ascii="Arial" w:cs="Arial" w:eastAsia="Arial" w:hAnsi="Arial"/>
                <w:sz w:val="18"/>
                <w:szCs w:val="18"/>
                <w:color w:val="auto"/>
                <w:w w:val="94"/>
              </w:rPr>
              <w:t>Corporate.  Losses</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260" w:type="dxa"/>
            <w:vAlign w:val="bottom"/>
            <w:gridSpan w:val="8"/>
          </w:tcPr>
          <w:p>
            <w:pPr>
              <w:ind w:left="180"/>
              <w:spacing w:after="0"/>
              <w:rPr>
                <w:sz w:val="20"/>
                <w:szCs w:val="20"/>
                <w:color w:val="auto"/>
              </w:rPr>
            </w:pPr>
            <w:r>
              <w:rPr>
                <w:rFonts w:ascii="Arial" w:cs="Arial" w:eastAsia="Arial" w:hAnsi="Arial"/>
                <w:sz w:val="18"/>
                <w:szCs w:val="18"/>
                <w:color w:val="auto"/>
                <w:w w:val="96"/>
              </w:rPr>
              <w:t>were $20 and $128 in the three-month periods ended October 30, 2016, and November 1, 2015, respectively. Costs of $8 and $15 related to the</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1260" w:type="dxa"/>
            <w:vAlign w:val="bottom"/>
            <w:gridSpan w:val="8"/>
          </w:tcPr>
          <w:p>
            <w:pPr>
              <w:ind w:left="180"/>
              <w:spacing w:after="0"/>
              <w:rPr>
                <w:sz w:val="20"/>
                <w:szCs w:val="20"/>
                <w:color w:val="auto"/>
              </w:rPr>
            </w:pPr>
            <w:r>
              <w:rPr>
                <w:rFonts w:ascii="Arial" w:cs="Arial" w:eastAsia="Arial" w:hAnsi="Arial"/>
                <w:sz w:val="18"/>
                <w:szCs w:val="18"/>
                <w:color w:val="auto"/>
                <w:w w:val="92"/>
              </w:rPr>
              <w:t>implementation of our new organizational structure and cost savings initiatives were included in the three-month periods ended October 30, 2016, and</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7140" w:type="dxa"/>
            <w:vAlign w:val="bottom"/>
          </w:tcPr>
          <w:p>
            <w:pPr>
              <w:ind w:left="180"/>
              <w:spacing w:after="0"/>
              <w:rPr>
                <w:sz w:val="20"/>
                <w:szCs w:val="20"/>
                <w:color w:val="auto"/>
              </w:rPr>
            </w:pPr>
            <w:r>
              <w:rPr>
                <w:rFonts w:ascii="Arial" w:cs="Arial" w:eastAsia="Arial" w:hAnsi="Arial"/>
                <w:sz w:val="18"/>
                <w:szCs w:val="18"/>
                <w:color w:val="auto"/>
              </w:rPr>
              <w:t>November 1, 2015, respectively.</w:t>
            </w:r>
          </w:p>
        </w:tc>
        <w:tc>
          <w:tcPr>
            <w:tcW w:w="1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jc w:val="right"/>
              <w:spacing w:after="0"/>
              <w:rPr>
                <w:sz w:val="20"/>
                <w:szCs w:val="20"/>
                <w:color w:val="auto"/>
              </w:rPr>
            </w:pPr>
            <w:r>
              <w:rPr>
                <w:rFonts w:ascii="Arial" w:cs="Arial" w:eastAsia="Arial" w:hAnsi="Arial"/>
                <w:sz w:val="13"/>
                <w:szCs w:val="13"/>
                <w:color w:val="auto"/>
                <w:w w:val="87"/>
              </w:rPr>
              <w:t>(2)</w:t>
            </w:r>
          </w:p>
        </w:tc>
        <w:tc>
          <w:tcPr>
            <w:tcW w:w="7140" w:type="dxa"/>
            <w:vAlign w:val="bottom"/>
          </w:tcPr>
          <w:p>
            <w:pPr>
              <w:ind w:left="180"/>
              <w:spacing w:after="0"/>
              <w:rPr>
                <w:sz w:val="20"/>
                <w:szCs w:val="20"/>
                <w:color w:val="auto"/>
              </w:rPr>
            </w:pPr>
            <w:r>
              <w:rPr>
                <w:rFonts w:ascii="Arial" w:cs="Arial" w:eastAsia="Arial" w:hAnsi="Arial"/>
                <w:sz w:val="18"/>
                <w:szCs w:val="18"/>
                <w:color w:val="auto"/>
              </w:rPr>
              <w:t>See Note 6 for additional information.</w:t>
            </w:r>
          </w:p>
        </w:tc>
        <w:tc>
          <w:tcPr>
            <w:tcW w:w="1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0" w:type="dxa"/>
            <w:vAlign w:val="bottom"/>
          </w:tcPr>
          <w:p>
            <w:pPr>
              <w:spacing w:after="0"/>
              <w:rPr>
                <w:sz w:val="24"/>
                <w:szCs w:val="24"/>
                <w:color w:val="auto"/>
              </w:rPr>
            </w:pPr>
          </w:p>
        </w:tc>
        <w:tc>
          <w:tcPr>
            <w:tcW w:w="7140" w:type="dxa"/>
            <w:vAlign w:val="bottom"/>
          </w:tcPr>
          <w:p>
            <w:pPr>
              <w:ind w:left="5460"/>
              <w:spacing w:after="0"/>
              <w:rPr>
                <w:sz w:val="20"/>
                <w:szCs w:val="20"/>
                <w:color w:val="auto"/>
              </w:rPr>
            </w:pPr>
            <w:r>
              <w:rPr>
                <w:rFonts w:ascii="Arial" w:cs="Arial" w:eastAsia="Arial" w:hAnsi="Arial"/>
                <w:sz w:val="18"/>
                <w:szCs w:val="18"/>
                <w:color w:val="auto"/>
              </w:rPr>
              <w:t>11</w:t>
            </w: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11" w:name="page12"/>
    <w:bookmarkEnd w:id="11"/>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30,</w:t>
            </w:r>
          </w:p>
        </w:tc>
        <w:tc>
          <w:tcPr>
            <w:tcW w:w="140" w:type="dxa"/>
            <w:vAlign w:val="bottom"/>
          </w:tcPr>
          <w:p>
            <w:pPr>
              <w:spacing w:after="0"/>
              <w:rPr>
                <w:sz w:val="13"/>
                <w:szCs w:val="13"/>
                <w:color w:val="auto"/>
              </w:rPr>
            </w:pPr>
          </w:p>
        </w:tc>
        <w:tc>
          <w:tcPr>
            <w:tcW w:w="100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2"/>
              </w:rPr>
              <w:t>November 1,</w:t>
            </w:r>
          </w:p>
        </w:tc>
      </w:tr>
      <w:tr>
        <w:trPr>
          <w:trHeight w:val="192"/>
        </w:trPr>
        <w:tc>
          <w:tcPr>
            <w:tcW w:w="9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Soup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863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864</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Baked snacks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634</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429</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Beverages</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2,202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2,203</w:t>
            </w:r>
          </w:p>
        </w:tc>
      </w:tr>
      <w:tr>
        <w:trPr>
          <w:trHeight w:val="27"/>
        </w:trPr>
        <w:tc>
          <w:tcPr>
            <w:tcW w:w="9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Soup includes various soup, broths and stock products. Baked Snacks include cookies, crackers, biscuits and other baked products. Other simple meals include sauces, carrot products, refrigerated salad dressings, refrigerated salsa, hummus, dips and Plum foods and snacks.</w:t>
      </w:r>
    </w:p>
    <w:p>
      <w:pPr>
        <w:spacing w:after="0" w:line="11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support of the new structure, we designed and implemented a new Integrated Global Services organization to deliver shared services across the company. We also streamlined our organizational structure. We are pursuing other initiatives to reduce costs and increase effectiveness, such as adopting zero-based budgeting over time.</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July 31. We also implemented an initiative to reduce overhead across the organization by eliminating approximately 275 positions. In the first quarter of 2017, we recorded a restructuring charge of $1 related to these initiatives. In 2016, we recorded a restructuring charge of $35 related to these initiatives. Of the amounts recorded in 2016, $21 was recorded in the first quarter. In 2015, we recorded a restructuring charge of $102 related to these initiatives.</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2017, we also incurred charges of $8 in Administrative expenses related to the implementation of the new organizational structure and cost savings initiatives. In 2016 and 2015, we incurred charges of $47 and $22, respectively, recorded in Administrative expenses related to these initiatives. Of the amounts recorded in 2016, $15 was recorded in the first quarter.</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the first quarter of 2017, the aggregate after-tax impact of restructuring charges, implementation costs and other related costs recorded was $6, or $.02 per share. In the first quarter of 2016, the aggregate after-tax impact of restructuring charges, implementation costs and other related costs recorded was $23, or $.07 per share. The aggregate after-tax impact of restructuring charges, implementation costs and other related costs recorded in 2016 and 2015 was $52, or $.17 per share, and $78, or $.25 per share, respectively. A summary of the pre-tax costs associated with the 2015 initiatives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Recognized</w:t>
            </w:r>
          </w:p>
        </w:tc>
      </w:tr>
      <w:tr>
        <w:trPr>
          <w:trHeight w:val="149"/>
        </w:trPr>
        <w:tc>
          <w:tcPr>
            <w:tcW w:w="9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5"/>
              </w:rPr>
              <w:t>as of</w:t>
            </w:r>
          </w:p>
        </w:tc>
      </w:tr>
      <w:tr>
        <w:trPr>
          <w:trHeight w:val="192"/>
        </w:trPr>
        <w:tc>
          <w:tcPr>
            <w:tcW w:w="9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October 30, 2016</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86</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215</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pre-tax costs for the 2015 initiatives are approximately $250 to $300. We expect to incur these costs through 2018.</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expect the costs to consist of approximately $135 to $145 in severance pay and benefits, and approximately $115 to $155 in implementation costs and other related costs.We expect the total pre-tax costs related to the 2015 initiatives will be associated with segments as follows: Americas Simple Meals and Beverages - approximately 30%; Global Biscuits and Snacks - approximately 32%; Campbell Fresh - approximately 3%; and Corporate - approximately 35%.</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14"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2015 initiatives at October 30,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3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7"/>
              </w:rPr>
              <w:t>Severance Pay and</w:t>
            </w:r>
          </w:p>
        </w:tc>
        <w:tc>
          <w:tcPr>
            <w:tcW w:w="12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Implementation</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Costs and Other</w:t>
            </w:r>
          </w:p>
        </w:tc>
        <w:tc>
          <w:tcPr>
            <w:tcW w:w="180" w:type="dxa"/>
            <w:vAlign w:val="bottom"/>
          </w:tcPr>
          <w:p>
            <w:pPr>
              <w:spacing w:after="0"/>
              <w:rPr>
                <w:sz w:val="12"/>
                <w:szCs w:val="12"/>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Related Costs</w:t>
            </w:r>
            <w:r>
              <w:rPr>
                <w:rFonts w:ascii="Arial" w:cs="Arial" w:eastAsia="Arial" w:hAnsi="Arial"/>
                <w:sz w:val="8"/>
                <w:szCs w:val="8"/>
                <w:b w:val="1"/>
                <w:bCs w:val="1"/>
                <w:color w:val="auto"/>
              </w:rPr>
              <w:t>(3)</w:t>
            </w: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Accrued balance at July 31, 2016</w:t>
            </w:r>
            <w:r>
              <w:rPr>
                <w:rFonts w:ascii="Arial" w:cs="Arial" w:eastAsia="Arial" w:hAnsi="Arial"/>
                <w:sz w:val="25"/>
                <w:szCs w:val="25"/>
                <w:color w:val="auto"/>
                <w:vertAlign w:val="superscript"/>
              </w:rPr>
              <w:t>(1)</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2017 charges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9"/>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 cash payments</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80" w:type="dxa"/>
            <w:vAlign w:val="bottom"/>
          </w:tcPr>
          <w:p>
            <w:pPr>
              <w:ind w:left="20"/>
              <w:spacing w:after="0" w:line="264" w:lineRule="exact"/>
              <w:rPr>
                <w:sz w:val="20"/>
                <w:szCs w:val="20"/>
                <w:color w:val="auto"/>
              </w:rPr>
            </w:pPr>
            <w:r>
              <w:rPr>
                <w:rFonts w:ascii="Arial" w:cs="Arial" w:eastAsia="Arial" w:hAnsi="Arial"/>
                <w:sz w:val="18"/>
                <w:szCs w:val="18"/>
                <w:b w:val="1"/>
                <w:bCs w:val="1"/>
                <w:color w:val="auto"/>
              </w:rPr>
              <w:t>Accrued balance at October 30, 2016</w:t>
            </w:r>
            <w:r>
              <w:rPr>
                <w:rFonts w:ascii="Arial" w:cs="Arial" w:eastAsia="Arial" w:hAnsi="Arial"/>
                <w:sz w:val="25"/>
                <w:szCs w:val="25"/>
                <w:b w:val="1"/>
                <w:bCs w:val="1"/>
                <w:color w:val="auto"/>
                <w:vertAlign w:val="superscript"/>
              </w:rPr>
              <w:t>(2)</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3490"/>
              <w:spacing w:after="0"/>
              <w:rPr>
                <w:sz w:val="20"/>
                <w:szCs w:val="20"/>
                <w:color w:val="auto"/>
              </w:rPr>
            </w:pPr>
            <w:r>
              <w:rPr>
                <w:rFonts w:ascii="Arial" w:cs="Arial" w:eastAsia="Arial" w:hAnsi="Arial"/>
                <w:sz w:val="18"/>
                <w:szCs w:val="18"/>
                <w:color w:val="auto"/>
                <w:w w:val="89"/>
              </w:rPr>
              <w:t>_______________________________________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$17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Includes $9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right="80" w:hanging="332"/>
        <w:spacing w:after="0" w:line="208"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6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rPr>
              <w:t>October 30, 2016</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Costs Incurred to Date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0"/>
        </w:trPr>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periods ended October 30, 2016, and November 1, 2015, excludes less than 1 million stock options that would have been antidilutive.</w:t>
      </w:r>
    </w:p>
    <w:p>
      <w:pPr>
        <w:spacing w:after="0" w:line="1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sponsor certain defined benefit pension and postretirement plans for employees. Actuarial gains and losses are recognized immediately in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Earnings as of the measurement date, which is our fiscal year end, or more frequently if an interim remeasurement is required.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benefit (income) / expense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50"/>
        </w:trPr>
        <w:tc>
          <w:tcPr>
            <w:tcW w:w="65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Postretirement</w:t>
            </w:r>
          </w:p>
        </w:tc>
      </w:tr>
      <w:tr>
        <w:trPr>
          <w:trHeight w:val="152"/>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30,</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November 1,</w:t>
            </w:r>
          </w:p>
        </w:tc>
        <w:tc>
          <w:tcPr>
            <w:tcW w:w="16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30,</w:t>
            </w:r>
          </w:p>
        </w:tc>
        <w:tc>
          <w:tcPr>
            <w:tcW w:w="140" w:type="dxa"/>
            <w:vAlign w:val="bottom"/>
          </w:tcPr>
          <w:p>
            <w:pPr>
              <w:spacing w:after="0"/>
              <w:rPr>
                <w:sz w:val="13"/>
                <w:szCs w:val="13"/>
                <w:color w:val="auto"/>
              </w:rPr>
            </w:pPr>
          </w:p>
        </w:tc>
        <w:tc>
          <w:tcPr>
            <w:tcW w:w="100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2"/>
              </w:rPr>
              <w:t>November 1,</w:t>
            </w: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periodic benefit (income) /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July 2016, the retirement medical program was amended and beginning on January 1, 2017, we will no longer sponsor our own medical coverage for certain Medicare-eligible retirees. Instead, we will offer these Medicare-eligible retirees access to health care coverage through a private exchange and offer a health reimbursement account to subsidize benefits for a select group of retirees. The prior service credit is primarily related to the amendment in July 2016.</w:t>
      </w:r>
    </w:p>
    <w:p>
      <w:pPr>
        <w:sectPr>
          <w:pgSz w:w="11900" w:h="16838" w:orient="portrait"/>
          <w:cols w:equalWidth="0" w:num="1">
            <w:col w:w="11420"/>
          </w:cols>
          <w:pgMar w:left="240" w:top="1314"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4" w:right="239" w:bottom="1440" w:gutter="0" w:footer="0" w:header="0"/>
          <w:type w:val="continuous"/>
        </w:sectPr>
      </w:pPr>
    </w:p>
    <w:bookmarkStart w:id="13" w:name="page14"/>
    <w:bookmarkEnd w:id="13"/>
    <w:p>
      <w:pPr>
        <w:jc w:val="both"/>
        <w:ind w:firstLine="324"/>
        <w:spacing w:after="0" w:line="264" w:lineRule="auto"/>
        <w:rPr>
          <w:sz w:val="20"/>
          <w:szCs w:val="20"/>
          <w:color w:val="auto"/>
        </w:rPr>
      </w:pPr>
      <w:r>
        <w:rPr>
          <w:rFonts w:ascii="Arial" w:cs="Arial" w:eastAsia="Arial" w:hAnsi="Arial"/>
          <w:sz w:val="18"/>
          <w:szCs w:val="18"/>
          <w:color w:val="auto"/>
        </w:rPr>
        <w:t>The recognized net actuarial loss in the first quarter of 2016 resulted from the remeasurement of certain U.S. plans. The remeasurement was required due to a high level of lump sum payments to certain vested plan participants arising primarily out of a limited-time offer to accept a single lump sum in lieu of future annuity payments.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 contributions are expected to be made to U.S. pension plans in 2017. Contributions to non-U.S. pension plans during the three-month period ended October 30, 2016, were $1. We expect contributions to non-U.S. pension plans during the remainder of the year to be approximately $3.</w:t>
      </w:r>
    </w:p>
    <w:p>
      <w:pPr>
        <w:spacing w:after="0" w:line="8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do not have credit-risk-related contingent features in our derivative instruments as of October 30, 2016, or July 31, 2016.</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2016, our largest customer accounted for approximately 20%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40% of our consolidated net sales in 2016.</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$74 at October 30, 2016, and $91 at July 31, 2016.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$121 and $175 at October 30, 2016, and July 31, 2016, respectively. There were no cross-currency swap contracts outstanding as of October 30, 2016, or July 31,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the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October 30, 2016 and at July 31, 2016, which relates to an anticipated debt issuance in 2018.</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1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cocoa, aluminum, natural gas, soybean oil, butter, corn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October 30, 2016, or July 31, 2016. The notional amount of commodity contracts not designated as accounting hedges was $71 at October 30, 2016, and $88 at July 31,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October 30, 2016, and July 31, 2016, were $42 and $44, respectively.</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October 30, 2016, and July 31,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October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October 30,</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4" w:right="239" w:bottom="1440" w:gutter="0" w:footer="0" w:header="0"/>
          <w:type w:val="continuous"/>
        </w:sectPr>
      </w:pPr>
    </w:p>
    <w:bookmarkStart w:id="15" w:name="page16"/>
    <w:bookmarkEnd w:id="15"/>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October 30, 2016, and July 31, 2016,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30, 2016</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31, 2016</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October 30, 2016, and July 31, 2016, a cash margin account balance of $2 and $5, respectively, was included in Other current assets in the Consolidated Balance Sheets.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three-month periods ended October 30, 2016, and November 1, 2015, in other comprehensive income (loss) (OCI) and the Consolidated Statements of Earnings:</w:t>
      </w:r>
    </w:p>
    <w:p>
      <w:pPr>
        <w:spacing w:after="0" w:line="189"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Total</w:t>
      </w:r>
    </w:p>
    <w:p>
      <w:pPr>
        <w:jc w:val="center"/>
        <w:ind w:left="9080"/>
        <w:spacing w:after="0" w:line="226" w:lineRule="auto"/>
        <w:rPr>
          <w:sz w:val="20"/>
          <w:szCs w:val="20"/>
          <w:color w:val="auto"/>
        </w:rPr>
      </w:pPr>
      <w:r>
        <w:rPr>
          <w:rFonts w:ascii="Arial" w:cs="Arial" w:eastAsia="Arial" w:hAnsi="Arial"/>
          <w:sz w:val="14"/>
          <w:szCs w:val="14"/>
          <w:b w:val="1"/>
          <w:bCs w:val="1"/>
          <w:color w:val="auto"/>
        </w:rPr>
        <w:t>Cash-Flow Hedge</w:t>
      </w:r>
    </w:p>
    <w:p>
      <w:pPr>
        <w:spacing w:after="0" w:line="1"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13335</wp:posOffset>
            </wp:positionV>
            <wp:extent cx="15093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October 30, 2016</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November 1,</w:t>
            </w:r>
          </w:p>
        </w:tc>
        <w:tc>
          <w:tcPr>
            <w:tcW w:w="0" w:type="dxa"/>
            <w:vAlign w:val="bottom"/>
          </w:tcPr>
          <w:p>
            <w:pPr>
              <w:spacing w:after="0"/>
              <w:rPr>
                <w:sz w:val="1"/>
                <w:szCs w:val="1"/>
                <w:color w:val="auto"/>
              </w:rPr>
            </w:pPr>
          </w:p>
        </w:tc>
      </w:tr>
      <w:tr>
        <w:trPr>
          <w:trHeight w:val="192"/>
        </w:trPr>
        <w:tc>
          <w:tcPr>
            <w:tcW w:w="6440" w:type="dxa"/>
            <w:vAlign w:val="bottom"/>
            <w:tcBorders>
              <w:bottom w:val="single" w:sz="8" w:color="CCEEFF"/>
            </w:tcBorders>
            <w:vMerge w:val="continue"/>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3060" w:type="dxa"/>
            <w:vAlign w:val="bottom"/>
            <w:tcBorders>
              <w:bottom w:val="single" w:sz="8" w:color="CCEEFF"/>
            </w:tcBorders>
            <w:gridSpan w:val="3"/>
            <w:shd w:val="clear" w:color="auto" w:fill="CCEEFF"/>
          </w:tcPr>
          <w:p>
            <w:pPr>
              <w:ind w:left="26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44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440" w:type="dxa"/>
            <w:vAlign w:val="bottom"/>
            <w:tcBorders>
              <w:bottom w:val="single" w:sz="8" w:color="CCEEFF"/>
            </w:tcBorders>
            <w:gridSpan w:val="2"/>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06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0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44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306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4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3060" w:type="dxa"/>
            <w:vAlign w:val="bottom"/>
            <w:tcBorders>
              <w:bottom w:val="single" w:sz="8" w:color="CCEEFF"/>
            </w:tcBorders>
            <w:gridSpan w:val="3"/>
            <w:shd w:val="clear" w:color="auto" w:fill="CCEEFF"/>
          </w:tcPr>
          <w:p>
            <w:pPr>
              <w:ind w:left="264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$9.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163" w:lineRule="exact"/>
        <w:rPr>
          <w:sz w:val="20"/>
          <w:szCs w:val="20"/>
          <w:color w:val="auto"/>
        </w:rPr>
      </w:pPr>
    </w:p>
    <w:p>
      <w:pPr>
        <w:jc w:val="center"/>
        <w:ind w:left="9060"/>
        <w:spacing w:after="0"/>
        <w:rPr>
          <w:sz w:val="20"/>
          <w:szCs w:val="20"/>
          <w:color w:val="auto"/>
        </w:rPr>
      </w:pPr>
      <w:r>
        <w:rPr>
          <w:rFonts w:ascii="Arial" w:cs="Arial" w:eastAsia="Arial" w:hAnsi="Arial"/>
          <w:sz w:val="13"/>
          <w:szCs w:val="13"/>
          <w:b w:val="1"/>
          <w:bCs w:val="1"/>
          <w:color w:val="auto"/>
        </w:rPr>
        <w:t>Amount of (Gain) Loss Recognized in</w:t>
      </w:r>
    </w:p>
    <w:p>
      <w:pPr>
        <w:spacing w:after="0" w:line="15" w:lineRule="exact"/>
        <w:rPr>
          <w:sz w:val="20"/>
          <w:szCs w:val="20"/>
          <w:color w:val="auto"/>
        </w:rPr>
      </w:pPr>
    </w:p>
    <w:p>
      <w:pPr>
        <w:jc w:val="center"/>
        <w:ind w:left="9080"/>
        <w:spacing w:after="0"/>
        <w:rPr>
          <w:sz w:val="20"/>
          <w:szCs w:val="20"/>
          <w:color w:val="auto"/>
        </w:rPr>
      </w:pPr>
      <w:r>
        <w:rPr>
          <w:rFonts w:ascii="Arial" w:cs="Arial" w:eastAsia="Arial" w:hAnsi="Arial"/>
          <w:sz w:val="14"/>
          <w:szCs w:val="14"/>
          <w:b w:val="1"/>
          <w:bCs w:val="1"/>
          <w:color w:val="auto"/>
        </w:rPr>
        <w:t>Earnings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13335</wp:posOffset>
            </wp:positionV>
            <wp:extent cx="15093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6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3"/>
                <w:szCs w:val="13"/>
                <w:color w:val="auto"/>
              </w:rPr>
            </w:pPr>
          </w:p>
        </w:tc>
        <w:tc>
          <w:tcPr>
            <w:tcW w:w="2740" w:type="dxa"/>
            <w:vAlign w:val="bottom"/>
            <w:gridSpan w:val="2"/>
          </w:tcPr>
          <w:p>
            <w:pPr>
              <w:ind w:left="600"/>
              <w:spacing w:after="0" w:line="153" w:lineRule="exact"/>
              <w:rPr>
                <w:sz w:val="20"/>
                <w:szCs w:val="20"/>
                <w:color w:val="auto"/>
              </w:rPr>
            </w:pPr>
            <w:r>
              <w:rPr>
                <w:rFonts w:ascii="Arial" w:cs="Arial" w:eastAsia="Arial" w:hAnsi="Arial"/>
                <w:sz w:val="14"/>
                <w:szCs w:val="14"/>
                <w:b w:val="1"/>
                <w:bCs w:val="1"/>
                <w:color w:val="auto"/>
              </w:rPr>
              <w:t>Location of (Gain) Loss</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October 30, 2016</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w w:val="92"/>
              </w:rPr>
              <w:t>November 1,</w:t>
            </w:r>
          </w:p>
        </w:tc>
        <w:tc>
          <w:tcPr>
            <w:tcW w:w="0" w:type="dxa"/>
            <w:vAlign w:val="bottom"/>
          </w:tcPr>
          <w:p>
            <w:pPr>
              <w:spacing w:after="0"/>
              <w:rPr>
                <w:sz w:val="1"/>
                <w:szCs w:val="1"/>
                <w:color w:val="auto"/>
              </w:rPr>
            </w:pPr>
          </w:p>
        </w:tc>
      </w:tr>
      <w:tr>
        <w:trPr>
          <w:trHeight w:val="192"/>
        </w:trPr>
        <w:tc>
          <w:tcPr>
            <w:tcW w:w="6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Recognized in Earnings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 contracts</w:t>
            </w: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300" w:type="dxa"/>
            <w:vAlign w:val="bottom"/>
            <w:gridSpan w:val="2"/>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Variable Interest Entity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2016, we agreed to make a $125 capital commitment to Acre Venture Partners, L.P. (Acre), a limited partnership formed to make venture capital investments in innovative new companies in food and food-related industries. Acre is managed by its general partner, Acre Ventures GP, LLC, which is independent of us. We are the sole limited partner of Acre and own a</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314" w:right="239" w:bottom="1440" w:gutter="0" w:footer="0" w:header="0"/>
          <w:type w:val="continuous"/>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October 30, 2016, we funded $41 of the capital commitment. Except for the remaining unfunded capital commitment of $84, we do not have obligations to provide additional financial or other support to Acre.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Acre elected the fair value option to account for qualifying investments to more appropriately reflect the value of the investments in the financial statements. The investments were $39 and $34 as of October 30, 2016, and July 31, 2016, respectively, and are included in Other assets on the Consolidated Balance Sheets. Changes in the fair values of investments for which the fair value option was elected are included in Other expenses / (income) on the Consolidated Statements of Earnings. Changes in the fair value were not material through October 30, 2016. Current assets and liabilities of Acre were not material as of October 30, 2016, or July 31, 2016.</w:t>
      </w:r>
    </w:p>
    <w:p>
      <w:pPr>
        <w:spacing w:after="0" w:line="13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October 30, 2016, and July 31, 2016,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7"/>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6"/>
          </w:tcPr>
          <w:p>
            <w:pPr>
              <w:jc w:val="center"/>
              <w:ind w:right="90"/>
              <w:spacing w:after="0" w:line="145" w:lineRule="exact"/>
              <w:rPr>
                <w:sz w:val="20"/>
                <w:szCs w:val="20"/>
                <w:color w:val="auto"/>
              </w:rPr>
            </w:pPr>
            <w:r>
              <w:rPr>
                <w:rFonts w:ascii="Arial" w:cs="Arial" w:eastAsia="Arial" w:hAnsi="Arial"/>
                <w:sz w:val="14"/>
                <w:szCs w:val="14"/>
                <w:b w:val="1"/>
                <w:bCs w:val="1"/>
                <w:color w:val="auto"/>
                <w:w w:val="91"/>
              </w:rPr>
              <w:t>October 30, 2016 Using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31, 2016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October 30,</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Fair value option</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color w:val="auto"/>
                <w:vertAlign w:val="superscript"/>
              </w:rPr>
              <w:t>(4)</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500" w:type="dxa"/>
            <w:vAlign w:val="bottom"/>
            <w:gridSpan w:val="3"/>
          </w:tcPr>
          <w:p>
            <w:pPr>
              <w:ind w:left="40"/>
              <w:spacing w:after="0"/>
              <w:rPr>
                <w:sz w:val="20"/>
                <w:szCs w:val="20"/>
                <w:color w:val="auto"/>
              </w:rPr>
            </w:pPr>
            <w:r>
              <w:rPr>
                <w:rFonts w:ascii="Arial" w:cs="Arial" w:eastAsia="Arial" w:hAnsi="Arial"/>
                <w:sz w:val="18"/>
                <w:szCs w:val="18"/>
                <w:color w:val="auto"/>
                <w:w w:val="97"/>
              </w:rPr>
              <w:t>Total assets at fair</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44</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2</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value</w:t>
            </w:r>
          </w:p>
        </w:tc>
        <w:tc>
          <w:tcPr>
            <w:tcW w:w="1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7"/>
          </w:tcPr>
          <w:p>
            <w:pPr>
              <w:jc w:val="center"/>
              <w:ind w:left="554"/>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6"/>
          </w:tcPr>
          <w:p>
            <w:pPr>
              <w:jc w:val="center"/>
              <w:ind w:right="110"/>
              <w:spacing w:after="0" w:line="145" w:lineRule="exact"/>
              <w:rPr>
                <w:sz w:val="20"/>
                <w:szCs w:val="20"/>
                <w:color w:val="auto"/>
              </w:rPr>
            </w:pPr>
            <w:r>
              <w:rPr>
                <w:rFonts w:ascii="Arial" w:cs="Arial" w:eastAsia="Arial" w:hAnsi="Arial"/>
                <w:sz w:val="14"/>
                <w:szCs w:val="14"/>
                <w:b w:val="1"/>
                <w:bCs w:val="1"/>
                <w:color w:val="auto"/>
                <w:w w:val="91"/>
              </w:rPr>
              <w:t>October 30, 2016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31, 2016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October 30,</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9"/>
              </w:rPr>
              <w:t>Forward starting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interest rate</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34</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(5)</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119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(6)</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161</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jc w:val="both"/>
        <w:ind w:left="340" w:hanging="332"/>
        <w:spacing w:after="0" w:line="257"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Primarily represents investments in equity securities that are not readily marketable and are accounted for under the fair value option. The investments were funded by Acre. See Note 10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 Changes in the fair value of investments were not material through October 30, 2016.</w:t>
      </w:r>
    </w:p>
    <w:p>
      <w:pPr>
        <w:ind w:left="340" w:hanging="332"/>
        <w:spacing w:after="0" w:line="180"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$116 at October 30, 2016, and $74 at July 31, 2016,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$2,860 at October 30, 2016, and $2,949 at July 31, 2016. The carrying value was $2,723 at October 30, 2016, and $2,755 at July 31, 2016.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2011, the Board authorized the purchase of up to $1,000 of our stock. This program has no expiration date. In addition to this publicly announced program, we also have a separate Board authorization to purchase shares to offset the impact of dilution from shares issued under our stock compensation plans.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three-month period ended October 30, 2016, we repurchased 2 million shares at a cost of $112. Of this amount, $100 was used to repurchase shares pursuant to our June 2011 publicly announced share repurchase program. Approximately $350 remained available under this program as of October 30, 2016. During the three-month period ended November 1, 2015, we repurchased 1 million shares at a cost of $32.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w:t>
      </w:r>
    </w:p>
    <w:p>
      <w:pPr>
        <w:sectPr>
          <w:pgSz w:w="11900" w:h="16838" w:orient="portrait"/>
          <w:cols w:equalWidth="0" w:num="1">
            <w:col w:w="11420"/>
          </w:cols>
          <w:pgMar w:left="240" w:top="137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74" w:right="239" w:bottom="1440" w:gutter="0" w:footer="0" w:header="0"/>
          <w:type w:val="continuous"/>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strategic performance restricted stock units and special performance restricted stock units). In 2017, we issued stock options, time-lapse restricted stock units, EPS performance restricted stock units and TSR performance restricted stock units. We have not issued strategic performance restricted stock units or special performance restricted stock units in 2017.</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pre-tax stock-based compensation expense recognized in the Consolidated Statements of Earnings was $14 and $13 for the three-month periods ended October 30, 2016, and November 1, 2015, respectively. Tax-related benefits of $5 were also recognized for the three-month periods ended October 30, 2016, and November 1, 2015. Cash received from the exercise of stock options was $1 for the three-month period ended November 1, 2015, and is reflected in cash flows from financing activities in the Consolidated Statements of Cash Flows.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as of October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Outstanding at July 31, 2016</w:t>
            </w:r>
          </w:p>
        </w:tc>
        <w:tc>
          <w:tcPr>
            <w:tcW w:w="16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1300" w:type="dxa"/>
            <w:vAlign w:val="bottom"/>
            <w:tcBorders>
              <w:bottom w:val="single" w:sz="8" w:color="BFE4FF"/>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54.65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BFE4FF"/>
            </w:tcBorders>
            <w:gridSpan w:val="2"/>
            <w:shd w:val="clear" w:color="auto" w:fill="BFE4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BFE4FF"/>
            </w:tcBorders>
            <w:shd w:val="clear" w:color="auto" w:fill="BFE4FF"/>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52.49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80" w:type="dxa"/>
            <w:vAlign w:val="bottom"/>
            <w:tcBorders>
              <w:bottom w:val="single" w:sz="8" w:color="BFE4FF"/>
            </w:tcBorders>
          </w:tcPr>
          <w:p>
            <w:pPr>
              <w:spacing w:after="0"/>
              <w:rPr>
                <w:sz w:val="2"/>
                <w:szCs w:val="2"/>
                <w:color w:val="auto"/>
              </w:rPr>
            </w:pPr>
          </w:p>
        </w:tc>
        <w:tc>
          <w:tcPr>
            <w:tcW w:w="5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130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Outstanding at October 30, 2016</w:t>
            </w:r>
          </w:p>
        </w:tc>
        <w:tc>
          <w:tcPr>
            <w:tcW w:w="16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84"/>
              </w:rPr>
              <w:t>52.02</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70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color w:val="auto"/>
              </w:rPr>
              <w:t>Exercisable at October 30, 2016</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intrinsic value of options exercised during the three-month period ended November 1, 2015, was not material.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grant-date fair values for grants in 2017 and 2016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7"/>
              </w:rPr>
              <w:t>2.26%</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2.46%</w:t>
            </w:r>
          </w:p>
        </w:tc>
      </w:tr>
      <w:tr>
        <w:trPr>
          <w:trHeight w:val="27"/>
        </w:trPr>
        <w:tc>
          <w:tcPr>
            <w:tcW w:w="9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18.35%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6 years</w:t>
            </w:r>
          </w:p>
        </w:tc>
        <w:tc>
          <w:tcPr>
            <w:tcW w:w="1020" w:type="dxa"/>
            <w:vAlign w:val="bottom"/>
          </w:tcPr>
          <w:p>
            <w:pPr>
              <w:ind w:left="240"/>
              <w:spacing w:after="0"/>
              <w:rPr>
                <w:sz w:val="20"/>
                <w:szCs w:val="20"/>
                <w:color w:val="auto"/>
              </w:rPr>
            </w:pPr>
            <w:r>
              <w:rPr>
                <w:rFonts w:ascii="Arial" w:cs="Arial" w:eastAsia="Arial" w:hAnsi="Arial"/>
                <w:sz w:val="18"/>
                <w:szCs w:val="18"/>
                <w:color w:val="auto"/>
              </w:rPr>
              <w:t>6 years</w:t>
            </w:r>
          </w:p>
        </w:tc>
      </w:tr>
      <w:tr>
        <w:trPr>
          <w:trHeight w:val="27"/>
        </w:trPr>
        <w:tc>
          <w:tcPr>
            <w:tcW w:w="9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$7.51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$6.86</w:t>
            </w:r>
          </w:p>
        </w:tc>
      </w:tr>
      <w:tr>
        <w:trPr>
          <w:trHeight w:val="27"/>
        </w:trPr>
        <w:tc>
          <w:tcPr>
            <w:tcW w:w="9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jc w:val="both"/>
        <w:ind w:right="20" w:firstLine="324"/>
        <w:spacing w:after="0" w:line="255"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October 30, 2016, total remaining unearned compensation related to nonvested stock options was $4, which will be amortized over the weighted-average remaining service period of 1.4 years.</w:t>
      </w:r>
    </w:p>
    <w:p>
      <w:pPr>
        <w:spacing w:after="0" w:line="5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strategic performance restricted stock units and special performance restricted stock units as of October 30,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30, 2016</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50.45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4" w:right="239" w:bottom="1440" w:gutter="0" w:footer="0" w:header="0"/>
          <w:type w:val="continuous"/>
        </w:sectPr>
      </w:pPr>
    </w:p>
    <w:bookmarkStart w:id="19" w:name="page20"/>
    <w:bookmarkEnd w:id="19"/>
    <w:p>
      <w:pPr>
        <w:jc w:val="both"/>
        <w:spacing w:after="0" w:line="291" w:lineRule="auto"/>
        <w:rPr>
          <w:sz w:val="20"/>
          <w:szCs w:val="20"/>
          <w:color w:val="auto"/>
        </w:rPr>
      </w:pPr>
      <w:r>
        <w:rPr>
          <w:rFonts w:ascii="Arial" w:cs="Arial" w:eastAsia="Arial" w:hAnsi="Arial"/>
          <w:sz w:val="16"/>
          <w:szCs w:val="16"/>
          <w:color w:val="auto"/>
        </w:rPr>
        <w:t>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155 thousand EPS performance target grants outstanding at October 30, 2016, with a weighted-average grant-date fair value of $49.89. The actual number of EPS performance restricted stock units issued at the vesting date could range from 0% or 100% of the initial grant, depending on actual performance achieved. We estimate expense based on the number of awards expected to vest. In the first quarter of 2017, recipients of strategic performance restricted stock units earned 35% of the initial grants based on actual performance achieved during a three-year period ended July 31, 2016. There were no strategic performance restricted stock units outstanding at October 30, 2016.</w:t>
      </w:r>
    </w:p>
    <w:p>
      <w:pPr>
        <w:spacing w:after="0" w:line="1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is contingent upon meeting various financial goals and performance milestones to support innovation and growth initiatives. These awards vested in the first quarter of 2017 and are included in the table above. Recipients of special performance restricted stock units earned 0% of the initial grants based upon financial goals and 100% of the initial grants based upon performance milestones to support innovation and growth initiatives.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October 30, 2016, total remaining unearned compensation related to nonvested time-lapse restricted stock units and EPS performance restricted stock units was $42, which will be amortized over the weighted-average remaining service period of 1.8 years. The fair value of restricted stock units vested during the three-month periods ended October 30, 2016, and November 1, 2015, was $50 and $40, respectively. The weighted-average grant-date fair value of the restricted stock units granted during the three-month period ended November 1, 2015, was $49.94.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October 30,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30, 2016</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2.26%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2.46%</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17.25%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3 years</w:t>
            </w:r>
          </w:p>
        </w:tc>
        <w:tc>
          <w:tcPr>
            <w:tcW w:w="1140" w:type="dxa"/>
            <w:vAlign w:val="bottom"/>
          </w:tcPr>
          <w:p>
            <w:pPr>
              <w:ind w:left="32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recognize compensation expense on a straight-line basis over the service period. As of October 30, 2016, total remaining unearned compensation related to TSR performance restricted stock units was $46, which will be amortized over the weighted-average remaining service period of 2.1 years. In the first quarter of 2017, recipients of TSR performance restricted stock units earned 75% of the initial grants based upon our TSR ranking in a performance peer group during a three-year period ended July 29, 2016. In the first quarter of 2016, recipients of TSR performance restricted stock units earned 100% of the initial grants based upon our TSR ranking in a performance peer group during a three-year period ended July 31, 2015. The fair value of TSR performance restricted stock units vested during the three-month periods ended October 30, 2016, and November 1, 2015, was $14 and $22, respectively. The grant-date fair value of the TSR performance restricted stock units granted during 2016 was $62.44.</w:t>
      </w:r>
    </w:p>
    <w:p>
      <w:pPr>
        <w:spacing w:after="0" w:line="15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operating activities for the three-month periods ended October 30, 2016, and November 1, 2015, were $6.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1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October 30, 2016. While the potential future charges could be material in a particular quarter or annual period, based on information currently known by management, management does not believe any such charges are likely to have a material adverse effect on our consolidated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Inventories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October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97"/>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 containers and supplies</w:t>
            </w:r>
          </w:p>
        </w:tc>
        <w:tc>
          <w:tcPr>
            <w:tcW w:w="500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Finished products</w:t>
            </w:r>
          </w:p>
        </w:tc>
        <w:tc>
          <w:tcPr>
            <w:tcW w:w="3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964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21</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manage our businesses in three divisions focused mainly on product categories. The divisions, which represent our operating and reportable segments, are as follows: Americas Simple Meals and Beverages; Global Biscuits and Snacks; and Campbell Fresh.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sales in the current quarter of $2.202 billion were comparable to the year-ago quarter as the favorable impact of currency translation was offset by lower volume and mix.</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 as a percent of sales, increased to 38.2% from 34.3% in the year-ago quarter. The increase was primarily due to lower losses on pension and postretirement benefit mark-to-market adjustments and productivity improvements, partially offset by cost inflation, and increased carrot and beverage costs within Campbell Fresh. Excluding the mark-to-market adjustments, the increase was driven by Americas Simple Meals and Beverages.</w:t>
      </w:r>
    </w:p>
    <w:p>
      <w:pPr>
        <w:spacing w:after="0" w:line="132"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Administrative expenses decreased 21% to $123 million from $156 million in the year-ago quarter. The decrease was primarily due to losses on pension and postretirement benefit mark-to-market adjustments in the year-ago quarter, increased benefits from cost savings initiatives and lower costs related to the implementation of the new organizational structure and cost savings initiatives, partially offset by inflation and investments in long-term innovation. Excluding losses on pension and postretirement benefit mark-to-market adjustments and costs related to the implementation of new organizational structure and cost savings initiatives, administrative expenses decreased due to the benefits from cost savings initiatives, partially offset by inflation and investments in long-term innovation.</w:t>
      </w:r>
    </w:p>
    <w:p>
      <w:pPr>
        <w:spacing w:after="0" w:line="12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Earnings per share were $.94 in the current quarter, compared to $.62 a year ago. The current and prior-year quarter included expenses of $.06 and $.33 per share, respectively, from items impacting comparability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first quarter of 2017, we recognized losses of $20 million in Costs and expenses ($13 million after tax, or $.04 per share) associated with mark-to-market adjustments for defined benefit pension and postretirement plans. In the first quarter of 2016, we recognized losses of $128 million in Costs and expenses ($80 million after tax, or $.26 per share) associated with mark-to-market adjustments for defined benefit pension and postretirement plans; and</w:t>
      </w:r>
    </w:p>
    <w:p>
      <w:pPr>
        <w:spacing w:after="0" w:line="13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2015, we implemented a new enterprise design and initiatives to reduce costs and to streamline our organizational structure. In the first quarter of 2017, we recorded a pre-tax restructuring charge of $1 million and implementation costs and other related costs of $8 million in Administrative expenses related to these initiatives (aggregate impact of $6 million after tax, or $.02 per share). In the first quarter of 2016, we recorded a pre-tax restructuring charge of $21 million and implementation costs and other related costs of $15 million in Administrative expenses related to the 2015 initiatives (aggregate impact of $23 million after tax, or $.07 per share).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items impacting comparability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4"/>
                <w:szCs w:val="14"/>
                <w:b w:val="1"/>
                <w:bCs w:val="1"/>
                <w:color w:val="auto"/>
              </w:rPr>
              <w:t>October 30, 2016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November 1, 2015</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6"/>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292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attributable to Campbell Soup Company were $292 million ($.94 per share) in the current quarter, compared to $194 million ($.62 per share) in the year-ago quarter. After adjusting for items impacting comparability, net earnings increased</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0" w:right="239" w:bottom="1440" w:gutter="0" w:footer="0" w:header="0"/>
          <w:type w:val="continuous"/>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primarily due to improved gross profit performance and a lower effective tax rate, partially offset by higher marketing and selling expenses. Earnings per share benefited from a reduction in the weighted average diluted shares outstanding, primarily due to share repurchases under our strategic share repurchase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6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30, 2016</w:t>
            </w:r>
          </w:p>
        </w:tc>
        <w:tc>
          <w:tcPr>
            <w:tcW w:w="12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November 1, 2015</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60" w:type="dxa"/>
            <w:vAlign w:val="bottom"/>
          </w:tcPr>
          <w:p>
            <w:pPr>
              <w:spacing w:after="0"/>
              <w:rPr>
                <w:sz w:val="21"/>
                <w:szCs w:val="21"/>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b w:val="1"/>
                <w:bCs w:val="1"/>
                <w:color w:val="auto"/>
              </w:rPr>
              <w:t>671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w:t>
            </w:r>
          </w:p>
        </w:tc>
      </w:tr>
      <w:tr>
        <w:trPr>
          <w:trHeight w:val="237"/>
        </w:trPr>
        <w:tc>
          <w:tcPr>
            <w:tcW w:w="7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2,202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2,203</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7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6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and Beverages</w:t>
            </w:r>
            <w:r>
              <w:rPr>
                <w:rFonts w:ascii="Arial" w:cs="Arial" w:eastAsia="Arial" w:hAnsi="Arial"/>
                <w:sz w:val="8"/>
                <w:szCs w:val="8"/>
                <w:b w:val="1"/>
                <w:bCs w:val="1"/>
                <w:color w:val="auto"/>
                <w:w w:val="91"/>
              </w:rPr>
              <w:t>(2)</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(2)</w:t>
            </w: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3"/>
                <w:szCs w:val="23"/>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(6)%</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4700" w:type="dxa"/>
            <w:vAlign w:val="bottom"/>
            <w:vMerge w:val="restart"/>
          </w:tcPr>
          <w:p>
            <w:pPr>
              <w:jc w:val="right"/>
              <w:ind w:right="1272"/>
              <w:spacing w:after="0"/>
              <w:rPr>
                <w:sz w:val="20"/>
                <w:szCs w:val="20"/>
                <w:color w:val="auto"/>
              </w:rPr>
            </w:pPr>
            <w:r>
              <w:rPr>
                <w:rFonts w:ascii="Arial" w:cs="Arial" w:eastAsia="Arial" w:hAnsi="Arial"/>
                <w:sz w:val="16"/>
                <w:szCs w:val="16"/>
                <w:color w:val="auto"/>
                <w:w w:val="91"/>
              </w:rPr>
              <w:t>_________________________________________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Americas Simple Meals and Beverages, sales were comparable to the prior year as double-digit gains of </w:t>
      </w:r>
      <w:r>
        <w:rPr>
          <w:rFonts w:ascii="Arial" w:cs="Arial" w:eastAsia="Arial" w:hAnsi="Arial"/>
          <w:sz w:val="17"/>
          <w:szCs w:val="17"/>
          <w:i w:val="1"/>
          <w:iCs w:val="1"/>
          <w:color w:val="auto"/>
        </w:rPr>
        <w:t>Plum</w:t>
      </w:r>
      <w:r>
        <w:rPr>
          <w:rFonts w:ascii="Arial" w:cs="Arial" w:eastAsia="Arial" w:hAnsi="Arial"/>
          <w:sz w:val="17"/>
          <w:szCs w:val="17"/>
          <w:color w:val="auto"/>
        </w:rPr>
        <w:t xml:space="preserve"> products were offset by declines in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U.S. soup sales were comparable to the prior year as gains in ready-to-serve soups and broth were offset by modest declines in condensed soups. Gains in ready-to-serve soups were primarily driven by </w:t>
      </w:r>
      <w:r>
        <w:rPr>
          <w:rFonts w:ascii="Arial" w:cs="Arial" w:eastAsia="Arial" w:hAnsi="Arial"/>
          <w:sz w:val="17"/>
          <w:szCs w:val="17"/>
          <w:i w:val="1"/>
          <w:iCs w:val="1"/>
          <w:color w:val="auto"/>
        </w:rPr>
        <w:t>Campbell's Chunky</w:t>
      </w:r>
      <w:r>
        <w:rPr>
          <w:rFonts w:ascii="Arial" w:cs="Arial" w:eastAsia="Arial" w:hAnsi="Arial"/>
          <w:sz w:val="17"/>
          <w:szCs w:val="17"/>
          <w:color w:val="auto"/>
        </w:rPr>
        <w:t xml:space="preserve"> soups due to increased marketing support.</w:t>
      </w:r>
    </w:p>
    <w:p>
      <w:pPr>
        <w:spacing w:after="0" w:line="1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Global Biscuits and Snacks, sales increased 3% reflecting a 2% favorable impact from currency translation. Excluding the favorable impact of currency translation, segment sales increased primarily due to gains in Pepperidge Farm, partially offset by declines in Kelsen and in Indonesia. Pepperidge Farm sales increased due to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benefiting from increased marketing support and new items, partly offset by declines in fresh bakery and frozen products. In 2017, we increased promotional spending in Pepperidge Farm to support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bakery products, and in Indonesia to remain competitive.</w:t>
      </w:r>
    </w:p>
    <w:p>
      <w:pPr>
        <w:spacing w:after="0" w:line="13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8"/>
          <w:szCs w:val="18"/>
          <w:color w:val="auto"/>
        </w:rPr>
        <w:t>In Campbell Fresh, sales decreased 6% due to lower sales of refrigerated beverages</w:t>
      </w:r>
      <w:r>
        <w:rPr>
          <w:rFonts w:ascii="Arial" w:cs="Arial" w:eastAsia="Arial" w:hAnsi="Arial"/>
          <w:sz w:val="19"/>
          <w:szCs w:val="19"/>
          <w:color w:val="auto"/>
        </w:rPr>
        <w:t>,</w:t>
      </w:r>
      <w:r>
        <w:rPr>
          <w:rFonts w:ascii="Arial" w:cs="Arial" w:eastAsia="Arial" w:hAnsi="Arial"/>
          <w:sz w:val="18"/>
          <w:szCs w:val="18"/>
          <w:color w:val="auto"/>
        </w:rPr>
        <w:t xml:space="preserve"> carrots and Garden Fresh Gourmet hummus and salsa, partly offset by gains in refrigerated soup. The decrease in refrigerated beverages reflected the adverse impact of the continued supply constraints related to the voluntary recall of </w:t>
      </w:r>
      <w:r>
        <w:rPr>
          <w:rFonts w:ascii="Arial" w:cs="Arial" w:eastAsia="Arial" w:hAnsi="Arial"/>
          <w:sz w:val="18"/>
          <w:szCs w:val="18"/>
          <w:i w:val="1"/>
          <w:iCs w:val="1"/>
          <w:color w:val="auto"/>
        </w:rPr>
        <w:t>Bolthouse Farms Protein PLUS</w:t>
      </w:r>
      <w:r>
        <w:rPr>
          <w:rFonts w:ascii="Arial" w:cs="Arial" w:eastAsia="Arial" w:hAnsi="Arial"/>
          <w:sz w:val="18"/>
          <w:szCs w:val="18"/>
          <w:color w:val="auto"/>
        </w:rPr>
        <w:t xml:space="preserve"> drinks in June 2016. The carrot sales performance reflected the market share impact of quality and execution issues experienced in 2016.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$86 million in 2017 from 2016. As a percent of sales, gross profit was 38.2% in 2017 and 34.3% in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14"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The 3.9 percentage point overall increase in gross margin was due to the following factors: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Pension and postretirement benefit mark-to-market adjustments</w:t>
            </w:r>
            <w:r>
              <w:rPr>
                <w:rFonts w:ascii="Arial" w:cs="Arial" w:eastAsia="Arial" w:hAnsi="Arial"/>
                <w:sz w:val="25"/>
                <w:szCs w:val="25"/>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2.7%</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Productivity improvements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1.7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selling prices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0.2</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Mix</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0.2</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level of promotional spending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(0.2)</w:t>
            </w:r>
          </w:p>
        </w:tc>
        <w:tc>
          <w:tcPr>
            <w:tcW w:w="0" w:type="dxa"/>
            <w:vAlign w:val="bottom"/>
          </w:tcPr>
          <w:p>
            <w:pPr>
              <w:spacing w:after="0"/>
              <w:rPr>
                <w:sz w:val="1"/>
                <w:szCs w:val="1"/>
                <w:color w:val="auto"/>
              </w:rPr>
            </w:pPr>
          </w:p>
        </w:tc>
      </w:tr>
      <w:tr>
        <w:trPr>
          <w:trHeight w:val="270"/>
        </w:trPr>
        <w:tc>
          <w:tcPr>
            <w:tcW w:w="98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(2)</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(0.7)</w:t>
            </w: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3.9%</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8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Mark-to-market losses were $20 million in 2017 and $79 million in 2016.</w:t>
      </w:r>
    </w:p>
    <w:p>
      <w:pPr>
        <w:spacing w:after="0" w:line="55"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1.0 point from cost savings initiatives, which was more than offset by cost inflation and other factors, including increased carrot and beverage costs within Campbell Fresh.</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Marketing and selling expenses as a percent of sales were 10.4% in 2017 compared to 10.3% in 2016. Marketing and selling expenses increased 1% in 2017 from 2016. The increase was due to higher advertising and consumer promotion expenses (approximately 5 percentage points); higher selling expenses (approximately 4 percentage points) due primarily to timing; and inflation (approximately 1 percentage point), partially offset by pension and postretirement benefit mark-to-market adjustments recognized in 2016 (approximately 9 percentage points). The increase in advertising and consumer promotion expenses was primarily due to the new advertising campaign on </w:t>
      </w:r>
      <w:r>
        <w:rPr>
          <w:rFonts w:ascii="Arial" w:cs="Arial" w:eastAsia="Arial" w:hAnsi="Arial"/>
          <w:sz w:val="16"/>
          <w:szCs w:val="16"/>
          <w:i w:val="1"/>
          <w:iCs w:val="1"/>
          <w:color w:val="auto"/>
        </w:rPr>
        <w:t>Campbell's Chunky</w:t>
      </w:r>
      <w:r>
        <w:rPr>
          <w:rFonts w:ascii="Arial" w:cs="Arial" w:eastAsia="Arial" w:hAnsi="Arial"/>
          <w:sz w:val="16"/>
          <w:szCs w:val="16"/>
          <w:color w:val="auto"/>
        </w:rPr>
        <w:t xml:space="preserve"> soups and increased support of Pepperidge Farm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Administrative expenses as a percent of sales were 5.6% in 2017 compared to 7.1% in 2016. Administrative expenses decreased 21% in 2017 from 2016. The decrease was primarily due to losses on pension and postretirement benefit mark-to-market adjustments recognized in 2016 (approximately 13 percentage points); increased benefits from cost savings initiatives (approximately 8 percentage points); and lower costs related to the implementation of the new organizational structure and cost savings initiatives (approximately 4 percentage points), partially offset by inflation and other factors (approximately 3 percentage points) and investments in long-term innovation (approximately 1 percentage point).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expenses decreased $6 million, or 19%, in 2017 from 2016. The decrease was primarily due to losses on pension and postretirement benefit mark-to-market adjustments recognized in 2016 (approximately 25 percentage points), partially offset by investments in long-term innovation (approximately 3 percentage points).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were comparable to the year-ago quarter.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7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9"/>
              </w:rPr>
              <w:t>October 30, 2016</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November 1, 2015</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76"/>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6%</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4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w:t>
            </w:r>
          </w:p>
        </w:tc>
      </w:tr>
      <w:tr>
        <w:trPr>
          <w:trHeight w:val="27"/>
        </w:trPr>
        <w:tc>
          <w:tcPr>
            <w:tcW w:w="7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2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(94)</w:t>
            </w:r>
          </w:p>
        </w:tc>
      </w:tr>
      <w:tr>
        <w:trPr>
          <w:trHeight w:val="237"/>
        </w:trPr>
        <w:tc>
          <w:tcPr>
            <w:tcW w:w="75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496</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7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75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Earnings from Americas Simple Meals and Beverages increased 6%. The increase was primarily due to a higher gross profit percentage, benefiting from productivity improvements, partly offset by increased marketing and selling expenses.</w:t>
      </w:r>
    </w:p>
    <w:p>
      <w:pPr>
        <w:sectPr>
          <w:pgSz w:w="11900" w:h="16838" w:orient="portrait"/>
          <w:cols w:equalWidth="0" w:num="1">
            <w:col w:w="11420"/>
          </w:cols>
          <w:pgMar w:left="240" w:top="1314" w:right="2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jc w:val="both"/>
        <w:ind w:firstLine="324"/>
        <w:spacing w:after="0" w:line="277" w:lineRule="auto"/>
        <w:rPr>
          <w:sz w:val="20"/>
          <w:szCs w:val="20"/>
          <w:color w:val="auto"/>
        </w:rPr>
      </w:pPr>
      <w:r>
        <w:rPr>
          <w:rFonts w:ascii="Arial" w:cs="Arial" w:eastAsia="Arial" w:hAnsi="Arial"/>
          <w:sz w:val="18"/>
          <w:szCs w:val="18"/>
          <w:color w:val="auto"/>
        </w:rPr>
        <w:t>Earnings from Global Biscuits and Snacks decreased 2%. The decrease was primarily due to higher advertising expenses, partly offset by the favorable impact of currency translation.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Campbell Fresh decreased by $17 million. The decrease was primarily due to higher carrot costs, which were associated with lower volumes and improved quality; the cost impact of lower beverage operating efficiencies; and lower sales.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Corporate in 2017 included a $20 million loss associated with pension and postretirement benefit mark-to-market adjustments and costs of $8 million related to the implementation of our new organizational structure and cost savings initiatives. Corporate in 2016 included a $128 million loss associated with pension and postretirement benefit mark-to-market adjustments and costs of $15 million related to the implementation of our new organizational structure and cost savings initiatives. The remaining decrease was primarily due to lower postretirement benefit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of $29 million in 2017 was comparable to 2016 reflecting higher average interest rates on the debt portfolio, offset by lower average levels of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effective tax rate was 31.9% in 2017, and 32.4% in 2016. In 2017, we recognized a tax benefit of $7 million on $20 million of pension and postretirement benefit mark-to-market losses and a $3 million tax benefit on $9 million of restructuring charges, implementation costs and other related costs. In 2016, we recognized a tax benefit of $48 million on $128 million of pension and postretirement benefit mark-to-market losses and a $13 million tax benefit on $36 million of restructuring charges, implementation costs and other related costs. After adjusting for the items above, the remaining decrease in the tax rate reflects the recognition of $6 million of excess tax benefits in connection with the adoption of new accounting guidance on stock-based compensation in 2017. See Note 2 to the Consolidated Financial Statements for additional information on the adoption of the new accounting guidance.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support of the new structure, we designed and implemented a new Integrated Global Services organization to deliver shared services across the company. We also streamlined our organizational structure. We are pursuing other initiatives to reduce costs and increase effectiveness, such as adopting zero-based budgeting over time.</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July 31. We also implemented an initiative to reduce overhead across the organization by eliminating approximately 275 positions. In the first quarter of 2017, we recorded a restructuring charge of $1 million related to these initiatives. In 2016, we recorded a restructuring charge of $35 million related to these initiatives. Of the amounts recorded in 2016, $21 million was recorded in the first quarter. In 2015, we recorded a restructuring charge of $102 million related to these initiatives.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first quarter of 2017, we also incurred charges of $8 million in Administrative expenses related to the implementation of the new organizational structure and cost savings initiatives. In 2016 and 2015, we incurred charges of $47 million and $22 million, respectively, recorded in Administrative expenses related to these initiatives. Of the amounts recorded in 2016, $15 million was recorded in the first quarter.</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quarter of 2017, the aggregate after-tax impact of restructuring charges, implementation costs and other related costs recorded was $6 million, or $.02 per share. In the first quarter of 2016, the aggregate after-tax impact of restructuring charges, implementation costs and other related costs recorded was $23 million, or $.07 per share. The aggregate after-tax impact of restructuring charges, implementation costs and other related costs recorded in 2016 and 2015 was $52 million, or $.17 per share and $78 million, or $.25 per share, respectively. A summary of the pre-tax costs associated with the 2015 initiatives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9"/>
        </w:trPr>
        <w:tc>
          <w:tcPr>
            <w:tcW w:w="9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2"/>
                <w:szCs w:val="12"/>
                <w:color w:val="auto"/>
              </w:rPr>
            </w:pPr>
          </w:p>
        </w:tc>
        <w:tc>
          <w:tcPr>
            <w:tcW w:w="14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98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October 30, 2016</w:t>
            </w:r>
          </w:p>
        </w:tc>
        <w:tc>
          <w:tcPr>
            <w:tcW w:w="0" w:type="dxa"/>
            <w:vAlign w:val="bottom"/>
          </w:tcPr>
          <w:p>
            <w:pPr>
              <w:spacing w:after="0"/>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00" w:type="dxa"/>
            <w:vAlign w:val="bottom"/>
          </w:tcPr>
          <w:p>
            <w:pPr>
              <w:spacing w:after="0"/>
              <w:rPr>
                <w:sz w:val="21"/>
                <w:szCs w:val="21"/>
                <w:color w:val="auto"/>
              </w:rPr>
            </w:pPr>
          </w:p>
        </w:tc>
        <w:tc>
          <w:tcPr>
            <w:tcW w:w="1400" w:type="dxa"/>
            <w:vAlign w:val="bottom"/>
          </w:tcPr>
          <w:p>
            <w:pPr>
              <w:jc w:val="right"/>
              <w:ind w:right="39"/>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9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14" w:right="239" w:bottom="1440" w:gutter="0" w:footer="0" w:header="0"/>
          <w:type w:val="continuous"/>
        </w:sectPr>
      </w:pPr>
    </w:p>
    <w:bookmarkStart w:id="25" w:name="page26"/>
    <w:bookmarkEnd w:id="25"/>
    <w:p>
      <w:pPr>
        <w:jc w:val="both"/>
        <w:ind w:firstLine="324"/>
        <w:spacing w:after="0" w:line="302" w:lineRule="auto"/>
        <w:rPr>
          <w:sz w:val="20"/>
          <w:szCs w:val="20"/>
          <w:color w:val="auto"/>
        </w:rPr>
      </w:pPr>
      <w:r>
        <w:rPr>
          <w:rFonts w:ascii="Arial" w:cs="Arial" w:eastAsia="Arial" w:hAnsi="Arial"/>
          <w:sz w:val="16"/>
          <w:szCs w:val="16"/>
          <w:color w:val="auto"/>
        </w:rPr>
        <w:t>The total estimated pre-tax costs for the 2015 initiatives are approximately $250 million to $300 million. We expect the costs to consist of approximately $135 million to $145 million in severance pay and benefits, and approximately $115 million to $155 million in implementation costs and other related costs.We expect the total pre-tax costs related to the 2015 initiatives will be associated with segments as follows: Americas Simple Meals and Beverages - approximately 30%; Global Biscuits and Snacks - approximately 32%; Campbell Fresh - approximately 3%; and Corporate - approximately 35%.</w:t>
      </w:r>
    </w:p>
    <w:p>
      <w:pPr>
        <w:spacing w:after="0" w:line="1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expect substantially all costs to be cash expenditures, except for $7 million of non-cash postretirement and pension curtailment costs incurred in 2015. We expect to incur the costs through 2018, and to fund the costs through cash flows from operations and short-term borrowings.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the 2015 initiatives to generate pre-tax savings of approximately $265 million in 2017, and once fully implemented, annual ongoing savings of approximately $300 million beginning in 2018. In 2016 and 2015, annual pre-tax savings were $215 million and $85 million, respectively. In the first quarter of 2017, we generated an additional $35 million of pre-tax savings.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incurred to date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October 30, 2016</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Costs Incurred to Date</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340"/>
              <w:spacing w:after="0"/>
              <w:rPr>
                <w:sz w:val="20"/>
                <w:szCs w:val="20"/>
                <w:color w:val="auto"/>
              </w:rPr>
            </w:pPr>
            <w:r>
              <w:rPr>
                <w:rFonts w:ascii="Arial" w:cs="Arial" w:eastAsia="Arial" w:hAnsi="Arial"/>
                <w:sz w:val="18"/>
                <w:szCs w:val="18"/>
                <w:color w:val="auto"/>
              </w:rPr>
              <w:t>See Note 6 to the Consolidated Financial Statements for additional information.</w:t>
            </w: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$221 million in 2017, compared to $244 million in 2016. The decline in 2017 was primarily due to lower cash earnings and higher working capital requirements.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$614 million as of October 30, 2016, and $647 million as of July 31, 2016. Debt maturing within one year was $1.290 billion as of October 30, 2016.</w:t>
      </w:r>
    </w:p>
    <w:p>
      <w:pPr>
        <w:spacing w:after="0" w:line="13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Capital expenditures were $48 million in 2017, compared to $71 million in 2016. Capital expenditures are expected to total approximately $350 million in 2017. Capital expenditures in 2017 included projects to expand: Australian multi-pack biscuit capacity (approximately $4 million); beverage and salad dressing capacity at Bolthouse Farms (approximately $2 million); capacity at Garden Fresh (approximately $2 million); as well as the continued enhancement of our corporate headquarters (approximately $3 million) and replacement of a Pepperidge Farm refrigeration system (approximately $2 million).</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Dividend payments were $100 million in 2017, and in 2016. We repurchased approximately 2 million shares at a cost of $112 million in 2017, and approximately 1 million shares at a cost of $32 million in 2016. See Note 12 to the Consolidated Financial Statements and “Unregistered Sales of Equity Securities and Use of Proceeds” for more information.</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October 30, 2016, we had $1.290 billion of short-term borrowings due within one year, of which $862 million was comprised of commercial paper borrowings. As of October 30, 2016, we issued $48 million of standby letters of credit. We have a committed revolving credit facility totaling $2.2 billion that matures in December 2018. This U.S. facility remained unused at October 30, 2016, except for $3 million of standby letters of credit that we issued under it. The U.S. facility supports our commercial paper programs and other general corporate purposes. We expect to replace the U.S. facility with a new $1.85 billion committed revolving facility in the second quarter of 2017. In July 2016, we entered into a committed revolving credit facility totaling CAD $280 million, or $209 million, that matures in July 2019. The Canadian facility's commitment mandatorily reduces to CAD $225 million in July 2017 and to CAD $185 million in July 2018. The Canadian facility supports general corporate purposes. In August 2016, we reduced the borrowings and commitment under the Canadian facility by CAD $35 million, or $26 million. As of October 30, 2016, we had borrowings of CAD $245 million, or $183 million, at a rate of 1.795% under this facility, of which</w:t>
      </w:r>
    </w:p>
    <w:p>
      <w:pPr>
        <w:sectPr>
          <w:pgSz w:w="11900" w:h="16838" w:orient="portrait"/>
          <w:cols w:equalWidth="0" w:num="1">
            <w:col w:w="11420"/>
          </w:cols>
          <w:pgMar w:left="240" w:top="1233" w:right="239" w:bottom="1440" w:gutter="0" w:footer="0" w:header="0"/>
        </w:sect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33" w:right="239" w:bottom="1440" w:gutter="0" w:footer="0" w:header="0"/>
          <w:type w:val="continuous"/>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CAD $35 million, or $26 million, is classified as short-term borrowings. In November 2016, we reduced the borrowings and commitment under the Canadian facility by CAD $35 million, or $26 million.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filed a shelf registration statement with the Securities and Exchange Commission that registered an indeterminate amount of debt securities. Under the registration statement, we may issue debt securities from time to time, depending on market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2016 Annual Report on Form 10-K. The accounting policies we used in preparing these financial statements are substantially consistent with those we applied in our Annual Report on Form 10-K for the year ended July 31, 2016, with the exception of the adoption of new guidance on accounting for share-based payments as described in Note 2 to the Consolidated Financial Statements. Our significant accounting estimates are described in Management’s Discussion and Analysis included in the 2016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This quarterly report contains “forward-looking” statements that reflect our current expectations regarding our future results of operations, economic performance, financial condition and achievements. We try, wherever possible, to identify these forward-looking statements by using words such as “anticipate,” “believe,” “estimate,” “expect,”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2016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strong competitive response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changing customer landscape, including inventory management practices, and increased significance of certain of our key customers;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impact of non-U.S. operations, including export and import restrictions, public corruption and compliance with foreign laws and regulations;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to complete and integrate acquisitions,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4" w:right="239" w:bottom="1440" w:gutter="0" w:footer="0" w:header="0"/>
          <w:type w:val="continuous"/>
        </w:sectPr>
      </w:pPr>
    </w:p>
    <w:bookmarkStart w:id="27" w:name="page28"/>
    <w:bookmarkEnd w:id="27"/>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Disclosures About Market Risk, in the 2016 Annual Report on Form 10-K. There have been no significant changes in our portfolio of financial instruments or market risk exposures from the 2016 year-end.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October 30, 2016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3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were likely to materially affect, such control over financial reporting during the quarter ended October 30,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14" w:right="239" w:bottom="1440" w:gutter="0" w:footer="0" w:header="0"/>
        </w:sectPr>
      </w:pPr>
    </w:p>
    <w:bookmarkStart w:id="28" w:name="page29"/>
    <w:bookmarkEnd w:id="28"/>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Issuer Purchases of Equity Securities</w:t>
            </w: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8"/>
                <w:szCs w:val="8"/>
                <w:b w:val="1"/>
                <w:bCs w:val="1"/>
                <w:color w:val="auto"/>
                <w:w w:val="93"/>
              </w:rPr>
              <w:t>(1)</w:t>
            </w:r>
          </w:p>
        </w:tc>
        <w:tc>
          <w:tcPr>
            <w:tcW w:w="340" w:type="dxa"/>
            <w:vAlign w:val="bottom"/>
          </w:tcPr>
          <w:p>
            <w:pPr>
              <w:spacing w:after="0"/>
              <w:rPr>
                <w:sz w:val="13"/>
                <w:szCs w:val="13"/>
                <w:color w:val="auto"/>
              </w:rPr>
            </w:pPr>
          </w:p>
        </w:tc>
        <w:tc>
          <w:tcPr>
            <w:tcW w:w="14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8"/>
                <w:szCs w:val="8"/>
                <w:b w:val="1"/>
                <w:bCs w:val="1"/>
                <w:color w:val="auto"/>
                <w:w w:val="93"/>
              </w:rPr>
              <w:t>(2)</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xml:space="preserve">($ in Millions) </w:t>
            </w:r>
            <w:r>
              <w:rPr>
                <w:rFonts w:ascii="Arial" w:cs="Arial" w:eastAsia="Arial" w:hAnsi="Arial"/>
                <w:sz w:val="8"/>
                <w:szCs w:val="8"/>
                <w:b w:val="1"/>
                <w:bCs w:val="1"/>
                <w:color w:val="auto"/>
                <w:w w:val="98"/>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400" w:type="dxa"/>
            <w:vAlign w:val="bottom"/>
            <w:tcBorders>
              <w:top w:val="single" w:sz="8" w:color="auto"/>
              <w:bottom w:val="single" w:sz="8" w:color="BFE4FF"/>
            </w:tcBorders>
          </w:tcPr>
          <w:p>
            <w:pPr>
              <w:spacing w:after="0" w:line="20" w:lineRule="exact"/>
              <w:rPr>
                <w:sz w:val="1"/>
                <w:szCs w:val="1"/>
                <w:color w:val="auto"/>
              </w:rPr>
            </w:pPr>
          </w:p>
        </w:tc>
        <w:tc>
          <w:tcPr>
            <w:tcW w:w="4140" w:type="dxa"/>
            <w:vAlign w:val="bottom"/>
            <w:tcBorders>
              <w:bottom w:val="single" w:sz="8" w:color="BFE4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b w:val="1"/>
                <w:bCs w:val="1"/>
                <w:color w:val="auto"/>
              </w:rPr>
              <w:t>8/1/16 - 8/31/16</w:t>
            </w:r>
          </w:p>
        </w:tc>
        <w:tc>
          <w:tcPr>
            <w:tcW w:w="128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BFE4FF"/>
            </w:tcBorders>
            <w:gridSpan w:val="2"/>
            <w:shd w:val="clear" w:color="auto" w:fill="BFE4FF"/>
          </w:tcPr>
          <w:p>
            <w:pPr>
              <w:jc w:val="right"/>
              <w:ind w:right="4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$450</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9/1/16 - 9/30/16</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1,606,513</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48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$55.64 </w:t>
            </w:r>
            <w:r>
              <w:rPr>
                <w:rFonts w:ascii="Arial" w:cs="Arial" w:eastAsia="Arial" w:hAnsi="Arial"/>
                <w:sz w:val="25"/>
                <w:szCs w:val="25"/>
                <w:color w:val="auto"/>
                <w:vertAlign w:val="superscript"/>
              </w:rPr>
              <w:t>(4)</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1,564,600</w:t>
            </w:r>
          </w:p>
        </w:tc>
        <w:tc>
          <w:tcPr>
            <w:tcW w:w="3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$363</w:t>
            </w:r>
          </w:p>
        </w:tc>
        <w:tc>
          <w:tcPr>
            <w:tcW w:w="0" w:type="dxa"/>
            <w:vAlign w:val="bottom"/>
          </w:tcPr>
          <w:p>
            <w:pPr>
              <w:spacing w:after="0"/>
              <w:rPr>
                <w:sz w:val="1"/>
                <w:szCs w:val="1"/>
                <w:color w:val="auto"/>
              </w:rPr>
            </w:pPr>
          </w:p>
        </w:tc>
      </w:tr>
      <w:tr>
        <w:trPr>
          <w:trHeight w:val="270"/>
        </w:trPr>
        <w:tc>
          <w:tcPr>
            <w:tcW w:w="4580" w:type="dxa"/>
            <w:vAlign w:val="bottom"/>
            <w:gridSpan w:val="3"/>
            <w:shd w:val="clear" w:color="auto" w:fill="BFE4FF"/>
          </w:tcPr>
          <w:p>
            <w:pPr>
              <w:ind w:left="40"/>
              <w:spacing w:after="0"/>
              <w:rPr>
                <w:sz w:val="20"/>
                <w:szCs w:val="20"/>
                <w:color w:val="auto"/>
              </w:rPr>
            </w:pPr>
            <w:r>
              <w:rPr>
                <w:rFonts w:ascii="Arial" w:cs="Arial" w:eastAsia="Arial" w:hAnsi="Arial"/>
                <w:sz w:val="18"/>
                <w:szCs w:val="18"/>
                <w:b w:val="1"/>
                <w:bCs w:val="1"/>
                <w:color w:val="auto"/>
              </w:rPr>
              <w:t>10/3/16 - 10/28/16</w:t>
            </w:r>
          </w:p>
        </w:tc>
        <w:tc>
          <w:tcPr>
            <w:tcW w:w="1280" w:type="dxa"/>
            <w:vAlign w:val="bottom"/>
            <w:shd w:val="clear" w:color="auto" w:fill="BFE4FF"/>
          </w:tcPr>
          <w:p>
            <w:pPr>
              <w:jc w:val="right"/>
              <w:ind w:right="38"/>
              <w:spacing w:after="0"/>
              <w:rPr>
                <w:sz w:val="20"/>
                <w:szCs w:val="20"/>
                <w:color w:val="auto"/>
              </w:rPr>
            </w:pPr>
            <w:r>
              <w:rPr>
                <w:rFonts w:ascii="Arial" w:cs="Arial" w:eastAsia="Arial" w:hAnsi="Arial"/>
                <w:sz w:val="18"/>
                <w:szCs w:val="18"/>
                <w:color w:val="auto"/>
              </w:rPr>
              <w:t>417,923</w:t>
            </w:r>
          </w:p>
        </w:tc>
        <w:tc>
          <w:tcPr>
            <w:tcW w:w="340" w:type="dxa"/>
            <w:vAlign w:val="bottom"/>
            <w:shd w:val="clear" w:color="auto" w:fill="BFE4FF"/>
          </w:tcPr>
          <w:p>
            <w:pPr>
              <w:jc w:val="right"/>
              <w:ind w:right="117"/>
              <w:spacing w:after="0"/>
              <w:rPr>
                <w:sz w:val="20"/>
                <w:szCs w:val="20"/>
                <w:color w:val="auto"/>
              </w:rPr>
            </w:pPr>
            <w:r>
              <w:rPr>
                <w:rFonts w:ascii="Arial" w:cs="Arial" w:eastAsia="Arial" w:hAnsi="Arial"/>
                <w:sz w:val="13"/>
                <w:szCs w:val="13"/>
                <w:color w:val="auto"/>
                <w:w w:val="87"/>
              </w:rPr>
              <w:t>(5)</w:t>
            </w:r>
          </w:p>
        </w:tc>
        <w:tc>
          <w:tcPr>
            <w:tcW w:w="1480" w:type="dxa"/>
            <w:vAlign w:val="bottom"/>
            <w:gridSpan w:val="2"/>
            <w:shd w:val="clear" w:color="auto" w:fill="BFE4FF"/>
          </w:tcPr>
          <w:p>
            <w:pPr>
              <w:ind w:left="620"/>
              <w:spacing w:after="0" w:line="270" w:lineRule="exact"/>
              <w:rPr>
                <w:sz w:val="20"/>
                <w:szCs w:val="20"/>
                <w:color w:val="auto"/>
              </w:rPr>
            </w:pPr>
            <w:r>
              <w:rPr>
                <w:rFonts w:ascii="Arial" w:cs="Arial" w:eastAsia="Arial" w:hAnsi="Arial"/>
                <w:sz w:val="18"/>
                <w:szCs w:val="18"/>
                <w:color w:val="auto"/>
              </w:rPr>
              <w:t xml:space="preserve">$54.07 </w:t>
            </w:r>
            <w:r>
              <w:rPr>
                <w:rFonts w:ascii="Arial" w:cs="Arial" w:eastAsia="Arial" w:hAnsi="Arial"/>
                <w:sz w:val="25"/>
                <w:szCs w:val="25"/>
                <w:color w:val="auto"/>
                <w:vertAlign w:val="superscript"/>
              </w:rPr>
              <w:t>(5)</w:t>
            </w:r>
          </w:p>
        </w:tc>
        <w:tc>
          <w:tcPr>
            <w:tcW w:w="1700" w:type="dxa"/>
            <w:vAlign w:val="bottom"/>
            <w:shd w:val="clear" w:color="auto" w:fill="BFE4FF"/>
          </w:tcPr>
          <w:p>
            <w:pPr>
              <w:jc w:val="right"/>
              <w:ind w:right="20"/>
              <w:spacing w:after="0"/>
              <w:rPr>
                <w:sz w:val="20"/>
                <w:szCs w:val="20"/>
                <w:color w:val="auto"/>
              </w:rPr>
            </w:pPr>
            <w:r>
              <w:rPr>
                <w:rFonts w:ascii="Arial" w:cs="Arial" w:eastAsia="Arial" w:hAnsi="Arial"/>
                <w:sz w:val="18"/>
                <w:szCs w:val="18"/>
                <w:color w:val="auto"/>
              </w:rPr>
              <w:t>238,100</w:t>
            </w:r>
          </w:p>
        </w:tc>
        <w:tc>
          <w:tcPr>
            <w:tcW w:w="340" w:type="dxa"/>
            <w:vAlign w:val="bottom"/>
            <w:shd w:val="clear" w:color="auto" w:fill="BFE4FF"/>
          </w:tcPr>
          <w:p>
            <w:pPr>
              <w:spacing w:after="0"/>
              <w:rPr>
                <w:sz w:val="23"/>
                <w:szCs w:val="23"/>
                <w:color w:val="auto"/>
              </w:rPr>
            </w:pPr>
          </w:p>
        </w:tc>
        <w:tc>
          <w:tcPr>
            <w:tcW w:w="17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$350</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2,024,436</w:t>
            </w:r>
          </w:p>
        </w:tc>
        <w:tc>
          <w:tcPr>
            <w:tcW w:w="340" w:type="dxa"/>
            <w:vAlign w:val="bottom"/>
          </w:tcPr>
          <w:p>
            <w:pPr>
              <w:spacing w:after="0"/>
              <w:rPr>
                <w:sz w:val="20"/>
                <w:szCs w:val="20"/>
                <w:color w:val="auto"/>
              </w:rPr>
            </w:pPr>
          </w:p>
        </w:tc>
        <w:tc>
          <w:tcPr>
            <w:tcW w:w="11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0"/>
              </w:rPr>
              <w:t>$55.32</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1,802,700</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3959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8" w:lineRule="exact"/>
        <w:rPr>
          <w:sz w:val="20"/>
          <w:szCs w:val="20"/>
          <w:color w:val="auto"/>
        </w:rPr>
      </w:pPr>
    </w:p>
    <w:p>
      <w:pPr>
        <w:ind w:left="340" w:hanging="332"/>
        <w:spacing w:after="0" w:line="216"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Shares purchased are as of the trade date. Includes 221,736 shares repurchased in open-market transactions primarily to offset the dilutive impact to existing shareholders of issuances under stock compensation plans.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56" w:lineRule="exact"/>
        <w:rPr>
          <w:rFonts w:ascii="Arial" w:cs="Arial" w:eastAsia="Arial" w:hAnsi="Arial"/>
          <w:sz w:val="25"/>
          <w:szCs w:val="25"/>
          <w:color w:val="auto"/>
          <w:vertAlign w:val="superscript"/>
        </w:rPr>
      </w:pPr>
    </w:p>
    <w:p>
      <w:pPr>
        <w:jc w:val="both"/>
        <w:ind w:left="340" w:hanging="332"/>
        <w:spacing w:after="0" w:line="227"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During the first quarter of 2017, we had a publicly announced strategic share repurchase program. Under this program, which was announced on June 23, 2011, our Board of Directors authorized the purchase of up to $1 billion of our stock. The program has no expiration date. Pursuant to our longstanding practice, under a separate 2017 authorization, we expect to continue purchasing shares sufficient to offset shares issued under our incentive compensation plans.</w:t>
      </w:r>
    </w:p>
    <w:p>
      <w:pPr>
        <w:spacing w:after="0" w:line="4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41,913 shares repurchased in open-market transactions at a price of $54.85 primarily to offset the dilutive impact to existing shareholders of issuances under stock compensation plans.</w:t>
      </w:r>
    </w:p>
    <w:p>
      <w:pPr>
        <w:spacing w:after="0" w:line="41"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179,823 shares repurchased in open-market transactions at an average price of $54.12 primarily to offset the dilutive impact to existing shareholders of issuances under stock compensation plans.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2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10(a)*</w:t>
            </w:r>
          </w:p>
        </w:tc>
        <w:tc>
          <w:tcPr>
            <w:tcW w:w="7400" w:type="dxa"/>
            <w:vAlign w:val="bottom"/>
          </w:tcPr>
          <w:p>
            <w:pPr>
              <w:ind w:left="240"/>
              <w:spacing w:after="0"/>
              <w:rPr>
                <w:sz w:val="20"/>
                <w:szCs w:val="20"/>
                <w:color w:val="auto"/>
              </w:rPr>
            </w:pPr>
            <w:r>
              <w:rPr>
                <w:rFonts w:ascii="Arial" w:cs="Arial" w:eastAsia="Arial" w:hAnsi="Arial"/>
                <w:sz w:val="18"/>
                <w:szCs w:val="18"/>
                <w:color w:val="auto"/>
              </w:rPr>
              <w:t>2017 Non-Employee Director Fees.</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10(b)*</w:t>
            </w:r>
          </w:p>
        </w:tc>
        <w:tc>
          <w:tcPr>
            <w:tcW w:w="7400" w:type="dxa"/>
            <w:vAlign w:val="bottom"/>
          </w:tcPr>
          <w:p>
            <w:pPr>
              <w:ind w:left="240"/>
              <w:spacing w:after="0"/>
              <w:rPr>
                <w:sz w:val="20"/>
                <w:szCs w:val="20"/>
                <w:color w:val="auto"/>
              </w:rPr>
            </w:pPr>
            <w:r>
              <w:rPr>
                <w:rFonts w:ascii="Arial" w:cs="Arial" w:eastAsia="Arial" w:hAnsi="Arial"/>
                <w:sz w:val="18"/>
                <w:szCs w:val="18"/>
                <w:color w:val="auto"/>
                <w:w w:val="90"/>
              </w:rPr>
              <w:t>Form of 2015 Long-Term Incentive Plan Performance Stock Unit Agreement (Earnings Per Share).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10(c)*</w:t>
            </w:r>
          </w:p>
        </w:tc>
        <w:tc>
          <w:tcPr>
            <w:tcW w:w="7400" w:type="dxa"/>
            <w:vAlign w:val="bottom"/>
          </w:tcPr>
          <w:p>
            <w:pPr>
              <w:ind w:left="240"/>
              <w:spacing w:after="0"/>
              <w:rPr>
                <w:sz w:val="20"/>
                <w:szCs w:val="20"/>
                <w:color w:val="auto"/>
              </w:rPr>
            </w:pPr>
            <w:r>
              <w:rPr>
                <w:rFonts w:ascii="Arial" w:cs="Arial" w:eastAsia="Arial" w:hAnsi="Arial"/>
                <w:sz w:val="18"/>
                <w:szCs w:val="18"/>
                <w:color w:val="auto"/>
              </w:rPr>
              <w:t>Form of 2015 Long-Term Incentive Plan Time-Lapse Restricted Stock Unit Agreement.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740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740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740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740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74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740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740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740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740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740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*This exhibit is a management contract or compensatory plan or arrangement.</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1310" w:right="1440" w:bottom="1440" w:gutter="0" w:footer="0" w:header="0"/>
        </w:sectPr>
      </w:pPr>
    </w:p>
    <w:bookmarkStart w:id="30" w:name="page31"/>
    <w:bookmarkEnd w:id="30"/>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2016</w:t>
      </w:r>
    </w:p>
    <w:p>
      <w:pPr>
        <w:spacing w:after="0" w:line="38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CAMPBELL SOUP COMPANY</w:t>
      </w:r>
    </w:p>
    <w:p>
      <w:pPr>
        <w:spacing w:after="0" w:line="36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9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William J. 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William J. O'Shea</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80"/>
          </w:cols>
          <w:pgMar w:left="240" w:top="1229" w:right="37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7400" w:type="dxa"/>
            <w:vAlign w:val="bottom"/>
          </w:tcPr>
          <w:p>
            <w:pPr>
              <w:ind w:left="3880"/>
              <w:spacing w:after="0"/>
              <w:rPr>
                <w:sz w:val="20"/>
                <w:szCs w:val="20"/>
                <w:color w:val="auto"/>
              </w:rPr>
            </w:pPr>
            <w:r>
              <w:rPr>
                <w:rFonts w:ascii="Arial" w:cs="Arial" w:eastAsia="Arial" w:hAnsi="Arial"/>
                <w:sz w:val="18"/>
                <w:szCs w:val="18"/>
                <w:b w:val="1"/>
                <w:bCs w:val="1"/>
                <w:color w:val="auto"/>
              </w:rPr>
              <w:t>INDEX TO EXHIBITS</w:t>
            </w:r>
          </w:p>
        </w:tc>
      </w:tr>
      <w:tr>
        <w:trPr>
          <w:trHeight w:val="378"/>
        </w:trPr>
        <w:tc>
          <w:tcPr>
            <w:tcW w:w="900" w:type="dxa"/>
            <w:vAlign w:val="bottom"/>
          </w:tcPr>
          <w:p>
            <w:pPr>
              <w:spacing w:after="0"/>
              <w:rPr>
                <w:sz w:val="20"/>
                <w:szCs w:val="20"/>
                <w:color w:val="auto"/>
              </w:rPr>
            </w:pPr>
            <w:r>
              <w:rPr>
                <w:rFonts w:ascii="Arial" w:cs="Arial" w:eastAsia="Arial" w:hAnsi="Arial"/>
                <w:sz w:val="18"/>
                <w:szCs w:val="18"/>
                <w:color w:val="auto"/>
              </w:rPr>
              <w:t>10(a)*</w:t>
            </w:r>
          </w:p>
        </w:tc>
        <w:tc>
          <w:tcPr>
            <w:tcW w:w="7400" w:type="dxa"/>
            <w:vAlign w:val="bottom"/>
          </w:tcPr>
          <w:p>
            <w:pPr>
              <w:ind w:left="240"/>
              <w:spacing w:after="0"/>
              <w:rPr>
                <w:sz w:val="20"/>
                <w:szCs w:val="20"/>
                <w:color w:val="auto"/>
              </w:rPr>
            </w:pPr>
            <w:r>
              <w:rPr>
                <w:rFonts w:ascii="Arial" w:cs="Arial" w:eastAsia="Arial" w:hAnsi="Arial"/>
                <w:sz w:val="18"/>
                <w:szCs w:val="18"/>
                <w:color w:val="auto"/>
              </w:rPr>
              <w:t>2017 Non-Employee Director Fees.</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10(b)*</w:t>
            </w:r>
          </w:p>
        </w:tc>
        <w:tc>
          <w:tcPr>
            <w:tcW w:w="7400" w:type="dxa"/>
            <w:vAlign w:val="bottom"/>
          </w:tcPr>
          <w:p>
            <w:pPr>
              <w:ind w:left="240"/>
              <w:spacing w:after="0"/>
              <w:rPr>
                <w:sz w:val="20"/>
                <w:szCs w:val="20"/>
                <w:color w:val="auto"/>
              </w:rPr>
            </w:pPr>
            <w:r>
              <w:rPr>
                <w:rFonts w:ascii="Arial" w:cs="Arial" w:eastAsia="Arial" w:hAnsi="Arial"/>
                <w:sz w:val="18"/>
                <w:szCs w:val="18"/>
                <w:color w:val="auto"/>
                <w:w w:val="90"/>
              </w:rPr>
              <w:t>Form of 2015 Long-Term Incentive Plan Performance Stock Unit Agreement (Earnings Per Share).</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10(c)*</w:t>
            </w:r>
          </w:p>
        </w:tc>
        <w:tc>
          <w:tcPr>
            <w:tcW w:w="7400" w:type="dxa"/>
            <w:vAlign w:val="bottom"/>
          </w:tcPr>
          <w:p>
            <w:pPr>
              <w:ind w:left="240"/>
              <w:spacing w:after="0"/>
              <w:rPr>
                <w:sz w:val="20"/>
                <w:szCs w:val="20"/>
                <w:color w:val="auto"/>
              </w:rPr>
            </w:pPr>
            <w:r>
              <w:rPr>
                <w:rFonts w:ascii="Arial" w:cs="Arial" w:eastAsia="Arial" w:hAnsi="Arial"/>
                <w:sz w:val="18"/>
                <w:szCs w:val="18"/>
                <w:color w:val="auto"/>
              </w:rPr>
              <w:t>Form of 2015 Long-Term Incentive Plan Time-Lapse Restricted Stock Unit Agreement.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740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740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740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740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74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740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740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740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740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740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bl>
    <w:p>
      <w:pPr>
        <w:spacing w:after="0" w:line="13" w:lineRule="exact"/>
        <w:rPr>
          <w:sz w:val="20"/>
          <w:szCs w:val="20"/>
          <w:color w:val="auto"/>
        </w:rPr>
      </w:pPr>
    </w:p>
    <w:p>
      <w:pPr>
        <w:ind w:left="5580" w:right="4419" w:hanging="5615"/>
        <w:spacing w:after="0" w:line="449" w:lineRule="auto"/>
        <w:rPr>
          <w:sz w:val="20"/>
          <w:szCs w:val="20"/>
          <w:color w:val="auto"/>
        </w:rPr>
      </w:pPr>
      <w:r>
        <w:rPr>
          <w:rFonts w:ascii="Arial" w:cs="Arial" w:eastAsia="Arial" w:hAnsi="Arial"/>
          <w:sz w:val="16"/>
          <w:szCs w:val="16"/>
          <w:color w:val="auto"/>
        </w:rPr>
        <w:t>*This exhibit is a management contract or compensatory plan or arrangement. 32</w:t>
      </w:r>
    </w:p>
    <w:p>
      <w:pPr>
        <w:sectPr>
          <w:pgSz w:w="11900" w:h="16838" w:orient="portrait"/>
          <w:cols w:equalWidth="0" w:num="1">
            <w:col w:w="10179"/>
          </w:cols>
          <w:pgMar w:left="280" w:top="1229"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10(a)</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CAMPBELL SOUP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Non-Employee Director Compensation for 2017</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and Committee Retainer for 2017</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$119,000 shall be paid in cash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$129,000 shall be paid in shares of Campbell stock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Retainers for Chairman of the Board, Committee Chairs and Audit Committee Members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Board and Committee retainer, the following amounts shall be paid 50% in cash and 50% in shares of Campbell stock:</w:t>
      </w:r>
    </w:p>
    <w:p>
      <w:pPr>
        <w:spacing w:after="0" w:line="293" w:lineRule="exact"/>
        <w:rPr>
          <w:sz w:val="20"/>
          <w:szCs w:val="20"/>
          <w:color w:val="auto"/>
        </w:rPr>
      </w:pPr>
    </w:p>
    <w:tbl>
      <w:tblPr>
        <w:tblLayout w:type="fixed"/>
        <w:tblInd w:w="1800" w:type="dxa"/>
        <w:tblCellMar>
          <w:top w:w="0" w:type="dxa"/>
          <w:left w:w="0" w:type="dxa"/>
          <w:bottom w:w="0" w:type="dxa"/>
          <w:right w:w="0" w:type="dxa"/>
        </w:tblCellMar>
      </w:tblP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$350,000</w:t>
            </w:r>
          </w:p>
        </w:tc>
        <w:tc>
          <w:tcPr>
            <w:tcW w:w="5700" w:type="dxa"/>
            <w:vAlign w:val="bottom"/>
          </w:tcPr>
          <w:p>
            <w:pPr>
              <w:ind w:left="420"/>
              <w:spacing w:after="0"/>
              <w:rPr>
                <w:sz w:val="20"/>
                <w:szCs w:val="20"/>
                <w:color w:val="auto"/>
              </w:rPr>
            </w:pPr>
            <w:r>
              <w:rPr>
                <w:rFonts w:ascii="Arial" w:cs="Arial" w:eastAsia="Arial" w:hAnsi="Arial"/>
                <w:sz w:val="20"/>
                <w:szCs w:val="20"/>
                <w:color w:val="auto"/>
              </w:rPr>
              <w:t>Chairman of the Board</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$25,000</w:t>
            </w:r>
          </w:p>
        </w:tc>
        <w:tc>
          <w:tcPr>
            <w:tcW w:w="5700" w:type="dxa"/>
            <w:vAlign w:val="bottom"/>
          </w:tcPr>
          <w:p>
            <w:pPr>
              <w:ind w:left="420"/>
              <w:spacing w:after="0"/>
              <w:rPr>
                <w:sz w:val="20"/>
                <w:szCs w:val="20"/>
                <w:color w:val="auto"/>
              </w:rPr>
            </w:pPr>
            <w:r>
              <w:rPr>
                <w:rFonts w:ascii="Arial" w:cs="Arial" w:eastAsia="Arial" w:hAnsi="Arial"/>
                <w:sz w:val="20"/>
                <w:szCs w:val="20"/>
                <w:color w:val="auto"/>
              </w:rPr>
              <w:t>Audit Committee chair</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$20,000</w:t>
            </w:r>
          </w:p>
        </w:tc>
        <w:tc>
          <w:tcPr>
            <w:tcW w:w="5700" w:type="dxa"/>
            <w:vAlign w:val="bottom"/>
          </w:tcPr>
          <w:p>
            <w:pPr>
              <w:ind w:left="420"/>
              <w:spacing w:after="0"/>
              <w:rPr>
                <w:sz w:val="20"/>
                <w:szCs w:val="20"/>
                <w:color w:val="auto"/>
              </w:rPr>
            </w:pPr>
            <w:r>
              <w:rPr>
                <w:rFonts w:ascii="Arial" w:cs="Arial" w:eastAsia="Arial" w:hAnsi="Arial"/>
                <w:sz w:val="20"/>
                <w:szCs w:val="20"/>
                <w:color w:val="auto"/>
              </w:rPr>
              <w:t>Compensation and Organization Committee chair</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$15,000</w:t>
            </w:r>
          </w:p>
        </w:tc>
        <w:tc>
          <w:tcPr>
            <w:tcW w:w="5700" w:type="dxa"/>
            <w:vAlign w:val="bottom"/>
          </w:tcPr>
          <w:p>
            <w:pPr>
              <w:ind w:left="420"/>
              <w:spacing w:after="0"/>
              <w:rPr>
                <w:sz w:val="20"/>
                <w:szCs w:val="20"/>
                <w:color w:val="auto"/>
              </w:rPr>
            </w:pPr>
            <w:r>
              <w:rPr>
                <w:rFonts w:ascii="Arial" w:cs="Arial" w:eastAsia="Arial" w:hAnsi="Arial"/>
                <w:sz w:val="20"/>
                <w:szCs w:val="20"/>
                <w:color w:val="auto"/>
              </w:rPr>
              <w:t>Finance Committee chair</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$15,000</w:t>
            </w:r>
          </w:p>
        </w:tc>
        <w:tc>
          <w:tcPr>
            <w:tcW w:w="5700" w:type="dxa"/>
            <w:vAlign w:val="bottom"/>
          </w:tcPr>
          <w:p>
            <w:pPr>
              <w:ind w:left="420"/>
              <w:spacing w:after="0"/>
              <w:rPr>
                <w:sz w:val="20"/>
                <w:szCs w:val="20"/>
                <w:color w:val="auto"/>
              </w:rPr>
            </w:pPr>
            <w:r>
              <w:rPr>
                <w:rFonts w:ascii="Arial" w:cs="Arial" w:eastAsia="Arial" w:hAnsi="Arial"/>
                <w:sz w:val="20"/>
                <w:szCs w:val="20"/>
                <w:color w:val="auto"/>
              </w:rPr>
              <w:t>Governance Committee chairs</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$7,500</w:t>
            </w:r>
          </w:p>
        </w:tc>
        <w:tc>
          <w:tcPr>
            <w:tcW w:w="5700" w:type="dxa"/>
            <w:vAlign w:val="bottom"/>
          </w:tcPr>
          <w:p>
            <w:pPr>
              <w:ind w:left="420"/>
              <w:spacing w:after="0"/>
              <w:rPr>
                <w:sz w:val="20"/>
                <w:szCs w:val="20"/>
                <w:color w:val="auto"/>
              </w:rPr>
            </w:pPr>
            <w:r>
              <w:rPr>
                <w:rFonts w:ascii="Arial" w:cs="Arial" w:eastAsia="Arial" w:hAnsi="Arial"/>
                <w:sz w:val="20"/>
                <w:szCs w:val="20"/>
                <w:color w:val="auto"/>
                <w:w w:val="91"/>
              </w:rPr>
              <w:t>Audit Committee members (excluding the Audit Committee chair)</w:t>
            </w:r>
          </w:p>
        </w:tc>
      </w:tr>
    </w:tbl>
    <w:p>
      <w:pPr>
        <w:spacing w:after="0" w:line="114"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Prior to the beginning of a calendar year, a non-employee director may elect to (i) receive shares of Campbell stock in lieu of the cash portion of any retainer (such election to be made in 10% increments) and/or (ii) defer all or a portion of any cash or stock retainer in accordance with the terms and conditions of the Campbell Soup Company Supplemental Retirement Plan.</w:t>
      </w:r>
    </w:p>
    <w:p>
      <w:pPr>
        <w:sectPr>
          <w:pgSz w:w="11900" w:h="16838" w:orient="portrait"/>
          <w:cols w:equalWidth="0" w:num="1">
            <w:col w:w="11420"/>
          </w:cols>
          <w:pgMar w:left="240" w:top="66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10(b)</w:t>
      </w:r>
    </w:p>
    <w:p>
      <w:pPr>
        <w:spacing w:after="0" w:line="315" w:lineRule="exact"/>
        <w:rPr>
          <w:sz w:val="20"/>
          <w:szCs w:val="20"/>
          <w:color w:val="auto"/>
        </w:rPr>
      </w:pPr>
    </w:p>
    <w:p>
      <w:pPr>
        <w:jc w:val="center"/>
        <w:ind w:left="1300"/>
        <w:spacing w:after="0"/>
        <w:rPr>
          <w:sz w:val="20"/>
          <w:szCs w:val="20"/>
          <w:color w:val="auto"/>
        </w:rPr>
      </w:pPr>
      <w:r>
        <w:rPr>
          <w:rFonts w:ascii="Arial" w:cs="Arial" w:eastAsia="Arial" w:hAnsi="Arial"/>
          <w:sz w:val="20"/>
          <w:szCs w:val="20"/>
          <w:b w:val="1"/>
          <w:bCs w:val="1"/>
          <w:color w:val="auto"/>
        </w:rPr>
        <w:t>CAMPBELL SOUP COMPANY</w:t>
      </w:r>
    </w:p>
    <w:p>
      <w:pPr>
        <w:spacing w:after="0" w:line="216" w:lineRule="exact"/>
        <w:rPr>
          <w:sz w:val="20"/>
          <w:szCs w:val="20"/>
          <w:color w:val="auto"/>
        </w:rPr>
      </w:pPr>
    </w:p>
    <w:p>
      <w:pPr>
        <w:jc w:val="center"/>
        <w:ind w:left="1300"/>
        <w:spacing w:after="0"/>
        <w:rPr>
          <w:sz w:val="20"/>
          <w:szCs w:val="20"/>
          <w:color w:val="auto"/>
        </w:rPr>
      </w:pPr>
      <w:r>
        <w:rPr>
          <w:rFonts w:ascii="Arial" w:cs="Arial" w:eastAsia="Arial" w:hAnsi="Arial"/>
          <w:sz w:val="20"/>
          <w:szCs w:val="20"/>
          <w:b w:val="1"/>
          <w:bCs w:val="1"/>
          <w:color w:val="auto"/>
        </w:rPr>
        <w:t>2015 LONG-TERM INCENTIVE PLAN</w:t>
      </w:r>
    </w:p>
    <w:p>
      <w:pPr>
        <w:spacing w:after="0" w:line="21" w:lineRule="exact"/>
        <w:rPr>
          <w:sz w:val="20"/>
          <w:szCs w:val="20"/>
          <w:color w:val="auto"/>
        </w:rPr>
      </w:pPr>
    </w:p>
    <w:p>
      <w:pPr>
        <w:jc w:val="center"/>
        <w:ind w:left="1300"/>
        <w:spacing w:after="0"/>
        <w:rPr>
          <w:sz w:val="20"/>
          <w:szCs w:val="20"/>
          <w:color w:val="auto"/>
        </w:rPr>
      </w:pPr>
      <w:r>
        <w:rPr>
          <w:rFonts w:ascii="Arial" w:cs="Arial" w:eastAsia="Arial" w:hAnsi="Arial"/>
          <w:sz w:val="20"/>
          <w:szCs w:val="20"/>
          <w:b w:val="1"/>
          <w:bCs w:val="1"/>
          <w:color w:val="auto"/>
        </w:rPr>
        <w:t xml:space="preserve">Fiscal Year </w:t>
      </w:r>
      <w:r>
        <w:rPr>
          <w:rFonts w:ascii="Arial" w:cs="Arial" w:eastAsia="Arial" w:hAnsi="Arial"/>
          <w:sz w:val="20"/>
          <w:szCs w:val="20"/>
          <w:color w:val="auto"/>
        </w:rPr>
        <w:t>[ ]</w:t>
      </w:r>
      <w:r>
        <w:rPr>
          <w:rFonts w:ascii="Arial" w:cs="Arial" w:eastAsia="Arial" w:hAnsi="Arial"/>
          <w:sz w:val="20"/>
          <w:szCs w:val="20"/>
          <w:b w:val="1"/>
          <w:bCs w:val="1"/>
          <w:color w:val="auto"/>
        </w:rPr>
        <w:t>-</w:t>
      </w:r>
      <w:r>
        <w:rPr>
          <w:rFonts w:ascii="Arial" w:cs="Arial" w:eastAsia="Arial" w:hAnsi="Arial"/>
          <w:sz w:val="20"/>
          <w:szCs w:val="20"/>
          <w:color w:val="auto"/>
        </w:rPr>
        <w:t>[ ]</w:t>
      </w:r>
      <w:r>
        <w:rPr>
          <w:rFonts w:ascii="Arial" w:cs="Arial" w:eastAsia="Arial" w:hAnsi="Arial"/>
          <w:sz w:val="20"/>
          <w:szCs w:val="20"/>
          <w:b w:val="1"/>
          <w:bCs w:val="1"/>
          <w:color w:val="auto"/>
        </w:rPr>
        <w:t xml:space="preserve"> Performance Stock Unit Agreement</w:t>
      </w:r>
    </w:p>
    <w:p>
      <w:pPr>
        <w:jc w:val="center"/>
        <w:ind w:left="1300"/>
        <w:spacing w:after="0"/>
        <w:rPr>
          <w:sz w:val="20"/>
          <w:szCs w:val="20"/>
          <w:color w:val="auto"/>
        </w:rPr>
      </w:pPr>
      <w:r>
        <w:rPr>
          <w:rFonts w:ascii="Arial" w:cs="Arial" w:eastAsia="Arial" w:hAnsi="Arial"/>
          <w:sz w:val="20"/>
          <w:szCs w:val="20"/>
          <w:b w:val="1"/>
          <w:bCs w:val="1"/>
          <w:color w:val="auto"/>
        </w:rPr>
        <w:t>(Earnings Per Share)</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Earnings Per Share (“EPS”) Award Agreement (“Agreement”) between the Campbell Soup Company (the “Company”) and [ ] (“Grantee”), evidences the grant by the Company on [ ] (the “Grant Date”), of an EPS Performance Stock Unit award (the “Award) to Grantee, and Grantee’s acceptance of the Award, in accordance with and subject to the provisions of the Company’s 2015 Long-Term Incentive Plan (the “Plan”) and this Agreement. Except as otherwise provided, all capitalized terms used herein shall have the meanings given to such terms in the Plan.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by accepting this Award, the Grantee agrees to the terms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valuable consideration, the Company and Grantee, each intending to be legally bound hereby, agree as follows:</w:t>
      </w:r>
    </w:p>
    <w:p>
      <w:pPr>
        <w:spacing w:after="0" w:line="171" w:lineRule="exact"/>
        <w:rPr>
          <w:sz w:val="20"/>
          <w:szCs w:val="20"/>
          <w:color w:val="auto"/>
        </w:rPr>
      </w:pPr>
    </w:p>
    <w:p>
      <w:pPr>
        <w:ind w:firstLine="656"/>
        <w:spacing w:after="0" w:line="323" w:lineRule="auto"/>
        <w:tabs>
          <w:tab w:leader="none" w:pos="8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Form of Award</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for [ ] shares of the Company’s Capital Stock, $.0375 par value (“Shares”). During the restriction</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the Award shall consist of stock units (“Units”), but any portion of the Award that ultimately vests will be delivered in Shares.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number of Shares that will vest and be delivered, if any, will be 0 or 100% of [ ] Shares. Any accumulated dividend equivalents will be paid in cash pursuant to Section 4 below. Shares will vest and be delivered only after approval by the Compensation and Organization Committee of the Company’s Board of Directors (the “Committee”) of the achievement of Company EPS performance criteria previously established and approved by the Committee for the performance cycle (as defined in the applicable LTI Brochure).</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186" w:lineRule="exact"/>
        <w:rPr>
          <w:sz w:val="20"/>
          <w:szCs w:val="20"/>
          <w:color w:val="auto"/>
        </w:rPr>
      </w:pPr>
    </w:p>
    <w:p>
      <w:pPr>
        <w:jc w:val="both"/>
        <w:ind w:firstLine="656"/>
        <w:spacing w:after="0" w:line="248" w:lineRule="auto"/>
        <w:tabs>
          <w:tab w:leader="none" w:pos="873"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 Period;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of this Agreement and the Plan and provided that the Participant remains</w:t>
      </w:r>
      <w:r>
        <w:rPr>
          <w:rFonts w:ascii="Arial" w:cs="Arial" w:eastAsia="Arial" w:hAnsi="Arial"/>
          <w:sz w:val="20"/>
          <w:szCs w:val="20"/>
          <w:b w:val="1"/>
          <w:bCs w:val="1"/>
          <w:color w:val="auto"/>
        </w:rPr>
        <w:t xml:space="preserve"> </w:t>
      </w:r>
      <w:r>
        <w:rPr>
          <w:rFonts w:ascii="Arial" w:cs="Arial" w:eastAsia="Arial" w:hAnsi="Arial"/>
          <w:sz w:val="20"/>
          <w:szCs w:val="20"/>
          <w:color w:val="auto"/>
        </w:rPr>
        <w:t>continuously employed throughout the restriction periods set forth below and the Committee certifies the achievement of the performance criteria, the Units shall vest one third (1/3) per year over three years on each [ ] following the Grant Date (each a “Vesting Date”), as set forth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30" w:type="dxa"/>
        <w:tblCellMar>
          <w:top w:w="0" w:type="dxa"/>
          <w:left w:w="0" w:type="dxa"/>
          <w:bottom w:w="0" w:type="dxa"/>
          <w:right w:w="0" w:type="dxa"/>
        </w:tblCellMar>
      </w:tblPr>
      <w:tr>
        <w:trPr>
          <w:trHeight w:val="274"/>
        </w:trPr>
        <w:tc>
          <w:tcPr>
            <w:tcW w:w="2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Restriction Period</w:t>
            </w:r>
          </w:p>
        </w:tc>
        <w:tc>
          <w:tcPr>
            <w:tcW w:w="4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Vesting Dates</w:t>
            </w:r>
          </w:p>
        </w:tc>
        <w:tc>
          <w:tcPr>
            <w:tcW w:w="3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Number of Units</w:t>
            </w:r>
          </w:p>
        </w:tc>
      </w:tr>
      <w:tr>
        <w:trPr>
          <w:trHeight w:val="2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54"/>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r>
      <w:tr>
        <w:trPr>
          <w:trHeight w:val="2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54"/>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r>
      <w:tr>
        <w:trPr>
          <w:trHeight w:val="2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54"/>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43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r>
      <w:tr>
        <w:trPr>
          <w:trHeight w:val="23"/>
        </w:trPr>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823" w:right="239" w:bottom="1440" w:gutter="0" w:footer="0" w:header="0"/>
        </w:sectPr>
      </w:pPr>
    </w:p>
    <w:bookmarkStart w:id="34" w:name="page35"/>
    <w:bookmarkEnd w:id="34"/>
    <w:p>
      <w:pPr>
        <w:jc w:val="both"/>
        <w:spacing w:after="0" w:line="269" w:lineRule="auto"/>
        <w:rPr>
          <w:sz w:val="20"/>
          <w:szCs w:val="20"/>
          <w:color w:val="auto"/>
        </w:rPr>
      </w:pPr>
      <w:r>
        <w:rPr>
          <w:rFonts w:ascii="Arial" w:cs="Arial" w:eastAsia="Arial" w:hAnsi="Arial"/>
          <w:sz w:val="19"/>
          <w:szCs w:val="19"/>
          <w:color w:val="auto"/>
        </w:rPr>
        <w:t>Except as otherwise provided below, the Company shall deliver to the Participant one share of the Company’s Capital Stock for each vested Unit during the month following each applicable Vesting Date. Unless terminated earlier under Section 3 below, a Participant’s rights under this Agreement shall terminate with respect to a Unit at the time such Unit is converted into the Company’s Capital Stock.</w:t>
      </w:r>
    </w:p>
    <w:p>
      <w:pPr>
        <w:spacing w:after="0" w:line="164" w:lineRule="exact"/>
        <w:rPr>
          <w:sz w:val="20"/>
          <w:szCs w:val="20"/>
          <w:color w:val="auto"/>
        </w:rPr>
      </w:pPr>
    </w:p>
    <w:p>
      <w:pPr>
        <w:jc w:val="both"/>
        <w:ind w:firstLine="656"/>
        <w:spacing w:after="0" w:line="253" w:lineRule="auto"/>
        <w:tabs>
          <w:tab w:leader="none" w:pos="846"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Early Termination of Units; Termination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Award shall terminate and become null and void if and when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ceases for any reason to be an employee of the Company or its subsidiaries, including but not limited to termination for Cause, voluntary resignation or Retirement, except as provided in below:</w:t>
      </w:r>
    </w:p>
    <w:p>
      <w:pPr>
        <w:spacing w:after="0" w:line="265" w:lineRule="exact"/>
        <w:rPr>
          <w:sz w:val="20"/>
          <w:szCs w:val="20"/>
          <w:color w:val="auto"/>
        </w:rPr>
      </w:pPr>
    </w:p>
    <w:p>
      <w:pPr>
        <w:jc w:val="both"/>
        <w:ind w:left="980" w:hanging="324"/>
        <w:spacing w:after="0" w:line="246"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If the Participant’s employment is terminated at least six (6) months following the Grant Date as a result of Retirement, the Award shall continue to vest through the Vesting Dates, and the Company will deliver to the Participant one share of the Company’s Capital Stock for each Unit vested on that date in accordance with Section 2; provided that the Committee certifies the achievement of the previously established EPS performance criteria.</w:t>
      </w:r>
    </w:p>
    <w:p>
      <w:pPr>
        <w:spacing w:after="0" w:line="353" w:lineRule="exact"/>
        <w:rPr>
          <w:rFonts w:ascii="Arial" w:cs="Arial" w:eastAsia="Arial" w:hAnsi="Arial"/>
          <w:sz w:val="20"/>
          <w:szCs w:val="20"/>
          <w:color w:val="auto"/>
        </w:rPr>
      </w:pPr>
    </w:p>
    <w:p>
      <w:pPr>
        <w:ind w:left="1960" w:hanging="655"/>
        <w:spacing w:after="0"/>
        <w:tabs>
          <w:tab w:leader="none" w:pos="1960" w:val="left"/>
        </w:tabs>
        <w:numPr>
          <w:ilvl w:val="1"/>
          <w:numId w:val="38"/>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shall have the meanings set forth below:</w:t>
      </w:r>
    </w:p>
    <w:p>
      <w:pPr>
        <w:spacing w:after="0" w:line="377" w:lineRule="exact"/>
        <w:rPr>
          <w:rFonts w:ascii="Arial" w:cs="Arial" w:eastAsia="Arial" w:hAnsi="Arial"/>
          <w:sz w:val="20"/>
          <w:szCs w:val="20"/>
          <w:color w:val="auto"/>
        </w:rPr>
      </w:pPr>
    </w:p>
    <w:p>
      <w:pPr>
        <w:jc w:val="both"/>
        <w:ind w:left="2600" w:hanging="647"/>
        <w:spacing w:after="0" w:line="250" w:lineRule="auto"/>
        <w:tabs>
          <w:tab w:leader="none" w:pos="2600" w:val="left"/>
        </w:tabs>
        <w:numPr>
          <w:ilvl w:val="2"/>
          <w:numId w:val="38"/>
        </w:numPr>
        <w:rPr>
          <w:rFonts w:ascii="Arial" w:cs="Arial" w:eastAsia="Arial" w:hAnsi="Arial"/>
          <w:sz w:val="20"/>
          <w:szCs w:val="20"/>
          <w:color w:val="auto"/>
        </w:rPr>
      </w:pPr>
      <w:r>
        <w:rPr>
          <w:rFonts w:ascii="Arial" w:cs="Arial" w:eastAsia="Arial" w:hAnsi="Arial"/>
          <w:sz w:val="20"/>
          <w:szCs w:val="20"/>
          <w:color w:val="auto"/>
        </w:rPr>
        <w:t>“Retirement” or “Retirement Eligible” means the Participant terminates, or is eligible to terminate, employment with the Company or its subsidiaries after attaining 55 years of age with at least 5 years of continuous service on or prior to the date of termination.</w:t>
      </w:r>
    </w:p>
    <w:p>
      <w:pPr>
        <w:spacing w:after="0" w:line="348" w:lineRule="exact"/>
        <w:rPr>
          <w:rFonts w:ascii="Arial" w:cs="Arial" w:eastAsia="Arial" w:hAnsi="Arial"/>
          <w:sz w:val="20"/>
          <w:szCs w:val="20"/>
          <w:color w:val="auto"/>
        </w:rPr>
      </w:pPr>
    </w:p>
    <w:p>
      <w:pPr>
        <w:jc w:val="both"/>
        <w:ind w:left="2600" w:hanging="647"/>
        <w:spacing w:after="0" w:line="250" w:lineRule="auto"/>
        <w:tabs>
          <w:tab w:leader="none" w:pos="2600" w:val="left"/>
        </w:tabs>
        <w:numPr>
          <w:ilvl w:val="2"/>
          <w:numId w:val="38"/>
        </w:numPr>
        <w:rPr>
          <w:rFonts w:ascii="Arial" w:cs="Arial" w:eastAsia="Arial" w:hAnsi="Arial"/>
          <w:sz w:val="20"/>
          <w:szCs w:val="20"/>
          <w:color w:val="auto"/>
        </w:rPr>
      </w:pPr>
      <w:r>
        <w:rPr>
          <w:rFonts w:ascii="Arial" w:cs="Arial" w:eastAsia="Arial" w:hAnsi="Arial"/>
          <w:sz w:val="20"/>
          <w:szCs w:val="20"/>
          <w:color w:val="auto"/>
        </w:rPr>
        <w:t>“Total Disability” means “Total Disability” or “Totally Disabled” as that term is defined under a Company-sponsored long-term disability plan from which the Participant is receiving disability benefits and which is in effect from time to time on and after the Grant Date.</w:t>
      </w:r>
    </w:p>
    <w:p>
      <w:pPr>
        <w:spacing w:after="0" w:line="348" w:lineRule="exact"/>
        <w:rPr>
          <w:rFonts w:ascii="Arial" w:cs="Arial" w:eastAsia="Arial" w:hAnsi="Arial"/>
          <w:sz w:val="20"/>
          <w:szCs w:val="20"/>
          <w:color w:val="auto"/>
        </w:rPr>
      </w:pPr>
    </w:p>
    <w:p>
      <w:pPr>
        <w:jc w:val="both"/>
        <w:ind w:left="980" w:hanging="324"/>
        <w:spacing w:after="0" w:line="27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Retirement Eligible upon Total Disability or Death</w:t>
      </w:r>
      <w:r>
        <w:rPr>
          <w:rFonts w:ascii="Arial" w:cs="Arial" w:eastAsia="Arial" w:hAnsi="Arial"/>
          <w:sz w:val="18"/>
          <w:szCs w:val="18"/>
          <w:color w:val="auto"/>
        </w:rPr>
        <w:t>. If the Participant’s employment is terminated at least six (6) months following the Grant Date as a result of Total Disability, or death (provided the Participant is Retirement Eligible at the time of any such termination), the Award shall continue to vest through the Vesting Dates, and the Company will deliver to the Participant, or his or her legal representative, one share of the Company’s Capital Stock for each Unit vested on that date in accordance with Section 2; provided that the Committee certifies the achievement of the previously established EPS performance criteria.</w:t>
      </w:r>
    </w:p>
    <w:p>
      <w:pPr>
        <w:spacing w:after="0" w:line="327" w:lineRule="exact"/>
        <w:rPr>
          <w:rFonts w:ascii="Arial" w:cs="Arial" w:eastAsia="Arial" w:hAnsi="Arial"/>
          <w:sz w:val="18"/>
          <w:szCs w:val="18"/>
          <w:color w:val="auto"/>
        </w:rPr>
      </w:pPr>
    </w:p>
    <w:p>
      <w:pPr>
        <w:jc w:val="both"/>
        <w:ind w:left="980" w:hanging="324"/>
        <w:spacing w:after="0" w:line="260" w:lineRule="auto"/>
        <w:tabs>
          <w:tab w:leader="none" w:pos="980"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Not Retirement Eligible upon Total Disability or Death; Involuntary Termination</w:t>
      </w:r>
      <w:r>
        <w:rPr>
          <w:rFonts w:ascii="Arial" w:cs="Arial" w:eastAsia="Arial" w:hAnsi="Arial"/>
          <w:sz w:val="19"/>
          <w:szCs w:val="19"/>
          <w:color w:val="auto"/>
        </w:rPr>
        <w:t>. If the Committee certifies the achievement of the previously established EPS performance criteria and the Participant’s employment is terminated at least six (6) months following the Grant Date: (i) as the result of the Participant’s Total Disability or death and the Participant is not Retirement Eligible; or (ii) by the Company for reasons other than Cause, the Participant shall vest on the applicable Vesting Date in a prorated portion of his or her Units under this Agreement according to the following formula:</w:t>
      </w:r>
    </w:p>
    <w:p>
      <w:pPr>
        <w:sectPr>
          <w:pgSz w:w="11900" w:h="16838" w:orient="portrait"/>
          <w:cols w:equalWidth="0" w:num="1">
            <w:col w:w="11420"/>
          </w:cols>
          <w:pgMar w:left="240" w:top="96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732155</wp:posOffset>
            </wp:positionH>
            <wp:positionV relativeFrom="page">
              <wp:posOffset>620395</wp:posOffset>
            </wp:positionV>
            <wp:extent cx="6106160" cy="130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06160" cy="1303655"/>
                    </a:xfrm>
                    <a:prstGeom prst="rect">
                      <a:avLst/>
                    </a:prstGeom>
                    <a:noFill/>
                  </pic:spPr>
                </pic:pic>
              </a:graphicData>
            </a:graphic>
          </wp:anchor>
        </w:drawing>
        <w:t>Restriction Period</w:t>
      </w:r>
    </w:p>
    <w:p>
      <w:pPr>
        <w:spacing w:after="0" w:line="23"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3100" w:type="dxa"/>
            <w:vAlign w:val="bottom"/>
            <w:tcBorders>
              <w:top w:val="single" w:sz="8" w:color="auto"/>
              <w:right w:val="single" w:sz="8" w:color="auto"/>
            </w:tcBorders>
          </w:tcPr>
          <w:p>
            <w:pPr>
              <w:ind w:left="1480"/>
              <w:spacing w:after="0"/>
              <w:rPr>
                <w:sz w:val="20"/>
                <w:szCs w:val="20"/>
                <w:color w:val="auto"/>
              </w:rPr>
            </w:pPr>
            <w:r>
              <w:rPr>
                <w:rFonts w:ascii="Arial" w:cs="Arial" w:eastAsia="Arial" w:hAnsi="Arial"/>
                <w:sz w:val="20"/>
                <w:szCs w:val="20"/>
                <w:color w:val="auto"/>
              </w:rPr>
              <w:t>1</w:t>
            </w:r>
          </w:p>
        </w:tc>
        <w:tc>
          <w:tcPr>
            <w:tcW w:w="326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20"/>
                <w:szCs w:val="20"/>
                <w:color w:val="auto"/>
              </w:rPr>
              <w:t>2</w:t>
            </w:r>
          </w:p>
        </w:tc>
        <w:tc>
          <w:tcPr>
            <w:tcW w:w="3240" w:type="dxa"/>
            <w:vAlign w:val="bottom"/>
            <w:tcBorders>
              <w:top w:val="single" w:sz="8" w:color="auto"/>
            </w:tcBorders>
          </w:tcPr>
          <w:p>
            <w:pPr>
              <w:ind w:left="1560"/>
              <w:spacing w:after="0"/>
              <w:rPr>
                <w:sz w:val="20"/>
                <w:szCs w:val="20"/>
                <w:color w:val="auto"/>
              </w:rPr>
            </w:pPr>
            <w:r>
              <w:rPr>
                <w:rFonts w:ascii="Arial" w:cs="Arial" w:eastAsia="Arial" w:hAnsi="Arial"/>
                <w:sz w:val="20"/>
                <w:szCs w:val="20"/>
                <w:color w:val="auto"/>
              </w:rPr>
              <w:t>3</w:t>
            </w:r>
          </w:p>
        </w:tc>
      </w:tr>
      <w:tr>
        <w:trPr>
          <w:trHeight w:val="23"/>
        </w:trPr>
        <w:tc>
          <w:tcPr>
            <w:tcW w:w="310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3"/>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Number of months worked from</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Number of months worked from Grant</w:t>
            </w:r>
          </w:p>
        </w:tc>
        <w:tc>
          <w:tcPr>
            <w:tcW w:w="3240" w:type="dxa"/>
            <w:vAlign w:val="bottom"/>
          </w:tcPr>
          <w:p>
            <w:pPr>
              <w:ind w:left="20"/>
              <w:spacing w:after="0"/>
              <w:rPr>
                <w:sz w:val="20"/>
                <w:szCs w:val="20"/>
                <w:color w:val="auto"/>
              </w:rPr>
            </w:pPr>
            <w:r>
              <w:rPr>
                <w:rFonts w:ascii="Arial" w:cs="Arial" w:eastAsia="Arial" w:hAnsi="Arial"/>
                <w:sz w:val="20"/>
                <w:szCs w:val="20"/>
                <w:color w:val="auto"/>
                <w:w w:val="95"/>
              </w:rPr>
              <w:t>Number of months worked from Grant</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Grant Date to termination date</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Date to termination date divided by 24;</w:t>
            </w:r>
          </w:p>
        </w:tc>
        <w:tc>
          <w:tcPr>
            <w:tcW w:w="3240" w:type="dxa"/>
            <w:vAlign w:val="bottom"/>
          </w:tcPr>
          <w:p>
            <w:pPr>
              <w:ind w:left="20"/>
              <w:spacing w:after="0"/>
              <w:rPr>
                <w:sz w:val="20"/>
                <w:szCs w:val="20"/>
                <w:color w:val="auto"/>
              </w:rPr>
            </w:pPr>
            <w:r>
              <w:rPr>
                <w:rFonts w:ascii="Arial" w:cs="Arial" w:eastAsia="Arial" w:hAnsi="Arial"/>
                <w:sz w:val="20"/>
                <w:szCs w:val="20"/>
                <w:color w:val="auto"/>
                <w:w w:val="93"/>
              </w:rPr>
              <w:t>Date to termination date divided by 36;</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divided by 12; multiplied by number</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multiplied by number of Units</w:t>
            </w:r>
          </w:p>
        </w:tc>
        <w:tc>
          <w:tcPr>
            <w:tcW w:w="3240" w:type="dxa"/>
            <w:vAlign w:val="bottom"/>
          </w:tcPr>
          <w:p>
            <w:pPr>
              <w:ind w:left="20"/>
              <w:spacing w:after="0"/>
              <w:rPr>
                <w:sz w:val="20"/>
                <w:szCs w:val="20"/>
                <w:color w:val="auto"/>
              </w:rPr>
            </w:pPr>
            <w:r>
              <w:rPr>
                <w:rFonts w:ascii="Arial" w:cs="Arial" w:eastAsia="Arial" w:hAnsi="Arial"/>
                <w:sz w:val="20"/>
                <w:szCs w:val="20"/>
                <w:color w:val="auto"/>
              </w:rPr>
              <w:t>multiplied by number of Units</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of Units originally scheduled to vest</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originally scheduled to vest on the</w:t>
            </w:r>
          </w:p>
        </w:tc>
        <w:tc>
          <w:tcPr>
            <w:tcW w:w="3240" w:type="dxa"/>
            <w:vAlign w:val="bottom"/>
          </w:tcPr>
          <w:p>
            <w:pPr>
              <w:ind w:left="20"/>
              <w:spacing w:after="0"/>
              <w:rPr>
                <w:sz w:val="20"/>
                <w:szCs w:val="20"/>
                <w:color w:val="auto"/>
              </w:rPr>
            </w:pPr>
            <w:r>
              <w:rPr>
                <w:rFonts w:ascii="Arial" w:cs="Arial" w:eastAsia="Arial" w:hAnsi="Arial"/>
                <w:sz w:val="20"/>
                <w:szCs w:val="20"/>
                <w:color w:val="auto"/>
                <w:w w:val="92"/>
              </w:rPr>
              <w:t>originally scheduled to vest on the third</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1"/>
              </w:rPr>
              <w:t>on the first Vesting Date shall vest on</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second Vesting Date shall vest on the</w:t>
            </w:r>
          </w:p>
        </w:tc>
        <w:tc>
          <w:tcPr>
            <w:tcW w:w="3240" w:type="dxa"/>
            <w:vAlign w:val="bottom"/>
          </w:tcPr>
          <w:p>
            <w:pPr>
              <w:ind w:left="20"/>
              <w:spacing w:after="0"/>
              <w:rPr>
                <w:sz w:val="20"/>
                <w:szCs w:val="20"/>
                <w:color w:val="auto"/>
              </w:rPr>
            </w:pPr>
            <w:r>
              <w:rPr>
                <w:rFonts w:ascii="Arial" w:cs="Arial" w:eastAsia="Arial" w:hAnsi="Arial"/>
                <w:sz w:val="20"/>
                <w:szCs w:val="20"/>
                <w:color w:val="auto"/>
              </w:rPr>
              <w:t>Vesting Date shall vest on the third</w:t>
            </w:r>
          </w:p>
        </w:tc>
      </w:tr>
      <w:tr>
        <w:trPr>
          <w:trHeight w:val="25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the first Vesting Date.</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second Vesting Date.</w:t>
            </w:r>
          </w:p>
        </w:tc>
        <w:tc>
          <w:tcPr>
            <w:tcW w:w="3240" w:type="dxa"/>
            <w:vAlign w:val="bottom"/>
          </w:tcPr>
          <w:p>
            <w:pPr>
              <w:ind w:left="20"/>
              <w:spacing w:after="0"/>
              <w:rPr>
                <w:sz w:val="20"/>
                <w:szCs w:val="20"/>
                <w:color w:val="auto"/>
              </w:rPr>
            </w:pPr>
            <w:r>
              <w:rPr>
                <w:rFonts w:ascii="Arial" w:cs="Arial" w:eastAsia="Arial" w:hAnsi="Arial"/>
                <w:sz w:val="20"/>
                <w:szCs w:val="20"/>
                <w:color w:val="auto"/>
              </w:rPr>
              <w:t>Vesting Date.</w:t>
            </w:r>
          </w:p>
        </w:tc>
      </w:tr>
      <w:tr>
        <w:trPr>
          <w:trHeight w:val="23"/>
        </w:trPr>
        <w:tc>
          <w:tcPr>
            <w:tcW w:w="310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p>
      <w:pPr>
        <w:ind w:left="980"/>
        <w:spacing w:after="0" w:line="260" w:lineRule="auto"/>
        <w:rPr>
          <w:sz w:val="20"/>
          <w:szCs w:val="20"/>
          <w:color w:val="auto"/>
        </w:rPr>
      </w:pPr>
      <w:r>
        <w:rPr>
          <w:rFonts w:ascii="Arial" w:cs="Arial" w:eastAsia="Arial" w:hAnsi="Arial"/>
          <w:sz w:val="20"/>
          <w:szCs w:val="20"/>
          <w:color w:val="auto"/>
        </w:rPr>
        <w:t>The Company will deliver to the Participant, or his or her legal representative, one share of the Company’s Capital Stock for each Unit that vests on a Vesting Date in accordance with Section 2.</w:t>
      </w:r>
    </w:p>
    <w:p>
      <w:pPr>
        <w:spacing w:after="0" w:line="177" w:lineRule="exact"/>
        <w:rPr>
          <w:sz w:val="20"/>
          <w:szCs w:val="20"/>
          <w:color w:val="auto"/>
        </w:rPr>
      </w:pPr>
    </w:p>
    <w:p>
      <w:pPr>
        <w:jc w:val="both"/>
        <w:ind w:left="980" w:hanging="324"/>
        <w:spacing w:after="0" w:line="250"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Any Termination Prior to Six-Month Anniversary of Grant Date</w:t>
      </w:r>
      <w:r>
        <w:rPr>
          <w:rFonts w:ascii="Arial" w:cs="Arial" w:eastAsia="Arial" w:hAnsi="Arial"/>
          <w:sz w:val="20"/>
          <w:szCs w:val="20"/>
          <w:color w:val="auto"/>
        </w:rPr>
        <w:t>. If a Participant ceases to be an employee of the Company for any reason before six (6) months have elapsed from the Grant Date, the Award shall be cancelled by the Company and the Participant shall forfeit the entire Award.</w:t>
      </w:r>
    </w:p>
    <w:p>
      <w:pPr>
        <w:spacing w:after="0" w:line="348" w:lineRule="exact"/>
        <w:rPr>
          <w:rFonts w:ascii="Arial" w:cs="Arial" w:eastAsia="Arial" w:hAnsi="Arial"/>
          <w:sz w:val="20"/>
          <w:szCs w:val="20"/>
          <w:color w:val="auto"/>
        </w:rPr>
      </w:pPr>
    </w:p>
    <w:p>
      <w:pPr>
        <w:jc w:val="both"/>
        <w:ind w:left="980" w:hanging="324"/>
        <w:spacing w:after="0" w:line="250" w:lineRule="auto"/>
        <w:tabs>
          <w:tab w:leader="none" w:pos="98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Integration with Severance Benefits</w:t>
      </w:r>
      <w:r>
        <w:rPr>
          <w:rFonts w:ascii="Arial" w:cs="Arial" w:eastAsia="Arial" w:hAnsi="Arial"/>
          <w:sz w:val="20"/>
          <w:szCs w:val="20"/>
          <w:color w:val="auto"/>
        </w:rPr>
        <w:t>. For U.S. participants, notwithstanding paragraphs 5(a)-(d) above, if severance is offered, eligibility for a prorated award of LTI is contingent upon the Company receiving your signed Severance Agreement &amp; General Release. Without a signed release, all unvested units are forfeited.</w:t>
      </w:r>
    </w:p>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purposes of this Agreement, the terms “termination of employment,” “separation from service,” and similar references mean a separation from service within the meaning of Code Section 409A with the Company and/or any of its subsidiaries or affiliates, which includes circumstances in which the Participant is reasonably anticipated not to perform further services with the Company or its affiliates or subsidiaries.</w:t>
      </w:r>
    </w:p>
    <w:p>
      <w:pPr>
        <w:spacing w:after="0" w:line="186" w:lineRule="exact"/>
        <w:rPr>
          <w:sz w:val="20"/>
          <w:szCs w:val="20"/>
          <w:color w:val="auto"/>
        </w:rPr>
      </w:pPr>
    </w:p>
    <w:p>
      <w:pPr>
        <w:jc w:val="both"/>
        <w:ind w:firstLine="656"/>
        <w:spacing w:after="0" w:line="246" w:lineRule="auto"/>
        <w:tabs>
          <w:tab w:leader="none" w:pos="846"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If any portion of the Units vest, the Grantee shall be paid in cash the accumulated amount equivalent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dividends which would have been paid on such Shares during the Restriction Period to the extent the Company’s Board of Directors had approved and declared a dividend on its Capital Stock. Such dividend equivalent amount shall be paid during the month following the applicable Vesting Date. The dividend equivalent payment shall be forfeited for any Units that do not vest or are terminated in accordance with Section 3 above.</w:t>
      </w:r>
    </w:p>
    <w:p>
      <w:pPr>
        <w:spacing w:after="0" w:line="185" w:lineRule="exact"/>
        <w:rPr>
          <w:rFonts w:ascii="Arial" w:cs="Arial" w:eastAsia="Arial" w:hAnsi="Arial"/>
          <w:sz w:val="20"/>
          <w:szCs w:val="20"/>
          <w:b w:val="1"/>
          <w:bCs w:val="1"/>
          <w:color w:val="auto"/>
        </w:rPr>
      </w:pPr>
    </w:p>
    <w:p>
      <w:pPr>
        <w:jc w:val="both"/>
        <w:ind w:firstLine="656"/>
        <w:spacing w:after="0" w:line="280" w:lineRule="auto"/>
        <w:tabs>
          <w:tab w:leader="none" w:pos="8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of 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require the Grantee to remit an amount equal to any tax withholding required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state or local law on the value of the Shares deliverable under this Agreement at such time as the Company is required to withhold such amounts. In accordance with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156" w:lineRule="exact"/>
        <w:rPr>
          <w:rFonts w:ascii="Arial" w:cs="Arial" w:eastAsia="Arial" w:hAnsi="Arial"/>
          <w:sz w:val="18"/>
          <w:szCs w:val="18"/>
          <w:b w:val="1"/>
          <w:bCs w:val="1"/>
          <w:color w:val="auto"/>
        </w:rPr>
      </w:pPr>
    </w:p>
    <w:p>
      <w:pPr>
        <w:jc w:val="both"/>
        <w:ind w:firstLine="656"/>
        <w:spacing w:after="0" w:line="253" w:lineRule="auto"/>
        <w:tabs>
          <w:tab w:leader="none" w:pos="873"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Employment or Voting Rights</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contained in the Plan or this Agreement shall give any employee the right to be</w:t>
      </w:r>
      <w:r>
        <w:rPr>
          <w:rFonts w:ascii="Arial" w:cs="Arial" w:eastAsia="Arial" w:hAnsi="Arial"/>
          <w:sz w:val="20"/>
          <w:szCs w:val="20"/>
          <w:b w:val="1"/>
          <w:bCs w:val="1"/>
          <w:color w:val="auto"/>
        </w:rPr>
        <w:t xml:space="preserve"> </w:t>
      </w:r>
      <w:r>
        <w:rPr>
          <w:rFonts w:ascii="Arial" w:cs="Arial" w:eastAsia="Arial" w:hAnsi="Arial"/>
          <w:sz w:val="20"/>
          <w:szCs w:val="20"/>
          <w:color w:val="auto"/>
        </w:rPr>
        <w:t>retained in the employment of any member of the Company or affect the right of any such employer to terminate any employee. Grantee shall have no voting rights with respect to the Units.</w:t>
      </w:r>
    </w:p>
    <w:p>
      <w:pPr>
        <w:spacing w:after="0" w:line="177" w:lineRule="exact"/>
        <w:rPr>
          <w:rFonts w:ascii="Arial" w:cs="Arial" w:eastAsia="Arial" w:hAnsi="Arial"/>
          <w:sz w:val="20"/>
          <w:szCs w:val="20"/>
          <w:b w:val="1"/>
          <w:bCs w:val="1"/>
          <w:color w:val="auto"/>
        </w:rPr>
      </w:pPr>
    </w:p>
    <w:p>
      <w:pPr>
        <w:jc w:val="both"/>
        <w:ind w:firstLine="656"/>
        <w:spacing w:after="0" w:line="253" w:lineRule="auto"/>
        <w:tabs>
          <w:tab w:leader="none" w:pos="86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Limits on 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Grantee’s right in the Units awarded under this Agreement and any interest therein may not be sold,</w:t>
      </w:r>
      <w:r>
        <w:rPr>
          <w:rFonts w:ascii="Arial" w:cs="Arial" w:eastAsia="Arial" w:hAnsi="Arial"/>
          <w:sz w:val="20"/>
          <w:szCs w:val="20"/>
          <w:b w:val="1"/>
          <w:bCs w:val="1"/>
          <w:color w:val="auto"/>
        </w:rPr>
        <w:t xml:space="preserve"> </w:t>
      </w:r>
      <w:r>
        <w:rPr>
          <w:rFonts w:ascii="Arial" w:cs="Arial" w:eastAsia="Arial" w:hAnsi="Arial"/>
          <w:sz w:val="20"/>
          <w:szCs w:val="20"/>
          <w:color w:val="auto"/>
        </w:rPr>
        <w:t>pledged, assigned, hypothecated, transferred, or disposed of in any manner, other than by will or by the laws of descent or distribution. The Units shall not be subject to execution, attachment or other process.</w:t>
      </w:r>
    </w:p>
    <w:p>
      <w:pPr>
        <w:spacing w:after="0" w:line="177" w:lineRule="exact"/>
        <w:rPr>
          <w:rFonts w:ascii="Arial" w:cs="Arial" w:eastAsia="Arial" w:hAnsi="Arial"/>
          <w:sz w:val="20"/>
          <w:szCs w:val="20"/>
          <w:b w:val="1"/>
          <w:bCs w:val="1"/>
          <w:color w:val="auto"/>
        </w:rPr>
      </w:pPr>
    </w:p>
    <w:p>
      <w:pPr>
        <w:jc w:val="both"/>
        <w:ind w:firstLine="656"/>
        <w:spacing w:after="0" w:line="253" w:lineRule="auto"/>
        <w:tabs>
          <w:tab w:leader="none" w:pos="86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Securities Laws</w:t>
      </w:r>
      <w:r>
        <w:rPr>
          <w:rFonts w:ascii="Arial" w:cs="Arial" w:eastAsia="Arial" w:hAnsi="Arial"/>
          <w:sz w:val="20"/>
          <w:szCs w:val="20"/>
          <w:b w:val="1"/>
          <w:bCs w:val="1"/>
          <w:color w:val="auto"/>
        </w:rPr>
        <w:t xml:space="preserve">. </w:t>
      </w:r>
      <w:r>
        <w:rPr>
          <w:rFonts w:ascii="Arial" w:cs="Arial" w:eastAsia="Arial" w:hAnsi="Arial"/>
          <w:sz w:val="20"/>
          <w:szCs w:val="20"/>
          <w:color w:val="auto"/>
        </w:rPr>
        <w:t>Shares shall not be issued with respect to this Award unless the issuance and delivery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Shares shall comply with all relevant provisions of state and federal laws, rules and regulations, and, in the discretion of the Company, shall be further subject to the approval of counsel for the Company with respect to that compliance.</w:t>
      </w:r>
    </w:p>
    <w:p>
      <w:pPr>
        <w:sectPr>
          <w:pgSz w:w="11900" w:h="16838" w:orient="portrait"/>
          <w:cols w:equalWidth="0" w:num="1">
            <w:col w:w="11420"/>
          </w:cols>
          <w:pgMar w:left="240" w:top="1000" w:right="239" w:bottom="1440" w:gutter="0" w:footer="0" w:header="0"/>
        </w:sectPr>
      </w:pPr>
    </w:p>
    <w:bookmarkStart w:id="36" w:name="page37"/>
    <w:bookmarkEnd w:id="36"/>
    <w:p>
      <w:pPr>
        <w:jc w:val="both"/>
        <w:ind w:left="-280" w:firstLine="656"/>
        <w:spacing w:after="0" w:line="244" w:lineRule="auto"/>
        <w:tabs>
          <w:tab w:leader="none" w:pos="566"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Incorporation of Plan Terms</w:t>
      </w:r>
      <w:r>
        <w:rPr>
          <w:rFonts w:ascii="Arial" w:cs="Arial" w:eastAsia="Arial" w:hAnsi="Arial"/>
          <w:sz w:val="20"/>
          <w:szCs w:val="20"/>
          <w:b w:val="1"/>
          <w:bCs w:val="1"/>
          <w:color w:val="auto"/>
        </w:rPr>
        <w:t xml:space="preserve">. </w:t>
      </w:r>
      <w:r>
        <w:rPr>
          <w:rFonts w:ascii="Arial" w:cs="Arial" w:eastAsia="Arial" w:hAnsi="Arial"/>
          <w:sz w:val="20"/>
          <w:szCs w:val="20"/>
          <w:color w:val="auto"/>
        </w:rPr>
        <w:t>This Award is subject to the terms and conditions of the Plan. Such terms and conditions of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are incorporated into and made a part of this Agreement by reference. In the event of any conflicts between the provisions of this Agreement and the terms of the Plan, the terms of the Plan will control.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186" w:lineRule="exact"/>
        <w:rPr>
          <w:rFonts w:ascii="Arial" w:cs="Arial" w:eastAsia="Arial" w:hAnsi="Arial"/>
          <w:sz w:val="20"/>
          <w:szCs w:val="20"/>
          <w:b w:val="1"/>
          <w:bCs w:val="1"/>
          <w:color w:val="auto"/>
        </w:rPr>
      </w:pPr>
    </w:p>
    <w:p>
      <w:pPr>
        <w:jc w:val="both"/>
        <w:ind w:left="-280" w:firstLine="656"/>
        <w:spacing w:after="0" w:line="266" w:lineRule="auto"/>
        <w:tabs>
          <w:tab w:leader="none" w:pos="665"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 and Acceptance</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may, in its sole discretion, decide to deliver any documents related to current</w:t>
      </w:r>
      <w:r>
        <w:rPr>
          <w:rFonts w:ascii="Arial" w:cs="Arial" w:eastAsia="Arial" w:hAnsi="Arial"/>
          <w:sz w:val="19"/>
          <w:szCs w:val="19"/>
          <w:b w:val="1"/>
          <w:bCs w:val="1"/>
          <w:color w:val="auto"/>
        </w:rPr>
        <w:t xml:space="preserve"> </w:t>
      </w:r>
      <w:r>
        <w:rPr>
          <w:rFonts w:ascii="Arial" w:cs="Arial" w:eastAsia="Arial" w:hAnsi="Arial"/>
          <w:sz w:val="19"/>
          <w:szCs w:val="19"/>
          <w:color w:val="auto"/>
        </w:rPr>
        <w:t>or future participation in the Plan by electronic means or to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165" w:lineRule="exact"/>
        <w:rPr>
          <w:rFonts w:ascii="Arial" w:cs="Arial" w:eastAsia="Arial" w:hAnsi="Arial"/>
          <w:sz w:val="19"/>
          <w:szCs w:val="19"/>
          <w:b w:val="1"/>
          <w:bCs w:val="1"/>
          <w:color w:val="auto"/>
        </w:rPr>
      </w:pPr>
    </w:p>
    <w:p>
      <w:pPr>
        <w:jc w:val="both"/>
        <w:ind w:left="-280" w:firstLine="656"/>
        <w:spacing w:after="0" w:line="248" w:lineRule="auto"/>
        <w:tabs>
          <w:tab w:leader="none" w:pos="654"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Internal Revenue Code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interpreted, operated, and administered in a manner so as not to</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Participant to the assessment of additional taxes or interest under Code section 409A to the extent such Participant or any payment under this Agreement is subject to U.S. tax laws, and this Agreement shall be amended as the Company, in its sole discretion, determines is necessary and appropriate to avoid the application of any such taxes or interest.</w:t>
      </w:r>
    </w:p>
    <w:p>
      <w:pPr>
        <w:spacing w:after="0" w:line="183" w:lineRule="exact"/>
        <w:rPr>
          <w:rFonts w:ascii="Arial" w:cs="Arial" w:eastAsia="Arial" w:hAnsi="Arial"/>
          <w:sz w:val="20"/>
          <w:szCs w:val="20"/>
          <w:b w:val="1"/>
          <w:bCs w:val="1"/>
          <w:color w:val="auto"/>
        </w:rPr>
      </w:pPr>
    </w:p>
    <w:p>
      <w:pPr>
        <w:jc w:val="both"/>
        <w:ind w:left="-280" w:firstLine="656"/>
        <w:spacing w:after="0" w:line="246" w:lineRule="auto"/>
        <w:tabs>
          <w:tab w:leader="none" w:pos="665"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one or more of the provisions of this Agreement shall be held invalid, illegal or unenforceable in any respect, the</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5" w:lineRule="exact"/>
        <w:rPr>
          <w:rFonts w:ascii="Arial" w:cs="Arial" w:eastAsia="Arial" w:hAnsi="Arial"/>
          <w:sz w:val="20"/>
          <w:szCs w:val="20"/>
          <w:b w:val="1"/>
          <w:bCs w:val="1"/>
          <w:color w:val="auto"/>
        </w:rPr>
      </w:pPr>
    </w:p>
    <w:p>
      <w:pPr>
        <w:ind w:left="-280" w:firstLine="656"/>
        <w:spacing w:after="0" w:line="267" w:lineRule="auto"/>
        <w:tabs>
          <w:tab w:leader="none" w:pos="665"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and inure to the benefit of any successor or successors of the Company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person or persons who shall acquire any rights hereunder in accordance with this Agreement or the Plan.</w:t>
      </w:r>
    </w:p>
    <w:p>
      <w:pPr>
        <w:spacing w:after="0" w:line="163" w:lineRule="exact"/>
        <w:rPr>
          <w:rFonts w:ascii="Arial" w:cs="Arial" w:eastAsia="Arial" w:hAnsi="Arial"/>
          <w:sz w:val="20"/>
          <w:szCs w:val="20"/>
          <w:b w:val="1"/>
          <w:bCs w:val="1"/>
          <w:color w:val="auto"/>
        </w:rPr>
      </w:pPr>
    </w:p>
    <w:p>
      <w:pPr>
        <w:ind w:left="-280" w:right="20" w:firstLine="656"/>
        <w:spacing w:after="0" w:line="253" w:lineRule="auto"/>
        <w:tabs>
          <w:tab w:leader="none" w:pos="665"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the Plan and this Agreement when accepted by the Grantee will constitute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subject matter hereof. This Agreement supersedes any prior agreements, representations or promises of the parties relating to the subject matter hereof.</w:t>
      </w:r>
    </w:p>
    <w:p>
      <w:pPr>
        <w:spacing w:after="0" w:line="177" w:lineRule="exact"/>
        <w:rPr>
          <w:rFonts w:ascii="Arial" w:cs="Arial" w:eastAsia="Arial" w:hAnsi="Arial"/>
          <w:sz w:val="20"/>
          <w:szCs w:val="20"/>
          <w:b w:val="1"/>
          <w:bCs w:val="1"/>
          <w:color w:val="auto"/>
        </w:rPr>
      </w:pPr>
    </w:p>
    <w:p>
      <w:pPr>
        <w:jc w:val="both"/>
        <w:ind w:left="-280" w:firstLine="656"/>
        <w:spacing w:after="0" w:line="266" w:lineRule="auto"/>
        <w:tabs>
          <w:tab w:leader="none" w:pos="679"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construed in accordance with, and its interpretation shall otherwise be</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Company has caused this Agreement to be executed by a duly authorized executive all as of the Grant Date.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CAMPBELL SOUP COMPANY</w:t>
      </w:r>
    </w:p>
    <w:p>
      <w:pPr>
        <w:spacing w:after="0" w:line="200" w:lineRule="exact"/>
        <w:rPr>
          <w:sz w:val="20"/>
          <w:szCs w:val="20"/>
          <w:color w:val="auto"/>
        </w:rPr>
      </w:pPr>
    </w:p>
    <w:p>
      <w:pPr>
        <w:spacing w:after="0" w:line="26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By: _________________________________</w:t>
      </w:r>
    </w:p>
    <w:p>
      <w:pPr>
        <w:spacing w:after="0" w:line="88"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Robert W. Morrissey</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20"/>
          <w:szCs w:val="20"/>
          <w:color w:val="auto"/>
        </w:rPr>
        <w:t>Senior Vice President and Chief Human</w:t>
      </w:r>
    </w:p>
    <w:p>
      <w:pPr>
        <w:ind w:left="4920"/>
        <w:spacing w:after="0"/>
        <w:rPr>
          <w:sz w:val="20"/>
          <w:szCs w:val="20"/>
          <w:color w:val="auto"/>
        </w:rPr>
      </w:pPr>
      <w:r>
        <w:rPr>
          <w:rFonts w:ascii="Arial" w:cs="Arial" w:eastAsia="Arial" w:hAnsi="Arial"/>
          <w:sz w:val="20"/>
          <w:szCs w:val="20"/>
          <w:color w:val="auto"/>
        </w:rPr>
        <w:t>Resources Officer</w:t>
      </w:r>
    </w:p>
    <w:p>
      <w:pPr>
        <w:sectPr>
          <w:pgSz w:w="11900" w:h="16838" w:orient="portrait"/>
          <w:cols w:equalWidth="0" w:num="1">
            <w:col w:w="11140"/>
          </w:cols>
          <w:pgMar w:left="520" w:top="95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68580</wp:posOffset>
            </wp:positionV>
            <wp:extent cx="2229485" cy="557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948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LONG-TERM INCENTIVE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TIME-LAPSE RESTRICTED STOCK UNIT AGREEMENT</w:t>
      </w:r>
    </w:p>
    <w:p>
      <w:pPr>
        <w:spacing w:after="0" w:line="200" w:lineRule="exact"/>
        <w:rPr>
          <w:sz w:val="20"/>
          <w:szCs w:val="20"/>
          <w:color w:val="auto"/>
        </w:rPr>
      </w:pPr>
    </w:p>
    <w:p>
      <w:pPr>
        <w:spacing w:after="0" w:line="2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TIME-LAPSE RESTRICTED STOCK UNIT AGREEMENT (the “Agreement”) between Campbell Soup Company (the “Company”) and [ ] (the “Participant”), an employee of the Company, on [ ] (the “Grant Date”).</w:t>
      </w:r>
    </w:p>
    <w:p>
      <w:pPr>
        <w:spacing w:after="0" w:line="25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desires to award the Participant restricted stock units, which each represent a right to receive one share of Capital Stock, $.0375 par value of the Company (the “Restricted Stock Units”) as hereinafter provided, under the Campbell Soup Company 2015 Long-Term Incentive Plan (the “Plan”);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by accepting this award, the Participant agrees to the terms of this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valuable considerations the legal sufficiency of which is hereby acknowledged, the parties hereto, intending to be legally bound, agree as follows:</w:t>
      </w:r>
    </w:p>
    <w:p>
      <w:pPr>
        <w:spacing w:after="0" w:line="252" w:lineRule="exact"/>
        <w:rPr>
          <w:sz w:val="20"/>
          <w:szCs w:val="20"/>
          <w:color w:val="auto"/>
        </w:rPr>
      </w:pPr>
    </w:p>
    <w:p>
      <w:pPr>
        <w:jc w:val="both"/>
        <w:ind w:firstLine="656"/>
        <w:spacing w:after="0" w:line="253" w:lineRule="auto"/>
        <w:tabs>
          <w:tab w:leader="none" w:pos="846"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of Restricted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hereby grants to the Participant on the Grant Date [ ] Restricted Stock Units. The</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Units are in all respects limited and conditioned as hereinafter provided, and are subject in all respects to the Plan’s terms and conditions, as amended.</w:t>
      </w:r>
    </w:p>
    <w:p>
      <w:pPr>
        <w:spacing w:after="0" w:line="339" w:lineRule="exact"/>
        <w:rPr>
          <w:rFonts w:ascii="Arial" w:cs="Arial" w:eastAsia="Arial" w:hAnsi="Arial"/>
          <w:sz w:val="20"/>
          <w:szCs w:val="20"/>
          <w:b w:val="1"/>
          <w:bCs w:val="1"/>
          <w:color w:val="auto"/>
        </w:rPr>
      </w:pPr>
    </w:p>
    <w:p>
      <w:pPr>
        <w:jc w:val="both"/>
        <w:ind w:firstLine="656"/>
        <w:spacing w:after="0" w:line="253" w:lineRule="auto"/>
        <w:tabs>
          <w:tab w:leader="none" w:pos="873"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 Period;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of this Agreement and the Plan and provided that the Participant remains</w:t>
      </w:r>
      <w:r>
        <w:rPr>
          <w:rFonts w:ascii="Arial" w:cs="Arial" w:eastAsia="Arial" w:hAnsi="Arial"/>
          <w:sz w:val="20"/>
          <w:szCs w:val="20"/>
          <w:b w:val="1"/>
          <w:bCs w:val="1"/>
          <w:color w:val="auto"/>
        </w:rPr>
        <w:t xml:space="preserve"> </w:t>
      </w:r>
      <w:r>
        <w:rPr>
          <w:rFonts w:ascii="Arial" w:cs="Arial" w:eastAsia="Arial" w:hAnsi="Arial"/>
          <w:sz w:val="20"/>
          <w:szCs w:val="20"/>
          <w:color w:val="auto"/>
        </w:rPr>
        <w:t>continuously employed throughout the restriction periods set forth below, one-third (1/3) of the Restricted Stock Units shall vest per year over three years on each [ ] following the Grant Date (each a “Vesting Date”), as set forth below:</w:t>
      </w:r>
    </w:p>
    <w:p>
      <w:pPr>
        <w:spacing w:after="0" w:line="396" w:lineRule="exact"/>
        <w:rPr>
          <w:sz w:val="20"/>
          <w:szCs w:val="20"/>
          <w:color w:val="auto"/>
        </w:rPr>
      </w:pPr>
    </w:p>
    <w:tbl>
      <w:tblPr>
        <w:tblLayout w:type="fixed"/>
        <w:tblInd w:w="410" w:type="dxa"/>
        <w:tblCellMar>
          <w:top w:w="0" w:type="dxa"/>
          <w:left w:w="0" w:type="dxa"/>
          <w:bottom w:w="0" w:type="dxa"/>
          <w:right w:w="0" w:type="dxa"/>
        </w:tblCellMar>
      </w:tblPr>
      <w:tr>
        <w:trPr>
          <w:trHeight w:val="253"/>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Restriction</w:t>
            </w:r>
          </w:p>
        </w:tc>
        <w:tc>
          <w:tcPr>
            <w:tcW w:w="5120" w:type="dxa"/>
            <w:vAlign w:val="bottom"/>
            <w:tcBorders>
              <w:top w:val="single" w:sz="8" w:color="auto"/>
              <w:right w:val="single" w:sz="8" w:color="auto"/>
            </w:tcBorders>
          </w:tcPr>
          <w:p>
            <w:pPr>
              <w:spacing w:after="0"/>
              <w:rPr>
                <w:sz w:val="22"/>
                <w:szCs w:val="22"/>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Number of Restricted</w:t>
            </w:r>
          </w:p>
        </w:tc>
      </w:tr>
      <w:tr>
        <w:trPr>
          <w:trHeight w:val="250"/>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Period</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Vesting Dates</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Stock Units</w:t>
            </w: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54"/>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w:t>
            </w:r>
          </w:p>
        </w:tc>
      </w:tr>
      <w:tr>
        <w:trPr>
          <w:trHeight w:val="23"/>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Except as otherwise provided below, the Company shall deliver to the Participant one share of the Company’s Capital Stock for each vested Restricted Stock Unit during the month following each applicable Vesting Date. Unless terminated earlier under Section 5 below, a Participant’s rights under this Agreement shall terminate with respect to each Restricted Stock Unit at the time such Restricted Stock Unit is converted into the Company’s Capital Stock.</w:t>
      </w:r>
    </w:p>
    <w:p>
      <w:pPr>
        <w:spacing w:after="0" w:line="186" w:lineRule="exact"/>
        <w:rPr>
          <w:sz w:val="20"/>
          <w:szCs w:val="20"/>
          <w:color w:val="auto"/>
        </w:rPr>
      </w:pPr>
    </w:p>
    <w:p>
      <w:pPr>
        <w:jc w:val="both"/>
        <w:ind w:firstLine="656"/>
        <w:spacing w:after="0" w:line="246" w:lineRule="auto"/>
        <w:tabs>
          <w:tab w:leader="none" w:pos="8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After a Vesting Date, Participant shall be paid in cash the accumulated amount equivalent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dividends which would have been paid on the Company’s Capital Stock underlying the Restricted Stock Units to the extent the Company’s Board of Directors had approved and declared a dividend on its Capital Stock. Such dividend equivalent amount shall be paid during the month following the applicable Vesting Date. Subject to Section 5 below, the dividend equivalent payment shall be forfeited for any Restricted Stock Units terminated under Section 5.</w:t>
      </w:r>
    </w:p>
    <w:p>
      <w:pPr>
        <w:spacing w:after="0" w:line="185" w:lineRule="exact"/>
        <w:rPr>
          <w:rFonts w:ascii="Arial" w:cs="Arial" w:eastAsia="Arial" w:hAnsi="Arial"/>
          <w:sz w:val="20"/>
          <w:szCs w:val="20"/>
          <w:b w:val="1"/>
          <w:bCs w:val="1"/>
          <w:color w:val="auto"/>
        </w:rPr>
      </w:pPr>
    </w:p>
    <w:p>
      <w:pPr>
        <w:ind w:left="860" w:hanging="204"/>
        <w:spacing w:after="0"/>
        <w:tabs>
          <w:tab w:leader="none" w:pos="860" w:val="left"/>
        </w:tabs>
        <w:numPr>
          <w:ilvl w:val="0"/>
          <w:numId w:val="4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Incorporation of Plan Terms</w:t>
      </w:r>
      <w:r>
        <w:rPr>
          <w:rFonts w:ascii="Arial" w:cs="Arial" w:eastAsia="Arial" w:hAnsi="Arial"/>
          <w:sz w:val="20"/>
          <w:szCs w:val="20"/>
          <w:b w:val="1"/>
          <w:bCs w:val="1"/>
          <w:color w:val="auto"/>
        </w:rPr>
        <w:t xml:space="preserve">. </w:t>
      </w:r>
      <w:r>
        <w:rPr>
          <w:rFonts w:ascii="Arial" w:cs="Arial" w:eastAsia="Arial" w:hAnsi="Arial"/>
          <w:sz w:val="20"/>
          <w:szCs w:val="20"/>
          <w:color w:val="auto"/>
        </w:rPr>
        <w:t>This award is subject to the terms and conditions of the Plan. Such terms</w:t>
      </w:r>
    </w:p>
    <w:p>
      <w:pPr>
        <w:sectPr>
          <w:pgSz w:w="11900" w:h="16838" w:orient="portrait"/>
          <w:cols w:equalWidth="0" w:num="1">
            <w:col w:w="11420"/>
          </w:cols>
          <w:pgMar w:left="240" w:top="661" w:right="239" w:bottom="1440" w:gutter="0" w:footer="0" w:header="0"/>
        </w:sectPr>
      </w:pPr>
    </w:p>
    <w:bookmarkStart w:id="38" w:name="page39"/>
    <w:bookmarkEnd w:id="38"/>
    <w:p>
      <w:pPr>
        <w:jc w:val="both"/>
        <w:spacing w:after="0" w:line="276" w:lineRule="auto"/>
        <w:rPr>
          <w:sz w:val="20"/>
          <w:szCs w:val="20"/>
          <w:color w:val="auto"/>
        </w:rPr>
      </w:pPr>
      <w:r>
        <w:rPr>
          <w:rFonts w:ascii="Arial" w:cs="Arial" w:eastAsia="Arial" w:hAnsi="Arial"/>
          <w:sz w:val="18"/>
          <w:szCs w:val="18"/>
          <w:color w:val="auto"/>
        </w:rPr>
        <w:t>and conditions of the Plan are incorporated into and made a part of this Agreement by reference. In the event of any conflicts between the provisions of this Agreement and the terms of the Plan, the terms of the Plan will control. The Compensation and Organization Committee of the Board of Directors (the “Committee”) shall have the right to resolve all questions which may arise in connection with the Award or this Agreement, including whether a Participant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159" w:lineRule="exact"/>
        <w:rPr>
          <w:sz w:val="20"/>
          <w:szCs w:val="20"/>
          <w:color w:val="auto"/>
        </w:rPr>
      </w:pPr>
    </w:p>
    <w:p>
      <w:pPr>
        <w:jc w:val="both"/>
        <w:ind w:firstLine="656"/>
        <w:spacing w:after="0" w:line="253" w:lineRule="auto"/>
        <w:tabs>
          <w:tab w:leader="none" w:pos="873"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Early Termination of Restricted Stock Unit; Termination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Restricted Stock Units shall terminate and</w:t>
      </w:r>
      <w:r>
        <w:rPr>
          <w:rFonts w:ascii="Arial" w:cs="Arial" w:eastAsia="Arial" w:hAnsi="Arial"/>
          <w:sz w:val="20"/>
          <w:szCs w:val="20"/>
          <w:b w:val="1"/>
          <w:bCs w:val="1"/>
          <w:color w:val="auto"/>
        </w:rPr>
        <w:t xml:space="preserve"> </w:t>
      </w:r>
      <w:r>
        <w:rPr>
          <w:rFonts w:ascii="Arial" w:cs="Arial" w:eastAsia="Arial" w:hAnsi="Arial"/>
          <w:sz w:val="20"/>
          <w:szCs w:val="20"/>
          <w:color w:val="auto"/>
        </w:rPr>
        <w:t>become null and void if and when the Participant ceases for any reason to be an employee of the Company or its subsidiaries, including but not limited to termination for Cause, voluntary resignation or Retirement, except as provided in below:</w:t>
      </w:r>
    </w:p>
    <w:p>
      <w:pPr>
        <w:spacing w:after="0" w:line="184" w:lineRule="exact"/>
        <w:rPr>
          <w:sz w:val="20"/>
          <w:szCs w:val="20"/>
          <w:color w:val="auto"/>
        </w:rPr>
      </w:pPr>
    </w:p>
    <w:p>
      <w:pPr>
        <w:jc w:val="both"/>
        <w:ind w:left="980" w:hanging="324"/>
        <w:spacing w:after="0" w:line="246" w:lineRule="auto"/>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If the Participant’s employment is terminated at least six (6) months following the Grant Date as a result of Retirement, the Restricted Stock Units shall continue to vest through the Vesting Dates, and the Company will deliver to the Participant, or his or her legal representative, one share of the Company’s Capital Stock for each Restricted Stock Unit vested on that date in accordance with Section 2.</w:t>
      </w:r>
    </w:p>
    <w:p>
      <w:pPr>
        <w:spacing w:after="0" w:line="191" w:lineRule="exact"/>
        <w:rPr>
          <w:rFonts w:ascii="Arial" w:cs="Arial" w:eastAsia="Arial" w:hAnsi="Arial"/>
          <w:sz w:val="20"/>
          <w:szCs w:val="20"/>
          <w:color w:val="auto"/>
        </w:rPr>
      </w:pPr>
    </w:p>
    <w:p>
      <w:pPr>
        <w:ind w:left="1960" w:hanging="655"/>
        <w:spacing w:after="0"/>
        <w:tabs>
          <w:tab w:leader="none" w:pos="1960" w:val="left"/>
        </w:tabs>
        <w:numPr>
          <w:ilvl w:val="1"/>
          <w:numId w:val="45"/>
        </w:numPr>
        <w:rPr>
          <w:rFonts w:ascii="Arial" w:cs="Arial" w:eastAsia="Arial" w:hAnsi="Arial"/>
          <w:sz w:val="20"/>
          <w:szCs w:val="20"/>
          <w:color w:val="auto"/>
        </w:rPr>
      </w:pPr>
      <w:r>
        <w:rPr>
          <w:rFonts w:ascii="Arial" w:cs="Arial" w:eastAsia="Arial" w:hAnsi="Arial"/>
          <w:sz w:val="20"/>
          <w:szCs w:val="20"/>
          <w:color w:val="auto"/>
        </w:rPr>
        <w:t>For purposes of this Agreement, the following terms shall have the meanings set forth below:</w:t>
      </w:r>
    </w:p>
    <w:p>
      <w:pPr>
        <w:spacing w:after="0" w:line="215" w:lineRule="exact"/>
        <w:rPr>
          <w:rFonts w:ascii="Arial" w:cs="Arial" w:eastAsia="Arial" w:hAnsi="Arial"/>
          <w:sz w:val="20"/>
          <w:szCs w:val="20"/>
          <w:color w:val="auto"/>
        </w:rPr>
      </w:pPr>
    </w:p>
    <w:p>
      <w:pPr>
        <w:jc w:val="both"/>
        <w:ind w:left="2600" w:hanging="647"/>
        <w:spacing w:after="0" w:line="250" w:lineRule="auto"/>
        <w:tabs>
          <w:tab w:leader="none" w:pos="2600" w:val="left"/>
        </w:tabs>
        <w:numPr>
          <w:ilvl w:val="2"/>
          <w:numId w:val="45"/>
        </w:numPr>
        <w:rPr>
          <w:rFonts w:ascii="Arial" w:cs="Arial" w:eastAsia="Arial" w:hAnsi="Arial"/>
          <w:sz w:val="20"/>
          <w:szCs w:val="20"/>
          <w:color w:val="auto"/>
        </w:rPr>
      </w:pPr>
      <w:r>
        <w:rPr>
          <w:rFonts w:ascii="Arial" w:cs="Arial" w:eastAsia="Arial" w:hAnsi="Arial"/>
          <w:sz w:val="20"/>
          <w:szCs w:val="20"/>
          <w:color w:val="auto"/>
        </w:rPr>
        <w:t>“Retirement” or “Retirement Eligible” means the Participant terminates, or is eligible to terminate, employment with the Company or its subsidiaries after attaining 55 years of age with at least 5 years of continuous service on or prior to the date of termination.</w:t>
      </w:r>
    </w:p>
    <w:p>
      <w:pPr>
        <w:spacing w:after="0" w:line="186" w:lineRule="exact"/>
        <w:rPr>
          <w:rFonts w:ascii="Arial" w:cs="Arial" w:eastAsia="Arial" w:hAnsi="Arial"/>
          <w:sz w:val="20"/>
          <w:szCs w:val="20"/>
          <w:color w:val="auto"/>
        </w:rPr>
      </w:pPr>
    </w:p>
    <w:p>
      <w:pPr>
        <w:jc w:val="both"/>
        <w:ind w:left="2600" w:hanging="647"/>
        <w:spacing w:after="0" w:line="250" w:lineRule="auto"/>
        <w:tabs>
          <w:tab w:leader="none" w:pos="2600" w:val="left"/>
        </w:tabs>
        <w:numPr>
          <w:ilvl w:val="2"/>
          <w:numId w:val="45"/>
        </w:numPr>
        <w:rPr>
          <w:rFonts w:ascii="Arial" w:cs="Arial" w:eastAsia="Arial" w:hAnsi="Arial"/>
          <w:sz w:val="20"/>
          <w:szCs w:val="20"/>
          <w:color w:val="auto"/>
        </w:rPr>
      </w:pPr>
      <w:r>
        <w:rPr>
          <w:rFonts w:ascii="Arial" w:cs="Arial" w:eastAsia="Arial" w:hAnsi="Arial"/>
          <w:sz w:val="20"/>
          <w:szCs w:val="20"/>
          <w:color w:val="auto"/>
        </w:rPr>
        <w:t>“Total Disability” means “Total Disability” or “Totally Disabled” as that term is defined under a Company-sponsored long-term disability plan from which the Participant is receiving disability benefits and which is in effect from time to time on and after the Grant Date.</w:t>
      </w:r>
    </w:p>
    <w:p>
      <w:pPr>
        <w:spacing w:after="0" w:line="186" w:lineRule="exact"/>
        <w:rPr>
          <w:rFonts w:ascii="Arial" w:cs="Arial" w:eastAsia="Arial" w:hAnsi="Arial"/>
          <w:sz w:val="20"/>
          <w:szCs w:val="20"/>
          <w:color w:val="auto"/>
        </w:rPr>
      </w:pPr>
    </w:p>
    <w:p>
      <w:pPr>
        <w:jc w:val="both"/>
        <w:ind w:left="980" w:hanging="324"/>
        <w:spacing w:after="0" w:line="244" w:lineRule="auto"/>
        <w:tabs>
          <w:tab w:leader="none" w:pos="98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Retirement Eligible upon Total Disability or Death</w:t>
      </w:r>
      <w:r>
        <w:rPr>
          <w:rFonts w:ascii="Arial" w:cs="Arial" w:eastAsia="Arial" w:hAnsi="Arial"/>
          <w:sz w:val="20"/>
          <w:szCs w:val="20"/>
          <w:color w:val="auto"/>
        </w:rPr>
        <w:t>. If the Participant’s employment is terminated at least six (6) months following the Grant Date as a result of Total Disability, or death (provided the Participant is Retirement Eligible at the time of any such termination), the Restricted Stock Units will continue to vest through the Vesting Dates, and the Company will deliver to the Participant, or his or her legal representative, one share of the Company’s Capital Stock for each Restricted Stock Unit vested on that date in accordance with Section 2.</w:t>
      </w:r>
    </w:p>
    <w:p>
      <w:pPr>
        <w:spacing w:after="0" w:line="194" w:lineRule="exact"/>
        <w:rPr>
          <w:rFonts w:ascii="Arial" w:cs="Arial" w:eastAsia="Arial" w:hAnsi="Arial"/>
          <w:sz w:val="20"/>
          <w:szCs w:val="20"/>
          <w:color w:val="auto"/>
        </w:rPr>
      </w:pPr>
    </w:p>
    <w:p>
      <w:pPr>
        <w:jc w:val="both"/>
        <w:ind w:left="980" w:hanging="324"/>
        <w:spacing w:after="0" w:line="282"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Not Retirement Eligible upon Total Disability or Death; Involuntary Termination</w:t>
      </w:r>
      <w:r>
        <w:rPr>
          <w:rFonts w:ascii="Arial" w:cs="Arial" w:eastAsia="Arial" w:hAnsi="Arial"/>
          <w:sz w:val="18"/>
          <w:szCs w:val="18"/>
          <w:color w:val="auto"/>
        </w:rPr>
        <w:t>. If the Participant’s employment is terminated at least six (6) months following the Grant Date: (i) as the result of the Participant’s Total Disability or death and the Participant is not Retirement Eligible; or (ii) by the Company for reasons other than Cause, the Participant shall vest on the applicable Vesting Date in a prorated portion of his or her Restricted Stock Units under this Agreement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199390</wp:posOffset>
            </wp:positionV>
            <wp:extent cx="6106160" cy="1449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06160" cy="1449070"/>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Restriction Period</w:t>
      </w:r>
    </w:p>
    <w:p>
      <w:pPr>
        <w:spacing w:after="0" w:line="23" w:lineRule="exact"/>
        <w:rPr>
          <w:sz w:val="20"/>
          <w:szCs w:val="20"/>
          <w:color w:val="auto"/>
        </w:rPr>
      </w:pPr>
    </w:p>
    <w:tbl>
      <w:tblPr>
        <w:tblLayout w:type="fixed"/>
        <w:tblInd w:w="920" w:type="dxa"/>
        <w:tblCellMar>
          <w:top w:w="0" w:type="dxa"/>
          <w:left w:w="0" w:type="dxa"/>
          <w:bottom w:w="0" w:type="dxa"/>
          <w:right w:w="0" w:type="dxa"/>
        </w:tblCellMar>
      </w:tblPr>
      <w:tr>
        <w:trPr>
          <w:trHeight w:val="274"/>
        </w:trPr>
        <w:tc>
          <w:tcPr>
            <w:tcW w:w="3100" w:type="dxa"/>
            <w:vAlign w:val="bottom"/>
            <w:tcBorders>
              <w:top w:val="single" w:sz="8" w:color="auto"/>
              <w:right w:val="single" w:sz="8" w:color="auto"/>
            </w:tcBorders>
          </w:tcPr>
          <w:p>
            <w:pPr>
              <w:ind w:left="1480"/>
              <w:spacing w:after="0"/>
              <w:rPr>
                <w:sz w:val="20"/>
                <w:szCs w:val="20"/>
                <w:color w:val="auto"/>
              </w:rPr>
            </w:pPr>
            <w:r>
              <w:rPr>
                <w:rFonts w:ascii="Arial" w:cs="Arial" w:eastAsia="Arial" w:hAnsi="Arial"/>
                <w:sz w:val="20"/>
                <w:szCs w:val="20"/>
                <w:color w:val="auto"/>
              </w:rPr>
              <w:t>1</w:t>
            </w:r>
          </w:p>
        </w:tc>
        <w:tc>
          <w:tcPr>
            <w:tcW w:w="3260" w:type="dxa"/>
            <w:vAlign w:val="bottom"/>
            <w:tcBorders>
              <w:top w:val="single" w:sz="8" w:color="auto"/>
              <w:right w:val="single" w:sz="8" w:color="auto"/>
            </w:tcBorders>
          </w:tcPr>
          <w:p>
            <w:pPr>
              <w:ind w:left="1560"/>
              <w:spacing w:after="0"/>
              <w:rPr>
                <w:sz w:val="20"/>
                <w:szCs w:val="20"/>
                <w:color w:val="auto"/>
              </w:rPr>
            </w:pPr>
            <w:r>
              <w:rPr>
                <w:rFonts w:ascii="Arial" w:cs="Arial" w:eastAsia="Arial" w:hAnsi="Arial"/>
                <w:sz w:val="20"/>
                <w:szCs w:val="20"/>
                <w:color w:val="auto"/>
              </w:rPr>
              <w:t>2</w:t>
            </w:r>
          </w:p>
        </w:tc>
        <w:tc>
          <w:tcPr>
            <w:tcW w:w="3240" w:type="dxa"/>
            <w:vAlign w:val="bottom"/>
            <w:tcBorders>
              <w:top w:val="single" w:sz="8" w:color="auto"/>
            </w:tcBorders>
          </w:tcPr>
          <w:p>
            <w:pPr>
              <w:ind w:left="1560"/>
              <w:spacing w:after="0"/>
              <w:rPr>
                <w:sz w:val="20"/>
                <w:szCs w:val="20"/>
                <w:color w:val="auto"/>
              </w:rPr>
            </w:pPr>
            <w:r>
              <w:rPr>
                <w:rFonts w:ascii="Arial" w:cs="Arial" w:eastAsia="Arial" w:hAnsi="Arial"/>
                <w:sz w:val="20"/>
                <w:szCs w:val="20"/>
                <w:color w:val="auto"/>
              </w:rPr>
              <w:t>3</w:t>
            </w:r>
          </w:p>
        </w:tc>
      </w:tr>
      <w:tr>
        <w:trPr>
          <w:trHeight w:val="23"/>
        </w:trPr>
        <w:tc>
          <w:tcPr>
            <w:tcW w:w="310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3"/>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Number of months worked from</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5"/>
              </w:rPr>
              <w:t>Number of months worked from Grant</w:t>
            </w:r>
          </w:p>
        </w:tc>
        <w:tc>
          <w:tcPr>
            <w:tcW w:w="3240" w:type="dxa"/>
            <w:vAlign w:val="bottom"/>
          </w:tcPr>
          <w:p>
            <w:pPr>
              <w:ind w:left="20"/>
              <w:spacing w:after="0"/>
              <w:rPr>
                <w:sz w:val="20"/>
                <w:szCs w:val="20"/>
                <w:color w:val="auto"/>
              </w:rPr>
            </w:pPr>
            <w:r>
              <w:rPr>
                <w:rFonts w:ascii="Arial" w:cs="Arial" w:eastAsia="Arial" w:hAnsi="Arial"/>
                <w:sz w:val="20"/>
                <w:szCs w:val="20"/>
                <w:color w:val="auto"/>
                <w:w w:val="95"/>
              </w:rPr>
              <w:t>Number of months worked from Grant</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Grant Date to termination date</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Date to termination date divided by 24;</w:t>
            </w:r>
          </w:p>
        </w:tc>
        <w:tc>
          <w:tcPr>
            <w:tcW w:w="3240" w:type="dxa"/>
            <w:vAlign w:val="bottom"/>
          </w:tcPr>
          <w:p>
            <w:pPr>
              <w:ind w:left="20"/>
              <w:spacing w:after="0"/>
              <w:rPr>
                <w:sz w:val="20"/>
                <w:szCs w:val="20"/>
                <w:color w:val="auto"/>
              </w:rPr>
            </w:pPr>
            <w:r>
              <w:rPr>
                <w:rFonts w:ascii="Arial" w:cs="Arial" w:eastAsia="Arial" w:hAnsi="Arial"/>
                <w:sz w:val="20"/>
                <w:szCs w:val="20"/>
                <w:color w:val="auto"/>
                <w:w w:val="93"/>
              </w:rPr>
              <w:t>Date to termination date divided by 36;</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6"/>
              </w:rPr>
              <w:t>divided by 12; multiplied by number</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multiplied by number of Restricted</w:t>
            </w:r>
          </w:p>
        </w:tc>
        <w:tc>
          <w:tcPr>
            <w:tcW w:w="3240" w:type="dxa"/>
            <w:vAlign w:val="bottom"/>
          </w:tcPr>
          <w:p>
            <w:pPr>
              <w:ind w:left="20"/>
              <w:spacing w:after="0"/>
              <w:rPr>
                <w:sz w:val="20"/>
                <w:szCs w:val="20"/>
                <w:color w:val="auto"/>
              </w:rPr>
            </w:pPr>
            <w:r>
              <w:rPr>
                <w:rFonts w:ascii="Arial" w:cs="Arial" w:eastAsia="Arial" w:hAnsi="Arial"/>
                <w:sz w:val="20"/>
                <w:szCs w:val="20"/>
                <w:color w:val="auto"/>
              </w:rPr>
              <w:t>multiplied by number of Restricted</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9"/>
              </w:rPr>
              <w:t>of Restricted Stock Units originally</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Stock Units originally scheduled to vest</w:t>
            </w:r>
          </w:p>
        </w:tc>
        <w:tc>
          <w:tcPr>
            <w:tcW w:w="3240" w:type="dxa"/>
            <w:vAlign w:val="bottom"/>
          </w:tcPr>
          <w:p>
            <w:pPr>
              <w:ind w:left="20"/>
              <w:spacing w:after="0"/>
              <w:rPr>
                <w:sz w:val="20"/>
                <w:szCs w:val="20"/>
                <w:color w:val="auto"/>
              </w:rPr>
            </w:pPr>
            <w:r>
              <w:rPr>
                <w:rFonts w:ascii="Arial" w:cs="Arial" w:eastAsia="Arial" w:hAnsi="Arial"/>
                <w:sz w:val="20"/>
                <w:szCs w:val="20"/>
                <w:color w:val="auto"/>
                <w:w w:val="92"/>
              </w:rPr>
              <w:t>Stock Units originally scheduled to vest</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2"/>
              </w:rPr>
              <w:t>scheduled to vest on the first Vesting</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88"/>
              </w:rPr>
              <w:t>on the second Vesting Date shall vest on</w:t>
            </w:r>
          </w:p>
        </w:tc>
        <w:tc>
          <w:tcPr>
            <w:tcW w:w="3240" w:type="dxa"/>
            <w:vAlign w:val="bottom"/>
          </w:tcPr>
          <w:p>
            <w:pPr>
              <w:ind w:left="20"/>
              <w:spacing w:after="0"/>
              <w:rPr>
                <w:sz w:val="20"/>
                <w:szCs w:val="20"/>
                <w:color w:val="auto"/>
              </w:rPr>
            </w:pPr>
            <w:r>
              <w:rPr>
                <w:rFonts w:ascii="Arial" w:cs="Arial" w:eastAsia="Arial" w:hAnsi="Arial"/>
                <w:sz w:val="20"/>
                <w:szCs w:val="20"/>
                <w:color w:val="auto"/>
                <w:w w:val="94"/>
              </w:rPr>
              <w:t>on the third Vesting Date shall vest on</w:t>
            </w:r>
          </w:p>
        </w:tc>
      </w:tr>
      <w:tr>
        <w:trPr>
          <w:trHeight w:val="23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w w:val="99"/>
              </w:rPr>
              <w:t>Date shall vest on the first Vesting</w:t>
            </w:r>
          </w:p>
        </w:tc>
        <w:tc>
          <w:tcPr>
            <w:tcW w:w="32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second Vesting Date.</w:t>
            </w:r>
          </w:p>
        </w:tc>
        <w:tc>
          <w:tcPr>
            <w:tcW w:w="3240" w:type="dxa"/>
            <w:vAlign w:val="bottom"/>
          </w:tcPr>
          <w:p>
            <w:pPr>
              <w:ind w:left="20"/>
              <w:spacing w:after="0"/>
              <w:rPr>
                <w:sz w:val="20"/>
                <w:szCs w:val="20"/>
                <w:color w:val="auto"/>
              </w:rPr>
            </w:pPr>
            <w:r>
              <w:rPr>
                <w:rFonts w:ascii="Arial" w:cs="Arial" w:eastAsia="Arial" w:hAnsi="Arial"/>
                <w:sz w:val="20"/>
                <w:szCs w:val="20"/>
                <w:color w:val="auto"/>
              </w:rPr>
              <w:t>the third Vesting Date.</w:t>
            </w:r>
          </w:p>
        </w:tc>
      </w:tr>
      <w:tr>
        <w:trPr>
          <w:trHeight w:val="250"/>
        </w:trPr>
        <w:tc>
          <w:tcPr>
            <w:tcW w:w="3100" w:type="dxa"/>
            <w:vAlign w:val="bottom"/>
            <w:tcBorders>
              <w:right w:val="single" w:sz="8" w:color="auto"/>
            </w:tcBorders>
          </w:tcPr>
          <w:p>
            <w:pPr>
              <w:ind w:left="40"/>
              <w:spacing w:after="0"/>
              <w:rPr>
                <w:sz w:val="20"/>
                <w:szCs w:val="20"/>
                <w:color w:val="auto"/>
              </w:rPr>
            </w:pPr>
            <w:r>
              <w:rPr>
                <w:rFonts w:ascii="Arial" w:cs="Arial" w:eastAsia="Arial" w:hAnsi="Arial"/>
                <w:sz w:val="20"/>
                <w:szCs w:val="20"/>
                <w:color w:val="auto"/>
              </w:rPr>
              <w:t>Date.</w:t>
            </w:r>
          </w:p>
        </w:tc>
        <w:tc>
          <w:tcPr>
            <w:tcW w:w="3260" w:type="dxa"/>
            <w:vAlign w:val="bottom"/>
            <w:tcBorders>
              <w:right w:val="single" w:sz="8" w:color="auto"/>
            </w:tcBorders>
          </w:tcPr>
          <w:p>
            <w:pPr>
              <w:spacing w:after="0"/>
              <w:rPr>
                <w:sz w:val="21"/>
                <w:szCs w:val="21"/>
                <w:color w:val="auto"/>
              </w:rPr>
            </w:pPr>
          </w:p>
        </w:tc>
        <w:tc>
          <w:tcPr>
            <w:tcW w:w="3240" w:type="dxa"/>
            <w:vAlign w:val="bottom"/>
          </w:tcPr>
          <w:p>
            <w:pPr>
              <w:spacing w:after="0"/>
              <w:rPr>
                <w:sz w:val="21"/>
                <w:szCs w:val="21"/>
                <w:color w:val="auto"/>
              </w:rPr>
            </w:pPr>
          </w:p>
        </w:tc>
      </w:tr>
      <w:tr>
        <w:trPr>
          <w:trHeight w:val="23"/>
        </w:trPr>
        <w:tc>
          <w:tcPr>
            <w:tcW w:w="310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582" w:right="239" w:bottom="1440" w:gutter="0" w:footer="0" w:header="0"/>
        </w:sectPr>
      </w:pPr>
    </w:p>
    <w:bookmarkStart w:id="39" w:name="page40"/>
    <w:bookmarkEnd w:id="39"/>
    <w:p>
      <w:pPr>
        <w:ind w:left="980"/>
        <w:spacing w:after="0" w:line="260" w:lineRule="auto"/>
        <w:rPr>
          <w:sz w:val="20"/>
          <w:szCs w:val="20"/>
          <w:color w:val="auto"/>
        </w:rPr>
      </w:pPr>
      <w:r>
        <w:rPr>
          <w:rFonts w:ascii="Arial" w:cs="Arial" w:eastAsia="Arial" w:hAnsi="Arial"/>
          <w:sz w:val="20"/>
          <w:szCs w:val="20"/>
          <w:color w:val="auto"/>
        </w:rPr>
        <w:t>The Company will deliver to the Participant, or his or her legal representative, one share of the Company’s Capital Stock for each Restricted Stock Unit that vests on a Vesting Date in accordance with Section 2.</w:t>
      </w:r>
    </w:p>
    <w:p>
      <w:pPr>
        <w:spacing w:after="0" w:line="177" w:lineRule="exact"/>
        <w:rPr>
          <w:sz w:val="20"/>
          <w:szCs w:val="20"/>
          <w:color w:val="auto"/>
        </w:rPr>
      </w:pPr>
    </w:p>
    <w:p>
      <w:pPr>
        <w:jc w:val="both"/>
        <w:ind w:left="980" w:hanging="324"/>
        <w:spacing w:after="0" w:line="250"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Any Termination Prior to Six-Month Anniversary of Grant Date</w:t>
      </w:r>
      <w:r>
        <w:rPr>
          <w:rFonts w:ascii="Arial" w:cs="Arial" w:eastAsia="Arial" w:hAnsi="Arial"/>
          <w:sz w:val="20"/>
          <w:szCs w:val="20"/>
          <w:color w:val="auto"/>
        </w:rPr>
        <w:t>. If a Participant ceases to be an employee of the Company for any reason before six (6) months have elapsed from the Grant Date, the Restricted Stock Unit award shall be cancelled by the Company and the Participant shall forfeit the entire award.</w:t>
      </w:r>
    </w:p>
    <w:p>
      <w:pPr>
        <w:spacing w:after="0" w:line="186" w:lineRule="exact"/>
        <w:rPr>
          <w:rFonts w:ascii="Arial" w:cs="Arial" w:eastAsia="Arial" w:hAnsi="Arial"/>
          <w:sz w:val="20"/>
          <w:szCs w:val="20"/>
          <w:color w:val="auto"/>
        </w:rPr>
      </w:pPr>
    </w:p>
    <w:p>
      <w:pPr>
        <w:jc w:val="both"/>
        <w:ind w:left="980" w:hanging="324"/>
        <w:spacing w:after="0" w:line="250" w:lineRule="auto"/>
        <w:tabs>
          <w:tab w:leader="none" w:pos="98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Integration with Severance Benefits</w:t>
      </w:r>
      <w:r>
        <w:rPr>
          <w:rFonts w:ascii="Arial" w:cs="Arial" w:eastAsia="Arial" w:hAnsi="Arial"/>
          <w:sz w:val="20"/>
          <w:szCs w:val="20"/>
          <w:color w:val="auto"/>
        </w:rPr>
        <w:t>. For U.S. participants, notwithstanding paragraphs 5(a)-(d) above, if severance is offered, eligibility for a prorated award of LTI is contingent upon the Company receiving your signed Severance Agreement &amp; General Release. Without a signed release, all unvested units are forfeited.</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purposes of this Agreement, the terms “termination of employment,” “separation from service,” and similar references mean a separation from service within the meaning of Code Section 409A with the Company and/or any of its subsidiaries or affiliates, which includes circumstances in which the Participant is reasonably anticipated not to perform further services with the Company or its affiliates or subsidiaries.</w:t>
      </w:r>
    </w:p>
    <w:p>
      <w:pPr>
        <w:spacing w:after="0" w:line="186" w:lineRule="exact"/>
        <w:rPr>
          <w:sz w:val="20"/>
          <w:szCs w:val="20"/>
          <w:color w:val="auto"/>
        </w:rPr>
      </w:pPr>
    </w:p>
    <w:p>
      <w:pPr>
        <w:jc w:val="both"/>
        <w:ind w:firstLine="656"/>
        <w:spacing w:after="0" w:line="245" w:lineRule="auto"/>
        <w:tabs>
          <w:tab w:leader="none" w:pos="846"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Withholding of Taxes</w:t>
      </w:r>
      <w:r>
        <w:rPr>
          <w:rFonts w:ascii="Arial" w:cs="Arial" w:eastAsia="Arial" w:hAnsi="Arial"/>
          <w:sz w:val="20"/>
          <w:szCs w:val="20"/>
          <w:b w:val="1"/>
          <w:bCs w:val="1"/>
          <w:color w:val="auto"/>
        </w:rPr>
        <w:t xml:space="preserve">. </w:t>
      </w:r>
      <w:r>
        <w:rPr>
          <w:rFonts w:ascii="Arial" w:cs="Arial" w:eastAsia="Arial" w:hAnsi="Arial"/>
          <w:sz w:val="20"/>
          <w:szCs w:val="20"/>
          <w:color w:val="auto"/>
        </w:rPr>
        <w:t>As a condition of making any payments or issuing any shares upon vesting of the Restricted Stock Units,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or other person entitled to such shares or other payment shall pay any sums required to be withheld by federal, state, local, or other applicable tax law with respect to such vesting or payment. In accordance with any procedures established by the Committee, the Participant may satisfy any required withholding payments in cash or shares (including the surrender of shares held by the Participant or those that would otherwise be issued in settlement of the award). The value of any shares surrendered or withheld shall equal the closing price on the NYSE composite tape on the tax date.</w:t>
      </w:r>
    </w:p>
    <w:p>
      <w:pPr>
        <w:spacing w:after="0" w:line="185" w:lineRule="exact"/>
        <w:rPr>
          <w:rFonts w:ascii="Arial" w:cs="Arial" w:eastAsia="Arial" w:hAnsi="Arial"/>
          <w:sz w:val="20"/>
          <w:szCs w:val="20"/>
          <w:b w:val="1"/>
          <w:bCs w:val="1"/>
          <w:color w:val="auto"/>
        </w:rPr>
      </w:pPr>
    </w:p>
    <w:p>
      <w:pPr>
        <w:jc w:val="both"/>
        <w:ind w:right="20" w:firstLine="656"/>
        <w:spacing w:after="0" w:line="253" w:lineRule="auto"/>
        <w:tabs>
          <w:tab w:leader="none" w:pos="846"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Limits on 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right in the Restricted Stock Units awarded under this Agreement and any interest therein</w:t>
      </w:r>
      <w:r>
        <w:rPr>
          <w:rFonts w:ascii="Arial" w:cs="Arial" w:eastAsia="Arial" w:hAnsi="Arial"/>
          <w:sz w:val="20"/>
          <w:szCs w:val="20"/>
          <w:b w:val="1"/>
          <w:bCs w:val="1"/>
          <w:color w:val="auto"/>
        </w:rPr>
        <w:t xml:space="preserve"> </w:t>
      </w:r>
      <w:r>
        <w:rPr>
          <w:rFonts w:ascii="Arial" w:cs="Arial" w:eastAsia="Arial" w:hAnsi="Arial"/>
          <w:sz w:val="20"/>
          <w:szCs w:val="20"/>
          <w:color w:val="auto"/>
        </w:rPr>
        <w:t>may not be sold, pledged, assigned, hypothecated, transferred, or disposed of in any manner, other than by will or by the laws of descent or distribution. Restricted Stock Units shall not be subject to execution, attachment or other process.</w:t>
      </w:r>
    </w:p>
    <w:p>
      <w:pPr>
        <w:spacing w:after="0" w:line="177" w:lineRule="exact"/>
        <w:rPr>
          <w:rFonts w:ascii="Arial" w:cs="Arial" w:eastAsia="Arial" w:hAnsi="Arial"/>
          <w:sz w:val="20"/>
          <w:szCs w:val="20"/>
          <w:b w:val="1"/>
          <w:bCs w:val="1"/>
          <w:color w:val="auto"/>
        </w:rPr>
      </w:pPr>
    </w:p>
    <w:p>
      <w:pPr>
        <w:jc w:val="both"/>
        <w:ind w:firstLine="656"/>
        <w:spacing w:after="0" w:line="246" w:lineRule="auto"/>
        <w:tabs>
          <w:tab w:leader="none" w:pos="8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one or more of the provisions of this Agreement shall be held invalid, illegal or unenforceable in any respect, the</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5" w:lineRule="exact"/>
        <w:rPr>
          <w:rFonts w:ascii="Arial" w:cs="Arial" w:eastAsia="Arial" w:hAnsi="Arial"/>
          <w:sz w:val="20"/>
          <w:szCs w:val="20"/>
          <w:b w:val="1"/>
          <w:bCs w:val="1"/>
          <w:color w:val="auto"/>
        </w:rPr>
      </w:pPr>
    </w:p>
    <w:p>
      <w:pPr>
        <w:jc w:val="both"/>
        <w:ind w:firstLine="656"/>
        <w:spacing w:after="0" w:line="253" w:lineRule="auto"/>
        <w:tabs>
          <w:tab w:leader="none" w:pos="846"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Securities Laws</w:t>
      </w:r>
      <w:r>
        <w:rPr>
          <w:rFonts w:ascii="Arial" w:cs="Arial" w:eastAsia="Arial" w:hAnsi="Arial"/>
          <w:sz w:val="20"/>
          <w:szCs w:val="20"/>
          <w:b w:val="1"/>
          <w:bCs w:val="1"/>
          <w:color w:val="auto"/>
        </w:rPr>
        <w:t xml:space="preserve">. </w:t>
      </w:r>
      <w:r>
        <w:rPr>
          <w:rFonts w:ascii="Arial" w:cs="Arial" w:eastAsia="Arial" w:hAnsi="Arial"/>
          <w:sz w:val="20"/>
          <w:szCs w:val="20"/>
          <w:color w:val="auto"/>
        </w:rPr>
        <w:t>Shares shall not be issued with respect to this award unless the issuance and delivery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Shares shall comply with all relevant provisions of state and federal laws, rules and regulations, and, in the discretion of the Company, shall be further subject to the approval of counsel for the Company with respect to that compliance.</w:t>
      </w:r>
    </w:p>
    <w:p>
      <w:pPr>
        <w:spacing w:after="0" w:line="177" w:lineRule="exact"/>
        <w:rPr>
          <w:rFonts w:ascii="Arial" w:cs="Arial" w:eastAsia="Arial" w:hAnsi="Arial"/>
          <w:sz w:val="20"/>
          <w:szCs w:val="20"/>
          <w:b w:val="1"/>
          <w:bCs w:val="1"/>
          <w:color w:val="auto"/>
        </w:rPr>
      </w:pPr>
    </w:p>
    <w:p>
      <w:pPr>
        <w:jc w:val="both"/>
        <w:ind w:firstLine="656"/>
        <w:spacing w:after="0" w:line="253" w:lineRule="auto"/>
        <w:tabs>
          <w:tab w:leader="none" w:pos="959"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Employment or Voting Rights</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contained in the Plan or this Agreement shall give any employee the right to be</w:t>
      </w:r>
      <w:r>
        <w:rPr>
          <w:rFonts w:ascii="Arial" w:cs="Arial" w:eastAsia="Arial" w:hAnsi="Arial"/>
          <w:sz w:val="20"/>
          <w:szCs w:val="20"/>
          <w:b w:val="1"/>
          <w:bCs w:val="1"/>
          <w:color w:val="auto"/>
        </w:rPr>
        <w:t xml:space="preserve"> </w:t>
      </w:r>
      <w:r>
        <w:rPr>
          <w:rFonts w:ascii="Arial" w:cs="Arial" w:eastAsia="Arial" w:hAnsi="Arial"/>
          <w:sz w:val="20"/>
          <w:szCs w:val="20"/>
          <w:color w:val="auto"/>
        </w:rPr>
        <w:t>retained in the employment of any member of the Company or affect the right of any such employer to terminate any employee. The Participant shall have no voting rights with respect to the Company’s stock units.</w:t>
      </w:r>
    </w:p>
    <w:p>
      <w:pPr>
        <w:spacing w:after="0" w:line="177" w:lineRule="exact"/>
        <w:rPr>
          <w:rFonts w:ascii="Arial" w:cs="Arial" w:eastAsia="Arial" w:hAnsi="Arial"/>
          <w:sz w:val="20"/>
          <w:szCs w:val="20"/>
          <w:b w:val="1"/>
          <w:bCs w:val="1"/>
          <w:color w:val="auto"/>
        </w:rPr>
      </w:pPr>
    </w:p>
    <w:p>
      <w:pPr>
        <w:ind w:firstLine="656"/>
        <w:spacing w:after="0" w:line="267" w:lineRule="auto"/>
        <w:tabs>
          <w:tab w:leader="none" w:pos="934"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binding upon and inure to the benefit of any successor or successors of the Company and any</w:t>
      </w:r>
      <w:r>
        <w:rPr>
          <w:rFonts w:ascii="Arial" w:cs="Arial" w:eastAsia="Arial" w:hAnsi="Arial"/>
          <w:sz w:val="20"/>
          <w:szCs w:val="20"/>
          <w:b w:val="1"/>
          <w:bCs w:val="1"/>
          <w:color w:val="auto"/>
        </w:rPr>
        <w:t xml:space="preserve"> </w:t>
      </w:r>
      <w:r>
        <w:rPr>
          <w:rFonts w:ascii="Arial" w:cs="Arial" w:eastAsia="Arial" w:hAnsi="Arial"/>
          <w:sz w:val="20"/>
          <w:szCs w:val="20"/>
          <w:color w:val="auto"/>
        </w:rPr>
        <w:t>person or persons who shall acquire any rights hereunder in accordance with this Agreement or the Plan.</w:t>
      </w:r>
    </w:p>
    <w:p>
      <w:pPr>
        <w:spacing w:after="0" w:line="163" w:lineRule="exact"/>
        <w:rPr>
          <w:rFonts w:ascii="Arial" w:cs="Arial" w:eastAsia="Arial" w:hAnsi="Arial"/>
          <w:sz w:val="20"/>
          <w:szCs w:val="20"/>
          <w:b w:val="1"/>
          <w:bCs w:val="1"/>
          <w:color w:val="auto"/>
        </w:rPr>
      </w:pPr>
    </w:p>
    <w:p>
      <w:pPr>
        <w:jc w:val="both"/>
        <w:ind w:firstLine="656"/>
        <w:spacing w:after="0" w:line="253" w:lineRule="auto"/>
        <w:tabs>
          <w:tab w:leader="none" w:pos="945"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Internal Revenue Code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shall be interpreted, operated, and administered in a manner so as not to</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Participant to the assessment of additional taxes or interest under Code section 409A to the extent such Participant or any payment under this Agreement is subject to U.S. tax laws, and this Agreement</w:t>
      </w:r>
    </w:p>
    <w:p>
      <w:pPr>
        <w:sectPr>
          <w:pgSz w:w="11900" w:h="16838" w:orient="portrait"/>
          <w:cols w:equalWidth="0" w:num="1">
            <w:col w:w="11420"/>
          </w:cols>
          <w:pgMar w:left="240" w:top="798" w:right="239" w:bottom="1440" w:gutter="0" w:footer="0" w:header="0"/>
        </w:sectPr>
      </w:pPr>
    </w:p>
    <w:bookmarkStart w:id="40" w:name="page41"/>
    <w:bookmarkEnd w:id="40"/>
    <w:p>
      <w:pPr>
        <w:spacing w:after="0" w:line="260" w:lineRule="auto"/>
        <w:rPr>
          <w:sz w:val="20"/>
          <w:szCs w:val="20"/>
          <w:color w:val="auto"/>
        </w:rPr>
      </w:pPr>
      <w:r>
        <w:rPr>
          <w:rFonts w:ascii="Arial" w:cs="Arial" w:eastAsia="Arial" w:hAnsi="Arial"/>
          <w:sz w:val="20"/>
          <w:szCs w:val="20"/>
          <w:color w:val="auto"/>
        </w:rPr>
        <w:t>shall be amended as the Company, in its sole discretion, determines is necessary and appropriate to avoid the application of any such taxes or interest.</w:t>
      </w:r>
    </w:p>
    <w:p>
      <w:pPr>
        <w:spacing w:after="0" w:line="171" w:lineRule="exact"/>
        <w:rPr>
          <w:sz w:val="20"/>
          <w:szCs w:val="20"/>
          <w:color w:val="auto"/>
        </w:rPr>
      </w:pPr>
    </w:p>
    <w:p>
      <w:pPr>
        <w:jc w:val="both"/>
        <w:ind w:firstLine="656"/>
        <w:spacing w:after="0" w:line="285" w:lineRule="auto"/>
        <w:tabs>
          <w:tab w:leader="none" w:pos="94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in its sole discretion, decide to deliver any documents related to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or future participation in the Plan by electronic means or to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 third party designated by the Company.</w:t>
      </w:r>
    </w:p>
    <w:p>
      <w:pPr>
        <w:spacing w:after="0" w:line="151" w:lineRule="exact"/>
        <w:rPr>
          <w:rFonts w:ascii="Arial" w:cs="Arial" w:eastAsia="Arial" w:hAnsi="Arial"/>
          <w:sz w:val="18"/>
          <w:szCs w:val="18"/>
          <w:b w:val="1"/>
          <w:bCs w:val="1"/>
          <w:color w:val="auto"/>
        </w:rPr>
      </w:pPr>
    </w:p>
    <w:p>
      <w:pPr>
        <w:jc w:val="both"/>
        <w:ind w:firstLine="656"/>
        <w:spacing w:after="0" w:line="253" w:lineRule="auto"/>
        <w:tabs>
          <w:tab w:leader="none" w:pos="959"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the Plan and this Agreement when accepted by Participant will constitute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subject matter hereof. This Agreement supersedes any prior agreements, representations or promises of the parties relating to the subject matter hereof.</w:t>
      </w:r>
    </w:p>
    <w:p>
      <w:pPr>
        <w:spacing w:after="0" w:line="177" w:lineRule="exact"/>
        <w:rPr>
          <w:rFonts w:ascii="Arial" w:cs="Arial" w:eastAsia="Arial" w:hAnsi="Arial"/>
          <w:sz w:val="20"/>
          <w:szCs w:val="20"/>
          <w:b w:val="1"/>
          <w:bCs w:val="1"/>
          <w:color w:val="auto"/>
        </w:rPr>
      </w:pPr>
    </w:p>
    <w:p>
      <w:pPr>
        <w:jc w:val="both"/>
        <w:ind w:firstLine="656"/>
        <w:spacing w:after="0" w:line="266" w:lineRule="auto"/>
        <w:tabs>
          <w:tab w:leader="none" w:pos="959"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construed in accordance with, and its interpretation shall otherwise be</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38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IN WITNESS WHEREOF, the Company has caused this Agreement to be executed by a duly authorized executive all as of the day and year first above written.</w:t>
      </w:r>
    </w:p>
    <w:p>
      <w:pPr>
        <w:spacing w:after="0" w:line="177" w:lineRule="exact"/>
        <w:rPr>
          <w:sz w:val="20"/>
          <w:szCs w:val="20"/>
          <w:color w:val="auto"/>
        </w:rPr>
      </w:pPr>
    </w:p>
    <w:p>
      <w:pPr>
        <w:jc w:val="center"/>
        <w:ind w:left="300"/>
        <w:spacing w:after="0"/>
        <w:rPr>
          <w:sz w:val="20"/>
          <w:szCs w:val="20"/>
          <w:color w:val="auto"/>
        </w:rPr>
      </w:pPr>
      <w:r>
        <w:rPr>
          <w:rFonts w:ascii="Arial" w:cs="Arial" w:eastAsia="Arial" w:hAnsi="Arial"/>
          <w:sz w:val="20"/>
          <w:szCs w:val="20"/>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_______________________________________</w:t>
      </w:r>
    </w:p>
    <w:p>
      <w:pPr>
        <w:spacing w:after="0" w:line="8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Robert W. Morrissey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Senior Vice President and Chief Human</w:t>
      </w:r>
    </w:p>
    <w:p>
      <w:pPr>
        <w:ind w:left="5200"/>
        <w:spacing w:after="0"/>
        <w:rPr>
          <w:sz w:val="20"/>
          <w:szCs w:val="20"/>
          <w:color w:val="auto"/>
        </w:rPr>
      </w:pPr>
      <w:r>
        <w:rPr>
          <w:rFonts w:ascii="Arial" w:cs="Arial" w:eastAsia="Arial" w:hAnsi="Arial"/>
          <w:sz w:val="20"/>
          <w:szCs w:val="20"/>
          <w:color w:val="auto"/>
        </w:rPr>
        <w:t>Resources Officer</w:t>
      </w:r>
    </w:p>
    <w:p>
      <w:pPr>
        <w:sectPr>
          <w:pgSz w:w="11900" w:h="16838" w:orient="portrait"/>
          <w:cols w:equalWidth="0" w:num="1">
            <w:col w:w="11420"/>
          </w:cols>
          <w:pgMar w:left="240" w:top="58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2016</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2016</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4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30, 2016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7, 2016</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100" w:space="440"/>
            <w:col w:w="5880"/>
          </w:cols>
          <w:pgMar w:left="240" w:top="580"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30, 2016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7, 2016</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bullet"/>
      <w:start w:val="1"/>
    </w:lvl>
  </w:abstractNum>
  <w:abstractNum w:abstractNumId="1">
    <w:nsid w:val="54E49EB4"/>
    <w:multiLevelType w:val="hybridMultilevel"/>
    <w:lvl w:ilvl="0">
      <w:lvlJc w:val="left"/>
      <w:lvlText w:val="%1"/>
      <w:numFmt w:val="decimal"/>
      <w:start w:val="14"/>
    </w:lvl>
  </w:abstractNum>
  <w:abstractNum w:abstractNumId="2">
    <w:nsid w:val="71F32454"/>
    <w:multiLevelType w:val="hybridMultilevel"/>
    <w:lvl w:ilvl="0">
      <w:lvlJc w:val="left"/>
      <w:lvlText w:val="(%1)"/>
      <w:numFmt w:val="decimal"/>
      <w:start w:val="11"/>
    </w:lvl>
  </w:abstractNum>
  <w:abstractNum w:abstractNumId="3">
    <w:nsid w:val="2CA88611"/>
    <w:multiLevelType w:val="hybridMultilevel"/>
    <w:lvl w:ilvl="0">
      <w:lvlJc w:val="left"/>
      <w:lvlText w:val="%1"/>
      <w:numFmt w:val="decimal"/>
      <w:start w:val="77"/>
    </w:lvl>
  </w:abstractNum>
  <w:abstractNum w:abstractNumId="4">
    <w:nsid w:val="836C40E"/>
    <w:multiLevelType w:val="hybridMultilevel"/>
    <w:lvl w:ilvl="0">
      <w:lvlJc w:val="left"/>
      <w:lvlText w:val="%1"/>
      <w:numFmt w:val="decimal"/>
      <w:start w:val="19"/>
    </w:lvl>
    <w:lvl w:ilvl="1">
      <w:lvlJc w:val="left"/>
      <w:lvlText w:val="(%2)"/>
      <w:numFmt w:val="decimal"/>
      <w:start w:val="2"/>
    </w:lvl>
  </w:abstractNum>
  <w:abstractNum w:abstractNumId="5">
    <w:nsid w:val="2901D82"/>
    <w:multiLevelType w:val="hybridMultilevel"/>
    <w:lvl w:ilvl="0">
      <w:lvlJc w:val="left"/>
      <w:lvlText w:val="(%1)"/>
      <w:numFmt w:val="decimal"/>
      <w:start w:val="218"/>
    </w:lvl>
  </w:abstractNum>
  <w:abstractNum w:abstractNumId="6">
    <w:nsid w:val="3A95F874"/>
    <w:multiLevelType w:val="hybridMultilevel"/>
    <w:lvl w:ilvl="0">
      <w:lvlJc w:val="left"/>
      <w:lvlText w:val="(%1)"/>
      <w:numFmt w:val="decimal"/>
      <w:start w:val="27"/>
    </w:lvl>
  </w:abstractNum>
  <w:abstractNum w:abstractNumId="7">
    <w:nsid w:val="8138641"/>
    <w:multiLevelType w:val="hybridMultilevel"/>
    <w:lvl w:ilvl="0">
      <w:lvlJc w:val="left"/>
      <w:lvlText w:val="(%1)"/>
      <w:numFmt w:val="decimal"/>
      <w:start w:val="6"/>
    </w:lvl>
  </w:abstractNum>
  <w:abstractNum w:abstractNumId="8">
    <w:nsid w:val="1E7FF521"/>
    <w:multiLevelType w:val="hybridMultilevel"/>
    <w:lvl w:ilvl="0">
      <w:lvlJc w:val="left"/>
      <w:lvlText w:val="%1"/>
      <w:numFmt w:val="decimal"/>
      <w:start w:val="96"/>
    </w:lvl>
    <w:lvl w:ilvl="1">
      <w:lvlJc w:val="left"/>
      <w:lvlText w:val="(%2)"/>
      <w:numFmt w:val="decimal"/>
      <w:start w:val="1"/>
    </w:lvl>
  </w:abstractNum>
  <w:abstractNum w:abstractNumId="9">
    <w:nsid w:val="7C3DBD3D"/>
    <w:multiLevelType w:val="hybridMultilevel"/>
    <w:lvl w:ilvl="0">
      <w:lvlJc w:val="left"/>
      <w:lvlText w:val="(%1)"/>
      <w:numFmt w:val="decimal"/>
      <w:start w:val="1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2"/>
    </w:lvl>
  </w:abstractNum>
  <w:abstractNum w:abstractNumId="12">
    <w:nsid w:val="22221A70"/>
    <w:multiLevelType w:val="hybridMultilevel"/>
    <w:lvl w:ilvl="0">
      <w:lvlJc w:val="left"/>
      <w:lvlText w:val="%1."/>
      <w:numFmt w:val="decimal"/>
      <w:start w:val="3"/>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4"/>
    </w:lvl>
  </w:abstractNum>
  <w:abstractNum w:abstractNumId="16">
    <w:nsid w:val="419AC241"/>
    <w:multiLevelType w:val="hybridMultilevel"/>
    <w:lvl w:ilvl="0">
      <w:lvlJc w:val="left"/>
      <w:lvlText w:val="%1."/>
      <w:numFmt w:val="decimal"/>
      <w:start w:val="5"/>
    </w:lvl>
    <w:lvl w:ilvl="1">
      <w:lvlJc w:val="left"/>
      <w:lvlText w:val="•"/>
      <w:numFmt w:val="bullet"/>
      <w:start w:val="1"/>
    </w:lvl>
  </w:abstractNum>
  <w:abstractNum w:abstractNumId="17">
    <w:nsid w:val="5577F8E1"/>
    <w:multiLevelType w:val="hybridMultilevel"/>
    <w:lvl w:ilvl="0">
      <w:lvlJc w:val="left"/>
      <w:lvlText w:val="%1."/>
      <w:numFmt w:val="decimal"/>
      <w:start w:val="6"/>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7"/>
    </w:lvl>
  </w:abstractNum>
  <w:abstractNum w:abstractNumId="20">
    <w:nsid w:val="3804823E"/>
    <w:multiLevelType w:val="hybridMultilevel"/>
    <w:lvl w:ilvl="0">
      <w:lvlJc w:val="left"/>
      <w:lvlText w:val="%1."/>
      <w:numFmt w:val="decimal"/>
      <w:start w:val="8"/>
    </w:lvl>
  </w:abstractNum>
  <w:abstractNum w:abstractNumId="21">
    <w:nsid w:val="77465F01"/>
    <w:multiLevelType w:val="hybridMultilevel"/>
    <w:lvl w:ilvl="0">
      <w:lvlJc w:val="left"/>
      <w:lvlText w:val="%1."/>
      <w:numFmt w:val="decimal"/>
      <w:start w:val="9"/>
    </w:lvl>
  </w:abstractNum>
  <w:abstractNum w:abstractNumId="22">
    <w:nsid w:val="7724C67E"/>
    <w:multiLevelType w:val="hybridMultilevel"/>
    <w:lvl w:ilvl="0">
      <w:lvlJc w:val="left"/>
      <w:lvlText w:val="%1."/>
      <w:numFmt w:val="decimal"/>
      <w:start w:val="11"/>
    </w:lvl>
    <w:lvl w:ilvl="1">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2"/>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2"/>
    </w:lvl>
  </w:abstractNum>
  <w:abstractNum w:abstractNumId="36">
    <w:nsid w:val="2CD89A32"/>
    <w:multiLevelType w:val="hybridMultilevel"/>
    <w:lvl w:ilvl="0">
      <w:lvlJc w:val="left"/>
      <w:lvlText w:val="%1."/>
      <w:numFmt w:val="decimal"/>
      <w:start w:val="3"/>
    </w:lvl>
  </w:abstractNum>
  <w:abstractNum w:abstractNumId="37">
    <w:nsid w:val="57E4CC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
    <w:nsid w:val="7A6D8D3C"/>
    <w:multiLevelType w:val="hybridMultilevel"/>
    <w:lvl w:ilvl="0">
      <w:lvlJc w:val="left"/>
      <w:lvlText w:val="(%1)"/>
      <w:numFmt w:val="lowerLetter"/>
      <w:start w:val="4"/>
    </w:lvl>
  </w:abstractNum>
  <w:abstractNum w:abstractNumId="39">
    <w:nsid w:val="4B588F54"/>
    <w:multiLevelType w:val="hybridMultilevel"/>
    <w:lvl w:ilvl="0">
      <w:lvlJc w:val="left"/>
      <w:lvlText w:val="%1."/>
      <w:numFmt w:val="decimal"/>
      <w:start w:val="4"/>
    </w:lvl>
  </w:abstractNum>
  <w:abstractNum w:abstractNumId="40">
    <w:nsid w:val="542289EC"/>
    <w:multiLevelType w:val="hybridMultilevel"/>
    <w:lvl w:ilvl="0">
      <w:lvlJc w:val="left"/>
      <w:lvlText w:val="%1."/>
      <w:numFmt w:val="decimal"/>
      <w:start w:val="9"/>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3"/>
    </w:lvl>
  </w:abstractNum>
  <w:abstractNum w:abstractNumId="43">
    <w:nsid w:val="7644A45C"/>
    <w:multiLevelType w:val="hybridMultilevel"/>
    <w:lvl w:ilvl="0">
      <w:lvlJc w:val="left"/>
      <w:lvlText w:val="%1."/>
      <w:numFmt w:val="decimal"/>
      <w:start w:val="5"/>
    </w:lvl>
  </w:abstractNum>
  <w:abstractNum w:abstractNumId="44">
    <w:nsid w:val="32FFF9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
    <w:nsid w:val="684A481A"/>
    <w:multiLevelType w:val="hybridMultilevel"/>
    <w:lvl w:ilvl="0">
      <w:lvlJc w:val="left"/>
      <w:lvlText w:val="(%1)"/>
      <w:numFmt w:val="lowerLetter"/>
      <w:start w:val="4"/>
    </w:lvl>
  </w:abstractNum>
  <w:abstractNum w:abstractNumId="46">
    <w:nsid w:val="579478FE"/>
    <w:multiLevelType w:val="hybridMultilevel"/>
    <w:lvl w:ilvl="0">
      <w:lvlJc w:val="left"/>
      <w:lvlText w:val="%1."/>
      <w:numFmt w:val="decimal"/>
      <w:start w:val="6"/>
    </w:lvl>
  </w:abstractNum>
  <w:abstractNum w:abstractNumId="47">
    <w:nsid w:val="749ABB43"/>
    <w:multiLevelType w:val="hybridMultilevel"/>
    <w:lvl w:ilvl="0">
      <w:lvlJc w:val="left"/>
      <w:lvlText w:val="%1."/>
      <w:numFmt w:val="decimal"/>
      <w:start w:val="13"/>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2019-12-29T08:42:45Z</dcterms:created>
  <dcterms:modified xsi:type="dcterms:W3CDTF">2019-12-29T08:42:45Z</dcterms:modified>
</cp:coreProperties>
</file>